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1231265</wp:posOffset>
            </wp:positionH>
            <wp:positionV relativeFrom="paragraph">
              <wp:posOffset>151130</wp:posOffset>
            </wp:positionV>
            <wp:extent cx="47117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1700" cy="571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180340</wp:posOffset>
            </wp:positionV>
            <wp:extent cx="4711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391"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SECURITIES AND EXCHANGE COMMISSION</w:t>
      </w:r>
    </w:p>
    <w:p>
      <w:pPr>
        <w:ind w:left="490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3090545</wp:posOffset>
            </wp:positionH>
            <wp:positionV relativeFrom="paragraph">
              <wp:posOffset>146050</wp:posOffset>
            </wp:positionV>
            <wp:extent cx="9874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7425" cy="5715"/>
                    </a:xfrm>
                    <a:prstGeom prst="rect">
                      <a:avLst/>
                    </a:prstGeom>
                    <a:noFill/>
                  </pic:spPr>
                </pic:pic>
              </a:graphicData>
            </a:graphic>
          </wp:anchor>
        </w:drawing>
      </w:r>
    </w:p>
    <w:p>
      <w:pPr>
        <w:spacing w:after="0" w:line="337"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SCHEDULE 14A</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5"/>
          <w:szCs w:val="15"/>
          <w:b w:val="1"/>
          <w:bCs w:val="1"/>
          <w:color w:val="auto"/>
        </w:rPr>
        <w:t>Proxy Statement Pursuant to Section 14(a) of the</w:t>
      </w:r>
    </w:p>
    <w:p>
      <w:pPr>
        <w:jc w:val="center"/>
        <w:ind w:right="-1140"/>
        <w:spacing w:after="0" w:line="227" w:lineRule="auto"/>
        <w:rPr>
          <w:sz w:val="20"/>
          <w:szCs w:val="20"/>
          <w:color w:val="auto"/>
        </w:rPr>
      </w:pPr>
      <w:r>
        <w:rPr>
          <w:rFonts w:ascii="Arial" w:cs="Arial" w:eastAsia="Arial" w:hAnsi="Arial"/>
          <w:sz w:val="15"/>
          <w:szCs w:val="15"/>
          <w:b w:val="1"/>
          <w:bCs w:val="1"/>
          <w:color w:val="auto"/>
        </w:rPr>
        <w:t>Securities Exchange Act of 1934</w:t>
      </w:r>
    </w:p>
    <w:p>
      <w:pPr>
        <w:jc w:val="center"/>
        <w:ind w:right="-1140"/>
        <w:spacing w:after="0"/>
        <w:rPr>
          <w:sz w:val="20"/>
          <w:szCs w:val="20"/>
          <w:color w:val="auto"/>
        </w:rPr>
      </w:pPr>
      <w:r>
        <w:rPr>
          <w:rFonts w:ascii="Arial" w:cs="Arial" w:eastAsia="Arial" w:hAnsi="Arial"/>
          <w:sz w:val="15"/>
          <w:szCs w:val="15"/>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3090545</wp:posOffset>
            </wp:positionH>
            <wp:positionV relativeFrom="paragraph">
              <wp:posOffset>146050</wp:posOffset>
            </wp:positionV>
            <wp:extent cx="9874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7425" cy="5715"/>
                    </a:xfrm>
                    <a:prstGeom prst="rect">
                      <a:avLst/>
                    </a:prstGeom>
                    <a:noFill/>
                  </pic:spPr>
                </pic:pic>
              </a:graphicData>
            </a:graphic>
          </wp:anchor>
        </w:drawing>
      </w:r>
    </w:p>
    <w:p>
      <w:pPr>
        <w:spacing w:after="0" w:line="334" w:lineRule="exact"/>
        <w:rPr>
          <w:sz w:val="24"/>
          <w:szCs w:val="24"/>
          <w:color w:val="auto"/>
        </w:rPr>
      </w:pPr>
    </w:p>
    <w:p>
      <w:pPr>
        <w:ind w:left="194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153" w:lineRule="exact"/>
        <w:rPr>
          <w:sz w:val="24"/>
          <w:szCs w:val="24"/>
          <w:color w:val="auto"/>
        </w:rPr>
      </w:pPr>
    </w:p>
    <w:p>
      <w:pPr>
        <w:ind w:left="1940"/>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321" w:lineRule="exact"/>
        <w:rPr>
          <w:sz w:val="24"/>
          <w:szCs w:val="24"/>
          <w:color w:val="auto"/>
        </w:rPr>
      </w:pPr>
    </w:p>
    <w:p>
      <w:pPr>
        <w:ind w:left="1940"/>
        <w:spacing w:after="0"/>
        <w:rPr>
          <w:sz w:val="20"/>
          <w:szCs w:val="20"/>
          <w:color w:val="auto"/>
        </w:rPr>
      </w:pPr>
      <w:r>
        <w:rPr>
          <w:rFonts w:ascii="Arial" w:cs="Arial" w:eastAsia="Arial" w:hAnsi="Arial"/>
          <w:sz w:val="12"/>
          <w:szCs w:val="12"/>
          <w:color w:val="auto"/>
        </w:rPr>
        <w:t>Check the appropriate box:</w:t>
      </w:r>
    </w:p>
    <w:p>
      <w:pPr>
        <w:spacing w:after="0" w:line="153" w:lineRule="exact"/>
        <w:rPr>
          <w:sz w:val="24"/>
          <w:szCs w:val="24"/>
          <w:color w:val="auto"/>
        </w:rPr>
      </w:pPr>
    </w:p>
    <w:p>
      <w:pPr>
        <w:ind w:left="2300" w:hanging="366"/>
        <w:spacing w:after="0"/>
        <w:tabs>
          <w:tab w:leader="none" w:pos="23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148" w:lineRule="exact"/>
        <w:rPr>
          <w:rFonts w:ascii="MS PGothic" w:cs="MS PGothic" w:eastAsia="MS PGothic" w:hAnsi="MS PGothic"/>
          <w:sz w:val="12"/>
          <w:szCs w:val="12"/>
          <w:color w:val="auto"/>
        </w:rPr>
      </w:pPr>
    </w:p>
    <w:p>
      <w:pPr>
        <w:ind w:left="2300" w:hanging="366"/>
        <w:spacing w:after="0"/>
        <w:tabs>
          <w:tab w:leader="none" w:pos="23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57" w:lineRule="exact"/>
        <w:rPr>
          <w:sz w:val="24"/>
          <w:szCs w:val="24"/>
          <w:color w:val="auto"/>
        </w:rPr>
      </w:pPr>
    </w:p>
    <w:p>
      <w:pPr>
        <w:ind w:left="2300" w:hanging="366"/>
        <w:spacing w:after="0"/>
        <w:tabs>
          <w:tab w:leader="none" w:pos="23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53" w:lineRule="exact"/>
        <w:rPr>
          <w:sz w:val="24"/>
          <w:szCs w:val="24"/>
          <w:color w:val="auto"/>
        </w:rPr>
      </w:pPr>
    </w:p>
    <w:p>
      <w:pPr>
        <w:ind w:left="2300" w:hanging="366"/>
        <w:spacing w:after="0"/>
        <w:tabs>
          <w:tab w:leader="none" w:pos="23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152" w:lineRule="exact"/>
        <w:rPr>
          <w:rFonts w:ascii="MS PGothic" w:cs="MS PGothic" w:eastAsia="MS PGothic" w:hAnsi="MS PGothic"/>
          <w:sz w:val="12"/>
          <w:szCs w:val="12"/>
          <w:color w:val="auto"/>
        </w:rPr>
      </w:pPr>
    </w:p>
    <w:p>
      <w:pPr>
        <w:ind w:left="2300" w:hanging="366"/>
        <w:spacing w:after="0"/>
        <w:tabs>
          <w:tab w:leader="none" w:pos="23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13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CenterPoint Energy, Inc.</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39"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57" w:lineRule="exact"/>
        <w:rPr>
          <w:sz w:val="24"/>
          <w:szCs w:val="24"/>
          <w:color w:val="auto"/>
        </w:rPr>
      </w:pPr>
    </w:p>
    <w:p>
      <w:pPr>
        <w:ind w:left="1940"/>
        <w:spacing w:after="0"/>
        <w:rPr>
          <w:sz w:val="20"/>
          <w:szCs w:val="20"/>
          <w:color w:val="auto"/>
        </w:rPr>
      </w:pPr>
      <w:r>
        <w:rPr>
          <w:rFonts w:ascii="Arial" w:cs="Arial" w:eastAsia="Arial" w:hAnsi="Arial"/>
          <w:sz w:val="12"/>
          <w:szCs w:val="12"/>
          <w:color w:val="auto"/>
        </w:rPr>
        <w:t>Payment of Filing Fee (Check the appropriate box):</w:t>
      </w:r>
    </w:p>
    <w:p>
      <w:pPr>
        <w:spacing w:after="0" w:line="153" w:lineRule="exact"/>
        <w:rPr>
          <w:sz w:val="24"/>
          <w:szCs w:val="24"/>
          <w:color w:val="auto"/>
        </w:rPr>
      </w:pPr>
    </w:p>
    <w:p>
      <w:pPr>
        <w:ind w:left="2300" w:hanging="366"/>
        <w:spacing w:after="0"/>
        <w:tabs>
          <w:tab w:leader="none" w:pos="230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53" w:lineRule="exact"/>
        <w:rPr>
          <w:sz w:val="24"/>
          <w:szCs w:val="24"/>
          <w:color w:val="auto"/>
        </w:rPr>
      </w:pPr>
    </w:p>
    <w:p>
      <w:pPr>
        <w:ind w:left="2300" w:hanging="366"/>
        <w:spacing w:after="0"/>
        <w:tabs>
          <w:tab w:leader="none" w:pos="230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52" w:lineRule="exact"/>
        <w:rPr>
          <w:rFonts w:ascii="MS PGothic" w:cs="MS PGothic" w:eastAsia="MS PGothic" w:hAnsi="MS PGothic"/>
          <w:sz w:val="12"/>
          <w:szCs w:val="12"/>
          <w:color w:val="auto"/>
        </w:rPr>
      </w:pPr>
    </w:p>
    <w:p>
      <w:pPr>
        <w:ind w:left="2300" w:hanging="366"/>
        <w:spacing w:after="0"/>
        <w:tabs>
          <w:tab w:leader="none" w:pos="230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1231265</wp:posOffset>
            </wp:positionH>
            <wp:positionV relativeFrom="paragraph">
              <wp:posOffset>120015</wp:posOffset>
            </wp:positionV>
            <wp:extent cx="4711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1700" cy="571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149225</wp:posOffset>
            </wp:positionV>
            <wp:extent cx="4711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200"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1842770</wp:posOffset>
            </wp:positionV>
            <wp:extent cx="3210560" cy="1125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10560"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80"/>
        <w:spacing w:after="0"/>
        <w:rPr>
          <w:sz w:val="20"/>
          <w:szCs w:val="20"/>
          <w:color w:val="auto"/>
        </w:rPr>
      </w:pPr>
      <w:r>
        <w:rPr>
          <w:rFonts w:ascii="Arial" w:cs="Arial" w:eastAsia="Arial" w:hAnsi="Arial"/>
          <w:sz w:val="58"/>
          <w:szCs w:val="58"/>
          <w:color w:val="auto"/>
        </w:rPr>
        <w:t>Always There.</w:t>
      </w:r>
      <w:r>
        <w:rPr>
          <w:rFonts w:ascii="Arial" w:cs="Arial" w:eastAsia="Arial" w:hAnsi="Arial"/>
          <w:sz w:val="87"/>
          <w:szCs w:val="87"/>
          <w:color w:val="auto"/>
          <w:vertAlign w:val="superscript"/>
        </w:rPr>
        <w:t>®</w:t>
      </w:r>
    </w:p>
    <w:p>
      <w:pPr>
        <w:spacing w:after="0" w:line="200" w:lineRule="exact"/>
        <w:rPr>
          <w:sz w:val="20"/>
          <w:szCs w:val="20"/>
          <w:color w:val="auto"/>
        </w:rPr>
      </w:pPr>
    </w:p>
    <w:p>
      <w:pPr>
        <w:spacing w:after="0" w:line="213" w:lineRule="exact"/>
        <w:rPr>
          <w:sz w:val="20"/>
          <w:szCs w:val="20"/>
          <w:color w:val="auto"/>
        </w:rPr>
      </w:pPr>
    </w:p>
    <w:p>
      <w:pPr>
        <w:jc w:val="center"/>
        <w:ind w:left="3300"/>
        <w:spacing w:after="0" w:line="250" w:lineRule="auto"/>
        <w:rPr>
          <w:sz w:val="20"/>
          <w:szCs w:val="20"/>
          <w:color w:val="auto"/>
        </w:rPr>
      </w:pPr>
      <w:r>
        <w:rPr>
          <w:rFonts w:ascii="Arial" w:cs="Arial" w:eastAsia="Arial" w:hAnsi="Arial"/>
          <w:sz w:val="27"/>
          <w:szCs w:val="27"/>
          <w:b w:val="1"/>
          <w:bCs w:val="1"/>
          <w:color w:val="009AD9"/>
        </w:rPr>
        <w:t>CenterPoint Energy, Inc. Notice of Annual Meeting of Shareholders to be held on April 21, 2023 and Proxy Statement</w:t>
      </w:r>
    </w:p>
    <w:p>
      <w:pPr>
        <w:sectPr>
          <w:pgSz w:w="11900" w:h="16838" w:orient="portrait"/>
          <w:cols w:equalWidth="0" w:num="1">
            <w:col w:w="10159"/>
          </w:cols>
          <w:pgMar w:left="300" w:top="373" w:right="1440"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1755140" cy="617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5140" cy="61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40"/>
        <w:spacing w:after="0"/>
        <w:rPr>
          <w:sz w:val="20"/>
          <w:szCs w:val="20"/>
          <w:color w:val="auto"/>
        </w:rPr>
      </w:pPr>
      <w:r>
        <w:rPr>
          <w:rFonts w:ascii="Arial" w:cs="Arial" w:eastAsia="Arial" w:hAnsi="Arial"/>
          <w:sz w:val="34"/>
          <w:szCs w:val="34"/>
          <w:color w:val="auto"/>
        </w:rPr>
        <w:t>Always There.</w:t>
      </w:r>
      <w:r>
        <w:rPr>
          <w:rFonts w:ascii="Arial" w:cs="Arial" w:eastAsia="Arial" w:hAnsi="Arial"/>
          <w:sz w:val="50"/>
          <w:szCs w:val="50"/>
          <w:color w:val="auto"/>
          <w:vertAlign w:val="superscript"/>
        </w:rPr>
        <w:t>®</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22"/>
          <w:szCs w:val="22"/>
          <w:color w:val="009AD9"/>
        </w:rPr>
        <w:t>Welcome to the CenterPoint Energy</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2"/>
          <w:szCs w:val="22"/>
          <w:color w:val="009AD9"/>
        </w:rPr>
        <w:t>Annual Shareholder Meeting</w:t>
      </w:r>
    </w:p>
    <w:p>
      <w:pPr>
        <w:spacing w:after="0" w:line="204"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March 10, 2023</w:t>
      </w:r>
    </w:p>
    <w:p>
      <w:pPr>
        <w:spacing w:after="0" w:line="144"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Dear Fellow Shareholders:</w:t>
      </w:r>
    </w:p>
    <w:p>
      <w:pPr>
        <w:spacing w:after="0" w:line="158"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We are pleased to invite you to attend our annual shareholder meeting to be held on April 21, 2023, at 9:00 a.m. central time in our auditorium located at 1111 Louisiana Street in Houston, Texas.</w:t>
      </w:r>
    </w:p>
    <w:p>
      <w:pPr>
        <w:spacing w:after="0" w:line="117" w:lineRule="exact"/>
        <w:rPr>
          <w:sz w:val="20"/>
          <w:szCs w:val="20"/>
          <w:color w:val="auto"/>
        </w:rPr>
      </w:pPr>
    </w:p>
    <w:p>
      <w:pPr>
        <w:jc w:val="both"/>
        <w:ind w:left="1940" w:right="799"/>
        <w:spacing w:after="0" w:line="246" w:lineRule="auto"/>
        <w:rPr>
          <w:sz w:val="20"/>
          <w:szCs w:val="20"/>
          <w:color w:val="auto"/>
        </w:rPr>
      </w:pPr>
      <w:r>
        <w:rPr>
          <w:rFonts w:ascii="Arial" w:cs="Arial" w:eastAsia="Arial" w:hAnsi="Arial"/>
          <w:sz w:val="12"/>
          <w:szCs w:val="12"/>
          <w:color w:val="auto"/>
        </w:rPr>
        <w:t xml:space="preserve">As explained in the enclosed proxy statement, at this year’s meeting you will be asked to vote (i)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election of nine directors, (ii)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ratification of the appointment of CenterPoint Energy’s independent registered public accounting firm, (iii)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approval, on an advisory basis, of CenterPoint Energy’s executive compensation, (iv) </w:t>
      </w:r>
      <w:r>
        <w:rPr>
          <w:rFonts w:ascii="Arial" w:cs="Arial" w:eastAsia="Arial" w:hAnsi="Arial"/>
          <w:sz w:val="12"/>
          <w:szCs w:val="12"/>
          <w:b w:val="1"/>
          <w:bCs w:val="1"/>
          <w:color w:val="auto"/>
        </w:rPr>
        <w:t>for</w:t>
      </w:r>
      <w:r>
        <w:rPr>
          <w:rFonts w:ascii="Arial" w:cs="Arial" w:eastAsia="Arial" w:hAnsi="Arial"/>
          <w:sz w:val="12"/>
          <w:szCs w:val="12"/>
          <w:color w:val="auto"/>
        </w:rPr>
        <w:t xml:space="preserve"> “</w:t>
      </w:r>
      <w:r>
        <w:rPr>
          <w:rFonts w:ascii="Arial" w:cs="Arial" w:eastAsia="Arial" w:hAnsi="Arial"/>
          <w:sz w:val="12"/>
          <w:szCs w:val="12"/>
          <w:b w:val="1"/>
          <w:bCs w:val="1"/>
          <w:color w:val="auto"/>
        </w:rPr>
        <w:t>1 YEAR</w:t>
      </w:r>
      <w:r>
        <w:rPr>
          <w:rFonts w:ascii="Arial" w:cs="Arial" w:eastAsia="Arial" w:hAnsi="Arial"/>
          <w:sz w:val="12"/>
          <w:szCs w:val="12"/>
          <w:color w:val="auto"/>
        </w:rPr>
        <w:t xml:space="preserve">” as the preferred frequency for holding advisory “say-on-pay” votes and (v) </w:t>
      </w:r>
      <w:r>
        <w:rPr>
          <w:rFonts w:ascii="Arial" w:cs="Arial" w:eastAsia="Arial" w:hAnsi="Arial"/>
          <w:sz w:val="12"/>
          <w:szCs w:val="12"/>
          <w:b w:val="1"/>
          <w:bCs w:val="1"/>
          <w:color w:val="auto"/>
        </w:rPr>
        <w:t>against</w:t>
      </w:r>
      <w:r>
        <w:rPr>
          <w:rFonts w:ascii="Arial" w:cs="Arial" w:eastAsia="Arial" w:hAnsi="Arial"/>
          <w:sz w:val="12"/>
          <w:szCs w:val="12"/>
          <w:color w:val="auto"/>
        </w:rPr>
        <w:t xml:space="preserve"> the shareholder proposal relating to our disclosure of Scope 3 emissions and setting Scope 3 emissions targets, and to consider any other business that may properly come before the meeting.</w:t>
      </w:r>
    </w:p>
    <w:p>
      <w:pPr>
        <w:spacing w:after="0" w:line="120" w:lineRule="exact"/>
        <w:rPr>
          <w:sz w:val="20"/>
          <w:szCs w:val="20"/>
          <w:color w:val="auto"/>
        </w:rPr>
      </w:pPr>
    </w:p>
    <w:p>
      <w:pPr>
        <w:jc w:val="both"/>
        <w:ind w:left="1940" w:right="799"/>
        <w:spacing w:after="0" w:line="274" w:lineRule="auto"/>
        <w:rPr>
          <w:sz w:val="20"/>
          <w:szCs w:val="20"/>
          <w:color w:val="auto"/>
        </w:rPr>
      </w:pPr>
      <w:r>
        <w:rPr>
          <w:rFonts w:ascii="Arial" w:cs="Arial" w:eastAsia="Arial" w:hAnsi="Arial"/>
          <w:sz w:val="12"/>
          <w:szCs w:val="12"/>
          <w:b w:val="1"/>
          <w:bCs w:val="1"/>
          <w:color w:val="auto"/>
        </w:rPr>
        <w:t>Your vote is very important to us – participate in the future of CenterPoint Energy and exercise your shareholder right by voting your shares right away.</w:t>
      </w:r>
    </w:p>
    <w:p>
      <w:pPr>
        <w:spacing w:after="0" w:line="117"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Only holders of record of CenterPoint Energy common stock at the close of business on February 24, 2023 or their proxy holders may vote at the meeting. Attendance at the meeting is limited to holders of our common stock or their proxy holders and CenterPoint Energy guests. Only holders of our common stock or their valid proxy holders may address the meeting.</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Please review the proxy card for instructions on how you can vote your shares of CenterPoint Energy common stock over the internet, by telephone or by mail. It is important that all holders of CenterPoint Energy common stock, regardless of the number of shares owned, participate in the affairs of the Company. At CenterPoint Energy’s 2022 Annual Shareholder Meeting, approximately 89 percent of the Company’s outstanding shares of common stock was represented in person or by proxy.</w:t>
      </w:r>
    </w:p>
    <w:p>
      <w:pPr>
        <w:spacing w:after="0" w:line="137"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Thank you for your continued investment in CenterPoint Energy.</w:t>
      </w:r>
    </w:p>
    <w:p>
      <w:pPr>
        <w:spacing w:after="0" w:line="14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143510</wp:posOffset>
            </wp:positionV>
            <wp:extent cx="1010285" cy="288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0285" cy="28892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120650</wp:posOffset>
            </wp:positionV>
            <wp:extent cx="1056640" cy="311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6640" cy="31178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1000"/>
        <w:spacing w:after="0"/>
        <w:rPr>
          <w:sz w:val="20"/>
          <w:szCs w:val="20"/>
          <w:color w:val="auto"/>
        </w:rPr>
      </w:pPr>
      <w:r>
        <w:rPr>
          <w:rFonts w:ascii="Arial" w:cs="Arial" w:eastAsia="Arial" w:hAnsi="Arial"/>
          <w:sz w:val="12"/>
          <w:szCs w:val="12"/>
          <w:color w:val="auto"/>
        </w:rPr>
        <w:t>Martin H. Nesbitt</w:t>
      </w:r>
    </w:p>
    <w:p>
      <w:pPr>
        <w:jc w:val="center"/>
        <w:ind w:left="1000"/>
        <w:spacing w:after="0"/>
        <w:rPr>
          <w:sz w:val="20"/>
          <w:szCs w:val="20"/>
          <w:color w:val="auto"/>
        </w:rPr>
      </w:pPr>
      <w:r>
        <w:rPr>
          <w:rFonts w:ascii="Arial" w:cs="Arial" w:eastAsia="Arial" w:hAnsi="Arial"/>
          <w:sz w:val="12"/>
          <w:szCs w:val="12"/>
          <w:color w:val="auto"/>
        </w:rPr>
        <w:t>Independent 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39"/>
        <w:spacing w:after="0"/>
        <w:rPr>
          <w:sz w:val="20"/>
          <w:szCs w:val="20"/>
          <w:color w:val="auto"/>
        </w:rPr>
      </w:pPr>
      <w:r>
        <w:rPr>
          <w:rFonts w:ascii="Arial" w:cs="Arial" w:eastAsia="Arial" w:hAnsi="Arial"/>
          <w:sz w:val="12"/>
          <w:szCs w:val="12"/>
          <w:color w:val="auto"/>
        </w:rPr>
        <w:t>David J. Lesar</w:t>
      </w:r>
    </w:p>
    <w:p>
      <w:pPr>
        <w:jc w:val="center"/>
        <w:ind w:right="1939"/>
        <w:spacing w:after="0"/>
        <w:rPr>
          <w:sz w:val="20"/>
          <w:szCs w:val="20"/>
          <w:color w:val="auto"/>
        </w:rPr>
      </w:pPr>
      <w:r>
        <w:rPr>
          <w:rFonts w:ascii="Arial" w:cs="Arial" w:eastAsia="Arial" w:hAnsi="Arial"/>
          <w:sz w:val="11"/>
          <w:szCs w:val="11"/>
          <w:color w:val="auto"/>
        </w:rPr>
        <w:t>Chief Executive Officer</w:t>
      </w:r>
    </w:p>
    <w:p>
      <w:pPr>
        <w:sectPr>
          <w:pgSz w:w="11900" w:h="16838" w:orient="portrait"/>
          <w:cols w:equalWidth="0" w:num="2">
            <w:col w:w="6280" w:space="720"/>
            <w:col w:w="3159"/>
          </w:cols>
          <w:pgMar w:left="300" w:top="373"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20"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shd w:val="clear" w:color="auto" w:fill="009AD9"/>
          </w:tcPr>
          <w:p>
            <w:pPr>
              <w:jc w:val="right"/>
              <w:ind w:right="69"/>
              <w:spacing w:after="0"/>
              <w:rPr>
                <w:sz w:val="20"/>
                <w:szCs w:val="20"/>
                <w:color w:val="auto"/>
              </w:rPr>
            </w:pPr>
            <w:r>
              <w:rPr>
                <w:rFonts w:ascii="Arial" w:cs="Arial" w:eastAsia="Arial" w:hAnsi="Arial"/>
                <w:sz w:val="12"/>
                <w:szCs w:val="12"/>
                <w:color w:val="FFFFFF"/>
              </w:rPr>
              <w:t>2023 Proxy Statement</w:t>
            </w:r>
          </w:p>
        </w:tc>
      </w:tr>
      <w:tr>
        <w:trPr>
          <w:trHeight w:val="55"/>
        </w:trPr>
        <w:tc>
          <w:tcPr>
            <w:tcW w:w="60" w:type="dxa"/>
            <w:vAlign w:val="bottom"/>
            <w:tcBorders>
              <w:bottom w:val="single" w:sz="8" w:color="009AD9"/>
            </w:tcBorders>
          </w:tcPr>
          <w:p>
            <w:pPr>
              <w:spacing w:after="0"/>
              <w:rPr>
                <w:sz w:val="4"/>
                <w:szCs w:val="4"/>
                <w:color w:val="auto"/>
              </w:rPr>
            </w:pPr>
          </w:p>
        </w:tc>
        <w:tc>
          <w:tcPr>
            <w:tcW w:w="780" w:type="dxa"/>
            <w:vAlign w:val="bottom"/>
            <w:tcBorders>
              <w:bottom w:val="single" w:sz="8" w:color="009AD9"/>
            </w:tcBorders>
          </w:tcPr>
          <w:p>
            <w:pPr>
              <w:spacing w:after="0"/>
              <w:rPr>
                <w:sz w:val="4"/>
                <w:szCs w:val="4"/>
                <w:color w:val="auto"/>
              </w:rPr>
            </w:pPr>
          </w:p>
        </w:tc>
        <w:tc>
          <w:tcPr>
            <w:tcW w:w="80" w:type="dxa"/>
            <w:vAlign w:val="bottom"/>
            <w:tcBorders>
              <w:bottom w:val="single" w:sz="8" w:color="009AD9"/>
            </w:tcBorders>
          </w:tcPr>
          <w:p>
            <w:pPr>
              <w:spacing w:after="0"/>
              <w:rPr>
                <w:sz w:val="4"/>
                <w:szCs w:val="4"/>
                <w:color w:val="auto"/>
              </w:rPr>
            </w:pPr>
          </w:p>
        </w:tc>
        <w:tc>
          <w:tcPr>
            <w:tcW w:w="120" w:type="dxa"/>
            <w:vAlign w:val="bottom"/>
            <w:tcBorders>
              <w:bottom w:val="single" w:sz="8" w:color="009AD9"/>
            </w:tcBorders>
          </w:tcPr>
          <w:p>
            <w:pPr>
              <w:spacing w:after="0"/>
              <w:rPr>
                <w:sz w:val="4"/>
                <w:szCs w:val="4"/>
                <w:color w:val="auto"/>
              </w:rPr>
            </w:pPr>
          </w:p>
        </w:tc>
        <w:tc>
          <w:tcPr>
            <w:tcW w:w="20" w:type="dxa"/>
            <w:vAlign w:val="bottom"/>
            <w:tcBorders>
              <w:bottom w:val="single" w:sz="8" w:color="009AD9"/>
            </w:tcBorders>
          </w:tcPr>
          <w:p>
            <w:pPr>
              <w:spacing w:after="0"/>
              <w:rPr>
                <w:sz w:val="4"/>
                <w:szCs w:val="4"/>
                <w:color w:val="auto"/>
              </w:rPr>
            </w:pPr>
          </w:p>
        </w:tc>
        <w:tc>
          <w:tcPr>
            <w:tcW w:w="120" w:type="dxa"/>
            <w:vAlign w:val="bottom"/>
            <w:tcBorders>
              <w:bottom w:val="single" w:sz="8" w:color="009AD9"/>
            </w:tcBorders>
          </w:tcPr>
          <w:p>
            <w:pPr>
              <w:spacing w:after="0"/>
              <w:rPr>
                <w:sz w:val="4"/>
                <w:szCs w:val="4"/>
                <w:color w:val="auto"/>
              </w:rPr>
            </w:pPr>
          </w:p>
        </w:tc>
        <w:tc>
          <w:tcPr>
            <w:tcW w:w="40" w:type="dxa"/>
            <w:vAlign w:val="bottom"/>
            <w:tcBorders>
              <w:bottom w:val="single" w:sz="8" w:color="009AD9"/>
            </w:tcBorders>
          </w:tcPr>
          <w:p>
            <w:pPr>
              <w:spacing w:after="0"/>
              <w:rPr>
                <w:sz w:val="4"/>
                <w:szCs w:val="4"/>
                <w:color w:val="auto"/>
              </w:rPr>
            </w:pPr>
          </w:p>
        </w:tc>
        <w:tc>
          <w:tcPr>
            <w:tcW w:w="80" w:type="dxa"/>
            <w:vAlign w:val="bottom"/>
            <w:tcBorders>
              <w:bottom w:val="single" w:sz="8" w:color="009AD9"/>
            </w:tcBorders>
          </w:tcPr>
          <w:p>
            <w:pPr>
              <w:spacing w:after="0"/>
              <w:rPr>
                <w:sz w:val="4"/>
                <w:szCs w:val="4"/>
                <w:color w:val="auto"/>
              </w:rPr>
            </w:pPr>
          </w:p>
        </w:tc>
        <w:tc>
          <w:tcPr>
            <w:tcW w:w="20" w:type="dxa"/>
            <w:vAlign w:val="bottom"/>
            <w:tcBorders>
              <w:bottom w:val="single" w:sz="8" w:color="009AD9"/>
            </w:tcBorders>
          </w:tcPr>
          <w:p>
            <w:pPr>
              <w:spacing w:after="0"/>
              <w:rPr>
                <w:sz w:val="4"/>
                <w:szCs w:val="4"/>
                <w:color w:val="auto"/>
              </w:rPr>
            </w:pPr>
          </w:p>
        </w:tc>
        <w:tc>
          <w:tcPr>
            <w:tcW w:w="80" w:type="dxa"/>
            <w:vAlign w:val="bottom"/>
            <w:tcBorders>
              <w:bottom w:val="single" w:sz="8" w:color="009AD9"/>
            </w:tcBorders>
          </w:tcPr>
          <w:p>
            <w:pPr>
              <w:spacing w:after="0"/>
              <w:rPr>
                <w:sz w:val="4"/>
                <w:szCs w:val="4"/>
                <w:color w:val="auto"/>
              </w:rPr>
            </w:pPr>
          </w:p>
        </w:tc>
        <w:tc>
          <w:tcPr>
            <w:tcW w:w="40" w:type="dxa"/>
            <w:vAlign w:val="bottom"/>
            <w:tcBorders>
              <w:bottom w:val="single" w:sz="8" w:color="009AD9"/>
            </w:tcBorders>
          </w:tcPr>
          <w:p>
            <w:pPr>
              <w:spacing w:after="0"/>
              <w:rPr>
                <w:sz w:val="4"/>
                <w:szCs w:val="4"/>
                <w:color w:val="auto"/>
              </w:rPr>
            </w:pPr>
          </w:p>
        </w:tc>
        <w:tc>
          <w:tcPr>
            <w:tcW w:w="80" w:type="dxa"/>
            <w:vAlign w:val="bottom"/>
            <w:tcBorders>
              <w:bottom w:val="single" w:sz="8" w:color="009AD9"/>
            </w:tcBorders>
          </w:tcPr>
          <w:p>
            <w:pPr>
              <w:spacing w:after="0"/>
              <w:rPr>
                <w:sz w:val="4"/>
                <w:szCs w:val="4"/>
                <w:color w:val="auto"/>
              </w:rPr>
            </w:pPr>
          </w:p>
        </w:tc>
        <w:tc>
          <w:tcPr>
            <w:tcW w:w="60" w:type="dxa"/>
            <w:vAlign w:val="bottom"/>
            <w:tcBorders>
              <w:bottom w:val="single" w:sz="8" w:color="009AD9"/>
            </w:tcBorders>
          </w:tcPr>
          <w:p>
            <w:pPr>
              <w:spacing w:after="0"/>
              <w:rPr>
                <w:sz w:val="4"/>
                <w:szCs w:val="4"/>
                <w:color w:val="auto"/>
              </w:rPr>
            </w:pPr>
          </w:p>
        </w:tc>
        <w:tc>
          <w:tcPr>
            <w:tcW w:w="20" w:type="dxa"/>
            <w:vAlign w:val="bottom"/>
            <w:tcBorders>
              <w:bottom w:val="single" w:sz="8" w:color="009AD9"/>
            </w:tcBorders>
          </w:tcPr>
          <w:p>
            <w:pPr>
              <w:spacing w:after="0"/>
              <w:rPr>
                <w:sz w:val="4"/>
                <w:szCs w:val="4"/>
                <w:color w:val="auto"/>
              </w:rPr>
            </w:pPr>
          </w:p>
        </w:tc>
        <w:tc>
          <w:tcPr>
            <w:tcW w:w="40" w:type="dxa"/>
            <w:vAlign w:val="bottom"/>
            <w:tcBorders>
              <w:bottom w:val="single" w:sz="8" w:color="009AD9"/>
            </w:tcBorders>
          </w:tcPr>
          <w:p>
            <w:pPr>
              <w:spacing w:after="0"/>
              <w:rPr>
                <w:sz w:val="4"/>
                <w:szCs w:val="4"/>
                <w:color w:val="auto"/>
              </w:rPr>
            </w:pPr>
          </w:p>
        </w:tc>
        <w:tc>
          <w:tcPr>
            <w:tcW w:w="520" w:type="dxa"/>
            <w:vAlign w:val="bottom"/>
            <w:tcBorders>
              <w:bottom w:val="single" w:sz="8" w:color="009AD9"/>
            </w:tcBorders>
          </w:tcPr>
          <w:p>
            <w:pPr>
              <w:spacing w:after="0"/>
              <w:rPr>
                <w:sz w:val="4"/>
                <w:szCs w:val="4"/>
                <w:color w:val="auto"/>
              </w:rPr>
            </w:pPr>
          </w:p>
        </w:tc>
        <w:tc>
          <w:tcPr>
            <w:tcW w:w="80" w:type="dxa"/>
            <w:vAlign w:val="bottom"/>
            <w:tcBorders>
              <w:bottom w:val="single" w:sz="8" w:color="009AD9"/>
            </w:tcBorders>
          </w:tcPr>
          <w:p>
            <w:pPr>
              <w:spacing w:after="0"/>
              <w:rPr>
                <w:sz w:val="4"/>
                <w:szCs w:val="4"/>
                <w:color w:val="auto"/>
              </w:rPr>
            </w:pPr>
          </w:p>
        </w:tc>
        <w:tc>
          <w:tcPr>
            <w:tcW w:w="40" w:type="dxa"/>
            <w:vAlign w:val="bottom"/>
            <w:tcBorders>
              <w:bottom w:val="single" w:sz="8" w:color="009AD9"/>
            </w:tcBorders>
          </w:tcPr>
          <w:p>
            <w:pPr>
              <w:spacing w:after="0"/>
              <w:rPr>
                <w:sz w:val="4"/>
                <w:szCs w:val="4"/>
                <w:color w:val="auto"/>
              </w:rPr>
            </w:pPr>
          </w:p>
        </w:tc>
        <w:tc>
          <w:tcPr>
            <w:tcW w:w="400" w:type="dxa"/>
            <w:vAlign w:val="bottom"/>
            <w:tcBorders>
              <w:bottom w:val="single" w:sz="8" w:color="009AD9"/>
            </w:tcBorders>
          </w:tcPr>
          <w:p>
            <w:pPr>
              <w:spacing w:after="0"/>
              <w:rPr>
                <w:sz w:val="4"/>
                <w:szCs w:val="4"/>
                <w:color w:val="auto"/>
              </w:rPr>
            </w:pPr>
          </w:p>
        </w:tc>
        <w:tc>
          <w:tcPr>
            <w:tcW w:w="20" w:type="dxa"/>
            <w:vAlign w:val="bottom"/>
            <w:tcBorders>
              <w:bottom w:val="single" w:sz="8" w:color="009AD9"/>
            </w:tcBorders>
          </w:tcPr>
          <w:p>
            <w:pPr>
              <w:spacing w:after="0"/>
              <w:rPr>
                <w:sz w:val="4"/>
                <w:szCs w:val="4"/>
                <w:color w:val="auto"/>
              </w:rPr>
            </w:pPr>
          </w:p>
        </w:tc>
        <w:tc>
          <w:tcPr>
            <w:tcW w:w="3080" w:type="dxa"/>
            <w:vAlign w:val="bottom"/>
            <w:tcBorders>
              <w:bottom w:val="single" w:sz="8" w:color="009AD9"/>
            </w:tcBorders>
          </w:tcPr>
          <w:p>
            <w:pPr>
              <w:spacing w:after="0"/>
              <w:rPr>
                <w:sz w:val="4"/>
                <w:szCs w:val="4"/>
                <w:color w:val="auto"/>
              </w:rPr>
            </w:pPr>
          </w:p>
        </w:tc>
        <w:tc>
          <w:tcPr>
            <w:tcW w:w="1640" w:type="dxa"/>
            <w:vAlign w:val="bottom"/>
            <w:tcBorders>
              <w:bottom w:val="single" w:sz="8" w:color="009AD9"/>
            </w:tcBorders>
            <w:shd w:val="clear" w:color="auto" w:fill="009AD9"/>
          </w:tcPr>
          <w:p>
            <w:pPr>
              <w:spacing w:after="0"/>
              <w:rPr>
                <w:sz w:val="4"/>
                <w:szCs w:val="4"/>
                <w:color w:val="auto"/>
              </w:rPr>
            </w:pPr>
          </w:p>
        </w:tc>
      </w:tr>
      <w:tr>
        <w:trPr>
          <w:trHeight w:val="384"/>
        </w:trPr>
        <w:tc>
          <w:tcPr>
            <w:tcW w:w="5780" w:type="dxa"/>
            <w:vAlign w:val="bottom"/>
            <w:gridSpan w:val="21"/>
          </w:tcPr>
          <w:p>
            <w:pPr>
              <w:spacing w:after="0"/>
              <w:rPr>
                <w:sz w:val="20"/>
                <w:szCs w:val="20"/>
                <w:color w:val="auto"/>
              </w:rPr>
            </w:pPr>
            <w:r>
              <w:rPr>
                <w:rFonts w:ascii="Arial" w:cs="Arial" w:eastAsia="Arial" w:hAnsi="Arial"/>
                <w:sz w:val="19"/>
                <w:szCs w:val="19"/>
                <w:color w:val="009AD9"/>
              </w:rPr>
              <w:t>Table of Contents</w:t>
            </w:r>
          </w:p>
        </w:tc>
        <w:tc>
          <w:tcPr>
            <w:tcW w:w="1640" w:type="dxa"/>
            <w:vAlign w:val="bottom"/>
          </w:tcPr>
          <w:p>
            <w:pPr>
              <w:spacing w:after="0"/>
              <w:rPr>
                <w:sz w:val="24"/>
                <w:szCs w:val="24"/>
                <w:color w:val="auto"/>
              </w:rPr>
            </w:pPr>
          </w:p>
        </w:tc>
      </w:tr>
      <w:tr>
        <w:trPr>
          <w:trHeight w:val="411"/>
        </w:trPr>
        <w:tc>
          <w:tcPr>
            <w:tcW w:w="5780" w:type="dxa"/>
            <w:vAlign w:val="bottom"/>
            <w:gridSpan w:val="21"/>
          </w:tcPr>
          <w:p>
            <w:pPr>
              <w:spacing w:after="0"/>
              <w:rPr>
                <w:sz w:val="20"/>
                <w:szCs w:val="20"/>
                <w:color w:val="auto"/>
              </w:rPr>
            </w:pPr>
            <w:r>
              <w:rPr>
                <w:rFonts w:ascii="Arial" w:cs="Arial" w:eastAsia="Arial" w:hAnsi="Arial"/>
                <w:sz w:val="15"/>
                <w:szCs w:val="15"/>
                <w:color w:val="auto"/>
              </w:rPr>
              <w:t>Notice of Annual Meeting of Shareholders</w:t>
            </w:r>
          </w:p>
        </w:tc>
        <w:tc>
          <w:tcPr>
            <w:tcW w:w="1640" w:type="dxa"/>
            <w:vAlign w:val="bottom"/>
          </w:tcPr>
          <w:p>
            <w:pPr>
              <w:spacing w:after="0"/>
              <w:rPr>
                <w:sz w:val="24"/>
                <w:szCs w:val="24"/>
                <w:color w:val="auto"/>
              </w:rPr>
            </w:pPr>
          </w:p>
        </w:tc>
      </w:tr>
      <w:tr>
        <w:trPr>
          <w:trHeight w:val="318"/>
        </w:trPr>
        <w:tc>
          <w:tcPr>
            <w:tcW w:w="5780" w:type="dxa"/>
            <w:vAlign w:val="bottom"/>
            <w:gridSpan w:val="21"/>
          </w:tcPr>
          <w:p>
            <w:pPr>
              <w:spacing w:after="0"/>
              <w:rPr>
                <w:sz w:val="20"/>
                <w:szCs w:val="20"/>
                <w:color w:val="auto"/>
              </w:rPr>
            </w:pPr>
            <w:r>
              <w:rPr>
                <w:rFonts w:ascii="Arial" w:cs="Arial" w:eastAsia="Arial" w:hAnsi="Arial"/>
                <w:sz w:val="15"/>
                <w:szCs w:val="15"/>
                <w:color w:val="auto"/>
              </w:rPr>
              <w:t>PROXY STATEMENT</w:t>
            </w:r>
          </w:p>
        </w:tc>
        <w:tc>
          <w:tcPr>
            <w:tcW w:w="1640" w:type="dxa"/>
            <w:vAlign w:val="bottom"/>
          </w:tcPr>
          <w:p>
            <w:pPr>
              <w:spacing w:after="0"/>
              <w:rPr>
                <w:sz w:val="24"/>
                <w:szCs w:val="24"/>
                <w:color w:val="auto"/>
              </w:rPr>
            </w:pPr>
          </w:p>
        </w:tc>
      </w:tr>
      <w:tr>
        <w:trPr>
          <w:trHeight w:val="267"/>
        </w:trPr>
        <w:tc>
          <w:tcPr>
            <w:tcW w:w="5780" w:type="dxa"/>
            <w:vAlign w:val="bottom"/>
            <w:gridSpan w:val="21"/>
          </w:tcPr>
          <w:p>
            <w:pPr>
              <w:spacing w:after="0"/>
              <w:rPr>
                <w:sz w:val="20"/>
                <w:szCs w:val="20"/>
                <w:color w:val="auto"/>
              </w:rPr>
            </w:pPr>
            <w:r>
              <w:rPr>
                <w:rFonts w:ascii="Arial" w:cs="Arial" w:eastAsia="Arial" w:hAnsi="Arial"/>
                <w:sz w:val="12"/>
                <w:szCs w:val="12"/>
                <w:color w:val="0000EE"/>
              </w:rPr>
              <w:t>Proxy Statement Summary</w:t>
            </w:r>
          </w:p>
        </w:tc>
        <w:tc>
          <w:tcPr>
            <w:tcW w:w="1640" w:type="dxa"/>
            <w:vAlign w:val="bottom"/>
          </w:tcPr>
          <w:p>
            <w:pPr>
              <w:jc w:val="right"/>
              <w:ind w:right="29"/>
              <w:spacing w:after="0"/>
              <w:rPr>
                <w:sz w:val="20"/>
                <w:szCs w:val="20"/>
                <w:color w:val="auto"/>
              </w:rPr>
            </w:pPr>
            <w:r>
              <w:rPr>
                <w:rFonts w:ascii="Arial" w:cs="Arial" w:eastAsia="Arial" w:hAnsi="Arial"/>
                <w:sz w:val="12"/>
                <w:szCs w:val="12"/>
                <w:color w:val="009AD9"/>
              </w:rPr>
              <w:t>1</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1"/>
        </w:trPr>
        <w:tc>
          <w:tcPr>
            <w:tcW w:w="5780" w:type="dxa"/>
            <w:vAlign w:val="bottom"/>
            <w:gridSpan w:val="21"/>
          </w:tcPr>
          <w:p>
            <w:pPr>
              <w:spacing w:after="0"/>
              <w:rPr>
                <w:sz w:val="20"/>
                <w:szCs w:val="20"/>
                <w:color w:val="auto"/>
              </w:rPr>
            </w:pPr>
            <w:r>
              <w:rPr>
                <w:rFonts w:ascii="Arial" w:cs="Arial" w:eastAsia="Arial" w:hAnsi="Arial"/>
                <w:sz w:val="12"/>
                <w:szCs w:val="12"/>
                <w:color w:val="0000EE"/>
              </w:rPr>
              <w:t>Frequently Asked Questions About Voting</w:t>
            </w:r>
          </w:p>
        </w:tc>
        <w:tc>
          <w:tcPr>
            <w:tcW w:w="1640" w:type="dxa"/>
            <w:vAlign w:val="bottom"/>
          </w:tcPr>
          <w:p>
            <w:pPr>
              <w:jc w:val="right"/>
              <w:ind w:right="29"/>
              <w:spacing w:after="0"/>
              <w:rPr>
                <w:sz w:val="20"/>
                <w:szCs w:val="20"/>
                <w:color w:val="auto"/>
              </w:rPr>
            </w:pPr>
            <w:r>
              <w:rPr>
                <w:rFonts w:ascii="Arial" w:cs="Arial" w:eastAsia="Arial" w:hAnsi="Arial"/>
                <w:sz w:val="12"/>
                <w:szCs w:val="12"/>
                <w:color w:val="009AD9"/>
              </w:rPr>
              <w:t>7</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1"/>
        </w:trPr>
        <w:tc>
          <w:tcPr>
            <w:tcW w:w="5780" w:type="dxa"/>
            <w:vAlign w:val="bottom"/>
            <w:gridSpan w:val="21"/>
          </w:tcPr>
          <w:p>
            <w:pPr>
              <w:spacing w:after="0"/>
              <w:rPr>
                <w:sz w:val="20"/>
                <w:szCs w:val="20"/>
                <w:color w:val="auto"/>
              </w:rPr>
            </w:pPr>
            <w:r>
              <w:rPr>
                <w:rFonts w:ascii="Arial" w:cs="Arial" w:eastAsia="Arial" w:hAnsi="Arial"/>
                <w:sz w:val="12"/>
                <w:szCs w:val="12"/>
                <w:color w:val="0000EE"/>
              </w:rPr>
              <w:t>Election of Directors (Item 1)</w:t>
            </w:r>
          </w:p>
        </w:tc>
        <w:tc>
          <w:tcPr>
            <w:tcW w:w="1640" w:type="dxa"/>
            <w:vAlign w:val="bottom"/>
          </w:tcPr>
          <w:p>
            <w:pPr>
              <w:jc w:val="right"/>
              <w:ind w:right="29"/>
              <w:spacing w:after="0"/>
              <w:rPr>
                <w:sz w:val="20"/>
                <w:szCs w:val="20"/>
                <w:color w:val="auto"/>
              </w:rPr>
            </w:pPr>
            <w:r>
              <w:rPr>
                <w:rFonts w:ascii="Arial" w:cs="Arial" w:eastAsia="Arial" w:hAnsi="Arial"/>
                <w:sz w:val="12"/>
                <w:szCs w:val="12"/>
                <w:color w:val="009AD9"/>
              </w:rPr>
              <w:t>10</w:t>
            </w:r>
          </w:p>
        </w:tc>
      </w:tr>
      <w:tr>
        <w:trPr>
          <w:trHeight w:val="20"/>
        </w:trPr>
        <w:tc>
          <w:tcPr>
            <w:tcW w:w="6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04"/>
        </w:trPr>
        <w:tc>
          <w:tcPr>
            <w:tcW w:w="5780" w:type="dxa"/>
            <w:vAlign w:val="bottom"/>
            <w:gridSpan w:val="21"/>
          </w:tcPr>
          <w:p>
            <w:pPr>
              <w:ind w:left="60"/>
              <w:spacing w:after="0" w:line="104" w:lineRule="exact"/>
              <w:rPr>
                <w:sz w:val="20"/>
                <w:szCs w:val="20"/>
                <w:color w:val="auto"/>
              </w:rPr>
            </w:pPr>
            <w:r>
              <w:rPr>
                <w:rFonts w:ascii="Arial" w:cs="Arial" w:eastAsia="Arial" w:hAnsi="Arial"/>
                <w:sz w:val="10"/>
                <w:szCs w:val="10"/>
                <w:color w:val="0000EE"/>
              </w:rPr>
              <w:t>Executive Summary</w:t>
            </w:r>
          </w:p>
        </w:tc>
        <w:tc>
          <w:tcPr>
            <w:tcW w:w="1640" w:type="dxa"/>
            <w:vAlign w:val="bottom"/>
          </w:tcPr>
          <w:p>
            <w:pPr>
              <w:jc w:val="right"/>
              <w:ind w:right="29"/>
              <w:spacing w:after="0" w:line="104" w:lineRule="exact"/>
              <w:rPr>
                <w:sz w:val="20"/>
                <w:szCs w:val="20"/>
                <w:color w:val="auto"/>
              </w:rPr>
            </w:pPr>
            <w:r>
              <w:rPr>
                <w:rFonts w:ascii="Arial" w:cs="Arial" w:eastAsia="Arial" w:hAnsi="Arial"/>
                <w:sz w:val="10"/>
                <w:szCs w:val="10"/>
                <w:color w:val="auto"/>
              </w:rPr>
              <w:t>11</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tcBorders>
              <w:bottom w:val="single" w:sz="8" w:color="D8EFF9"/>
            </w:tcBorders>
            <w:shd w:val="clear" w:color="auto" w:fill="D8EFF9"/>
          </w:tcPr>
          <w:p>
            <w:pPr>
              <w:spacing w:after="0"/>
              <w:rPr>
                <w:sz w:val="14"/>
                <w:szCs w:val="14"/>
                <w:color w:val="auto"/>
              </w:rPr>
            </w:pPr>
          </w:p>
        </w:tc>
        <w:tc>
          <w:tcPr>
            <w:tcW w:w="1000" w:type="dxa"/>
            <w:vAlign w:val="bottom"/>
            <w:tcBorders>
              <w:bottom w:val="single" w:sz="8" w:color="0000EE"/>
            </w:tcBorders>
            <w:gridSpan w:val="4"/>
            <w:shd w:val="clear" w:color="auto" w:fill="D8EFF9"/>
          </w:tcPr>
          <w:p>
            <w:pPr>
              <w:spacing w:after="0"/>
              <w:rPr>
                <w:sz w:val="20"/>
                <w:szCs w:val="20"/>
                <w:color w:val="auto"/>
              </w:rPr>
            </w:pPr>
            <w:r>
              <w:rPr>
                <w:rFonts w:ascii="Arial" w:cs="Arial" w:eastAsia="Arial" w:hAnsi="Arial"/>
                <w:sz w:val="10"/>
                <w:szCs w:val="10"/>
                <w:color w:val="0000EE"/>
                <w:w w:val="95"/>
              </w:rPr>
              <w:t>Nominees for Directors</w:t>
            </w:r>
          </w:p>
        </w:tc>
        <w:tc>
          <w:tcPr>
            <w:tcW w:w="4720" w:type="dxa"/>
            <w:vAlign w:val="bottom"/>
            <w:tcBorders>
              <w:bottom w:val="single" w:sz="8" w:color="D8EFF9"/>
            </w:tcBorders>
            <w:gridSpan w:val="16"/>
            <w:shd w:val="clear" w:color="auto" w:fill="D8EFF9"/>
          </w:tcPr>
          <w:p>
            <w:pPr>
              <w:spacing w:after="0"/>
              <w:rPr>
                <w:sz w:val="14"/>
                <w:szCs w:val="14"/>
                <w:color w:val="auto"/>
              </w:rPr>
            </w:pPr>
          </w:p>
        </w:tc>
        <w:tc>
          <w:tcPr>
            <w:tcW w:w="1640" w:type="dxa"/>
            <w:vAlign w:val="bottom"/>
            <w:tcBorders>
              <w:bottom w:val="single" w:sz="8" w:color="D8EFF9"/>
            </w:tcBorders>
            <w:shd w:val="clear" w:color="auto" w:fill="D8EFF9"/>
          </w:tcPr>
          <w:p>
            <w:pPr>
              <w:jc w:val="right"/>
              <w:ind w:right="29"/>
              <w:spacing w:after="0"/>
              <w:rPr>
                <w:sz w:val="20"/>
                <w:szCs w:val="20"/>
                <w:color w:val="auto"/>
              </w:rPr>
            </w:pPr>
            <w:r>
              <w:rPr>
                <w:rFonts w:ascii="Arial" w:cs="Arial" w:eastAsia="Arial" w:hAnsi="Arial"/>
                <w:sz w:val="10"/>
                <w:szCs w:val="10"/>
                <w:color w:val="auto"/>
              </w:rPr>
              <w:t>12</w:t>
            </w:r>
          </w:p>
        </w:tc>
      </w:tr>
      <w:tr>
        <w:trPr>
          <w:trHeight w:val="136"/>
        </w:trPr>
        <w:tc>
          <w:tcPr>
            <w:tcW w:w="5780" w:type="dxa"/>
            <w:vAlign w:val="bottom"/>
            <w:gridSpan w:val="21"/>
          </w:tcPr>
          <w:p>
            <w:pPr>
              <w:ind w:left="60"/>
              <w:spacing w:after="0"/>
              <w:rPr>
                <w:sz w:val="20"/>
                <w:szCs w:val="20"/>
                <w:color w:val="auto"/>
              </w:rPr>
            </w:pPr>
            <w:r>
              <w:rPr>
                <w:rFonts w:ascii="Arial" w:cs="Arial" w:eastAsia="Arial" w:hAnsi="Arial"/>
                <w:sz w:val="10"/>
                <w:szCs w:val="10"/>
                <w:color w:val="0000EE"/>
              </w:rPr>
              <w:t>Director Nomination Process</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22</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tcBorders>
              <w:bottom w:val="single" w:sz="8" w:color="D8EFF9"/>
            </w:tcBorders>
            <w:shd w:val="clear" w:color="auto" w:fill="D8EFF9"/>
          </w:tcPr>
          <w:p>
            <w:pPr>
              <w:spacing w:after="0"/>
              <w:rPr>
                <w:sz w:val="14"/>
                <w:szCs w:val="14"/>
                <w:color w:val="auto"/>
              </w:rPr>
            </w:pPr>
          </w:p>
        </w:tc>
        <w:tc>
          <w:tcPr>
            <w:tcW w:w="2620" w:type="dxa"/>
            <w:vAlign w:val="bottom"/>
            <w:tcBorders>
              <w:bottom w:val="single" w:sz="8" w:color="0000EE"/>
            </w:tcBorders>
            <w:gridSpan w:val="18"/>
            <w:shd w:val="clear" w:color="auto" w:fill="D8EFF9"/>
          </w:tcPr>
          <w:p>
            <w:pPr>
              <w:spacing w:after="0"/>
              <w:rPr>
                <w:sz w:val="20"/>
                <w:szCs w:val="20"/>
                <w:color w:val="auto"/>
              </w:rPr>
            </w:pPr>
            <w:r>
              <w:rPr>
                <w:rFonts w:ascii="Arial" w:cs="Arial" w:eastAsia="Arial" w:hAnsi="Arial"/>
                <w:sz w:val="10"/>
                <w:szCs w:val="10"/>
                <w:color w:val="0000EE"/>
                <w:w w:val="96"/>
              </w:rPr>
              <w:t>Annual Board Self-Assessment and Director Peer Evaluation</w:t>
            </w:r>
          </w:p>
        </w:tc>
        <w:tc>
          <w:tcPr>
            <w:tcW w:w="3100" w:type="dxa"/>
            <w:vAlign w:val="bottom"/>
            <w:tcBorders>
              <w:bottom w:val="single" w:sz="8" w:color="D8EFF9"/>
            </w:tcBorders>
            <w:gridSpan w:val="2"/>
            <w:shd w:val="clear" w:color="auto" w:fill="D8EFF9"/>
          </w:tcPr>
          <w:p>
            <w:pPr>
              <w:spacing w:after="0"/>
              <w:rPr>
                <w:sz w:val="14"/>
                <w:szCs w:val="14"/>
                <w:color w:val="auto"/>
              </w:rPr>
            </w:pPr>
          </w:p>
        </w:tc>
        <w:tc>
          <w:tcPr>
            <w:tcW w:w="1640" w:type="dxa"/>
            <w:vAlign w:val="bottom"/>
            <w:tcBorders>
              <w:bottom w:val="single" w:sz="8" w:color="D8EFF9"/>
            </w:tcBorders>
            <w:shd w:val="clear" w:color="auto" w:fill="D8EFF9"/>
          </w:tcPr>
          <w:p>
            <w:pPr>
              <w:jc w:val="right"/>
              <w:ind w:right="29"/>
              <w:spacing w:after="0"/>
              <w:rPr>
                <w:sz w:val="20"/>
                <w:szCs w:val="20"/>
                <w:color w:val="auto"/>
              </w:rPr>
            </w:pPr>
            <w:r>
              <w:rPr>
                <w:rFonts w:ascii="Arial" w:cs="Arial" w:eastAsia="Arial" w:hAnsi="Arial"/>
                <w:sz w:val="10"/>
                <w:szCs w:val="10"/>
                <w:color w:val="auto"/>
              </w:rPr>
              <w:t>24</w:t>
            </w:r>
          </w:p>
        </w:tc>
      </w:tr>
      <w:tr>
        <w:trPr>
          <w:trHeight w:val="136"/>
        </w:trPr>
        <w:tc>
          <w:tcPr>
            <w:tcW w:w="5780" w:type="dxa"/>
            <w:vAlign w:val="bottom"/>
            <w:gridSpan w:val="21"/>
          </w:tcPr>
          <w:p>
            <w:pPr>
              <w:ind w:left="60"/>
              <w:spacing w:after="0"/>
              <w:rPr>
                <w:sz w:val="20"/>
                <w:szCs w:val="20"/>
                <w:color w:val="auto"/>
              </w:rPr>
            </w:pPr>
            <w:r>
              <w:rPr>
                <w:rFonts w:ascii="Arial" w:cs="Arial" w:eastAsia="Arial" w:hAnsi="Arial"/>
                <w:sz w:val="10"/>
                <w:szCs w:val="10"/>
                <w:color w:val="0000EE"/>
              </w:rPr>
              <w:t>Director Independence</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24</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36"/>
        </w:trPr>
        <w:tc>
          <w:tcPr>
            <w:tcW w:w="60" w:type="dxa"/>
            <w:vAlign w:val="bottom"/>
            <w:shd w:val="clear" w:color="auto" w:fill="D8EFF9"/>
          </w:tcPr>
          <w:p>
            <w:pPr>
              <w:spacing w:after="0"/>
              <w:rPr>
                <w:sz w:val="11"/>
                <w:szCs w:val="11"/>
                <w:color w:val="auto"/>
              </w:rPr>
            </w:pPr>
          </w:p>
        </w:tc>
        <w:tc>
          <w:tcPr>
            <w:tcW w:w="5720" w:type="dxa"/>
            <w:vAlign w:val="bottom"/>
            <w:gridSpan w:val="20"/>
            <w:shd w:val="clear" w:color="auto" w:fill="D8EFF9"/>
          </w:tcPr>
          <w:p>
            <w:pPr>
              <w:spacing w:after="0"/>
              <w:rPr>
                <w:sz w:val="20"/>
                <w:szCs w:val="20"/>
                <w:color w:val="auto"/>
              </w:rPr>
            </w:pPr>
            <w:r>
              <w:rPr>
                <w:rFonts w:ascii="Arial" w:cs="Arial" w:eastAsia="Arial" w:hAnsi="Arial"/>
                <w:sz w:val="10"/>
                <w:szCs w:val="10"/>
                <w:color w:val="0000EE"/>
              </w:rPr>
              <w:t>Code of Ethics and Ethics and Compliance Code</w:t>
            </w:r>
          </w:p>
        </w:tc>
        <w:tc>
          <w:tcPr>
            <w:tcW w:w="1640" w:type="dxa"/>
            <w:vAlign w:val="bottom"/>
            <w:shd w:val="clear" w:color="auto" w:fill="D8EFF9"/>
          </w:tcPr>
          <w:p>
            <w:pPr>
              <w:jc w:val="right"/>
              <w:ind w:right="29"/>
              <w:spacing w:after="0"/>
              <w:rPr>
                <w:sz w:val="20"/>
                <w:szCs w:val="20"/>
                <w:color w:val="auto"/>
              </w:rPr>
            </w:pPr>
            <w:r>
              <w:rPr>
                <w:rFonts w:ascii="Arial" w:cs="Arial" w:eastAsia="Arial" w:hAnsi="Arial"/>
                <w:sz w:val="10"/>
                <w:szCs w:val="10"/>
                <w:color w:val="auto"/>
              </w:rPr>
              <w:t>25</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78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12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120" w:type="dxa"/>
            <w:vAlign w:val="bottom"/>
            <w:tcBorders>
              <w:top w:val="single" w:sz="8" w:color="0000EE"/>
            </w:tcBorders>
            <w:shd w:val="clear" w:color="auto" w:fill="D8EFF9"/>
          </w:tcPr>
          <w:p>
            <w:pPr>
              <w:spacing w:after="0"/>
              <w:rPr>
                <w:sz w:val="2"/>
                <w:szCs w:val="2"/>
                <w:color w:val="auto"/>
              </w:rPr>
            </w:pPr>
          </w:p>
        </w:tc>
        <w:tc>
          <w:tcPr>
            <w:tcW w:w="4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4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6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40" w:type="dxa"/>
            <w:vAlign w:val="bottom"/>
            <w:tcBorders>
              <w:top w:val="single" w:sz="8" w:color="0000EE"/>
            </w:tcBorders>
            <w:shd w:val="clear" w:color="auto" w:fill="D8EFF9"/>
          </w:tcPr>
          <w:p>
            <w:pPr>
              <w:spacing w:after="0"/>
              <w:rPr>
                <w:sz w:val="2"/>
                <w:szCs w:val="2"/>
                <w:color w:val="auto"/>
              </w:rPr>
            </w:pPr>
          </w:p>
        </w:tc>
        <w:tc>
          <w:tcPr>
            <w:tcW w:w="52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40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3080" w:type="dxa"/>
            <w:vAlign w:val="bottom"/>
            <w:tcBorders>
              <w:top w:val="single" w:sz="8" w:color="D8EFF9"/>
            </w:tcBorders>
            <w:shd w:val="clear" w:color="auto" w:fill="D8EFF9"/>
          </w:tcPr>
          <w:p>
            <w:pPr>
              <w:spacing w:after="0"/>
              <w:rPr>
                <w:sz w:val="2"/>
                <w:szCs w:val="2"/>
                <w:color w:val="auto"/>
              </w:rPr>
            </w:pPr>
          </w:p>
        </w:tc>
        <w:tc>
          <w:tcPr>
            <w:tcW w:w="1640" w:type="dxa"/>
            <w:vAlign w:val="bottom"/>
            <w:tcBorders>
              <w:top w:val="single" w:sz="8" w:color="D8EFF9"/>
            </w:tcBorders>
            <w:shd w:val="clear" w:color="auto" w:fill="D8EFF9"/>
          </w:tcPr>
          <w:p>
            <w:pPr>
              <w:spacing w:after="0"/>
              <w:rPr>
                <w:sz w:val="2"/>
                <w:szCs w:val="2"/>
                <w:color w:val="auto"/>
              </w:rPr>
            </w:pPr>
          </w:p>
        </w:tc>
      </w:tr>
      <w:tr>
        <w:trPr>
          <w:trHeight w:val="136"/>
        </w:trPr>
        <w:tc>
          <w:tcPr>
            <w:tcW w:w="60" w:type="dxa"/>
            <w:vAlign w:val="bottom"/>
          </w:tcPr>
          <w:p>
            <w:pPr>
              <w:spacing w:after="0"/>
              <w:rPr>
                <w:sz w:val="11"/>
                <w:szCs w:val="11"/>
                <w:color w:val="auto"/>
              </w:rPr>
            </w:pPr>
          </w:p>
        </w:tc>
        <w:tc>
          <w:tcPr>
            <w:tcW w:w="5720" w:type="dxa"/>
            <w:vAlign w:val="bottom"/>
            <w:gridSpan w:val="20"/>
          </w:tcPr>
          <w:p>
            <w:pPr>
              <w:spacing w:after="0"/>
              <w:rPr>
                <w:sz w:val="20"/>
                <w:szCs w:val="20"/>
                <w:color w:val="auto"/>
              </w:rPr>
            </w:pPr>
            <w:r>
              <w:rPr>
                <w:rFonts w:ascii="Arial" w:cs="Arial" w:eastAsia="Arial" w:hAnsi="Arial"/>
                <w:sz w:val="10"/>
                <w:szCs w:val="10"/>
                <w:color w:val="0000EE"/>
              </w:rPr>
              <w:t>Conflicts of Interest and Related-Party Transactions</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25</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tcBorders>
              <w:bottom w:val="single" w:sz="8" w:color="D8EFF9"/>
            </w:tcBorders>
            <w:shd w:val="clear" w:color="auto" w:fill="D8EFF9"/>
          </w:tcPr>
          <w:p>
            <w:pPr>
              <w:spacing w:after="0"/>
              <w:rPr>
                <w:sz w:val="14"/>
                <w:szCs w:val="14"/>
                <w:color w:val="auto"/>
              </w:rPr>
            </w:pPr>
          </w:p>
        </w:tc>
        <w:tc>
          <w:tcPr>
            <w:tcW w:w="1540" w:type="dxa"/>
            <w:vAlign w:val="bottom"/>
            <w:tcBorders>
              <w:bottom w:val="single" w:sz="8" w:color="0000EE"/>
            </w:tcBorders>
            <w:gridSpan w:val="13"/>
            <w:shd w:val="clear" w:color="auto" w:fill="D8EFF9"/>
          </w:tcPr>
          <w:p>
            <w:pPr>
              <w:spacing w:after="0"/>
              <w:rPr>
                <w:sz w:val="20"/>
                <w:szCs w:val="20"/>
                <w:color w:val="auto"/>
              </w:rPr>
            </w:pPr>
            <w:r>
              <w:rPr>
                <w:rFonts w:ascii="Arial" w:cs="Arial" w:eastAsia="Arial" w:hAnsi="Arial"/>
                <w:sz w:val="10"/>
                <w:szCs w:val="10"/>
                <w:color w:val="0000EE"/>
                <w:w w:val="96"/>
              </w:rPr>
              <w:t>Majority Voting in Director Elections</w:t>
            </w:r>
          </w:p>
        </w:tc>
        <w:tc>
          <w:tcPr>
            <w:tcW w:w="4180" w:type="dxa"/>
            <w:vAlign w:val="bottom"/>
            <w:tcBorders>
              <w:bottom w:val="single" w:sz="8" w:color="D8EFF9"/>
            </w:tcBorders>
            <w:gridSpan w:val="7"/>
            <w:shd w:val="clear" w:color="auto" w:fill="D8EFF9"/>
          </w:tcPr>
          <w:p>
            <w:pPr>
              <w:spacing w:after="0"/>
              <w:rPr>
                <w:sz w:val="14"/>
                <w:szCs w:val="14"/>
                <w:color w:val="auto"/>
              </w:rPr>
            </w:pPr>
          </w:p>
        </w:tc>
        <w:tc>
          <w:tcPr>
            <w:tcW w:w="1640" w:type="dxa"/>
            <w:vAlign w:val="bottom"/>
            <w:tcBorders>
              <w:bottom w:val="single" w:sz="8" w:color="D8EFF9"/>
            </w:tcBorders>
            <w:shd w:val="clear" w:color="auto" w:fill="D8EFF9"/>
          </w:tcPr>
          <w:p>
            <w:pPr>
              <w:jc w:val="right"/>
              <w:ind w:right="29"/>
              <w:spacing w:after="0"/>
              <w:rPr>
                <w:sz w:val="20"/>
                <w:szCs w:val="20"/>
                <w:color w:val="auto"/>
              </w:rPr>
            </w:pPr>
            <w:r>
              <w:rPr>
                <w:rFonts w:ascii="Arial" w:cs="Arial" w:eastAsia="Arial" w:hAnsi="Arial"/>
                <w:sz w:val="10"/>
                <w:szCs w:val="10"/>
                <w:color w:val="auto"/>
              </w:rPr>
              <w:t>26</w:t>
            </w:r>
          </w:p>
        </w:tc>
      </w:tr>
      <w:tr>
        <w:trPr>
          <w:trHeight w:val="136"/>
        </w:trPr>
        <w:tc>
          <w:tcPr>
            <w:tcW w:w="5780" w:type="dxa"/>
            <w:vAlign w:val="bottom"/>
            <w:gridSpan w:val="21"/>
          </w:tcPr>
          <w:p>
            <w:pPr>
              <w:ind w:left="60"/>
              <w:spacing w:after="0"/>
              <w:rPr>
                <w:sz w:val="20"/>
                <w:szCs w:val="20"/>
                <w:color w:val="auto"/>
              </w:rPr>
            </w:pPr>
            <w:r>
              <w:rPr>
                <w:rFonts w:ascii="Arial" w:cs="Arial" w:eastAsia="Arial" w:hAnsi="Arial"/>
                <w:sz w:val="10"/>
                <w:szCs w:val="10"/>
                <w:color w:val="0000EE"/>
              </w:rPr>
              <w:t>Board Leadership</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27</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tcBorders>
              <w:bottom w:val="single" w:sz="8" w:color="D8EFF9"/>
            </w:tcBorders>
            <w:shd w:val="clear" w:color="auto" w:fill="D8EFF9"/>
          </w:tcPr>
          <w:p>
            <w:pPr>
              <w:spacing w:after="0"/>
              <w:rPr>
                <w:sz w:val="14"/>
                <w:szCs w:val="14"/>
                <w:color w:val="auto"/>
              </w:rPr>
            </w:pPr>
          </w:p>
        </w:tc>
        <w:tc>
          <w:tcPr>
            <w:tcW w:w="1520" w:type="dxa"/>
            <w:vAlign w:val="bottom"/>
            <w:tcBorders>
              <w:bottom w:val="single" w:sz="8" w:color="0000EE"/>
            </w:tcBorders>
            <w:gridSpan w:val="12"/>
            <w:shd w:val="clear" w:color="auto" w:fill="D8EFF9"/>
          </w:tcPr>
          <w:p>
            <w:pPr>
              <w:spacing w:after="0"/>
              <w:rPr>
                <w:sz w:val="20"/>
                <w:szCs w:val="20"/>
                <w:color w:val="auto"/>
              </w:rPr>
            </w:pPr>
            <w:r>
              <w:rPr>
                <w:rFonts w:ascii="Arial" w:cs="Arial" w:eastAsia="Arial" w:hAnsi="Arial"/>
                <w:sz w:val="10"/>
                <w:szCs w:val="10"/>
                <w:color w:val="0000EE"/>
                <w:w w:val="96"/>
              </w:rPr>
              <w:t>The Board’s Role in Risk Oversight</w:t>
            </w:r>
          </w:p>
        </w:tc>
        <w:tc>
          <w:tcPr>
            <w:tcW w:w="4200" w:type="dxa"/>
            <w:vAlign w:val="bottom"/>
            <w:tcBorders>
              <w:bottom w:val="single" w:sz="8" w:color="D8EFF9"/>
            </w:tcBorders>
            <w:gridSpan w:val="8"/>
            <w:shd w:val="clear" w:color="auto" w:fill="D8EFF9"/>
          </w:tcPr>
          <w:p>
            <w:pPr>
              <w:spacing w:after="0"/>
              <w:rPr>
                <w:sz w:val="14"/>
                <w:szCs w:val="14"/>
                <w:color w:val="auto"/>
              </w:rPr>
            </w:pPr>
          </w:p>
        </w:tc>
        <w:tc>
          <w:tcPr>
            <w:tcW w:w="1640" w:type="dxa"/>
            <w:vAlign w:val="bottom"/>
            <w:tcBorders>
              <w:bottom w:val="single" w:sz="8" w:color="D8EFF9"/>
            </w:tcBorders>
            <w:shd w:val="clear" w:color="auto" w:fill="D8EFF9"/>
          </w:tcPr>
          <w:p>
            <w:pPr>
              <w:jc w:val="right"/>
              <w:ind w:right="29"/>
              <w:spacing w:after="0"/>
              <w:rPr>
                <w:sz w:val="20"/>
                <w:szCs w:val="20"/>
                <w:color w:val="auto"/>
              </w:rPr>
            </w:pPr>
            <w:r>
              <w:rPr>
                <w:rFonts w:ascii="Arial" w:cs="Arial" w:eastAsia="Arial" w:hAnsi="Arial"/>
                <w:sz w:val="10"/>
                <w:szCs w:val="10"/>
                <w:color w:val="auto"/>
              </w:rPr>
              <w:t>28</w:t>
            </w:r>
          </w:p>
        </w:tc>
      </w:tr>
      <w:tr>
        <w:trPr>
          <w:trHeight w:val="136"/>
        </w:trPr>
        <w:tc>
          <w:tcPr>
            <w:tcW w:w="5780" w:type="dxa"/>
            <w:vAlign w:val="bottom"/>
            <w:gridSpan w:val="21"/>
          </w:tcPr>
          <w:p>
            <w:pPr>
              <w:ind w:left="60"/>
              <w:spacing w:after="0"/>
              <w:rPr>
                <w:sz w:val="20"/>
                <w:szCs w:val="20"/>
                <w:color w:val="auto"/>
              </w:rPr>
            </w:pPr>
            <w:r>
              <w:rPr>
                <w:rFonts w:ascii="Arial" w:cs="Arial" w:eastAsia="Arial" w:hAnsi="Arial"/>
                <w:sz w:val="10"/>
                <w:szCs w:val="10"/>
                <w:color w:val="0000EE"/>
              </w:rPr>
              <w:t>Executive Succession Planning and Leadership Development</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30</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36"/>
        </w:trPr>
        <w:tc>
          <w:tcPr>
            <w:tcW w:w="60" w:type="dxa"/>
            <w:vAlign w:val="bottom"/>
            <w:shd w:val="clear" w:color="auto" w:fill="D8EFF9"/>
          </w:tcPr>
          <w:p>
            <w:pPr>
              <w:spacing w:after="0"/>
              <w:rPr>
                <w:sz w:val="11"/>
                <w:szCs w:val="11"/>
                <w:color w:val="auto"/>
              </w:rPr>
            </w:pPr>
          </w:p>
        </w:tc>
        <w:tc>
          <w:tcPr>
            <w:tcW w:w="5720" w:type="dxa"/>
            <w:vAlign w:val="bottom"/>
            <w:gridSpan w:val="20"/>
            <w:shd w:val="clear" w:color="auto" w:fill="D8EFF9"/>
          </w:tcPr>
          <w:p>
            <w:pPr>
              <w:spacing w:after="0"/>
              <w:rPr>
                <w:sz w:val="20"/>
                <w:szCs w:val="20"/>
                <w:color w:val="auto"/>
              </w:rPr>
            </w:pPr>
            <w:r>
              <w:rPr>
                <w:rFonts w:ascii="Arial" w:cs="Arial" w:eastAsia="Arial" w:hAnsi="Arial"/>
                <w:sz w:val="10"/>
                <w:szCs w:val="10"/>
                <w:color w:val="0000EE"/>
              </w:rPr>
              <w:t>Director Attendance</w:t>
            </w:r>
          </w:p>
        </w:tc>
        <w:tc>
          <w:tcPr>
            <w:tcW w:w="1640" w:type="dxa"/>
            <w:vAlign w:val="bottom"/>
            <w:shd w:val="clear" w:color="auto" w:fill="D8EFF9"/>
          </w:tcPr>
          <w:p>
            <w:pPr>
              <w:jc w:val="right"/>
              <w:ind w:right="29"/>
              <w:spacing w:after="0"/>
              <w:rPr>
                <w:sz w:val="20"/>
                <w:szCs w:val="20"/>
                <w:color w:val="auto"/>
              </w:rPr>
            </w:pPr>
            <w:r>
              <w:rPr>
                <w:rFonts w:ascii="Arial" w:cs="Arial" w:eastAsia="Arial" w:hAnsi="Arial"/>
                <w:sz w:val="10"/>
                <w:szCs w:val="10"/>
                <w:color w:val="auto"/>
              </w:rPr>
              <w:t>30</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78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12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12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6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52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40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3080" w:type="dxa"/>
            <w:vAlign w:val="bottom"/>
            <w:tcBorders>
              <w:top w:val="single" w:sz="8" w:color="D8EFF9"/>
            </w:tcBorders>
            <w:shd w:val="clear" w:color="auto" w:fill="D8EFF9"/>
          </w:tcPr>
          <w:p>
            <w:pPr>
              <w:spacing w:after="0"/>
              <w:rPr>
                <w:sz w:val="2"/>
                <w:szCs w:val="2"/>
                <w:color w:val="auto"/>
              </w:rPr>
            </w:pPr>
          </w:p>
        </w:tc>
        <w:tc>
          <w:tcPr>
            <w:tcW w:w="1640" w:type="dxa"/>
            <w:vAlign w:val="bottom"/>
            <w:tcBorders>
              <w:top w:val="single" w:sz="8" w:color="D8EFF9"/>
            </w:tcBorders>
            <w:shd w:val="clear" w:color="auto" w:fill="D8EFF9"/>
          </w:tcPr>
          <w:p>
            <w:pPr>
              <w:spacing w:after="0"/>
              <w:rPr>
                <w:sz w:val="2"/>
                <w:szCs w:val="2"/>
                <w:color w:val="auto"/>
              </w:rPr>
            </w:pPr>
          </w:p>
        </w:tc>
      </w:tr>
      <w:tr>
        <w:trPr>
          <w:trHeight w:val="136"/>
        </w:trPr>
        <w:tc>
          <w:tcPr>
            <w:tcW w:w="60" w:type="dxa"/>
            <w:vAlign w:val="bottom"/>
          </w:tcPr>
          <w:p>
            <w:pPr>
              <w:spacing w:after="0"/>
              <w:rPr>
                <w:sz w:val="11"/>
                <w:szCs w:val="11"/>
                <w:color w:val="auto"/>
              </w:rPr>
            </w:pPr>
          </w:p>
        </w:tc>
        <w:tc>
          <w:tcPr>
            <w:tcW w:w="5720" w:type="dxa"/>
            <w:vAlign w:val="bottom"/>
            <w:gridSpan w:val="20"/>
          </w:tcPr>
          <w:p>
            <w:pPr>
              <w:spacing w:after="0"/>
              <w:rPr>
                <w:sz w:val="20"/>
                <w:szCs w:val="20"/>
                <w:color w:val="auto"/>
              </w:rPr>
            </w:pPr>
            <w:r>
              <w:rPr>
                <w:rFonts w:ascii="Arial" w:cs="Arial" w:eastAsia="Arial" w:hAnsi="Arial"/>
                <w:sz w:val="10"/>
                <w:szCs w:val="10"/>
                <w:color w:val="0000EE"/>
              </w:rPr>
              <w:t>Board Organization and Committees</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31</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tcBorders>
              <w:bottom w:val="single" w:sz="8" w:color="D8EFF9"/>
            </w:tcBorders>
            <w:shd w:val="clear" w:color="auto" w:fill="D8EFF9"/>
          </w:tcPr>
          <w:p>
            <w:pPr>
              <w:spacing w:after="0"/>
              <w:rPr>
                <w:sz w:val="14"/>
                <w:szCs w:val="14"/>
                <w:color w:val="auto"/>
              </w:rPr>
            </w:pPr>
          </w:p>
        </w:tc>
        <w:tc>
          <w:tcPr>
            <w:tcW w:w="1120" w:type="dxa"/>
            <w:vAlign w:val="bottom"/>
            <w:tcBorders>
              <w:bottom w:val="single" w:sz="8" w:color="0000EE"/>
            </w:tcBorders>
            <w:gridSpan w:val="5"/>
            <w:shd w:val="clear" w:color="auto" w:fill="D8EFF9"/>
          </w:tcPr>
          <w:p>
            <w:pPr>
              <w:spacing w:after="0"/>
              <w:rPr>
                <w:sz w:val="20"/>
                <w:szCs w:val="20"/>
                <w:color w:val="auto"/>
              </w:rPr>
            </w:pPr>
            <w:r>
              <w:rPr>
                <w:rFonts w:ascii="Arial" w:cs="Arial" w:eastAsia="Arial" w:hAnsi="Arial"/>
                <w:sz w:val="10"/>
                <w:szCs w:val="10"/>
                <w:color w:val="0000EE"/>
                <w:w w:val="96"/>
              </w:rPr>
              <w:t>Shareholder Engagement</w:t>
            </w:r>
          </w:p>
        </w:tc>
        <w:tc>
          <w:tcPr>
            <w:tcW w:w="4600" w:type="dxa"/>
            <w:vAlign w:val="bottom"/>
            <w:tcBorders>
              <w:bottom w:val="single" w:sz="8" w:color="D8EFF9"/>
            </w:tcBorders>
            <w:gridSpan w:val="15"/>
            <w:shd w:val="clear" w:color="auto" w:fill="D8EFF9"/>
          </w:tcPr>
          <w:p>
            <w:pPr>
              <w:spacing w:after="0"/>
              <w:rPr>
                <w:sz w:val="14"/>
                <w:szCs w:val="14"/>
                <w:color w:val="auto"/>
              </w:rPr>
            </w:pPr>
          </w:p>
        </w:tc>
        <w:tc>
          <w:tcPr>
            <w:tcW w:w="1640" w:type="dxa"/>
            <w:vAlign w:val="bottom"/>
            <w:tcBorders>
              <w:bottom w:val="single" w:sz="8" w:color="D8EFF9"/>
            </w:tcBorders>
            <w:shd w:val="clear" w:color="auto" w:fill="D8EFF9"/>
          </w:tcPr>
          <w:p>
            <w:pPr>
              <w:jc w:val="right"/>
              <w:ind w:right="29"/>
              <w:spacing w:after="0"/>
              <w:rPr>
                <w:sz w:val="20"/>
                <w:szCs w:val="20"/>
                <w:color w:val="auto"/>
              </w:rPr>
            </w:pPr>
            <w:r>
              <w:rPr>
                <w:rFonts w:ascii="Arial" w:cs="Arial" w:eastAsia="Arial" w:hAnsi="Arial"/>
                <w:sz w:val="10"/>
                <w:szCs w:val="10"/>
                <w:color w:val="auto"/>
              </w:rPr>
              <w:t>33</w:t>
            </w:r>
          </w:p>
        </w:tc>
      </w:tr>
      <w:tr>
        <w:trPr>
          <w:trHeight w:val="136"/>
        </w:trPr>
        <w:tc>
          <w:tcPr>
            <w:tcW w:w="5780" w:type="dxa"/>
            <w:vAlign w:val="bottom"/>
            <w:gridSpan w:val="21"/>
          </w:tcPr>
          <w:p>
            <w:pPr>
              <w:ind w:left="60"/>
              <w:spacing w:after="0"/>
              <w:rPr>
                <w:sz w:val="20"/>
                <w:szCs w:val="20"/>
                <w:color w:val="auto"/>
              </w:rPr>
            </w:pPr>
            <w:r>
              <w:rPr>
                <w:rFonts w:ascii="Arial" w:cs="Arial" w:eastAsia="Arial" w:hAnsi="Arial"/>
                <w:sz w:val="10"/>
                <w:szCs w:val="10"/>
                <w:color w:val="0000EE"/>
              </w:rPr>
              <w:t>Communications with Directors</w:t>
            </w:r>
          </w:p>
        </w:tc>
        <w:tc>
          <w:tcPr>
            <w:tcW w:w="1640" w:type="dxa"/>
            <w:vAlign w:val="bottom"/>
          </w:tcPr>
          <w:p>
            <w:pPr>
              <w:jc w:val="right"/>
              <w:ind w:right="29"/>
              <w:spacing w:after="0"/>
              <w:rPr>
                <w:sz w:val="20"/>
                <w:szCs w:val="20"/>
                <w:color w:val="auto"/>
              </w:rPr>
            </w:pPr>
            <w:r>
              <w:rPr>
                <w:rFonts w:ascii="Arial" w:cs="Arial" w:eastAsia="Arial" w:hAnsi="Arial"/>
                <w:sz w:val="10"/>
                <w:szCs w:val="10"/>
                <w:color w:val="auto"/>
              </w:rPr>
              <w:t>34</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2"/>
        </w:trPr>
        <w:tc>
          <w:tcPr>
            <w:tcW w:w="60" w:type="dxa"/>
            <w:vAlign w:val="bottom"/>
            <w:shd w:val="clear" w:color="auto" w:fill="D8EFF9"/>
          </w:tcPr>
          <w:p>
            <w:pPr>
              <w:spacing w:after="0"/>
              <w:rPr>
                <w:sz w:val="14"/>
                <w:szCs w:val="14"/>
                <w:color w:val="auto"/>
              </w:rPr>
            </w:pPr>
          </w:p>
        </w:tc>
        <w:tc>
          <w:tcPr>
            <w:tcW w:w="5720" w:type="dxa"/>
            <w:vAlign w:val="bottom"/>
            <w:gridSpan w:val="20"/>
            <w:shd w:val="clear" w:color="auto" w:fill="D8EFF9"/>
          </w:tcPr>
          <w:p>
            <w:pPr>
              <w:spacing w:after="0"/>
              <w:rPr>
                <w:sz w:val="20"/>
                <w:szCs w:val="20"/>
                <w:color w:val="auto"/>
              </w:rPr>
            </w:pPr>
            <w:r>
              <w:rPr>
                <w:rFonts w:ascii="Arial" w:cs="Arial" w:eastAsia="Arial" w:hAnsi="Arial"/>
                <w:sz w:val="10"/>
                <w:szCs w:val="10"/>
                <w:color w:val="0000EE"/>
              </w:rPr>
              <w:t>Website Availability of Documents</w:t>
            </w:r>
          </w:p>
        </w:tc>
        <w:tc>
          <w:tcPr>
            <w:tcW w:w="1640" w:type="dxa"/>
            <w:vAlign w:val="bottom"/>
            <w:shd w:val="clear" w:color="auto" w:fill="D8EFF9"/>
          </w:tcPr>
          <w:p>
            <w:pPr>
              <w:jc w:val="right"/>
              <w:ind w:right="29"/>
              <w:spacing w:after="0"/>
              <w:rPr>
                <w:sz w:val="20"/>
                <w:szCs w:val="20"/>
                <w:color w:val="auto"/>
              </w:rPr>
            </w:pPr>
            <w:r>
              <w:rPr>
                <w:rFonts w:ascii="Arial" w:cs="Arial" w:eastAsia="Arial" w:hAnsi="Arial"/>
                <w:sz w:val="10"/>
                <w:szCs w:val="10"/>
                <w:color w:val="auto"/>
              </w:rPr>
              <w:t>35</w:t>
            </w:r>
          </w:p>
        </w:tc>
      </w:tr>
      <w:tr>
        <w:trPr>
          <w:trHeight w:val="136"/>
        </w:trPr>
        <w:tc>
          <w:tcPr>
            <w:tcW w:w="60" w:type="dxa"/>
            <w:vAlign w:val="bottom"/>
            <w:tcBorders>
              <w:top w:val="single" w:sz="8" w:color="D8EFF9"/>
            </w:tcBorders>
          </w:tcPr>
          <w:p>
            <w:pPr>
              <w:spacing w:after="0"/>
              <w:rPr>
                <w:sz w:val="11"/>
                <w:szCs w:val="11"/>
                <w:color w:val="auto"/>
              </w:rPr>
            </w:pPr>
          </w:p>
        </w:tc>
        <w:tc>
          <w:tcPr>
            <w:tcW w:w="1460" w:type="dxa"/>
            <w:vAlign w:val="bottom"/>
            <w:tcBorders>
              <w:top w:val="single" w:sz="8" w:color="0000EE"/>
            </w:tcBorders>
            <w:gridSpan w:val="11"/>
          </w:tcPr>
          <w:p>
            <w:pPr>
              <w:spacing w:after="0"/>
              <w:rPr>
                <w:sz w:val="20"/>
                <w:szCs w:val="20"/>
                <w:color w:val="auto"/>
              </w:rPr>
            </w:pPr>
            <w:r>
              <w:rPr>
                <w:rFonts w:ascii="Arial" w:cs="Arial" w:eastAsia="Arial" w:hAnsi="Arial"/>
                <w:sz w:val="10"/>
                <w:szCs w:val="10"/>
                <w:color w:val="0000EE"/>
              </w:rPr>
              <w:t>Compensation of Directors</w:t>
            </w:r>
          </w:p>
        </w:tc>
        <w:tc>
          <w:tcPr>
            <w:tcW w:w="4260" w:type="dxa"/>
            <w:vAlign w:val="bottom"/>
            <w:tcBorders>
              <w:top w:val="single" w:sz="8" w:color="D8EFF9"/>
            </w:tcBorders>
            <w:gridSpan w:val="9"/>
          </w:tcPr>
          <w:p>
            <w:pPr>
              <w:spacing w:after="0"/>
              <w:rPr>
                <w:sz w:val="11"/>
                <w:szCs w:val="11"/>
                <w:color w:val="auto"/>
              </w:rPr>
            </w:pPr>
          </w:p>
        </w:tc>
        <w:tc>
          <w:tcPr>
            <w:tcW w:w="1640" w:type="dxa"/>
            <w:vAlign w:val="bottom"/>
            <w:tcBorders>
              <w:top w:val="single" w:sz="8" w:color="D8EFF9"/>
            </w:tcBorders>
          </w:tcPr>
          <w:p>
            <w:pPr>
              <w:jc w:val="right"/>
              <w:ind w:right="29"/>
              <w:spacing w:after="0"/>
              <w:rPr>
                <w:sz w:val="20"/>
                <w:szCs w:val="20"/>
                <w:color w:val="auto"/>
              </w:rPr>
            </w:pPr>
            <w:r>
              <w:rPr>
                <w:rFonts w:ascii="Arial" w:cs="Arial" w:eastAsia="Arial" w:hAnsi="Arial"/>
                <w:sz w:val="10"/>
                <w:szCs w:val="10"/>
                <w:color w:val="auto"/>
              </w:rPr>
              <w:t>35</w:t>
            </w:r>
          </w:p>
        </w:tc>
      </w:tr>
      <w:tr>
        <w:trPr>
          <w:trHeight w:val="25"/>
        </w:trPr>
        <w:tc>
          <w:tcPr>
            <w:tcW w:w="60" w:type="dxa"/>
            <w:vAlign w:val="bottom"/>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36"/>
        </w:trPr>
        <w:tc>
          <w:tcPr>
            <w:tcW w:w="5780" w:type="dxa"/>
            <w:vAlign w:val="bottom"/>
            <w:gridSpan w:val="21"/>
            <w:shd w:val="clear" w:color="auto" w:fill="D8EFF9"/>
          </w:tcPr>
          <w:p>
            <w:pPr>
              <w:ind w:left="60"/>
              <w:spacing w:after="0"/>
              <w:rPr>
                <w:sz w:val="20"/>
                <w:szCs w:val="20"/>
                <w:color w:val="auto"/>
              </w:rPr>
            </w:pPr>
            <w:r>
              <w:rPr>
                <w:rFonts w:ascii="Arial" w:cs="Arial" w:eastAsia="Arial" w:hAnsi="Arial"/>
                <w:sz w:val="10"/>
                <w:szCs w:val="10"/>
                <w:color w:val="0000EE"/>
              </w:rPr>
              <w:t>Director Compensation Table</w:t>
            </w:r>
          </w:p>
        </w:tc>
        <w:tc>
          <w:tcPr>
            <w:tcW w:w="1640" w:type="dxa"/>
            <w:vAlign w:val="bottom"/>
            <w:shd w:val="clear" w:color="auto" w:fill="D8EFF9"/>
          </w:tcPr>
          <w:p>
            <w:pPr>
              <w:jc w:val="right"/>
              <w:ind w:right="29"/>
              <w:spacing w:after="0"/>
              <w:rPr>
                <w:sz w:val="20"/>
                <w:szCs w:val="20"/>
                <w:color w:val="auto"/>
              </w:rPr>
            </w:pPr>
            <w:r>
              <w:rPr>
                <w:rFonts w:ascii="Arial" w:cs="Arial" w:eastAsia="Arial" w:hAnsi="Arial"/>
                <w:sz w:val="10"/>
                <w:szCs w:val="10"/>
                <w:color w:val="auto"/>
              </w:rPr>
              <w:t>37</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78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12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120" w:type="dxa"/>
            <w:vAlign w:val="bottom"/>
            <w:tcBorders>
              <w:top w:val="single" w:sz="8" w:color="0000EE"/>
            </w:tcBorders>
            <w:shd w:val="clear" w:color="auto" w:fill="D8EFF9"/>
          </w:tcPr>
          <w:p>
            <w:pPr>
              <w:spacing w:after="0"/>
              <w:rPr>
                <w:sz w:val="2"/>
                <w:szCs w:val="2"/>
                <w:color w:val="auto"/>
              </w:rPr>
            </w:pPr>
          </w:p>
        </w:tc>
        <w:tc>
          <w:tcPr>
            <w:tcW w:w="4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6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520" w:type="dxa"/>
            <w:vAlign w:val="bottom"/>
            <w:tcBorders>
              <w:top w:val="single" w:sz="8" w:color="D8EFF9"/>
            </w:tcBorders>
            <w:shd w:val="clear" w:color="auto" w:fill="D8EFF9"/>
          </w:tcPr>
          <w:p>
            <w:pPr>
              <w:spacing w:after="0"/>
              <w:rPr>
                <w:sz w:val="2"/>
                <w:szCs w:val="2"/>
                <w:color w:val="auto"/>
              </w:rPr>
            </w:pPr>
          </w:p>
        </w:tc>
        <w:tc>
          <w:tcPr>
            <w:tcW w:w="80" w:type="dxa"/>
            <w:vAlign w:val="bottom"/>
            <w:tcBorders>
              <w:top w:val="single" w:sz="8" w:color="D8EFF9"/>
            </w:tcBorders>
            <w:shd w:val="clear" w:color="auto" w:fill="D8EFF9"/>
          </w:tcPr>
          <w:p>
            <w:pPr>
              <w:spacing w:after="0"/>
              <w:rPr>
                <w:sz w:val="2"/>
                <w:szCs w:val="2"/>
                <w:color w:val="auto"/>
              </w:rPr>
            </w:pPr>
          </w:p>
        </w:tc>
        <w:tc>
          <w:tcPr>
            <w:tcW w:w="40" w:type="dxa"/>
            <w:vAlign w:val="bottom"/>
            <w:tcBorders>
              <w:top w:val="single" w:sz="8" w:color="D8EFF9"/>
            </w:tcBorders>
            <w:shd w:val="clear" w:color="auto" w:fill="D8EFF9"/>
          </w:tcPr>
          <w:p>
            <w:pPr>
              <w:spacing w:after="0"/>
              <w:rPr>
                <w:sz w:val="2"/>
                <w:szCs w:val="2"/>
                <w:color w:val="auto"/>
              </w:rPr>
            </w:pPr>
          </w:p>
        </w:tc>
        <w:tc>
          <w:tcPr>
            <w:tcW w:w="40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3080" w:type="dxa"/>
            <w:vAlign w:val="bottom"/>
            <w:tcBorders>
              <w:top w:val="single" w:sz="8" w:color="D8EFF9"/>
            </w:tcBorders>
            <w:shd w:val="clear" w:color="auto" w:fill="D8EFF9"/>
          </w:tcPr>
          <w:p>
            <w:pPr>
              <w:spacing w:after="0"/>
              <w:rPr>
                <w:sz w:val="2"/>
                <w:szCs w:val="2"/>
                <w:color w:val="auto"/>
              </w:rPr>
            </w:pPr>
          </w:p>
        </w:tc>
        <w:tc>
          <w:tcPr>
            <w:tcW w:w="1640" w:type="dxa"/>
            <w:vAlign w:val="bottom"/>
            <w:tcBorders>
              <w:top w:val="single" w:sz="8" w:color="D8EFF9"/>
            </w:tcBorders>
            <w:shd w:val="clear" w:color="auto" w:fill="D8EFF9"/>
          </w:tcPr>
          <w:p>
            <w:pPr>
              <w:spacing w:after="0"/>
              <w:rPr>
                <w:sz w:val="2"/>
                <w:szCs w:val="2"/>
                <w:color w:val="auto"/>
              </w:rPr>
            </w:pPr>
          </w:p>
        </w:tc>
      </w:tr>
    </w:tbl>
    <w:p>
      <w:pPr>
        <w:spacing w:after="0" w:line="145" w:lineRule="exact"/>
        <w:rPr>
          <w:sz w:val="20"/>
          <w:szCs w:val="20"/>
          <w:color w:val="auto"/>
        </w:rPr>
      </w:pPr>
    </w:p>
    <w:p>
      <w:pPr>
        <w:sectPr>
          <w:pgSz w:w="11900" w:h="16838" w:orient="portrait"/>
          <w:cols w:equalWidth="0" w:num="1">
            <w:col w:w="10159"/>
          </w:cols>
          <w:pgMar w:left="300" w:top="373" w:right="1440" w:bottom="1440" w:gutter="0" w:footer="0" w:header="0"/>
        </w:sectPr>
      </w:pPr>
    </w:p>
    <w:p>
      <w:pPr>
        <w:ind w:left="1940"/>
        <w:spacing w:after="0"/>
        <w:rPr>
          <w:sz w:val="20"/>
          <w:szCs w:val="20"/>
          <w:color w:val="auto"/>
        </w:rPr>
      </w:pPr>
      <w:r>
        <w:rPr>
          <w:rFonts w:ascii="Arial" w:cs="Arial" w:eastAsia="Arial" w:hAnsi="Arial"/>
          <w:sz w:val="12"/>
          <w:szCs w:val="12"/>
          <w:u w:val="single" w:color="auto"/>
          <w:color w:val="0000EE"/>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8"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509770" cy="115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Executive Compensation Program Overview</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Design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509770" cy="115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2022 Executive Compensation Program</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8"/>
          <w:szCs w:val="8"/>
          <w:u w:val="single" w:color="auto"/>
          <w:color w:val="0000EE"/>
        </w:rPr>
        <w:t>Our 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31750</wp:posOffset>
            </wp:positionV>
            <wp:extent cx="4509770" cy="115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70"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Other Compensation Programs and Practices</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8"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Summary Compensation Table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509770" cy="115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Grants of Plan-Based Awards for Fiscal Year 2022</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509770" cy="115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Equity Incentive Plan Awards – Additional Information</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Outstanding Equity Awards at Fiscal Year-End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509770" cy="115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09770"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8"/>
          <w:szCs w:val="8"/>
          <w:u w:val="single" w:color="auto"/>
          <w:color w:val="0000EE"/>
        </w:rPr>
        <w:t>Option Exercises and Stock Vested for Fiscal Year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009AD9"/>
        </w:rPr>
        <w:t>39</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009AD9"/>
        </w:rPr>
        <w:t>41</w:t>
      </w:r>
    </w:p>
    <w:p>
      <w:pPr>
        <w:spacing w:after="0" w:line="48"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50</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54</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65</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009AD9"/>
        </w:rPr>
        <w:t>69</w:t>
      </w:r>
    </w:p>
    <w:p>
      <w:pPr>
        <w:spacing w:after="0" w:line="48"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72</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74</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17145</wp:posOffset>
            </wp:positionV>
            <wp:extent cx="201930" cy="115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1930"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77</w:t>
      </w:r>
    </w:p>
    <w:p>
      <w:pPr>
        <w:spacing w:after="0" w:line="200" w:lineRule="exact"/>
        <w:rPr>
          <w:sz w:val="20"/>
          <w:szCs w:val="20"/>
          <w:color w:val="auto"/>
        </w:rPr>
      </w:pPr>
    </w:p>
    <w:p>
      <w:pPr>
        <w:sectPr>
          <w:pgSz w:w="11900" w:h="16838" w:orient="portrait"/>
          <w:cols w:equalWidth="0" w:num="2">
            <w:col w:w="8420" w:space="720"/>
            <w:col w:w="1019"/>
          </w:cols>
          <w:pgMar w:left="300" w:top="373" w:right="1440" w:bottom="1440" w:gutter="0" w:footer="0" w:header="0"/>
          <w:type w:val="continuous"/>
        </w:sectPr>
      </w:pPr>
    </w:p>
    <w:p>
      <w:pPr>
        <w:spacing w:after="0" w:line="8" w:lineRule="exact"/>
        <w:rPr>
          <w:sz w:val="20"/>
          <w:szCs w:val="20"/>
          <w:color w:val="auto"/>
        </w:rPr>
      </w:pPr>
    </w:p>
    <w:p>
      <w:pPr>
        <w:ind w:left="8520"/>
        <w:spacing w:after="0"/>
        <w:rPr>
          <w:sz w:val="20"/>
          <w:szCs w:val="20"/>
          <w:color w:val="auto"/>
        </w:rPr>
      </w:pPr>
      <w:r>
        <w:rPr>
          <w:rFonts w:ascii="Arial" w:cs="Arial" w:eastAsia="Arial" w:hAnsi="Arial"/>
          <w:sz w:val="12"/>
          <w:szCs w:val="12"/>
          <w:color w:val="auto"/>
        </w:rPr>
        <w:t>Always There</w:t>
      </w:r>
      <w:r>
        <w:rPr>
          <w:rFonts w:ascii="Arial" w:cs="Arial" w:eastAsia="Arial" w:hAnsi="Arial"/>
          <w:sz w:val="18"/>
          <w:szCs w:val="1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-130175</wp:posOffset>
            </wp:positionV>
            <wp:extent cx="4711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993140" cy="149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3140" cy="149860"/>
                    </a:xfrm>
                    <a:prstGeom prst="rect">
                      <a:avLst/>
                    </a:prstGeom>
                    <a:noFill/>
                  </pic:spPr>
                </pic:pic>
              </a:graphicData>
            </a:graphic>
          </wp:anchor>
        </w:drawing>
      </w:r>
    </w:p>
    <w:p>
      <w:pPr>
        <w:spacing w:after="0" w:line="227" w:lineRule="exact"/>
        <w:rPr>
          <w:sz w:val="20"/>
          <w:szCs w:val="20"/>
          <w:color w:val="auto"/>
        </w:rPr>
      </w:pPr>
    </w:p>
    <w:p>
      <w:pPr>
        <w:ind w:left="200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40005</wp:posOffset>
            </wp:positionV>
            <wp:extent cx="37185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18560" cy="5715"/>
                    </a:xfrm>
                    <a:prstGeom prst="rect">
                      <a:avLst/>
                    </a:prstGeom>
                    <a:noFill/>
                  </pic:spPr>
                </pic:pic>
              </a:graphicData>
            </a:graphic>
          </wp:anchor>
        </w:drawing>
      </w:r>
    </w:p>
    <w:p>
      <w:pPr>
        <w:spacing w:after="0" w:line="4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Table of Contents (continued)</w:t>
      </w:r>
    </w:p>
    <w:p>
      <w:pPr>
        <w:spacing w:after="0" w:line="204"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463415" cy="115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63415"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Savings Plan and Savings Restoration Plans</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463415" cy="11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63415"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Nonqualified Deferred Compensation Table</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Potential Payments upon Change in Control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463415" cy="115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63415"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Pay v. Performance</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Chief Executive Officer Pay Ratio</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Report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Principal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8"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Audit Committee Policies and Procedures for Preapproval of Audit and Non-Audit Services</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Ratification of Appointment of the Independent Registered Public Accounting Firm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Advisory Vote on Executive Compensation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Advisory Vote on the Frequency of Future Advisory Votes on Executive Compensation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Shareholder Proposal – Relating to Disclosure of our Scope 3 Emissions and Setting Scope 3 Emissions Targets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2"/>
          <w:szCs w:val="12"/>
          <w:u w:val="single" w:color="auto"/>
          <w:color w:val="0000E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8"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Shareholder Proposals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463415" cy="1155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63415"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Director Nominations for the 2024 Annual Meeting</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4463415" cy="115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115570"/>
                    </a:xfrm>
                    <a:prstGeom prst="rect">
                      <a:avLst/>
                    </a:prstGeom>
                    <a:noFill/>
                  </pic:spPr>
                </pic:pic>
              </a:graphicData>
            </a:graphic>
          </wp:anchor>
        </w:drawing>
      </w:r>
    </w:p>
    <w:p>
      <w:pPr>
        <w:spacing w:after="0" w:line="4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Householding of Annual Meeting Materials</w:t>
      </w:r>
    </w:p>
    <w:p>
      <w:pPr>
        <w:spacing w:after="0" w:line="67"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Annual Report to Shareholders</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2"/>
          <w:szCs w:val="12"/>
          <w:color w:val="009AD9"/>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8" w:lineRule="exact"/>
        <w:rPr>
          <w:sz w:val="20"/>
          <w:szCs w:val="20"/>
          <w:color w:val="auto"/>
        </w:rPr>
      </w:pPr>
    </w:p>
    <w:p>
      <w:pPr>
        <w:ind w:left="2000"/>
        <w:spacing w:after="0"/>
        <w:rPr>
          <w:sz w:val="20"/>
          <w:szCs w:val="20"/>
          <w:color w:val="auto"/>
        </w:rPr>
      </w:pPr>
      <w:r>
        <w:rPr>
          <w:rFonts w:ascii="Arial" w:cs="Arial" w:eastAsia="Arial" w:hAnsi="Arial"/>
          <w:sz w:val="10"/>
          <w:szCs w:val="10"/>
          <w:u w:val="single" w:color="auto"/>
          <w:color w:val="0000EE"/>
        </w:rPr>
        <w:t>Non-GAAP Reconciliation</w:t>
      </w:r>
    </w:p>
    <w:p>
      <w:pPr>
        <w:spacing w:after="0" w:line="208"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-93345</wp:posOffset>
            </wp:positionV>
            <wp:extent cx="4711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8"/>
          <w:szCs w:val="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31750</wp:posOffset>
            </wp:positionV>
            <wp:extent cx="248285" cy="115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285" cy="11557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8"/>
          <w:szCs w:val="8"/>
          <w:color w:val="auto"/>
        </w:rPr>
        <w:t>79</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8"/>
          <w:szCs w:val="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31750</wp:posOffset>
            </wp:positionV>
            <wp:extent cx="248285" cy="115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285" cy="11557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8"/>
          <w:szCs w:val="8"/>
          <w:color w:val="auto"/>
        </w:rPr>
        <w:t>81</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8"/>
          <w:szCs w:val="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31750</wp:posOffset>
            </wp:positionV>
            <wp:extent cx="248285" cy="1155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285" cy="11557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8"/>
          <w:szCs w:val="8"/>
          <w:color w:val="auto"/>
        </w:rPr>
        <w:t>89</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8"/>
          <w:szCs w:val="8"/>
          <w:color w:val="auto"/>
        </w:rPr>
        <w:t>94</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95</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96</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97</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98</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8"/>
          <w:szCs w:val="8"/>
          <w:color w:val="auto"/>
        </w:rPr>
        <w:t>98</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99</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009AD9"/>
        </w:rPr>
        <w:t>100</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009AD9"/>
        </w:rPr>
        <w:t>106</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009AD9"/>
        </w:rPr>
        <w:t>107</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009AD9"/>
        </w:rPr>
        <w:t>111</w:t>
      </w:r>
    </w:p>
    <w:p>
      <w:pPr>
        <w:spacing w:after="0" w:line="59"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17145</wp:posOffset>
            </wp:positionV>
            <wp:extent cx="248285" cy="115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285"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111</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17145</wp:posOffset>
            </wp:positionV>
            <wp:extent cx="248285" cy="1155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285" cy="115570"/>
                    </a:xfrm>
                    <a:prstGeom prst="rect">
                      <a:avLst/>
                    </a:prstGeom>
                    <a:noFill/>
                  </pic:spPr>
                </pic:pic>
              </a:graphicData>
            </a:graphic>
          </wp:anchor>
        </w:drawing>
      </w:r>
    </w:p>
    <w:p>
      <w:pPr>
        <w:spacing w:after="0" w:line="4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112</w:t>
      </w:r>
    </w:p>
    <w:p>
      <w:pPr>
        <w:spacing w:after="0" w:line="67" w:lineRule="exact"/>
        <w:rPr>
          <w:sz w:val="20"/>
          <w:szCs w:val="20"/>
          <w:color w:val="auto"/>
        </w:rPr>
      </w:pPr>
    </w:p>
    <w:p>
      <w:pPr>
        <w:jc w:val="right"/>
        <w:ind w:right="879"/>
        <w:spacing w:after="0"/>
        <w:rPr>
          <w:sz w:val="20"/>
          <w:szCs w:val="20"/>
          <w:color w:val="auto"/>
        </w:rPr>
      </w:pPr>
      <w:r>
        <w:rPr>
          <w:rFonts w:ascii="Arial" w:cs="Arial" w:eastAsia="Arial" w:hAnsi="Arial"/>
          <w:sz w:val="10"/>
          <w:szCs w:val="10"/>
          <w:color w:val="auto"/>
        </w:rPr>
        <w:t>112</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8"/>
          <w:szCs w:val="8"/>
          <w:color w:val="auto"/>
        </w:rPr>
        <w:t>A-1</w:t>
      </w:r>
    </w:p>
    <w:p>
      <w:pPr>
        <w:sectPr>
          <w:pgSz w:w="11900" w:h="16838" w:orient="portrait"/>
          <w:cols w:equalWidth="0" w:num="2">
            <w:col w:w="8420" w:space="660"/>
            <w:col w:w="1079"/>
          </w:cols>
          <w:pgMar w:left="300" w:top="373" w:right="1440"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1755140" cy="617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55140" cy="61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640"/>
        <w:spacing w:after="0"/>
        <w:rPr>
          <w:sz w:val="20"/>
          <w:szCs w:val="20"/>
          <w:color w:val="auto"/>
        </w:rPr>
      </w:pPr>
      <w:r>
        <w:rPr>
          <w:rFonts w:ascii="Arial" w:cs="Arial" w:eastAsia="Arial" w:hAnsi="Arial"/>
          <w:sz w:val="34"/>
          <w:szCs w:val="34"/>
          <w:color w:val="auto"/>
        </w:rPr>
        <w:t>Always There.</w:t>
      </w:r>
      <w:r>
        <w:rPr>
          <w:rFonts w:ascii="Arial" w:cs="Arial" w:eastAsia="Arial" w:hAnsi="Arial"/>
          <w:sz w:val="50"/>
          <w:szCs w:val="50"/>
          <w:color w:val="auto"/>
          <w:vertAlign w:val="superscript"/>
        </w:rPr>
        <w:t>®</w:t>
      </w:r>
    </w:p>
    <w:p>
      <w:pPr>
        <w:ind w:left="1940"/>
        <w:spacing w:after="0"/>
        <w:rPr>
          <w:sz w:val="20"/>
          <w:szCs w:val="20"/>
          <w:color w:val="auto"/>
        </w:rPr>
      </w:pPr>
      <w:r>
        <w:rPr>
          <w:rFonts w:ascii="Arial" w:cs="Arial" w:eastAsia="Arial" w:hAnsi="Arial"/>
          <w:sz w:val="22"/>
          <w:szCs w:val="22"/>
          <w:b w:val="1"/>
          <w:bCs w:val="1"/>
          <w:color w:val="009AD9"/>
        </w:rPr>
        <w:t>Notice of Annual Meeting of Shareholders</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Dear Shareholders:</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You are cordially invited to attend the 2023 annual meeting of shareholders of CenterPoint Energy, Inc. This is your notice for the meeting.</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TIME AND DATE</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9:00 a.m. Central Time on April 21, 2023.</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PLACE</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 CenterPoint Energy auditorium at 1111 Louisiana, Houston, Texas.</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ITEMS OF BUSINESS</w:t>
      </w:r>
    </w:p>
    <w:p>
      <w:pPr>
        <w:spacing w:after="0" w:line="56" w:lineRule="exact"/>
        <w:rPr>
          <w:sz w:val="20"/>
          <w:szCs w:val="20"/>
          <w:color w:val="auto"/>
        </w:rPr>
      </w:pPr>
    </w:p>
    <w:p>
      <w:pPr>
        <w:ind w:left="2220" w:hanging="213"/>
        <w:spacing w:after="0"/>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elect the nine nominees named in the proxy statement as directors to hold office until the 2024 annual meeting;</w:t>
      </w:r>
    </w:p>
    <w:p>
      <w:pPr>
        <w:ind w:left="2220" w:hanging="213"/>
        <w:spacing w:after="0" w:line="237" w:lineRule="auto"/>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ratify the appointment of Deloitte &amp; Touche LLP as our independent registered public accounting firm for 2023;</w:t>
      </w:r>
    </w:p>
    <w:p>
      <w:pPr>
        <w:ind w:left="2220" w:hanging="213"/>
        <w:spacing w:after="0" w:line="237" w:lineRule="auto"/>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conduct an advisory vote on executive compensation;</w:t>
      </w:r>
    </w:p>
    <w:p>
      <w:pPr>
        <w:ind w:left="2220" w:hanging="213"/>
        <w:spacing w:after="0" w:line="237" w:lineRule="auto"/>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conduct an advisory vote on the frequency of future advisory votes on executive compensation;</w:t>
      </w:r>
    </w:p>
    <w:p>
      <w:pPr>
        <w:ind w:left="2220" w:hanging="213"/>
        <w:spacing w:after="0" w:line="237" w:lineRule="auto"/>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vote on a shareholder proposal relating to our disclosure of Scope 3 emissions and setting Scope 3 emissions targets; and</w:t>
      </w:r>
    </w:p>
    <w:p>
      <w:pPr>
        <w:ind w:left="2220" w:hanging="213"/>
        <w:spacing w:after="0"/>
        <w:tabs>
          <w:tab w:leader="none" w:pos="2220" w:val="left"/>
        </w:tabs>
        <w:numPr>
          <w:ilvl w:val="0"/>
          <w:numId w:val="6"/>
        </w:numPr>
        <w:rPr>
          <w:rFonts w:ascii="Arial" w:cs="Arial" w:eastAsia="Arial" w:hAnsi="Arial"/>
          <w:sz w:val="12"/>
          <w:szCs w:val="12"/>
          <w:color w:val="009AD9"/>
        </w:rPr>
      </w:pPr>
      <w:r>
        <w:rPr>
          <w:rFonts w:ascii="Arial" w:cs="Arial" w:eastAsia="Arial" w:hAnsi="Arial"/>
          <w:sz w:val="12"/>
          <w:szCs w:val="12"/>
          <w:color w:val="auto"/>
        </w:rPr>
        <w:t>conduct other business if properly raised.</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RECORD DATE</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Holders of record of CenterPoint Energy common stock at the close of business on February 24, 2023 are entitled to vote.</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PROXY VOTING</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7 of the proxy statement that follows. </w:t>
      </w:r>
      <w:r>
        <w:rPr>
          <w:rFonts w:ascii="Arial" w:cs="Arial" w:eastAsia="Arial" w:hAnsi="Arial"/>
          <w:sz w:val="12"/>
          <w:szCs w:val="12"/>
          <w:b w:val="1"/>
          <w:bCs w:val="1"/>
          <w:color w:val="auto"/>
        </w:rPr>
        <w:t>Even if you plan to attend the meeting, please sign, date and return the</w:t>
      </w:r>
      <w:r>
        <w:rPr>
          <w:rFonts w:ascii="Arial" w:cs="Arial" w:eastAsia="Arial" w:hAnsi="Arial"/>
          <w:sz w:val="12"/>
          <w:szCs w:val="12"/>
          <w:color w:val="auto"/>
        </w:rPr>
        <w:t xml:space="preserve"> </w:t>
      </w:r>
      <w:r>
        <w:rPr>
          <w:rFonts w:ascii="Arial" w:cs="Arial" w:eastAsia="Arial" w:hAnsi="Arial"/>
          <w:sz w:val="12"/>
          <w:szCs w:val="12"/>
          <w:b w:val="1"/>
          <w:bCs w:val="1"/>
          <w:color w:val="auto"/>
        </w:rPr>
        <w:t>enclosed proxy card or submit your proxy using the Internet or telephone procedures described on the proxy card.</w:t>
      </w:r>
    </w:p>
    <w:p>
      <w:pPr>
        <w:spacing w:after="0" w:line="210"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34290</wp:posOffset>
            </wp:positionV>
            <wp:extent cx="1033780" cy="201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33780" cy="201930"/>
                    </a:xfrm>
                    <a:prstGeom prst="rect">
                      <a:avLst/>
                    </a:prstGeom>
                    <a:noFill/>
                  </pic:spPr>
                </pic:pic>
              </a:graphicData>
            </a:graphic>
          </wp:anchor>
        </w:drawing>
      </w:r>
    </w:p>
    <w:p>
      <w:pPr>
        <w:spacing w:after="0" w:line="350"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Vincent A. Mercaldi</w:t>
      </w:r>
    </w:p>
    <w:p>
      <w:pPr>
        <w:ind w:left="5940"/>
        <w:spacing w:after="0"/>
        <w:rPr>
          <w:sz w:val="20"/>
          <w:szCs w:val="20"/>
          <w:color w:val="auto"/>
        </w:rPr>
      </w:pPr>
      <w:r>
        <w:rPr>
          <w:rFonts w:ascii="Arial" w:cs="Arial" w:eastAsia="Arial" w:hAnsi="Arial"/>
          <w:sz w:val="12"/>
          <w:szCs w:val="12"/>
          <w:color w:val="auto"/>
        </w:rPr>
        <w:t>Corporate Secretary</w:t>
      </w:r>
    </w:p>
    <w:p>
      <w:pPr>
        <w:spacing w:after="0" w:line="70"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Dated and first mailed</w:t>
      </w:r>
    </w:p>
    <w:p>
      <w:pPr>
        <w:ind w:left="1940"/>
        <w:spacing w:after="0" w:line="237" w:lineRule="auto"/>
        <w:rPr>
          <w:sz w:val="20"/>
          <w:szCs w:val="20"/>
          <w:color w:val="auto"/>
        </w:rPr>
      </w:pPr>
      <w:r>
        <w:rPr>
          <w:rFonts w:ascii="Arial" w:cs="Arial" w:eastAsia="Arial" w:hAnsi="Arial"/>
          <w:sz w:val="12"/>
          <w:szCs w:val="12"/>
          <w:color w:val="auto"/>
        </w:rPr>
        <w:t>to shareholders</w:t>
      </w:r>
    </w:p>
    <w:p>
      <w:pPr>
        <w:ind w:left="1940"/>
        <w:spacing w:after="0"/>
        <w:rPr>
          <w:sz w:val="20"/>
          <w:szCs w:val="20"/>
          <w:color w:val="auto"/>
        </w:rPr>
      </w:pPr>
      <w:r>
        <w:rPr>
          <w:rFonts w:ascii="Arial" w:cs="Arial" w:eastAsia="Arial" w:hAnsi="Arial"/>
          <w:sz w:val="12"/>
          <w:szCs w:val="12"/>
          <w:color w:val="auto"/>
        </w:rPr>
        <w:t>on or about March 10, 2023</w:t>
      </w:r>
    </w:p>
    <w:p>
      <w:pPr>
        <w:spacing w:after="0" w:line="340"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009AD9"/>
        </w:rPr>
        <w:t>Important Notice Regarding the Availability of Proxy Materials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009AD9"/>
        </w:rPr>
        <w:t>for the Annual Shareholder Meeting to be Held April 21, 2023</w:t>
      </w:r>
    </w:p>
    <w:p>
      <w:pPr>
        <w:spacing w:after="0" w:line="27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The proxy statement and annual report to shareholders are available at: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https://materials.proxyvote.com/15189t</w:t>
      </w:r>
    </w:p>
    <w:p>
      <w:pPr>
        <w:sectPr>
          <w:pgSz w:w="11900" w:h="16838" w:orient="portrait"/>
          <w:cols w:equalWidth="0" w:num="1">
            <w:col w:w="10159"/>
          </w:cols>
          <w:pgMar w:left="300" w:top="373"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4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39495" cy="144145"/>
                    </a:xfrm>
                    <a:prstGeom prst="rect">
                      <a:avLst/>
                    </a:prstGeom>
                    <a:noFill/>
                  </pic:spPr>
                </pic:pic>
              </a:graphicData>
            </a:graphic>
          </wp:anchor>
        </w:drawing>
      </w:r>
    </w:p>
    <w:p>
      <w:pPr>
        <w:spacing w:after="0" w:line="175" w:lineRule="exact"/>
        <w:rPr>
          <w:sz w:val="20"/>
          <w:szCs w:val="20"/>
          <w:color w:val="auto"/>
        </w:rPr>
      </w:pPr>
    </w:p>
    <w:p>
      <w:pPr>
        <w:ind w:left="7720"/>
        <w:spacing w:after="0"/>
        <w:rPr>
          <w:sz w:val="20"/>
          <w:szCs w:val="20"/>
          <w:color w:val="auto"/>
        </w:rPr>
      </w:pPr>
      <w:r>
        <w:rPr>
          <w:sz w:val="1"/>
          <w:szCs w:val="1"/>
          <w:color w:val="auto"/>
        </w:rPr>
        <w:drawing>
          <wp:inline distT="0" distB="0" distL="0" distR="0">
            <wp:extent cx="46355" cy="1498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355" cy="149860"/>
                    </a:xfrm>
                    <a:prstGeom prst="rect">
                      <a:avLst/>
                    </a:prstGeom>
                    <a:noFill/>
                    <a:ln>
                      <a:noFill/>
                    </a:ln>
                  </pic:spPr>
                </pic:pic>
              </a:graphicData>
            </a:graphic>
          </wp:inline>
        </w:drawing>
      </w:r>
      <w:r>
        <w:rPr>
          <w:rFonts w:ascii="Arial" w:cs="Arial" w:eastAsia="Arial" w:hAnsi="Arial"/>
          <w:sz w:val="12"/>
          <w:szCs w:val="12"/>
          <w:color w:val="FFFFFF"/>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11700" cy="571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60325</wp:posOffset>
            </wp:positionV>
            <wp:extent cx="4718685" cy="2203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8685" cy="220345"/>
                    </a:xfrm>
                    <a:prstGeom prst="rect">
                      <a:avLst/>
                    </a:prstGeom>
                    <a:noFill/>
                  </pic:spPr>
                </pic:pic>
              </a:graphicData>
            </a:graphic>
          </wp:anchor>
        </w:drawing>
      </w:r>
    </w:p>
    <w:p>
      <w:pPr>
        <w:spacing w:after="0" w:line="93"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FFFFFF"/>
        </w:rPr>
        <w:t>PROXY STATEMENT SUMMARY</w:t>
      </w:r>
    </w:p>
    <w:p>
      <w:pPr>
        <w:spacing w:after="0" w:line="288"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This summary highlights information that is contained elsewhere in this proxy statement. It does not contain all the information that you should consider. We encourage you to read the entire proxy statement carefully before voting.</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Annual Meeting 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At the Annual Meeting, you will be asked to vote on the following five proposals. The table below includes each proposal as well as our recommendation.</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119"/>
        </w:trPr>
        <w:tc>
          <w:tcPr>
            <w:tcW w:w="2620" w:type="dxa"/>
            <w:vAlign w:val="bottom"/>
            <w:shd w:val="clear" w:color="auto" w:fill="009AD9"/>
          </w:tcPr>
          <w:p>
            <w:pPr>
              <w:spacing w:after="0"/>
              <w:rPr>
                <w:sz w:val="10"/>
                <w:szCs w:val="10"/>
                <w:color w:val="auto"/>
              </w:rPr>
            </w:pPr>
          </w:p>
        </w:tc>
        <w:tc>
          <w:tcPr>
            <w:tcW w:w="2240" w:type="dxa"/>
            <w:vAlign w:val="bottom"/>
            <w:shd w:val="clear" w:color="auto" w:fill="009AD9"/>
          </w:tcPr>
          <w:p>
            <w:pPr>
              <w:spacing w:after="0"/>
              <w:rPr>
                <w:sz w:val="10"/>
                <w:szCs w:val="10"/>
                <w:color w:val="auto"/>
              </w:rPr>
            </w:pPr>
          </w:p>
        </w:tc>
        <w:tc>
          <w:tcPr>
            <w:tcW w:w="2560" w:type="dxa"/>
            <w:vAlign w:val="bottom"/>
            <w:shd w:val="clear" w:color="auto" w:fill="009AD9"/>
          </w:tcPr>
          <w:p>
            <w:pPr>
              <w:jc w:val="center"/>
              <w:ind w:left="312"/>
              <w:spacing w:after="0"/>
              <w:rPr>
                <w:sz w:val="20"/>
                <w:szCs w:val="20"/>
                <w:color w:val="auto"/>
              </w:rPr>
            </w:pPr>
            <w:r>
              <w:rPr>
                <w:rFonts w:ascii="Arial" w:cs="Arial" w:eastAsia="Arial" w:hAnsi="Arial"/>
                <w:sz w:val="10"/>
                <w:szCs w:val="10"/>
                <w:b w:val="1"/>
                <w:bCs w:val="1"/>
                <w:color w:val="FFFFFF"/>
                <w:w w:val="96"/>
              </w:rPr>
              <w:t>Board</w:t>
            </w:r>
          </w:p>
        </w:tc>
      </w:tr>
      <w:tr>
        <w:trPr>
          <w:trHeight w:val="136"/>
        </w:trPr>
        <w:tc>
          <w:tcPr>
            <w:tcW w:w="2620" w:type="dxa"/>
            <w:vAlign w:val="bottom"/>
            <w:shd w:val="clear" w:color="auto" w:fill="009AD9"/>
          </w:tcPr>
          <w:p>
            <w:pPr>
              <w:ind w:left="40"/>
              <w:spacing w:after="0"/>
              <w:rPr>
                <w:sz w:val="20"/>
                <w:szCs w:val="20"/>
                <w:color w:val="auto"/>
              </w:rPr>
            </w:pPr>
            <w:r>
              <w:rPr>
                <w:rFonts w:ascii="Arial" w:cs="Arial" w:eastAsia="Arial" w:hAnsi="Arial"/>
                <w:sz w:val="10"/>
                <w:szCs w:val="10"/>
                <w:b w:val="1"/>
                <w:bCs w:val="1"/>
                <w:color w:val="FFFFFF"/>
              </w:rPr>
              <w:t>Proposal</w:t>
            </w:r>
          </w:p>
        </w:tc>
        <w:tc>
          <w:tcPr>
            <w:tcW w:w="2240" w:type="dxa"/>
            <w:vAlign w:val="bottom"/>
            <w:shd w:val="clear" w:color="auto" w:fill="009AD9"/>
          </w:tcPr>
          <w:p>
            <w:pPr>
              <w:jc w:val="center"/>
              <w:ind w:left="392"/>
              <w:spacing w:after="0"/>
              <w:rPr>
                <w:sz w:val="20"/>
                <w:szCs w:val="20"/>
                <w:color w:val="auto"/>
              </w:rPr>
            </w:pPr>
            <w:r>
              <w:rPr>
                <w:rFonts w:ascii="Arial" w:cs="Arial" w:eastAsia="Arial" w:hAnsi="Arial"/>
                <w:sz w:val="10"/>
                <w:szCs w:val="10"/>
                <w:b w:val="1"/>
                <w:bCs w:val="1"/>
                <w:color w:val="FFFFFF"/>
                <w:w w:val="97"/>
              </w:rPr>
              <w:t>More Information</w:t>
            </w:r>
          </w:p>
        </w:tc>
        <w:tc>
          <w:tcPr>
            <w:tcW w:w="2560" w:type="dxa"/>
            <w:vAlign w:val="bottom"/>
            <w:shd w:val="clear" w:color="auto" w:fill="009AD9"/>
          </w:tcPr>
          <w:p>
            <w:pPr>
              <w:jc w:val="center"/>
              <w:ind w:left="312"/>
              <w:spacing w:after="0"/>
              <w:rPr>
                <w:sz w:val="20"/>
                <w:szCs w:val="20"/>
                <w:color w:val="auto"/>
              </w:rPr>
            </w:pPr>
            <w:r>
              <w:rPr>
                <w:rFonts w:ascii="Arial" w:cs="Arial" w:eastAsia="Arial" w:hAnsi="Arial"/>
                <w:sz w:val="10"/>
                <w:szCs w:val="10"/>
                <w:b w:val="1"/>
                <w:bCs w:val="1"/>
                <w:color w:val="FFFFFF"/>
                <w:w w:val="95"/>
              </w:rPr>
              <w:t>Recommendation</w:t>
            </w:r>
          </w:p>
        </w:tc>
      </w:tr>
      <w:tr>
        <w:trPr>
          <w:trHeight w:val="185"/>
        </w:trPr>
        <w:tc>
          <w:tcPr>
            <w:tcW w:w="2620" w:type="dxa"/>
            <w:vAlign w:val="bottom"/>
          </w:tcPr>
          <w:p>
            <w:pPr>
              <w:ind w:left="40"/>
              <w:spacing w:after="0"/>
              <w:rPr>
                <w:sz w:val="20"/>
                <w:szCs w:val="20"/>
                <w:color w:val="auto"/>
              </w:rPr>
            </w:pPr>
            <w:r>
              <w:rPr>
                <w:rFonts w:ascii="Arial" w:cs="Arial" w:eastAsia="Arial" w:hAnsi="Arial"/>
                <w:sz w:val="10"/>
                <w:szCs w:val="10"/>
                <w:b w:val="1"/>
                <w:bCs w:val="1"/>
                <w:color w:val="auto"/>
              </w:rPr>
              <w:t>Item 1: Election of directors</w:t>
            </w:r>
          </w:p>
        </w:tc>
        <w:tc>
          <w:tcPr>
            <w:tcW w:w="2240" w:type="dxa"/>
            <w:vAlign w:val="bottom"/>
          </w:tcPr>
          <w:p>
            <w:pPr>
              <w:jc w:val="center"/>
              <w:ind w:left="392"/>
              <w:spacing w:after="0"/>
              <w:rPr>
                <w:sz w:val="20"/>
                <w:szCs w:val="20"/>
                <w:color w:val="auto"/>
              </w:rPr>
            </w:pPr>
            <w:r>
              <w:rPr>
                <w:rFonts w:ascii="Arial" w:cs="Arial" w:eastAsia="Arial" w:hAnsi="Arial"/>
                <w:sz w:val="10"/>
                <w:szCs w:val="10"/>
                <w:color w:val="auto"/>
                <w:w w:val="96"/>
              </w:rPr>
              <w:t>Page 10</w:t>
            </w:r>
          </w:p>
        </w:tc>
        <w:tc>
          <w:tcPr>
            <w:tcW w:w="2560" w:type="dxa"/>
            <w:vAlign w:val="bottom"/>
          </w:tcPr>
          <w:p>
            <w:pPr>
              <w:jc w:val="center"/>
              <w:ind w:left="312"/>
              <w:spacing w:after="0"/>
              <w:rPr>
                <w:sz w:val="20"/>
                <w:szCs w:val="20"/>
                <w:color w:val="auto"/>
              </w:rPr>
            </w:pPr>
            <w:r>
              <w:rPr>
                <w:rFonts w:ascii="Arial" w:cs="Arial" w:eastAsia="Arial" w:hAnsi="Arial"/>
                <w:sz w:val="10"/>
                <w:szCs w:val="10"/>
                <w:color w:val="auto"/>
                <w:w w:val="94"/>
              </w:rPr>
              <w:t>FOR</w:t>
            </w:r>
          </w:p>
        </w:tc>
      </w:tr>
      <w:tr>
        <w:trPr>
          <w:trHeight w:val="116"/>
        </w:trPr>
        <w:tc>
          <w:tcPr>
            <w:tcW w:w="2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560" w:type="dxa"/>
            <w:vAlign w:val="bottom"/>
          </w:tcPr>
          <w:p>
            <w:pPr>
              <w:jc w:val="center"/>
              <w:ind w:left="312"/>
              <w:spacing w:after="0"/>
              <w:rPr>
                <w:sz w:val="20"/>
                <w:szCs w:val="20"/>
                <w:color w:val="auto"/>
              </w:rPr>
            </w:pPr>
            <w:r>
              <w:rPr>
                <w:rFonts w:ascii="Arial" w:cs="Arial" w:eastAsia="Arial" w:hAnsi="Arial"/>
                <w:sz w:val="10"/>
                <w:szCs w:val="10"/>
                <w:color w:val="auto"/>
                <w:w w:val="95"/>
              </w:rPr>
              <w:t>each nominee</w:t>
            </w:r>
          </w:p>
        </w:tc>
      </w:tr>
      <w:tr>
        <w:trPr>
          <w:trHeight w:val="63"/>
        </w:trPr>
        <w:tc>
          <w:tcPr>
            <w:tcW w:w="26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173"/>
        </w:trPr>
        <w:tc>
          <w:tcPr>
            <w:tcW w:w="26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w w:val="99"/>
              </w:rPr>
              <w:t>Item 2: Ratification of appointment of the independent</w:t>
            </w:r>
          </w:p>
        </w:tc>
        <w:tc>
          <w:tcPr>
            <w:tcW w:w="2240" w:type="dxa"/>
            <w:vAlign w:val="bottom"/>
            <w:shd w:val="clear" w:color="auto" w:fill="D8EFF9"/>
          </w:tcPr>
          <w:p>
            <w:pPr>
              <w:jc w:val="center"/>
              <w:ind w:left="392"/>
              <w:spacing w:after="0"/>
              <w:rPr>
                <w:sz w:val="20"/>
                <w:szCs w:val="20"/>
                <w:color w:val="auto"/>
              </w:rPr>
            </w:pPr>
            <w:r>
              <w:rPr>
                <w:rFonts w:ascii="Arial" w:cs="Arial" w:eastAsia="Arial" w:hAnsi="Arial"/>
                <w:sz w:val="10"/>
                <w:szCs w:val="10"/>
                <w:color w:val="auto"/>
                <w:w w:val="96"/>
              </w:rPr>
              <w:t>Page 99</w:t>
            </w:r>
          </w:p>
        </w:tc>
        <w:tc>
          <w:tcPr>
            <w:tcW w:w="2560" w:type="dxa"/>
            <w:vAlign w:val="bottom"/>
            <w:shd w:val="clear" w:color="auto" w:fill="D8EFF9"/>
          </w:tcPr>
          <w:p>
            <w:pPr>
              <w:jc w:val="center"/>
              <w:ind w:left="312"/>
              <w:spacing w:after="0"/>
              <w:rPr>
                <w:sz w:val="20"/>
                <w:szCs w:val="20"/>
                <w:color w:val="auto"/>
              </w:rPr>
            </w:pPr>
            <w:r>
              <w:rPr>
                <w:rFonts w:ascii="Arial" w:cs="Arial" w:eastAsia="Arial" w:hAnsi="Arial"/>
                <w:sz w:val="10"/>
                <w:szCs w:val="10"/>
                <w:color w:val="auto"/>
                <w:w w:val="94"/>
              </w:rPr>
              <w:t>FOR</w:t>
            </w:r>
          </w:p>
        </w:tc>
      </w:tr>
      <w:tr>
        <w:trPr>
          <w:trHeight w:val="128"/>
        </w:trPr>
        <w:tc>
          <w:tcPr>
            <w:tcW w:w="26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registered public accounting firm</w:t>
            </w:r>
          </w:p>
        </w:tc>
        <w:tc>
          <w:tcPr>
            <w:tcW w:w="2240" w:type="dxa"/>
            <w:vAlign w:val="bottom"/>
            <w:shd w:val="clear" w:color="auto" w:fill="D8EFF9"/>
          </w:tcPr>
          <w:p>
            <w:pPr>
              <w:spacing w:after="0"/>
              <w:rPr>
                <w:sz w:val="11"/>
                <w:szCs w:val="11"/>
                <w:color w:val="auto"/>
              </w:rPr>
            </w:pPr>
          </w:p>
        </w:tc>
        <w:tc>
          <w:tcPr>
            <w:tcW w:w="2560" w:type="dxa"/>
            <w:vAlign w:val="bottom"/>
            <w:shd w:val="clear" w:color="auto" w:fill="D8EFF9"/>
          </w:tcPr>
          <w:p>
            <w:pPr>
              <w:spacing w:after="0"/>
              <w:rPr>
                <w:sz w:val="11"/>
                <w:szCs w:val="11"/>
                <w:color w:val="auto"/>
              </w:rPr>
            </w:pPr>
          </w:p>
        </w:tc>
      </w:tr>
      <w:tr>
        <w:trPr>
          <w:trHeight w:val="63"/>
        </w:trPr>
        <w:tc>
          <w:tcPr>
            <w:tcW w:w="2620" w:type="dxa"/>
            <w:vAlign w:val="bottom"/>
            <w:shd w:val="clear" w:color="auto" w:fill="D8EFF9"/>
          </w:tcPr>
          <w:p>
            <w:pPr>
              <w:spacing w:after="0"/>
              <w:rPr>
                <w:sz w:val="5"/>
                <w:szCs w:val="5"/>
                <w:color w:val="auto"/>
              </w:rPr>
            </w:pPr>
          </w:p>
        </w:tc>
        <w:tc>
          <w:tcPr>
            <w:tcW w:w="2240" w:type="dxa"/>
            <w:vAlign w:val="bottom"/>
            <w:shd w:val="clear" w:color="auto" w:fill="D8EFF9"/>
          </w:tcPr>
          <w:p>
            <w:pPr>
              <w:spacing w:after="0"/>
              <w:rPr>
                <w:sz w:val="5"/>
                <w:szCs w:val="5"/>
                <w:color w:val="auto"/>
              </w:rPr>
            </w:pPr>
          </w:p>
        </w:tc>
        <w:tc>
          <w:tcPr>
            <w:tcW w:w="2560" w:type="dxa"/>
            <w:vAlign w:val="bottom"/>
            <w:shd w:val="clear" w:color="auto" w:fill="D8EFF9"/>
          </w:tcPr>
          <w:p>
            <w:pPr>
              <w:spacing w:after="0"/>
              <w:rPr>
                <w:sz w:val="5"/>
                <w:szCs w:val="5"/>
                <w:color w:val="auto"/>
              </w:rPr>
            </w:pPr>
          </w:p>
        </w:tc>
      </w:tr>
      <w:tr>
        <w:trPr>
          <w:trHeight w:val="192"/>
        </w:trPr>
        <w:tc>
          <w:tcPr>
            <w:tcW w:w="2620" w:type="dxa"/>
            <w:vAlign w:val="bottom"/>
          </w:tcPr>
          <w:p>
            <w:pPr>
              <w:ind w:left="40"/>
              <w:spacing w:after="0"/>
              <w:rPr>
                <w:sz w:val="20"/>
                <w:szCs w:val="20"/>
                <w:color w:val="auto"/>
              </w:rPr>
            </w:pPr>
            <w:r>
              <w:rPr>
                <w:rFonts w:ascii="Arial" w:cs="Arial" w:eastAsia="Arial" w:hAnsi="Arial"/>
                <w:sz w:val="10"/>
                <w:szCs w:val="10"/>
                <w:b w:val="1"/>
                <w:bCs w:val="1"/>
                <w:color w:val="auto"/>
              </w:rPr>
              <w:t>Item 3: Advisory vote on executive compensation</w:t>
            </w:r>
          </w:p>
        </w:tc>
        <w:tc>
          <w:tcPr>
            <w:tcW w:w="2240" w:type="dxa"/>
            <w:vAlign w:val="bottom"/>
          </w:tcPr>
          <w:p>
            <w:pPr>
              <w:jc w:val="center"/>
              <w:ind w:left="392"/>
              <w:spacing w:after="0"/>
              <w:rPr>
                <w:sz w:val="20"/>
                <w:szCs w:val="20"/>
                <w:color w:val="auto"/>
              </w:rPr>
            </w:pPr>
            <w:r>
              <w:rPr>
                <w:rFonts w:ascii="Arial" w:cs="Arial" w:eastAsia="Arial" w:hAnsi="Arial"/>
                <w:sz w:val="10"/>
                <w:szCs w:val="10"/>
                <w:color w:val="auto"/>
                <w:w w:val="93"/>
              </w:rPr>
              <w:t>Page 100</w:t>
            </w:r>
          </w:p>
        </w:tc>
        <w:tc>
          <w:tcPr>
            <w:tcW w:w="2560" w:type="dxa"/>
            <w:vAlign w:val="bottom"/>
          </w:tcPr>
          <w:p>
            <w:pPr>
              <w:jc w:val="center"/>
              <w:ind w:left="312"/>
              <w:spacing w:after="0"/>
              <w:rPr>
                <w:sz w:val="20"/>
                <w:szCs w:val="20"/>
                <w:color w:val="auto"/>
              </w:rPr>
            </w:pPr>
            <w:r>
              <w:rPr>
                <w:rFonts w:ascii="Arial" w:cs="Arial" w:eastAsia="Arial" w:hAnsi="Arial"/>
                <w:sz w:val="10"/>
                <w:szCs w:val="10"/>
                <w:color w:val="auto"/>
                <w:w w:val="94"/>
              </w:rPr>
              <w:t>FOR</w:t>
            </w:r>
          </w:p>
        </w:tc>
      </w:tr>
      <w:tr>
        <w:trPr>
          <w:trHeight w:val="63"/>
        </w:trPr>
        <w:tc>
          <w:tcPr>
            <w:tcW w:w="26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173"/>
        </w:trPr>
        <w:tc>
          <w:tcPr>
            <w:tcW w:w="26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Item 4: Advisory vote on the frequency of future</w:t>
            </w:r>
          </w:p>
        </w:tc>
        <w:tc>
          <w:tcPr>
            <w:tcW w:w="2240" w:type="dxa"/>
            <w:vAlign w:val="bottom"/>
            <w:shd w:val="clear" w:color="auto" w:fill="D8EFF9"/>
          </w:tcPr>
          <w:p>
            <w:pPr>
              <w:jc w:val="center"/>
              <w:ind w:left="392"/>
              <w:spacing w:after="0"/>
              <w:rPr>
                <w:sz w:val="20"/>
                <w:szCs w:val="20"/>
                <w:color w:val="auto"/>
              </w:rPr>
            </w:pPr>
            <w:r>
              <w:rPr>
                <w:rFonts w:ascii="Arial" w:cs="Arial" w:eastAsia="Arial" w:hAnsi="Arial"/>
                <w:sz w:val="10"/>
                <w:szCs w:val="10"/>
                <w:color w:val="auto"/>
                <w:w w:val="93"/>
              </w:rPr>
              <w:t>Page 106</w:t>
            </w:r>
          </w:p>
        </w:tc>
        <w:tc>
          <w:tcPr>
            <w:tcW w:w="2560" w:type="dxa"/>
            <w:vAlign w:val="bottom"/>
            <w:shd w:val="clear" w:color="auto" w:fill="D8EFF9"/>
          </w:tcPr>
          <w:p>
            <w:pPr>
              <w:jc w:val="center"/>
              <w:ind w:left="332"/>
              <w:spacing w:after="0"/>
              <w:rPr>
                <w:sz w:val="20"/>
                <w:szCs w:val="20"/>
                <w:color w:val="auto"/>
              </w:rPr>
            </w:pPr>
            <w:r>
              <w:rPr>
                <w:rFonts w:ascii="Arial" w:cs="Arial" w:eastAsia="Arial" w:hAnsi="Arial"/>
                <w:sz w:val="10"/>
                <w:szCs w:val="10"/>
                <w:color w:val="auto"/>
                <w:w w:val="96"/>
              </w:rPr>
              <w:t>FOR “1 YEAR” as the preferred frequency for</w:t>
            </w:r>
          </w:p>
        </w:tc>
      </w:tr>
      <w:tr>
        <w:trPr>
          <w:trHeight w:val="128"/>
        </w:trPr>
        <w:tc>
          <w:tcPr>
            <w:tcW w:w="26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advisory votes on executive compensation</w:t>
            </w:r>
          </w:p>
        </w:tc>
        <w:tc>
          <w:tcPr>
            <w:tcW w:w="2240" w:type="dxa"/>
            <w:vAlign w:val="bottom"/>
            <w:shd w:val="clear" w:color="auto" w:fill="D8EFF9"/>
          </w:tcPr>
          <w:p>
            <w:pPr>
              <w:spacing w:after="0"/>
              <w:rPr>
                <w:sz w:val="11"/>
                <w:szCs w:val="11"/>
                <w:color w:val="auto"/>
              </w:rPr>
            </w:pPr>
          </w:p>
        </w:tc>
        <w:tc>
          <w:tcPr>
            <w:tcW w:w="2560" w:type="dxa"/>
            <w:vAlign w:val="bottom"/>
            <w:shd w:val="clear" w:color="auto" w:fill="D8EFF9"/>
          </w:tcPr>
          <w:p>
            <w:pPr>
              <w:jc w:val="center"/>
              <w:ind w:left="312"/>
              <w:spacing w:after="0"/>
              <w:rPr>
                <w:sz w:val="20"/>
                <w:szCs w:val="20"/>
                <w:color w:val="auto"/>
              </w:rPr>
            </w:pPr>
            <w:r>
              <w:rPr>
                <w:rFonts w:ascii="Arial" w:cs="Arial" w:eastAsia="Arial" w:hAnsi="Arial"/>
                <w:sz w:val="10"/>
                <w:szCs w:val="10"/>
                <w:color w:val="auto"/>
                <w:w w:val="96"/>
              </w:rPr>
              <w:t>holding future advisory “say-on-pay” votes</w:t>
            </w:r>
          </w:p>
        </w:tc>
      </w:tr>
      <w:tr>
        <w:trPr>
          <w:trHeight w:val="63"/>
        </w:trPr>
        <w:tc>
          <w:tcPr>
            <w:tcW w:w="2620" w:type="dxa"/>
            <w:vAlign w:val="bottom"/>
            <w:shd w:val="clear" w:color="auto" w:fill="D8EFF9"/>
          </w:tcPr>
          <w:p>
            <w:pPr>
              <w:spacing w:after="0"/>
              <w:rPr>
                <w:sz w:val="5"/>
                <w:szCs w:val="5"/>
                <w:color w:val="auto"/>
              </w:rPr>
            </w:pPr>
          </w:p>
        </w:tc>
        <w:tc>
          <w:tcPr>
            <w:tcW w:w="2240" w:type="dxa"/>
            <w:vAlign w:val="bottom"/>
            <w:shd w:val="clear" w:color="auto" w:fill="D8EFF9"/>
          </w:tcPr>
          <w:p>
            <w:pPr>
              <w:spacing w:after="0"/>
              <w:rPr>
                <w:sz w:val="5"/>
                <w:szCs w:val="5"/>
                <w:color w:val="auto"/>
              </w:rPr>
            </w:pPr>
          </w:p>
        </w:tc>
        <w:tc>
          <w:tcPr>
            <w:tcW w:w="2560" w:type="dxa"/>
            <w:vAlign w:val="bottom"/>
            <w:shd w:val="clear" w:color="auto" w:fill="D8EFF9"/>
          </w:tcPr>
          <w:p>
            <w:pPr>
              <w:spacing w:after="0"/>
              <w:rPr>
                <w:sz w:val="5"/>
                <w:szCs w:val="5"/>
                <w:color w:val="auto"/>
              </w:rPr>
            </w:pPr>
          </w:p>
        </w:tc>
      </w:tr>
      <w:tr>
        <w:trPr>
          <w:trHeight w:val="173"/>
        </w:trPr>
        <w:tc>
          <w:tcPr>
            <w:tcW w:w="2620" w:type="dxa"/>
            <w:vAlign w:val="bottom"/>
          </w:tcPr>
          <w:p>
            <w:pPr>
              <w:ind w:left="40"/>
              <w:spacing w:after="0"/>
              <w:rPr>
                <w:sz w:val="20"/>
                <w:szCs w:val="20"/>
                <w:color w:val="auto"/>
              </w:rPr>
            </w:pPr>
            <w:r>
              <w:rPr>
                <w:rFonts w:ascii="Arial" w:cs="Arial" w:eastAsia="Arial" w:hAnsi="Arial"/>
                <w:sz w:val="10"/>
                <w:szCs w:val="10"/>
                <w:b w:val="1"/>
                <w:bCs w:val="1"/>
                <w:color w:val="auto"/>
              </w:rPr>
              <w:t>Item 5: Shareholder Proposal – Disclosure of Scope 3</w:t>
            </w:r>
          </w:p>
        </w:tc>
        <w:tc>
          <w:tcPr>
            <w:tcW w:w="2240" w:type="dxa"/>
            <w:vAlign w:val="bottom"/>
          </w:tcPr>
          <w:p>
            <w:pPr>
              <w:jc w:val="center"/>
              <w:ind w:left="392"/>
              <w:spacing w:after="0"/>
              <w:rPr>
                <w:sz w:val="20"/>
                <w:szCs w:val="20"/>
                <w:color w:val="auto"/>
              </w:rPr>
            </w:pPr>
            <w:r>
              <w:rPr>
                <w:rFonts w:ascii="Arial" w:cs="Arial" w:eastAsia="Arial" w:hAnsi="Arial"/>
                <w:sz w:val="10"/>
                <w:szCs w:val="10"/>
                <w:color w:val="auto"/>
                <w:w w:val="93"/>
              </w:rPr>
              <w:t>Page 107</w:t>
            </w:r>
          </w:p>
        </w:tc>
        <w:tc>
          <w:tcPr>
            <w:tcW w:w="2560" w:type="dxa"/>
            <w:vAlign w:val="bottom"/>
          </w:tcPr>
          <w:p>
            <w:pPr>
              <w:jc w:val="center"/>
              <w:ind w:left="332"/>
              <w:spacing w:after="0"/>
              <w:rPr>
                <w:sz w:val="20"/>
                <w:szCs w:val="20"/>
                <w:color w:val="auto"/>
              </w:rPr>
            </w:pPr>
            <w:r>
              <w:rPr>
                <w:rFonts w:ascii="Arial" w:cs="Arial" w:eastAsia="Arial" w:hAnsi="Arial"/>
                <w:sz w:val="10"/>
                <w:szCs w:val="10"/>
                <w:color w:val="auto"/>
                <w:w w:val="95"/>
              </w:rPr>
              <w:t>AGAINST</w:t>
            </w:r>
          </w:p>
        </w:tc>
      </w:tr>
      <w:tr>
        <w:trPr>
          <w:trHeight w:val="128"/>
        </w:trPr>
        <w:tc>
          <w:tcPr>
            <w:tcW w:w="2620" w:type="dxa"/>
            <w:vAlign w:val="bottom"/>
          </w:tcPr>
          <w:p>
            <w:pPr>
              <w:ind w:left="40"/>
              <w:spacing w:after="0"/>
              <w:rPr>
                <w:sz w:val="20"/>
                <w:szCs w:val="20"/>
                <w:color w:val="auto"/>
              </w:rPr>
            </w:pPr>
            <w:r>
              <w:rPr>
                <w:rFonts w:ascii="Arial" w:cs="Arial" w:eastAsia="Arial" w:hAnsi="Arial"/>
                <w:sz w:val="10"/>
                <w:szCs w:val="10"/>
                <w:b w:val="1"/>
                <w:bCs w:val="1"/>
                <w:color w:val="auto"/>
              </w:rPr>
              <w:t>Emissions and Setting Scope 3 Emissions Targets</w:t>
            </w:r>
          </w:p>
        </w:tc>
        <w:tc>
          <w:tcPr>
            <w:tcW w:w="2240" w:type="dxa"/>
            <w:vAlign w:val="bottom"/>
          </w:tcPr>
          <w:p>
            <w:pPr>
              <w:spacing w:after="0"/>
              <w:rPr>
                <w:sz w:val="11"/>
                <w:szCs w:val="11"/>
                <w:color w:val="auto"/>
              </w:rPr>
            </w:pPr>
          </w:p>
        </w:tc>
        <w:tc>
          <w:tcPr>
            <w:tcW w:w="2560" w:type="dxa"/>
            <w:vAlign w:val="bottom"/>
          </w:tcPr>
          <w:p>
            <w:pPr>
              <w:spacing w:after="0"/>
              <w:rPr>
                <w:sz w:val="11"/>
                <w:szCs w:val="11"/>
                <w:color w:val="auto"/>
              </w:rPr>
            </w:pPr>
          </w:p>
        </w:tc>
      </w:tr>
    </w:tbl>
    <w:p>
      <w:pPr>
        <w:spacing w:after="0" w:line="20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What’s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In this proxy statement we describe the following enhancements and undertakings that we believe are responsive to shareholder feedback we received through our active engagement with our shareholders: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Governance</w:t>
      </w:r>
    </w:p>
    <w:p>
      <w:pPr>
        <w:spacing w:after="0" w:line="80" w:lineRule="exact"/>
        <w:rPr>
          <w:sz w:val="20"/>
          <w:szCs w:val="20"/>
          <w:color w:val="auto"/>
        </w:rPr>
      </w:pPr>
    </w:p>
    <w:p>
      <w:pPr>
        <w:ind w:left="2220" w:right="799" w:hanging="213"/>
        <w:spacing w:after="0" w:line="274" w:lineRule="auto"/>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b w:val="1"/>
          <w:bCs w:val="1"/>
          <w:color w:val="auto"/>
        </w:rPr>
        <w:t>New individual director skills matrix and refreshed director biographies</w:t>
      </w:r>
      <w:r>
        <w:rPr>
          <w:rFonts w:ascii="Arial" w:cs="Arial" w:eastAsia="Arial" w:hAnsi="Arial"/>
          <w:sz w:val="12"/>
          <w:szCs w:val="12"/>
          <w:color w:val="auto"/>
        </w:rPr>
        <w:t>, highlighting how each individual directors’ skills and</w:t>
      </w:r>
      <w:r>
        <w:rPr>
          <w:rFonts w:ascii="Arial" w:cs="Arial" w:eastAsia="Arial" w:hAnsi="Arial"/>
          <w:sz w:val="12"/>
          <w:szCs w:val="12"/>
          <w:b w:val="1"/>
          <w:bCs w:val="1"/>
          <w:color w:val="auto"/>
        </w:rPr>
        <w:t xml:space="preserve"> </w:t>
      </w:r>
      <w:r>
        <w:rPr>
          <w:rFonts w:ascii="Arial" w:cs="Arial" w:eastAsia="Arial" w:hAnsi="Arial"/>
          <w:sz w:val="12"/>
          <w:szCs w:val="12"/>
          <w:color w:val="auto"/>
        </w:rPr>
        <w:t>experiences support the Board’s oversight and execution of the Company’s strategy.</w:t>
      </w:r>
    </w:p>
    <w:p>
      <w:pPr>
        <w:spacing w:after="0" w:line="39" w:lineRule="exact"/>
        <w:rPr>
          <w:rFonts w:ascii="Arial" w:cs="Arial" w:eastAsia="Arial" w:hAnsi="Arial"/>
          <w:sz w:val="12"/>
          <w:szCs w:val="12"/>
          <w:color w:val="009AD9"/>
        </w:rPr>
      </w:pPr>
    </w:p>
    <w:p>
      <w:pPr>
        <w:ind w:left="2220" w:right="819" w:hanging="213"/>
        <w:spacing w:after="0" w:line="274" w:lineRule="auto"/>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b w:val="1"/>
          <w:bCs w:val="1"/>
          <w:color w:val="auto"/>
        </w:rPr>
        <w:t>Enhanced disclosure regarding the role of our Independent Chair</w:t>
      </w:r>
      <w:r>
        <w:rPr>
          <w:rFonts w:ascii="Arial" w:cs="Arial" w:eastAsia="Arial" w:hAnsi="Arial"/>
          <w:sz w:val="12"/>
          <w:szCs w:val="12"/>
          <w:color w:val="auto"/>
        </w:rPr>
        <w:t>, describing the nature and extent of our Independent Chair’s</w:t>
      </w:r>
      <w:r>
        <w:rPr>
          <w:rFonts w:ascii="Arial" w:cs="Arial" w:eastAsia="Arial" w:hAnsi="Arial"/>
          <w:sz w:val="12"/>
          <w:szCs w:val="12"/>
          <w:b w:val="1"/>
          <w:bCs w:val="1"/>
          <w:color w:val="auto"/>
        </w:rPr>
        <w:t xml:space="preserve"> </w:t>
      </w:r>
      <w:r>
        <w:rPr>
          <w:rFonts w:ascii="Arial" w:cs="Arial" w:eastAsia="Arial" w:hAnsi="Arial"/>
          <w:sz w:val="12"/>
          <w:szCs w:val="12"/>
          <w:color w:val="auto"/>
        </w:rPr>
        <w:t>responsibilities.</w:t>
      </w:r>
    </w:p>
    <w:p>
      <w:pPr>
        <w:spacing w:after="0" w:line="39" w:lineRule="exact"/>
        <w:rPr>
          <w:rFonts w:ascii="Arial" w:cs="Arial" w:eastAsia="Arial" w:hAnsi="Arial"/>
          <w:sz w:val="12"/>
          <w:szCs w:val="12"/>
          <w:color w:val="009AD9"/>
        </w:rPr>
      </w:pPr>
    </w:p>
    <w:p>
      <w:pPr>
        <w:ind w:left="2220" w:hanging="213"/>
        <w:spacing w:after="0"/>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b w:val="1"/>
          <w:bCs w:val="1"/>
          <w:color w:val="auto"/>
        </w:rPr>
        <w:t xml:space="preserve">Reduction of our Independent Chair Retainer by 63% </w:t>
      </w:r>
      <w:r>
        <w:rPr>
          <w:rFonts w:ascii="Arial" w:cs="Arial" w:eastAsia="Arial" w:hAnsi="Arial"/>
          <w:sz w:val="12"/>
          <w:szCs w:val="12"/>
          <w:color w:val="auto"/>
        </w:rPr>
        <w:t>to more closely align with market practices.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b w:val="1"/>
          <w:bCs w:val="1"/>
          <w:color w:val="auto"/>
        </w:rPr>
        <w:t>Enhanced discussion of the rationale behind our Independent Chair Retainer</w:t>
      </w:r>
      <w:r>
        <w:rPr>
          <w:rFonts w:ascii="Arial" w:cs="Arial" w:eastAsia="Arial" w:hAnsi="Arial"/>
          <w:sz w:val="12"/>
          <w:szCs w:val="12"/>
          <w:color w:val="auto"/>
        </w:rPr>
        <w:t>.</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b w:val="1"/>
          <w:bCs w:val="1"/>
          <w:color w:val="auto"/>
        </w:rPr>
        <w:t>Commitment to gender diversity of Board by undertaking to add a female director by December 31, 2023</w:t>
      </w:r>
      <w:r>
        <w:rPr>
          <w:rFonts w:ascii="Arial" w:cs="Arial" w:eastAsia="Arial" w:hAnsi="Arial"/>
          <w:sz w:val="12"/>
          <w:szCs w:val="12"/>
          <w:color w:val="auto"/>
        </w:rPr>
        <w:t>.</w:t>
      </w:r>
    </w:p>
    <w:p>
      <w:pPr>
        <w:spacing w:after="0" w:line="94"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7"/>
        </w:numPr>
        <w:rPr>
          <w:rFonts w:ascii="Arial" w:cs="Arial" w:eastAsia="Arial" w:hAnsi="Arial"/>
          <w:sz w:val="12"/>
          <w:szCs w:val="12"/>
          <w:color w:val="009AD9"/>
        </w:rPr>
      </w:pPr>
      <w:r>
        <w:rPr>
          <w:rFonts w:ascii="Arial" w:cs="Arial" w:eastAsia="Arial" w:hAnsi="Arial"/>
          <w:sz w:val="12"/>
          <w:szCs w:val="12"/>
          <w:color w:val="auto"/>
        </w:rPr>
        <w:t>For more information regarding the items in this section, see “Item 1. Election of Directors—Nominees for Directors,” “—Board Leadership,” “—Compensation of Directors—Reduction of Independent Chair Retainer” and “—Director Nomination Process.”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Executive Succession Planning and Leadership Development</w:t>
      </w:r>
    </w:p>
    <w:p>
      <w:pPr>
        <w:spacing w:after="0" w:line="94" w:lineRule="exact"/>
        <w:rPr>
          <w:sz w:val="20"/>
          <w:szCs w:val="20"/>
          <w:color w:val="auto"/>
        </w:rPr>
      </w:pPr>
    </w:p>
    <w:p>
      <w:pPr>
        <w:ind w:left="2220" w:right="819" w:hanging="213"/>
        <w:spacing w:after="0" w:line="250" w:lineRule="auto"/>
        <w:tabs>
          <w:tab w:leader="none" w:pos="2220" w:val="left"/>
        </w:tabs>
        <w:numPr>
          <w:ilvl w:val="0"/>
          <w:numId w:val="8"/>
        </w:numPr>
        <w:rPr>
          <w:rFonts w:ascii="Arial" w:cs="Arial" w:eastAsia="Arial" w:hAnsi="Arial"/>
          <w:sz w:val="12"/>
          <w:szCs w:val="12"/>
          <w:color w:val="009AD9"/>
        </w:rPr>
      </w:pPr>
      <w:r>
        <w:rPr>
          <w:rFonts w:ascii="Arial" w:cs="Arial" w:eastAsia="Arial" w:hAnsi="Arial"/>
          <w:sz w:val="12"/>
          <w:szCs w:val="12"/>
          <w:color w:val="auto"/>
        </w:rPr>
        <w:t xml:space="preserve">Demonstrated continued commitment to executive succession planning and leadership development with regular and active engagement in </w:t>
      </w:r>
      <w:r>
        <w:rPr>
          <w:rFonts w:ascii="Arial" w:cs="Arial" w:eastAsia="Arial" w:hAnsi="Arial"/>
          <w:sz w:val="12"/>
          <w:szCs w:val="12"/>
          <w:b w:val="1"/>
          <w:bCs w:val="1"/>
          <w:color w:val="auto"/>
        </w:rPr>
        <w:t>robust succession planning by our full Board of Directors</w:t>
      </w:r>
      <w:r>
        <w:rPr>
          <w:rFonts w:ascii="Arial" w:cs="Arial" w:eastAsia="Arial" w:hAnsi="Arial"/>
          <w:sz w:val="12"/>
          <w:szCs w:val="12"/>
          <w:color w:val="auto"/>
        </w:rPr>
        <w:t>, in addition to the Compensation Committee.</w:t>
      </w:r>
    </w:p>
    <w:p>
      <w:pPr>
        <w:spacing w:after="0" w:line="53" w:lineRule="exact"/>
        <w:rPr>
          <w:rFonts w:ascii="Arial" w:cs="Arial" w:eastAsia="Arial" w:hAnsi="Arial"/>
          <w:sz w:val="12"/>
          <w:szCs w:val="12"/>
          <w:color w:val="009AD9"/>
        </w:rPr>
      </w:pPr>
    </w:p>
    <w:p>
      <w:pPr>
        <w:jc w:val="both"/>
        <w:ind w:left="2220" w:right="819" w:hanging="213"/>
        <w:spacing w:after="0" w:line="249" w:lineRule="auto"/>
        <w:tabs>
          <w:tab w:leader="none" w:pos="2220" w:val="left"/>
        </w:tabs>
        <w:numPr>
          <w:ilvl w:val="0"/>
          <w:numId w:val="8"/>
        </w:numPr>
        <w:rPr>
          <w:rFonts w:ascii="Arial" w:cs="Arial" w:eastAsia="Arial" w:hAnsi="Arial"/>
          <w:sz w:val="12"/>
          <w:szCs w:val="12"/>
          <w:color w:val="009AD9"/>
        </w:rPr>
      </w:pPr>
      <w:r>
        <w:rPr>
          <w:rFonts w:ascii="Arial" w:cs="Arial" w:eastAsia="Arial" w:hAnsi="Arial"/>
          <w:sz w:val="12"/>
          <w:szCs w:val="12"/>
          <w:b w:val="1"/>
          <w:bCs w:val="1"/>
          <w:color w:val="auto"/>
        </w:rPr>
        <w:t xml:space="preserve">Enhanced disclosure relating to our succession planning process </w:t>
      </w:r>
      <w:r>
        <w:rPr>
          <w:rFonts w:ascii="Arial" w:cs="Arial" w:eastAsia="Arial" w:hAnsi="Arial"/>
          <w:sz w:val="12"/>
          <w:szCs w:val="12"/>
          <w:color w:val="auto"/>
        </w:rPr>
        <w:t>in this proxy statement, describing the Board’s commitment</w:t>
      </w:r>
      <w:r>
        <w:rPr>
          <w:rFonts w:ascii="Arial" w:cs="Arial" w:eastAsia="Arial" w:hAnsi="Arial"/>
          <w:sz w:val="12"/>
          <w:szCs w:val="12"/>
          <w:b w:val="1"/>
          <w:bCs w:val="1"/>
          <w:color w:val="auto"/>
        </w:rPr>
        <w:t xml:space="preserve"> </w:t>
      </w:r>
      <w:r>
        <w:rPr>
          <w:rFonts w:ascii="Arial" w:cs="Arial" w:eastAsia="Arial" w:hAnsi="Arial"/>
          <w:sz w:val="12"/>
          <w:szCs w:val="12"/>
          <w:color w:val="auto"/>
        </w:rPr>
        <w:t>to succession planning not only for named executive officer positions, but also developing leaders below the executive officer level to establish a deep leadership pipeline that also prioritizes our objective that leadership be representative of the diverse communities in which the Company operates.</w:t>
      </w:r>
    </w:p>
    <w:p>
      <w:pPr>
        <w:spacing w:after="0" w:line="120" w:lineRule="exact"/>
        <w:rPr>
          <w:sz w:val="20"/>
          <w:szCs w:val="20"/>
          <w:color w:val="auto"/>
        </w:rPr>
      </w:pPr>
    </w:p>
    <w:p>
      <w:pPr>
        <w:ind w:left="8220"/>
        <w:spacing w:after="0"/>
        <w:tabs>
          <w:tab w:leader="none" w:pos="926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Proxy Statement Summary (continued)</w:t>
      </w:r>
    </w:p>
    <w:p>
      <w:pPr>
        <w:spacing w:after="0" w:line="86" w:lineRule="exact"/>
        <w:rPr>
          <w:sz w:val="20"/>
          <w:szCs w:val="20"/>
          <w:color w:val="auto"/>
        </w:rPr>
      </w:pPr>
    </w:p>
    <w:p>
      <w:pPr>
        <w:ind w:left="2220" w:right="799" w:hanging="213"/>
        <w:spacing w:after="0" w:line="274" w:lineRule="auto"/>
        <w:tabs>
          <w:tab w:leader="none" w:pos="2220" w:val="left"/>
        </w:tabs>
        <w:numPr>
          <w:ilvl w:val="0"/>
          <w:numId w:val="9"/>
        </w:numPr>
        <w:rPr>
          <w:rFonts w:ascii="Arial" w:cs="Arial" w:eastAsia="Arial" w:hAnsi="Arial"/>
          <w:sz w:val="12"/>
          <w:szCs w:val="12"/>
          <w:color w:val="009AD9"/>
        </w:rPr>
      </w:pPr>
      <w:r>
        <w:rPr>
          <w:rFonts w:ascii="Arial" w:cs="Arial" w:eastAsia="Arial" w:hAnsi="Arial"/>
          <w:sz w:val="12"/>
          <w:szCs w:val="12"/>
          <w:b w:val="1"/>
          <w:bCs w:val="1"/>
          <w:color w:val="auto"/>
        </w:rPr>
        <w:t xml:space="preserve">Ongoing communications through Company press releases </w:t>
      </w:r>
      <w:r>
        <w:rPr>
          <w:rFonts w:ascii="Arial" w:cs="Arial" w:eastAsia="Arial" w:hAnsi="Arial"/>
          <w:sz w:val="12"/>
          <w:szCs w:val="12"/>
          <w:color w:val="auto"/>
        </w:rPr>
        <w:t>to provide updates on Company’s succession planning and</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efforts for executive leadership.</w:t>
      </w:r>
    </w:p>
    <w:p>
      <w:pPr>
        <w:spacing w:after="0" w:line="39" w:lineRule="exact"/>
        <w:rPr>
          <w:rFonts w:ascii="Arial" w:cs="Arial" w:eastAsia="Arial" w:hAnsi="Arial"/>
          <w:sz w:val="12"/>
          <w:szCs w:val="12"/>
          <w:color w:val="009AD9"/>
        </w:rPr>
      </w:pPr>
    </w:p>
    <w:p>
      <w:pPr>
        <w:ind w:left="2220" w:right="799" w:hanging="213"/>
        <w:spacing w:after="0" w:line="274" w:lineRule="auto"/>
        <w:tabs>
          <w:tab w:leader="none" w:pos="2220" w:val="left"/>
        </w:tabs>
        <w:numPr>
          <w:ilvl w:val="0"/>
          <w:numId w:val="9"/>
        </w:numPr>
        <w:rPr>
          <w:rFonts w:ascii="Arial" w:cs="Arial" w:eastAsia="Arial" w:hAnsi="Arial"/>
          <w:sz w:val="12"/>
          <w:szCs w:val="12"/>
          <w:color w:val="009AD9"/>
        </w:rPr>
      </w:pPr>
      <w:r>
        <w:rPr>
          <w:rFonts w:ascii="Arial" w:cs="Arial" w:eastAsia="Arial" w:hAnsi="Arial"/>
          <w:sz w:val="12"/>
          <w:szCs w:val="12"/>
          <w:b w:val="1"/>
          <w:bCs w:val="1"/>
          <w:color w:val="auto"/>
        </w:rPr>
        <w:t xml:space="preserve">Inclusion of additional leadership in investor conferences and other engagement opportunities </w:t>
      </w:r>
      <w:r>
        <w:rPr>
          <w:rFonts w:ascii="Arial" w:cs="Arial" w:eastAsia="Arial" w:hAnsi="Arial"/>
          <w:sz w:val="12"/>
          <w:szCs w:val="12"/>
          <w:color w:val="auto"/>
        </w:rPr>
        <w:t>to provide shareholders</w:t>
      </w:r>
      <w:r>
        <w:rPr>
          <w:rFonts w:ascii="Arial" w:cs="Arial" w:eastAsia="Arial" w:hAnsi="Arial"/>
          <w:sz w:val="12"/>
          <w:szCs w:val="12"/>
          <w:b w:val="1"/>
          <w:bCs w:val="1"/>
          <w:color w:val="auto"/>
        </w:rPr>
        <w:t xml:space="preserve"> </w:t>
      </w:r>
      <w:r>
        <w:rPr>
          <w:rFonts w:ascii="Arial" w:cs="Arial" w:eastAsia="Arial" w:hAnsi="Arial"/>
          <w:sz w:val="12"/>
          <w:szCs w:val="12"/>
          <w:color w:val="auto"/>
        </w:rPr>
        <w:t>exposure to Company’s leadership outside of the Chief Executive Officer and Chief Financial Officer.</w:t>
      </w:r>
    </w:p>
    <w:p>
      <w:pPr>
        <w:spacing w:after="0" w:line="53" w:lineRule="exact"/>
        <w:rPr>
          <w:rFonts w:ascii="Arial" w:cs="Arial" w:eastAsia="Arial" w:hAnsi="Arial"/>
          <w:sz w:val="12"/>
          <w:szCs w:val="12"/>
          <w:color w:val="009AD9"/>
        </w:rPr>
      </w:pPr>
    </w:p>
    <w:p>
      <w:pPr>
        <w:jc w:val="both"/>
        <w:ind w:left="2220" w:right="799" w:hanging="213"/>
        <w:spacing w:after="0" w:line="243" w:lineRule="auto"/>
        <w:tabs>
          <w:tab w:leader="none" w:pos="2220" w:val="left"/>
        </w:tabs>
        <w:numPr>
          <w:ilvl w:val="0"/>
          <w:numId w:val="9"/>
        </w:numPr>
        <w:rPr>
          <w:rFonts w:ascii="Arial" w:cs="Arial" w:eastAsia="Arial" w:hAnsi="Arial"/>
          <w:sz w:val="12"/>
          <w:szCs w:val="12"/>
          <w:color w:val="009AD9"/>
        </w:rPr>
      </w:pPr>
      <w:r>
        <w:rPr>
          <w:rFonts w:ascii="Arial" w:cs="Arial" w:eastAsia="Arial" w:hAnsi="Arial"/>
          <w:sz w:val="12"/>
          <w:szCs w:val="12"/>
          <w:color w:val="auto"/>
        </w:rPr>
        <w:t>For more information regarding the items in this section, see “Item 1. Election of Directors—Executive Succession Planning and Leadership Development,” “—Shareholder Engagement” and “Compensation Discussion and Analysis—Executive Summary— Shareholder Engagement and Say-on-Pay Vote.”</w:t>
      </w:r>
    </w:p>
    <w:p>
      <w:pPr>
        <w:spacing w:after="0" w:line="122"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Executive Compensation</w:t>
      </w:r>
    </w:p>
    <w:p>
      <w:pPr>
        <w:spacing w:after="0" w:line="80" w:lineRule="exact"/>
        <w:rPr>
          <w:sz w:val="20"/>
          <w:szCs w:val="20"/>
          <w:color w:val="auto"/>
        </w:rPr>
      </w:pPr>
    </w:p>
    <w:p>
      <w:pPr>
        <w:ind w:left="2220" w:right="799" w:hanging="213"/>
        <w:spacing w:after="0" w:line="274" w:lineRule="auto"/>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Commitment to not make one-time equity awards to executive officers, </w:t>
      </w:r>
      <w:r>
        <w:rPr>
          <w:rFonts w:ascii="Arial" w:cs="Arial" w:eastAsia="Arial" w:hAnsi="Arial"/>
          <w:sz w:val="12"/>
          <w:szCs w:val="12"/>
          <w:color w:val="auto"/>
        </w:rPr>
        <w:t>absent extraordinary circumstances, except in</w:t>
      </w:r>
      <w:r>
        <w:rPr>
          <w:rFonts w:ascii="Arial" w:cs="Arial" w:eastAsia="Arial" w:hAnsi="Arial"/>
          <w:sz w:val="12"/>
          <w:szCs w:val="12"/>
          <w:b w:val="1"/>
          <w:bCs w:val="1"/>
          <w:color w:val="auto"/>
        </w:rPr>
        <w:t xml:space="preserve"> </w:t>
      </w:r>
      <w:r>
        <w:rPr>
          <w:rFonts w:ascii="Arial" w:cs="Arial" w:eastAsia="Arial" w:hAnsi="Arial"/>
          <w:sz w:val="12"/>
          <w:szCs w:val="12"/>
          <w:color w:val="auto"/>
        </w:rPr>
        <w:t>connection with new hires or promotions.</w:t>
      </w:r>
    </w:p>
    <w:p>
      <w:pPr>
        <w:spacing w:after="0" w:line="39" w:lineRule="exact"/>
        <w:rPr>
          <w:rFonts w:ascii="Arial" w:cs="Arial" w:eastAsia="Arial" w:hAnsi="Arial"/>
          <w:sz w:val="12"/>
          <w:szCs w:val="12"/>
          <w:color w:val="009AD9"/>
        </w:rPr>
      </w:pPr>
    </w:p>
    <w:p>
      <w:pPr>
        <w:ind w:left="2220" w:right="819" w:hanging="213"/>
        <w:spacing w:after="0" w:line="274" w:lineRule="auto"/>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color w:val="auto"/>
        </w:rPr>
        <w:t xml:space="preserve">In circumstances where a one-time equity award is made, </w:t>
      </w:r>
      <w:r>
        <w:rPr>
          <w:rFonts w:ascii="Arial" w:cs="Arial" w:eastAsia="Arial" w:hAnsi="Arial"/>
          <w:sz w:val="12"/>
          <w:szCs w:val="12"/>
          <w:b w:val="1"/>
          <w:bCs w:val="1"/>
          <w:color w:val="auto"/>
        </w:rPr>
        <w:t>commitment to a minimum of a three-year vesting period and</w:t>
      </w:r>
      <w:r>
        <w:rPr>
          <w:rFonts w:ascii="Arial" w:cs="Arial" w:eastAsia="Arial" w:hAnsi="Arial"/>
          <w:sz w:val="12"/>
          <w:szCs w:val="12"/>
          <w:color w:val="auto"/>
        </w:rPr>
        <w:t xml:space="preserve"> </w:t>
      </w:r>
      <w:r>
        <w:rPr>
          <w:rFonts w:ascii="Arial" w:cs="Arial" w:eastAsia="Arial" w:hAnsi="Arial"/>
          <w:sz w:val="12"/>
          <w:szCs w:val="12"/>
          <w:b w:val="1"/>
          <w:bCs w:val="1"/>
          <w:color w:val="auto"/>
        </w:rPr>
        <w:t>primarily performance-based awards</w:t>
      </w:r>
      <w:r>
        <w:rPr>
          <w:rFonts w:ascii="Arial" w:cs="Arial" w:eastAsia="Arial" w:hAnsi="Arial"/>
          <w:sz w:val="12"/>
          <w:szCs w:val="12"/>
          <w:color w:val="auto"/>
        </w:rPr>
        <w:t>.</w:t>
      </w:r>
    </w:p>
    <w:p>
      <w:pPr>
        <w:spacing w:after="0" w:line="39" w:lineRule="exact"/>
        <w:rPr>
          <w:rFonts w:ascii="Arial" w:cs="Arial" w:eastAsia="Arial" w:hAnsi="Arial"/>
          <w:sz w:val="12"/>
          <w:szCs w:val="12"/>
          <w:color w:val="009AD9"/>
        </w:rPr>
      </w:pPr>
    </w:p>
    <w:p>
      <w:pPr>
        <w:ind w:left="2220" w:hanging="213"/>
        <w:spacing w:after="0"/>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Adoption of severance guidelines </w:t>
      </w:r>
      <w:r>
        <w:rPr>
          <w:rFonts w:ascii="Arial" w:cs="Arial" w:eastAsia="Arial" w:hAnsi="Arial"/>
          <w:sz w:val="12"/>
          <w:szCs w:val="12"/>
          <w:color w:val="auto"/>
        </w:rPr>
        <w:t>that limit any severance payments to our named executive officers.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Commitment to transparently disclose severance determinations </w:t>
      </w:r>
      <w:r>
        <w:rPr>
          <w:rFonts w:ascii="Arial" w:cs="Arial" w:eastAsia="Arial" w:hAnsi="Arial"/>
          <w:sz w:val="12"/>
          <w:szCs w:val="12"/>
          <w:color w:val="auto"/>
        </w:rPr>
        <w:t>for named executive officers.</w:t>
      </w:r>
    </w:p>
    <w:p>
      <w:pPr>
        <w:spacing w:after="0" w:line="80" w:lineRule="exact"/>
        <w:rPr>
          <w:rFonts w:ascii="Arial" w:cs="Arial" w:eastAsia="Arial" w:hAnsi="Arial"/>
          <w:sz w:val="12"/>
          <w:szCs w:val="12"/>
          <w:color w:val="009AD9"/>
        </w:rPr>
      </w:pPr>
    </w:p>
    <w:p>
      <w:pPr>
        <w:ind w:left="2220" w:right="819" w:hanging="213"/>
        <w:spacing w:after="0" w:line="274" w:lineRule="auto"/>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Continued commitment, supported by management, to use negative discretion to adjust short-term incentive awards </w:t>
      </w:r>
      <w:r>
        <w:rPr>
          <w:rFonts w:ascii="Arial" w:cs="Arial" w:eastAsia="Arial" w:hAnsi="Arial"/>
          <w:sz w:val="12"/>
          <w:szCs w:val="12"/>
          <w:color w:val="auto"/>
        </w:rPr>
        <w:t>for</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officers downward, where applicable, to align with the awards for employees who are not executive officers.</w:t>
      </w:r>
    </w:p>
    <w:p>
      <w:pPr>
        <w:spacing w:after="0" w:line="39" w:lineRule="exact"/>
        <w:rPr>
          <w:rFonts w:ascii="Arial" w:cs="Arial" w:eastAsia="Arial" w:hAnsi="Arial"/>
          <w:sz w:val="12"/>
          <w:szCs w:val="12"/>
          <w:color w:val="009AD9"/>
        </w:rPr>
      </w:pPr>
    </w:p>
    <w:p>
      <w:pPr>
        <w:ind w:left="2220" w:hanging="213"/>
        <w:spacing w:after="0"/>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Enhanced disclosure on qualitative factors leading to downward discretion </w:t>
      </w:r>
      <w:r>
        <w:rPr>
          <w:rFonts w:ascii="Arial" w:cs="Arial" w:eastAsia="Arial" w:hAnsi="Arial"/>
          <w:sz w:val="12"/>
          <w:szCs w:val="12"/>
          <w:color w:val="auto"/>
        </w:rPr>
        <w:t>of short-term incentive awards.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b w:val="1"/>
          <w:bCs w:val="1"/>
          <w:color w:val="auto"/>
        </w:rPr>
        <w:t xml:space="preserve">Enhanced disclosure of 2023 PSU threshold, target and maximum </w:t>
      </w:r>
      <w:r>
        <w:rPr>
          <w:rFonts w:ascii="Arial" w:cs="Arial" w:eastAsia="Arial" w:hAnsi="Arial"/>
          <w:sz w:val="12"/>
          <w:szCs w:val="12"/>
          <w:color w:val="auto"/>
        </w:rPr>
        <w:t>performance metrics</w:t>
      </w:r>
    </w:p>
    <w:p>
      <w:pPr>
        <w:spacing w:after="0" w:line="94" w:lineRule="exact"/>
        <w:rPr>
          <w:rFonts w:ascii="Arial" w:cs="Arial" w:eastAsia="Arial" w:hAnsi="Arial"/>
          <w:sz w:val="12"/>
          <w:szCs w:val="12"/>
          <w:color w:val="009AD9"/>
        </w:rPr>
      </w:pPr>
    </w:p>
    <w:p>
      <w:pPr>
        <w:jc w:val="both"/>
        <w:ind w:left="2220" w:right="819" w:hanging="213"/>
        <w:spacing w:after="0" w:line="241" w:lineRule="auto"/>
        <w:tabs>
          <w:tab w:leader="none" w:pos="2220" w:val="left"/>
        </w:tabs>
        <w:numPr>
          <w:ilvl w:val="0"/>
          <w:numId w:val="10"/>
        </w:numPr>
        <w:rPr>
          <w:rFonts w:ascii="Arial" w:cs="Arial" w:eastAsia="Arial" w:hAnsi="Arial"/>
          <w:sz w:val="12"/>
          <w:szCs w:val="12"/>
          <w:color w:val="009AD9"/>
        </w:rPr>
      </w:pPr>
      <w:r>
        <w:rPr>
          <w:rFonts w:ascii="Arial" w:cs="Arial" w:eastAsia="Arial" w:hAnsi="Arial"/>
          <w:sz w:val="12"/>
          <w:szCs w:val="12"/>
          <w:color w:val="auto"/>
        </w:rPr>
        <w:t>For more information regarding the items in this section, see “Compensation Discussion and Analysis—Executive Summary— Shareholder Engagement and Say-on-Pay Vote,” “—2022 Executive Compensation Program—Short-Term Incentive Plan,” “Executive Compensation Tables—Potential Payments upon Change in Control or Termination—Executive Severance Guidelines“ and “—2023 Performance Share Unit Awards.”</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Environmental Disclosure</w:t>
      </w:r>
    </w:p>
    <w:p>
      <w:pPr>
        <w:spacing w:after="0" w:line="80" w:lineRule="exact"/>
        <w:rPr>
          <w:sz w:val="20"/>
          <w:szCs w:val="20"/>
          <w:color w:val="auto"/>
        </w:rPr>
      </w:pPr>
    </w:p>
    <w:p>
      <w:pPr>
        <w:jc w:val="both"/>
        <w:ind w:left="2220" w:right="799" w:hanging="213"/>
        <w:spacing w:after="0" w:line="256" w:lineRule="auto"/>
        <w:tabs>
          <w:tab w:leader="none" w:pos="2220" w:val="left"/>
        </w:tabs>
        <w:numPr>
          <w:ilvl w:val="0"/>
          <w:numId w:val="11"/>
        </w:numPr>
        <w:rPr>
          <w:rFonts w:ascii="Arial" w:cs="Arial" w:eastAsia="Arial" w:hAnsi="Arial"/>
          <w:sz w:val="12"/>
          <w:szCs w:val="12"/>
          <w:color w:val="009AD9"/>
        </w:rPr>
      </w:pPr>
      <w:r>
        <w:rPr>
          <w:rFonts w:ascii="Arial" w:cs="Arial" w:eastAsia="Arial" w:hAnsi="Arial"/>
          <w:sz w:val="12"/>
          <w:szCs w:val="12"/>
          <w:b w:val="1"/>
          <w:bCs w:val="1"/>
          <w:color w:val="auto"/>
        </w:rPr>
        <w:t>Disclosed first Task Force on Climate-related Financial Disclosure (TCFD)</w:t>
      </w:r>
      <w:r>
        <w:rPr>
          <w:rFonts w:ascii="Arial" w:cs="Arial" w:eastAsia="Arial" w:hAnsi="Arial"/>
          <w:sz w:val="12"/>
          <w:szCs w:val="12"/>
          <w:color w:val="auto"/>
        </w:rPr>
        <w:t>. For more information regarding our Environmental,</w:t>
      </w:r>
      <w:r>
        <w:rPr>
          <w:rFonts w:ascii="Arial" w:cs="Arial" w:eastAsia="Arial" w:hAnsi="Arial"/>
          <w:sz w:val="12"/>
          <w:szCs w:val="12"/>
          <w:b w:val="1"/>
          <w:bCs w:val="1"/>
          <w:color w:val="auto"/>
        </w:rPr>
        <w:t xml:space="preserve"> </w:t>
      </w:r>
      <w:r>
        <w:rPr>
          <w:rFonts w:ascii="Arial" w:cs="Arial" w:eastAsia="Arial" w:hAnsi="Arial"/>
          <w:sz w:val="12"/>
          <w:szCs w:val="12"/>
          <w:color w:val="auto"/>
        </w:rPr>
        <w:t>Social and Governance matters and Board oversight of such matters, see “Item 1. Election of Directors—The Board’s Role in Risk Oversight—Environmental, Social and Governance Oversight.”</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Engagement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right="819"/>
        <w:spacing w:after="0" w:line="274" w:lineRule="auto"/>
        <w:rPr>
          <w:sz w:val="20"/>
          <w:szCs w:val="20"/>
          <w:color w:val="auto"/>
        </w:rPr>
      </w:pPr>
      <w:r>
        <w:rPr>
          <w:rFonts w:ascii="Arial" w:cs="Arial" w:eastAsia="Arial" w:hAnsi="Arial"/>
          <w:sz w:val="12"/>
          <w:szCs w:val="12"/>
          <w:color w:val="auto"/>
        </w:rPr>
        <w:t xml:space="preserve">Following the 2022 Say-on-Pay vote, we contacted shareholders representing </w:t>
      </w:r>
      <w:r>
        <w:rPr>
          <w:rFonts w:ascii="Arial" w:cs="Arial" w:eastAsia="Arial" w:hAnsi="Arial"/>
          <w:sz w:val="12"/>
          <w:szCs w:val="12"/>
          <w:b w:val="1"/>
          <w:bCs w:val="1"/>
          <w:color w:val="auto"/>
        </w:rPr>
        <w:t>63.2%</w:t>
      </w:r>
      <w:r>
        <w:rPr>
          <w:rFonts w:ascii="Arial" w:cs="Arial" w:eastAsia="Arial" w:hAnsi="Arial"/>
          <w:sz w:val="12"/>
          <w:szCs w:val="12"/>
          <w:color w:val="auto"/>
        </w:rPr>
        <w:t xml:space="preserve"> of our outstanding shares of common stock to date and engaged with shareholders representing </w:t>
      </w:r>
      <w:r>
        <w:rPr>
          <w:rFonts w:ascii="Arial" w:cs="Arial" w:eastAsia="Arial" w:hAnsi="Arial"/>
          <w:sz w:val="12"/>
          <w:szCs w:val="12"/>
          <w:b w:val="1"/>
          <w:bCs w:val="1"/>
          <w:color w:val="auto"/>
        </w:rPr>
        <w:t>39%</w:t>
      </w:r>
      <w:r>
        <w:rPr>
          <w:rFonts w:ascii="Arial" w:cs="Arial" w:eastAsia="Arial" w:hAnsi="Arial"/>
          <w:sz w:val="12"/>
          <w:szCs w:val="12"/>
          <w:color w:val="auto"/>
        </w:rPr>
        <w:t xml:space="preserve"> of our outstanding shares.</w:t>
      </w:r>
    </w:p>
    <w:p>
      <w:pPr>
        <w:spacing w:after="0" w:line="40" w:lineRule="exact"/>
        <w:rPr>
          <w:sz w:val="20"/>
          <w:szCs w:val="20"/>
          <w:color w:val="auto"/>
        </w:rPr>
      </w:pPr>
    </w:p>
    <w:p>
      <w:pPr>
        <w:ind w:left="2220" w:hanging="213"/>
        <w:spacing w:after="0"/>
        <w:tabs>
          <w:tab w:leader="none" w:pos="2220" w:val="left"/>
        </w:tabs>
        <w:numPr>
          <w:ilvl w:val="0"/>
          <w:numId w:val="12"/>
        </w:numPr>
        <w:rPr>
          <w:rFonts w:ascii="Arial" w:cs="Arial" w:eastAsia="Arial" w:hAnsi="Arial"/>
          <w:sz w:val="12"/>
          <w:szCs w:val="12"/>
          <w:color w:val="009AD9"/>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Chair of the Compensation Committee</w:t>
      </w:r>
      <w:r>
        <w:rPr>
          <w:rFonts w:ascii="Arial" w:cs="Arial" w:eastAsia="Arial" w:hAnsi="Arial"/>
          <w:sz w:val="12"/>
          <w:szCs w:val="12"/>
          <w:color w:val="auto"/>
        </w:rPr>
        <w:t xml:space="preserve"> met with </w:t>
      </w:r>
      <w:r>
        <w:rPr>
          <w:rFonts w:ascii="Arial" w:cs="Arial" w:eastAsia="Arial" w:hAnsi="Arial"/>
          <w:sz w:val="12"/>
          <w:szCs w:val="12"/>
          <w:b w:val="1"/>
          <w:bCs w:val="1"/>
          <w:color w:val="auto"/>
        </w:rPr>
        <w:t>11 out of 13</w:t>
      </w:r>
      <w:r>
        <w:rPr>
          <w:rFonts w:ascii="Arial" w:cs="Arial" w:eastAsia="Arial" w:hAnsi="Arial"/>
          <w:sz w:val="12"/>
          <w:szCs w:val="12"/>
          <w:color w:val="auto"/>
        </w:rPr>
        <w:t xml:space="preserve"> shareholders we engaged.</w:t>
      </w:r>
    </w:p>
    <w:p>
      <w:pPr>
        <w:spacing w:after="0" w:line="94"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12"/>
        </w:numPr>
        <w:rPr>
          <w:rFonts w:ascii="Arial" w:cs="Arial" w:eastAsia="Arial" w:hAnsi="Arial"/>
          <w:sz w:val="12"/>
          <w:szCs w:val="12"/>
          <w:color w:val="009AD9"/>
        </w:rPr>
      </w:pPr>
      <w:r>
        <w:rPr>
          <w:rFonts w:ascii="Arial" w:cs="Arial" w:eastAsia="Arial" w:hAnsi="Arial"/>
          <w:sz w:val="12"/>
          <w:szCs w:val="12"/>
          <w:color w:val="auto"/>
        </w:rPr>
        <w:t>Engaged with shareholders in fourth quarter 2022 and followed up with these shareholders in February 2023 to discuss proposed Company responses.</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12"/>
        </w:numPr>
        <w:rPr>
          <w:rFonts w:ascii="Arial" w:cs="Arial" w:eastAsia="Arial" w:hAnsi="Arial"/>
          <w:sz w:val="12"/>
          <w:szCs w:val="12"/>
          <w:color w:val="009AD9"/>
        </w:rPr>
      </w:pPr>
      <w:r>
        <w:rPr>
          <w:rFonts w:ascii="Arial" w:cs="Arial" w:eastAsia="Arial" w:hAnsi="Arial"/>
          <w:sz w:val="12"/>
          <w:szCs w:val="12"/>
          <w:color w:val="auto"/>
        </w:rPr>
        <w:t>Will continue to actively seek feedback from shareholders following the filing of this proxy statement.</w:t>
      </w:r>
    </w:p>
    <w:p>
      <w:pPr>
        <w:spacing w:after="0" w:line="139" w:lineRule="exact"/>
        <w:rPr>
          <w:sz w:val="20"/>
          <w:szCs w:val="20"/>
          <w:color w:val="auto"/>
        </w:rPr>
      </w:pPr>
    </w:p>
    <w:p>
      <w:pPr>
        <w:ind w:left="2080" w:hanging="145"/>
        <w:spacing w:after="0"/>
        <w:tabs>
          <w:tab w:leader="none" w:pos="2080" w:val="left"/>
        </w:tabs>
        <w:numPr>
          <w:ilvl w:val="0"/>
          <w:numId w:val="1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39495" cy="144145"/>
                    </a:xfrm>
                    <a:prstGeom prst="rect">
                      <a:avLst/>
                    </a:prstGeom>
                    <a:noFill/>
                  </pic:spPr>
                </pic:pic>
              </a:graphicData>
            </a:graphic>
          </wp:anchor>
        </w:drawing>
      </w:r>
    </w:p>
    <w:p>
      <w:pPr>
        <w:spacing w:after="0" w:line="175" w:lineRule="exact"/>
        <w:rPr>
          <w:sz w:val="20"/>
          <w:szCs w:val="20"/>
          <w:color w:val="auto"/>
        </w:rPr>
      </w:pPr>
    </w:p>
    <w:p>
      <w:pPr>
        <w:ind w:left="7720"/>
        <w:spacing w:after="0"/>
        <w:rPr>
          <w:sz w:val="20"/>
          <w:szCs w:val="20"/>
          <w:color w:val="auto"/>
        </w:rPr>
      </w:pPr>
      <w:r>
        <w:rPr>
          <w:sz w:val="1"/>
          <w:szCs w:val="1"/>
          <w:color w:val="auto"/>
        </w:rPr>
        <w:drawing>
          <wp:inline distT="0" distB="0" distL="0" distR="0">
            <wp:extent cx="46355"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355" cy="149860"/>
                    </a:xfrm>
                    <a:prstGeom prst="rect">
                      <a:avLst/>
                    </a:prstGeom>
                    <a:noFill/>
                    <a:ln>
                      <a:noFill/>
                    </a:ln>
                  </pic:spPr>
                </pic:pic>
              </a:graphicData>
            </a:graphic>
          </wp:inline>
        </w:drawing>
      </w:r>
      <w:r>
        <w:rPr>
          <w:rFonts w:ascii="Arial" w:cs="Arial" w:eastAsia="Arial" w:hAnsi="Arial"/>
          <w:sz w:val="12"/>
          <w:szCs w:val="12"/>
          <w:color w:val="FFFFFF"/>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jc w:val="right"/>
        <w:ind w:right="799"/>
        <w:spacing w:after="0"/>
        <w:rPr>
          <w:sz w:val="20"/>
          <w:szCs w:val="20"/>
          <w:color w:val="auto"/>
        </w:rPr>
      </w:pPr>
      <w:r>
        <w:rPr>
          <w:rFonts w:ascii="Arial" w:cs="Arial" w:eastAsia="Arial" w:hAnsi="Arial"/>
          <w:sz w:val="10"/>
          <w:szCs w:val="10"/>
          <w:i w:val="1"/>
          <w:iCs w:val="1"/>
          <w:color w:val="auto"/>
        </w:rPr>
        <w:t>Proxy Statement Summary (continued)</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Our Director Nominees and Individual 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21" w:lineRule="exact"/>
        <w:rPr>
          <w:sz w:val="20"/>
          <w:szCs w:val="20"/>
          <w:color w:val="auto"/>
        </w:rPr>
      </w:pPr>
    </w:p>
    <w:tbl>
      <w:tblPr>
        <w:tblLayout w:type="fixed"/>
        <w:tblInd w:w="2250" w:type="dxa"/>
        <w:tblCellMar>
          <w:top w:w="0" w:type="dxa"/>
          <w:left w:w="0" w:type="dxa"/>
          <w:bottom w:w="0" w:type="dxa"/>
          <w:right w:w="0" w:type="dxa"/>
        </w:tblCellMar>
      </w:tblPr>
      <w:tr>
        <w:trPr>
          <w:trHeight w:val="809"/>
        </w:trPr>
        <w:tc>
          <w:tcPr>
            <w:tcW w:w="3340" w:type="dxa"/>
            <w:vAlign w:val="bottom"/>
            <w:tcBorders>
              <w:left w:val="single" w:sz="8" w:color="009AD9"/>
            </w:tcBorders>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8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8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60" w:type="dxa"/>
            <w:vAlign w:val="bottom"/>
            <w:shd w:val="clear" w:color="auto" w:fill="009AD9"/>
          </w:tcPr>
          <w:p>
            <w:pPr>
              <w:spacing w:after="0"/>
              <w:rPr>
                <w:sz w:val="24"/>
                <w:szCs w:val="24"/>
                <w:color w:val="auto"/>
              </w:rPr>
            </w:pPr>
          </w:p>
        </w:tc>
        <w:tc>
          <w:tcPr>
            <w:tcW w:w="880" w:type="dxa"/>
            <w:vAlign w:val="bottom"/>
            <w:tcBorders>
              <w:right w:val="single" w:sz="8" w:color="009AD9"/>
            </w:tcBorders>
            <w:shd w:val="clear" w:color="auto" w:fill="009AD9"/>
          </w:tcPr>
          <w:p>
            <w:pPr>
              <w:spacing w:after="0"/>
              <w:rPr>
                <w:sz w:val="24"/>
                <w:szCs w:val="24"/>
                <w:color w:val="auto"/>
              </w:rPr>
            </w:pPr>
          </w:p>
        </w:tc>
      </w:tr>
      <w:tr>
        <w:trPr>
          <w:trHeight w:val="137"/>
        </w:trPr>
        <w:tc>
          <w:tcPr>
            <w:tcW w:w="334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0"/>
                <w:szCs w:val="10"/>
                <w:b w:val="1"/>
                <w:bCs w:val="1"/>
                <w:color w:val="009AD9"/>
              </w:rPr>
              <w:t>CNP Board Tenure (in years)</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2</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28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71"/>
              </w:rPr>
              <w:t>1</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1.5</w:t>
            </w:r>
          </w:p>
        </w:tc>
        <w:tc>
          <w:tcPr>
            <w:tcW w:w="28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5</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8</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9</w:t>
            </w:r>
          </w:p>
        </w:tc>
        <w:tc>
          <w:tcPr>
            <w:tcW w:w="26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8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3.94</w:t>
            </w:r>
          </w:p>
        </w:tc>
      </w:tr>
      <w:tr>
        <w:trPr>
          <w:trHeight w:val="168"/>
        </w:trPr>
        <w:tc>
          <w:tcPr>
            <w:tcW w:w="3340" w:type="dxa"/>
            <w:vAlign w:val="bottom"/>
            <w:tcBorders>
              <w:left w:val="single" w:sz="8" w:color="009AD9"/>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spacing w:after="0"/>
              <w:rPr>
                <w:sz w:val="14"/>
                <w:szCs w:val="14"/>
                <w:color w:val="auto"/>
              </w:rPr>
            </w:pP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Average Tenure</w:t>
            </w:r>
          </w:p>
        </w:tc>
      </w:tr>
      <w:tr>
        <w:trPr>
          <w:trHeight w:val="135"/>
        </w:trPr>
        <w:tc>
          <w:tcPr>
            <w:tcW w:w="3340" w:type="dxa"/>
            <w:vAlign w:val="bottom"/>
            <w:tcBorders>
              <w:top w:val="single" w:sz="8" w:color="009AD9"/>
              <w:left w:val="single" w:sz="8" w:color="009AD9"/>
            </w:tcBorders>
          </w:tcPr>
          <w:p>
            <w:pPr>
              <w:ind w:left="100"/>
              <w:spacing w:after="0"/>
              <w:rPr>
                <w:sz w:val="20"/>
                <w:szCs w:val="20"/>
                <w:color w:val="auto"/>
              </w:rPr>
            </w:pPr>
            <w:r>
              <w:rPr>
                <w:rFonts w:ascii="Arial" w:cs="Arial" w:eastAsia="Arial" w:hAnsi="Arial"/>
                <w:sz w:val="10"/>
                <w:szCs w:val="10"/>
                <w:b w:val="1"/>
                <w:bCs w:val="1"/>
                <w:color w:val="009AD9"/>
              </w:rPr>
              <w:t>Key Skills and Qualifications</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spacing w:after="0"/>
              <w:rPr>
                <w:sz w:val="11"/>
                <w:szCs w:val="11"/>
                <w:color w:val="auto"/>
              </w:rPr>
            </w:pPr>
          </w:p>
        </w:tc>
        <w:tc>
          <w:tcPr>
            <w:tcW w:w="880" w:type="dxa"/>
            <w:vAlign w:val="bottom"/>
            <w:tcBorders>
              <w:top w:val="single" w:sz="8" w:color="009AD9"/>
              <w:right w:val="single" w:sz="8" w:color="009AD9"/>
            </w:tcBorders>
          </w:tcPr>
          <w:p>
            <w:pPr>
              <w:spacing w:after="0"/>
              <w:rPr>
                <w:sz w:val="11"/>
                <w:szCs w:val="11"/>
                <w:color w:val="auto"/>
              </w:rPr>
            </w:pP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Senior Leadership</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9/9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Utility Industry Experience</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3/9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Operations Experience</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spacing w:after="0"/>
              <w:rPr>
                <w:sz w:val="14"/>
                <w:szCs w:val="14"/>
                <w:color w:val="auto"/>
              </w:rPr>
            </w:pP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Corporate Governance</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8/9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Government, Regulatory and Legal</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7/9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Public Company Experience</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6/9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Finance and Accounting</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6/9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Risk Management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9/9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Cybersecurity/Technology</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Human Capital Management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9/9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Environmental/Sustainability</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r>
      <w:tr>
        <w:trPr>
          <w:trHeight w:val="135"/>
        </w:trPr>
        <w:tc>
          <w:tcPr>
            <w:tcW w:w="334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Strategic Planning/Transactions</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spacing w:after="0"/>
              <w:rPr>
                <w:sz w:val="11"/>
                <w:szCs w:val="11"/>
                <w:color w:val="auto"/>
              </w:rPr>
            </w:pP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7/9</w:t>
            </w:r>
          </w:p>
        </w:tc>
      </w:tr>
      <w:tr>
        <w:trPr>
          <w:trHeight w:val="27"/>
        </w:trPr>
        <w:tc>
          <w:tcPr>
            <w:tcW w:w="3340" w:type="dxa"/>
            <w:vAlign w:val="bottom"/>
            <w:tcBorders>
              <w:left w:val="single" w:sz="8" w:color="009AD9"/>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r>
      <w:tr>
        <w:trPr>
          <w:trHeight w:val="167"/>
        </w:trPr>
        <w:tc>
          <w:tcPr>
            <w:tcW w:w="334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Community Involvement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6/9</w:t>
            </w:r>
          </w:p>
        </w:tc>
      </w:tr>
      <w:tr>
        <w:trPr>
          <w:trHeight w:val="117"/>
        </w:trPr>
        <w:tc>
          <w:tcPr>
            <w:tcW w:w="3340" w:type="dxa"/>
            <w:vAlign w:val="bottom"/>
            <w:tcBorders>
              <w:top w:val="single" w:sz="8" w:color="009AD9"/>
              <w:left w:val="single" w:sz="8" w:color="009AD9"/>
            </w:tcBorders>
          </w:tcPr>
          <w:p>
            <w:pPr>
              <w:ind w:left="100"/>
              <w:spacing w:after="0"/>
              <w:rPr>
                <w:sz w:val="20"/>
                <w:szCs w:val="20"/>
                <w:color w:val="auto"/>
              </w:rPr>
            </w:pPr>
            <w:r>
              <w:rPr>
                <w:rFonts w:ascii="Arial" w:cs="Arial" w:eastAsia="Arial" w:hAnsi="Arial"/>
                <w:sz w:val="10"/>
                <w:szCs w:val="10"/>
                <w:b w:val="1"/>
                <w:bCs w:val="1"/>
                <w:color w:val="009AD9"/>
              </w:rPr>
              <w:t>Age</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43</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58</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rPr>
              <w:t>57</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69</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52</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rPr>
              <w:t>60</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68</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71</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65</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60</w:t>
            </w:r>
          </w:p>
        </w:tc>
      </w:tr>
      <w:tr>
        <w:trPr>
          <w:trHeight w:val="128"/>
        </w:trPr>
        <w:tc>
          <w:tcPr>
            <w:tcW w:w="3340" w:type="dxa"/>
            <w:vAlign w:val="bottom"/>
            <w:tcBorders>
              <w:left w:val="single" w:sz="8" w:color="009AD9"/>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Average Age</w:t>
            </w:r>
          </w:p>
        </w:tc>
      </w:tr>
      <w:tr>
        <w:trPr>
          <w:trHeight w:val="36"/>
        </w:trPr>
        <w:tc>
          <w:tcPr>
            <w:tcW w:w="3340" w:type="dxa"/>
            <w:vAlign w:val="bottom"/>
            <w:tcBorders>
              <w:left w:val="single" w:sz="8" w:color="009AD9"/>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28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28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260" w:type="dxa"/>
            <w:vAlign w:val="bottom"/>
            <w:tcBorders>
              <w:bottom w:val="single" w:sz="8" w:color="009AD9"/>
            </w:tcBorders>
          </w:tcPr>
          <w:p>
            <w:pPr>
              <w:spacing w:after="0"/>
              <w:rPr>
                <w:sz w:val="3"/>
                <w:szCs w:val="3"/>
                <w:color w:val="auto"/>
              </w:rPr>
            </w:pPr>
          </w:p>
        </w:tc>
        <w:tc>
          <w:tcPr>
            <w:tcW w:w="880" w:type="dxa"/>
            <w:vAlign w:val="bottom"/>
            <w:tcBorders>
              <w:bottom w:val="single" w:sz="8" w:color="009AD9"/>
              <w:right w:val="single" w:sz="8" w:color="009AD9"/>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-2383790</wp:posOffset>
            </wp:positionV>
            <wp:extent cx="63500" cy="288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0" cy="28892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-2360930</wp:posOffset>
            </wp:positionV>
            <wp:extent cx="6350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-2453005</wp:posOffset>
            </wp:positionV>
            <wp:extent cx="63500" cy="358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00" cy="35814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-2308860</wp:posOffset>
            </wp:positionV>
            <wp:extent cx="63500" cy="213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0" cy="21336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-2360930</wp:posOffset>
            </wp:positionV>
            <wp:extent cx="6350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-2360930</wp:posOffset>
            </wp:positionV>
            <wp:extent cx="6350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-2389505</wp:posOffset>
            </wp:positionV>
            <wp:extent cx="63500" cy="294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0" cy="29464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-2326005</wp:posOffset>
            </wp:positionV>
            <wp:extent cx="63500" cy="231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0" cy="231140"/>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-2424430</wp:posOffset>
            </wp:positionV>
            <wp:extent cx="63500" cy="323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0" cy="323215"/>
                    </a:xfrm>
                    <a:prstGeom prst="rect">
                      <a:avLst/>
                    </a:prstGeom>
                    <a:noFill/>
                  </pic:spPr>
                </pic:pic>
              </a:graphicData>
            </a:graphic>
          </wp:anchor>
        </w:drawing>
      </w:r>
    </w:p>
    <w:p>
      <w:pPr>
        <w:spacing w:after="0" w:line="12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additional information regarding our director nominees, see “Item 1. Election of Directors.”</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1790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11700" cy="179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20"/>
        <w:spacing w:after="0"/>
        <w:tabs>
          <w:tab w:leader="none" w:pos="926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64135</wp:posOffset>
            </wp:positionV>
            <wp:extent cx="4711700" cy="1155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11700" cy="115570"/>
                    </a:xfrm>
                    <a:prstGeom prst="rect">
                      <a:avLst/>
                    </a:prstGeom>
                    <a:noFill/>
                  </pic:spPr>
                </pic:pic>
              </a:graphicData>
            </a:graphic>
          </wp:anchor>
        </w:drawing>
      </w:r>
    </w:p>
    <w:p>
      <w:pPr>
        <w:spacing w:after="0" w:line="109" w:lineRule="exact"/>
        <w:rPr>
          <w:sz w:val="20"/>
          <w:szCs w:val="20"/>
          <w:color w:val="auto"/>
        </w:rPr>
      </w:pPr>
    </w:p>
    <w:p>
      <w:pPr>
        <w:ind w:left="5000"/>
        <w:spacing w:after="0"/>
        <w:rPr>
          <w:sz w:val="20"/>
          <w:szCs w:val="20"/>
          <w:color w:val="auto"/>
        </w:rPr>
      </w:pPr>
      <w:r>
        <w:rPr>
          <w:rFonts w:ascii="Arial" w:cs="Arial" w:eastAsia="Arial" w:hAnsi="Arial"/>
          <w:sz w:val="10"/>
          <w:szCs w:val="10"/>
          <w:b w:val="1"/>
          <w:bCs w:val="1"/>
          <w:color w:val="FFFFFF"/>
        </w:rPr>
        <w:t>GOVERNANCE PRACTICES</w:t>
      </w:r>
    </w:p>
    <w:p>
      <w:pPr>
        <w:spacing w:after="0" w:line="52" w:lineRule="exact"/>
        <w:rPr>
          <w:sz w:val="20"/>
          <w:szCs w:val="20"/>
          <w:color w:val="auto"/>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Annual election of all directors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Majority voting for directors with a director resignation policy</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Proxy access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Independent Board (all but Chief Executive Officer)</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Independent Board structure with an Independent Chair</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Robust engagement with shareholders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Board oversight of sustainability, climate change, cybersecurity and diversity, equity and inclusion initiatives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Enterprise risk management oversight by Board</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Board, committee and individual director annual evaluations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Diverse directors’ skills, qualifications, and backgrounds (Board 44% diverse)</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Robust stock ownership requirements for directors and executives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4"/>
        </w:numPr>
        <w:rPr>
          <w:rFonts w:ascii="MS PGothic" w:cs="MS PGothic" w:eastAsia="MS PGothic" w:hAnsi="MS PGothic"/>
          <w:sz w:val="12"/>
          <w:szCs w:val="12"/>
          <w:color w:val="009AD9"/>
        </w:rPr>
      </w:pPr>
      <w:r>
        <w:rPr>
          <w:rFonts w:ascii="Arial" w:cs="Arial" w:eastAsia="Arial" w:hAnsi="Arial"/>
          <w:sz w:val="12"/>
          <w:szCs w:val="12"/>
          <w:b w:val="1"/>
          <w:bCs w:val="1"/>
          <w:color w:val="009AD9"/>
        </w:rPr>
        <w:t>Succession planning for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-1365250</wp:posOffset>
            </wp:positionV>
            <wp:extent cx="4711700" cy="127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-1111250</wp:posOffset>
            </wp:positionV>
            <wp:extent cx="4711700" cy="127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-857250</wp:posOffset>
            </wp:positionV>
            <wp:extent cx="4711700" cy="127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-603250</wp:posOffset>
            </wp:positionV>
            <wp:extent cx="4711700" cy="127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-349250</wp:posOffset>
            </wp:positionV>
            <wp:extent cx="4711700" cy="1270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-95250</wp:posOffset>
            </wp:positionV>
            <wp:extent cx="4711700" cy="127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1700" cy="127000"/>
                    </a:xfrm>
                    <a:prstGeom prst="rect">
                      <a:avLst/>
                    </a:prstGeom>
                    <a:noFill/>
                  </pic:spPr>
                </pic:pic>
              </a:graphicData>
            </a:graphic>
          </wp:anchor>
        </w:drawing>
      </w:r>
    </w:p>
    <w:p>
      <w:pPr>
        <w:spacing w:after="0" w:line="17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additional information regarding our corporate governance practices, see “Item 1. Election of Directors.”</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following are some highlights of our executive compensation program. Our executive compensation program is designed to recruit and retain talent, align payment with performance and align our executive officers interests with our shareholders. For more information on our compensation program, see “Compensation Discussion and Analysis”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97790</wp:posOffset>
            </wp:positionV>
            <wp:extent cx="4711700" cy="115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11700" cy="115570"/>
                    </a:xfrm>
                    <a:prstGeom prst="rect">
                      <a:avLst/>
                    </a:prstGeom>
                    <a:noFill/>
                  </pic:spPr>
                </pic:pic>
              </a:graphicData>
            </a:graphic>
          </wp:anchor>
        </w:drawing>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10"/>
          <w:szCs w:val="10"/>
          <w:b w:val="1"/>
          <w:bCs w:val="1"/>
          <w:color w:val="FFFFFF"/>
        </w:rPr>
        <w:t>KEY FEATURES OF OUR EXECUTIVE COMPENSATION PROGRAM</w:t>
      </w:r>
    </w:p>
    <w:p>
      <w:pPr>
        <w:spacing w:after="0" w:line="52" w:lineRule="exact"/>
        <w:rPr>
          <w:sz w:val="20"/>
          <w:szCs w:val="20"/>
          <w:color w:val="auto"/>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Strong Pay for Performance</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No Employment Agreements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“Double Trigger” Provisions for Change in Control Plan and Equity Awards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No Excise Tax Gross Up Payments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Stock Ownership Guidelines</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Benchmark to Market</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Incentive Recoupment Policy</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Anti-Hedging Policy</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100% Independent Compensation Committee</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Independent Compensation Consultant</w:t>
      </w:r>
    </w:p>
    <w:p>
      <w:pPr>
        <w:spacing w:after="0" w:line="62" w:lineRule="exact"/>
        <w:rPr>
          <w:rFonts w:ascii="MS PGothic" w:cs="MS PGothic" w:eastAsia="MS PGothic" w:hAnsi="MS PGothic"/>
          <w:sz w:val="12"/>
          <w:szCs w:val="12"/>
          <w:color w:val="009AD9"/>
        </w:rPr>
      </w:pPr>
    </w:p>
    <w:p>
      <w:pPr>
        <w:ind w:left="2300" w:hanging="231"/>
        <w:spacing w:after="0"/>
        <w:tabs>
          <w:tab w:leader="none" w:pos="2300" w:val="left"/>
        </w:tabs>
        <w:numPr>
          <w:ilvl w:val="0"/>
          <w:numId w:val="15"/>
        </w:numPr>
        <w:rPr>
          <w:rFonts w:ascii="MS PGothic" w:cs="MS PGothic" w:eastAsia="MS PGothic" w:hAnsi="MS PGothic"/>
          <w:sz w:val="12"/>
          <w:szCs w:val="12"/>
          <w:color w:val="009AD9"/>
        </w:rPr>
      </w:pPr>
      <w:r>
        <w:rPr>
          <w:rFonts w:ascii="Arial" w:cs="Arial" w:eastAsia="Arial" w:hAnsi="Arial"/>
          <w:sz w:val="12"/>
          <w:szCs w:val="12"/>
          <w:b w:val="1"/>
          <w:bCs w:val="1"/>
          <w:color w:val="009AD9"/>
        </w:rPr>
        <w:t>Executive Severance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-1238250</wp:posOffset>
            </wp:positionV>
            <wp:extent cx="4711700" cy="127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-984250</wp:posOffset>
            </wp:positionV>
            <wp:extent cx="4711700" cy="127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-730250</wp:posOffset>
            </wp:positionV>
            <wp:extent cx="4711700" cy="127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-476250</wp:posOffset>
            </wp:positionV>
            <wp:extent cx="4711700" cy="127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11700" cy="1270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-222250</wp:posOffset>
            </wp:positionV>
            <wp:extent cx="4711700" cy="127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1700" cy="127000"/>
                    </a:xfrm>
                    <a:prstGeom prst="rect">
                      <a:avLst/>
                    </a:prstGeom>
                    <a:noFill/>
                  </pic:spPr>
                </pic:pic>
              </a:graphicData>
            </a:graphic>
          </wp:anchor>
        </w:drawing>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New: Commitment Regarding One-Time Equity Awards</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In response to shareholder feedback, the Compensation Committee has committed to not make one-time equity awards to its executive officers absent extraordinary circumstances, except in connection with new hires or promotions. In the event the Compensation Committee determines that a one-time equity award is necessary and appropriate, such special award will have, except in the case of new hires or promotions, at least a three-year vesting period and will be primarily performance-based.</w:t>
      </w:r>
    </w:p>
    <w:p>
      <w:pPr>
        <w:spacing w:after="0" w:line="132" w:lineRule="exact"/>
        <w:rPr>
          <w:sz w:val="20"/>
          <w:szCs w:val="20"/>
          <w:color w:val="auto"/>
        </w:rPr>
      </w:pPr>
    </w:p>
    <w:p>
      <w:pPr>
        <w:ind w:left="2080" w:hanging="145"/>
        <w:spacing w:after="0"/>
        <w:tabs>
          <w:tab w:leader="none" w:pos="2080" w:val="left"/>
        </w:tabs>
        <w:numPr>
          <w:ilvl w:val="0"/>
          <w:numId w:val="1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4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39495" cy="144145"/>
                    </a:xfrm>
                    <a:prstGeom prst="rect">
                      <a:avLst/>
                    </a:prstGeom>
                    <a:noFill/>
                  </pic:spPr>
                </pic:pic>
              </a:graphicData>
            </a:graphic>
          </wp:anchor>
        </w:drawing>
      </w:r>
    </w:p>
    <w:p>
      <w:pPr>
        <w:spacing w:after="0" w:line="175" w:lineRule="exact"/>
        <w:rPr>
          <w:sz w:val="20"/>
          <w:szCs w:val="20"/>
          <w:color w:val="auto"/>
        </w:rPr>
      </w:pPr>
    </w:p>
    <w:p>
      <w:pPr>
        <w:ind w:left="7720"/>
        <w:spacing w:after="0"/>
        <w:rPr>
          <w:sz w:val="20"/>
          <w:szCs w:val="20"/>
          <w:color w:val="auto"/>
        </w:rPr>
      </w:pPr>
      <w:r>
        <w:rPr>
          <w:sz w:val="1"/>
          <w:szCs w:val="1"/>
          <w:color w:val="auto"/>
        </w:rPr>
        <w:drawing>
          <wp:inline distT="0" distB="0" distL="0" distR="0">
            <wp:extent cx="46355"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355" cy="149860"/>
                    </a:xfrm>
                    <a:prstGeom prst="rect">
                      <a:avLst/>
                    </a:prstGeom>
                    <a:noFill/>
                    <a:ln>
                      <a:noFill/>
                    </a:ln>
                  </pic:spPr>
                </pic:pic>
              </a:graphicData>
            </a:graphic>
          </wp:inline>
        </w:drawing>
      </w:r>
      <w:r>
        <w:rPr>
          <w:rFonts w:ascii="Arial" w:cs="Arial" w:eastAsia="Arial" w:hAnsi="Arial"/>
          <w:sz w:val="12"/>
          <w:szCs w:val="12"/>
          <w:color w:val="FFFFFF"/>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-5080</wp:posOffset>
            </wp:positionV>
            <wp:extent cx="4711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jc w:val="right"/>
        <w:ind w:right="799"/>
        <w:spacing w:after="0"/>
        <w:rPr>
          <w:sz w:val="20"/>
          <w:szCs w:val="20"/>
          <w:color w:val="auto"/>
        </w:rPr>
      </w:pPr>
      <w:r>
        <w:rPr>
          <w:rFonts w:ascii="Arial" w:cs="Arial" w:eastAsia="Arial" w:hAnsi="Arial"/>
          <w:sz w:val="10"/>
          <w:szCs w:val="10"/>
          <w:i w:val="1"/>
          <w:iCs w:val="1"/>
          <w:color w:val="auto"/>
        </w:rPr>
        <w:t>Proxy Statement Summary (continued)</w:t>
      </w:r>
    </w:p>
    <w:p>
      <w:pPr>
        <w:spacing w:after="0" w:line="8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New: Executive Severance Guidelines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In response to shareholder feedback, the Compensation Committee has adopted executive severance guidelines that set forth appropriate limits on any severance payments made to our named executive officers. The guidelines do not entitle any executive to severance benefits. The Compensation Committee continues to have discretion to determine the eligibility of a named executive officer for severance benefits, and the amounts of any benefits, and has committed to applying the limitations set forth in the guidelines in its determination. For more information, see “Executive Compensation Tables—Potential Payments upon Change in Control or Termination—Executive Severance Guidelines.”</w:t>
      </w:r>
    </w:p>
    <w:p>
      <w:pPr>
        <w:spacing w:after="0" w:line="158" w:lineRule="exact"/>
        <w:rPr>
          <w:sz w:val="20"/>
          <w:szCs w:val="20"/>
          <w:color w:val="auto"/>
        </w:rPr>
      </w:pPr>
    </w:p>
    <w:tbl>
      <w:tblPr>
        <w:tblLayout w:type="fixed"/>
        <w:tblInd w:w="2530" w:type="dxa"/>
        <w:tblCellMar>
          <w:top w:w="0" w:type="dxa"/>
          <w:left w:w="0" w:type="dxa"/>
          <w:bottom w:w="0" w:type="dxa"/>
          <w:right w:w="0" w:type="dxa"/>
        </w:tblCellMar>
      </w:tblPr>
      <w:tr>
        <w:trPr>
          <w:trHeight w:val="140"/>
        </w:trPr>
        <w:tc>
          <w:tcPr>
            <w:tcW w:w="1540" w:type="dxa"/>
            <w:vAlign w:val="bottom"/>
            <w:tcBorders>
              <w:left w:val="single" w:sz="8" w:color="009AD9"/>
              <w:right w:val="single" w:sz="8" w:color="009AD9"/>
            </w:tcBorders>
            <w:shd w:val="clear" w:color="auto" w:fill="009AD9"/>
          </w:tcPr>
          <w:p>
            <w:pPr>
              <w:spacing w:after="0"/>
              <w:rPr>
                <w:sz w:val="12"/>
                <w:szCs w:val="12"/>
                <w:color w:val="auto"/>
              </w:rPr>
            </w:pPr>
          </w:p>
        </w:tc>
        <w:tc>
          <w:tcPr>
            <w:tcW w:w="120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7"/>
              </w:rPr>
              <w:t>BASE PAY</w:t>
            </w:r>
          </w:p>
        </w:tc>
        <w:tc>
          <w:tcPr>
            <w:tcW w:w="352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MAXIMUM CASH SEVERANCE PAYMENT UNDER</w:t>
            </w:r>
          </w:p>
        </w:tc>
        <w:tc>
          <w:tcPr>
            <w:tcW w:w="0" w:type="dxa"/>
            <w:vAlign w:val="bottom"/>
          </w:tcPr>
          <w:p>
            <w:pPr>
              <w:spacing w:after="0"/>
              <w:rPr>
                <w:sz w:val="1"/>
                <w:szCs w:val="1"/>
                <w:color w:val="auto"/>
              </w:rPr>
            </w:pPr>
          </w:p>
        </w:tc>
      </w:tr>
      <w:tr>
        <w:trPr>
          <w:trHeight w:val="169"/>
        </w:trPr>
        <w:tc>
          <w:tcPr>
            <w:tcW w:w="1540" w:type="dxa"/>
            <w:vAlign w:val="bottom"/>
            <w:tcBorders>
              <w:left w:val="single" w:sz="8" w:color="009AD9"/>
              <w:right w:val="single" w:sz="8" w:color="009AD9"/>
            </w:tcBorders>
            <w:shd w:val="clear" w:color="auto" w:fill="009AD9"/>
          </w:tcPr>
          <w:p>
            <w:pPr>
              <w:jc w:val="center"/>
              <w:ind w:left="19"/>
              <w:spacing w:after="0"/>
              <w:rPr>
                <w:sz w:val="20"/>
                <w:szCs w:val="20"/>
                <w:color w:val="auto"/>
              </w:rPr>
            </w:pPr>
            <w:r>
              <w:rPr>
                <w:rFonts w:ascii="Arial" w:cs="Arial" w:eastAsia="Arial" w:hAnsi="Arial"/>
                <w:sz w:val="12"/>
                <w:szCs w:val="12"/>
                <w:b w:val="1"/>
                <w:bCs w:val="1"/>
                <w:color w:val="FFFFFF"/>
              </w:rPr>
              <w:t>EXECUTIVE</w:t>
            </w:r>
          </w:p>
        </w:tc>
        <w:tc>
          <w:tcPr>
            <w:tcW w:w="120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MULTIPLIER</w:t>
            </w:r>
          </w:p>
        </w:tc>
        <w:tc>
          <w:tcPr>
            <w:tcW w:w="3520" w:type="dxa"/>
            <w:vAlign w:val="bottom"/>
            <w:tcBorders>
              <w:right w:val="single" w:sz="8" w:color="009AD9"/>
            </w:tcBorders>
            <w:shd w:val="clear" w:color="auto" w:fill="009AD9"/>
          </w:tcPr>
          <w:p>
            <w:pPr>
              <w:jc w:val="center"/>
              <w:ind w:left="19"/>
              <w:spacing w:after="0" w:line="170" w:lineRule="exact"/>
              <w:rPr>
                <w:sz w:val="20"/>
                <w:szCs w:val="20"/>
                <w:color w:val="auto"/>
              </w:rPr>
            </w:pPr>
            <w:r>
              <w:rPr>
                <w:rFonts w:ascii="Arial" w:cs="Arial" w:eastAsia="Arial" w:hAnsi="Arial"/>
                <w:sz w:val="12"/>
                <w:szCs w:val="12"/>
                <w:b w:val="1"/>
                <w:bCs w:val="1"/>
                <w:color w:val="FFFFFF"/>
                <w:w w:val="99"/>
              </w:rPr>
              <w:t>EXECUTIVE SEVERANCE GUIDELINES</w:t>
            </w:r>
            <w:r>
              <w:rPr>
                <w:rFonts w:ascii="Arial" w:cs="Arial" w:eastAsia="Arial" w:hAnsi="Arial"/>
                <w:sz w:val="18"/>
                <w:szCs w:val="18"/>
                <w:b w:val="1"/>
                <w:bCs w:val="1"/>
                <w:color w:val="FFFFFF"/>
                <w:w w:val="99"/>
                <w:vertAlign w:val="superscript"/>
              </w:rPr>
              <w:t>(1)</w:t>
            </w:r>
          </w:p>
        </w:tc>
        <w:tc>
          <w:tcPr>
            <w:tcW w:w="0" w:type="dxa"/>
            <w:vAlign w:val="bottom"/>
          </w:tcPr>
          <w:p>
            <w:pPr>
              <w:spacing w:after="0"/>
              <w:rPr>
                <w:sz w:val="1"/>
                <w:szCs w:val="1"/>
                <w:color w:val="auto"/>
              </w:rPr>
            </w:pPr>
          </w:p>
        </w:tc>
      </w:tr>
      <w:tr>
        <w:trPr>
          <w:trHeight w:val="181"/>
        </w:trPr>
        <w:tc>
          <w:tcPr>
            <w:tcW w:w="1540" w:type="dxa"/>
            <w:vAlign w:val="bottom"/>
            <w:tcBorders>
              <w:left w:val="single" w:sz="8" w:color="009AD9"/>
              <w:right w:val="single" w:sz="8" w:color="009AD9"/>
            </w:tcBorders>
            <w:vMerge w:val="restart"/>
          </w:tcPr>
          <w:p>
            <w:pPr>
              <w:ind w:left="120"/>
              <w:spacing w:after="0"/>
              <w:rPr>
                <w:sz w:val="20"/>
                <w:szCs w:val="20"/>
                <w:color w:val="auto"/>
              </w:rPr>
            </w:pPr>
            <w:r>
              <w:rPr>
                <w:rFonts w:ascii="Arial" w:cs="Arial" w:eastAsia="Arial" w:hAnsi="Arial"/>
                <w:sz w:val="12"/>
                <w:szCs w:val="12"/>
                <w:b w:val="1"/>
                <w:bCs w:val="1"/>
                <w:color w:val="auto"/>
              </w:rPr>
              <w:t>Chief Executive Officer</w:t>
            </w:r>
          </w:p>
        </w:tc>
        <w:tc>
          <w:tcPr>
            <w:tcW w:w="120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89"/>
              </w:rPr>
              <w:t>2x</w:t>
            </w:r>
          </w:p>
        </w:tc>
        <w:tc>
          <w:tcPr>
            <w:tcW w:w="3520" w:type="dxa"/>
            <w:vAlign w:val="bottom"/>
            <w:tcBorders>
              <w:right w:val="single" w:sz="8" w:color="009AD9"/>
            </w:tcBorders>
          </w:tcPr>
          <w:p>
            <w:pPr>
              <w:jc w:val="center"/>
              <w:spacing w:after="0"/>
              <w:rPr>
                <w:sz w:val="20"/>
                <w:szCs w:val="20"/>
                <w:color w:val="auto"/>
              </w:rPr>
            </w:pPr>
            <w:r>
              <w:rPr>
                <w:rFonts w:ascii="Arial" w:cs="Arial" w:eastAsia="Arial" w:hAnsi="Arial"/>
                <w:sz w:val="12"/>
                <w:szCs w:val="12"/>
                <w:color w:val="auto"/>
              </w:rPr>
              <w:t>Two (2) times annual base salary plus target short-term</w:t>
            </w:r>
          </w:p>
        </w:tc>
        <w:tc>
          <w:tcPr>
            <w:tcW w:w="0" w:type="dxa"/>
            <w:vAlign w:val="bottom"/>
          </w:tcPr>
          <w:p>
            <w:pPr>
              <w:spacing w:after="0"/>
              <w:rPr>
                <w:sz w:val="1"/>
                <w:szCs w:val="1"/>
                <w:color w:val="auto"/>
              </w:rPr>
            </w:pPr>
          </w:p>
        </w:tc>
      </w:tr>
      <w:tr>
        <w:trPr>
          <w:trHeight w:val="73"/>
        </w:trPr>
        <w:tc>
          <w:tcPr>
            <w:tcW w:w="1540" w:type="dxa"/>
            <w:vAlign w:val="bottom"/>
            <w:tcBorders>
              <w:left w:val="single" w:sz="8" w:color="009AD9"/>
              <w:right w:val="single" w:sz="8" w:color="009AD9"/>
            </w:tcBorders>
            <w:vMerge w:val="continue"/>
          </w:tcPr>
          <w:p>
            <w:pPr>
              <w:spacing w:after="0"/>
              <w:rPr>
                <w:sz w:val="6"/>
                <w:szCs w:val="6"/>
                <w:color w:val="auto"/>
              </w:rPr>
            </w:pPr>
          </w:p>
        </w:tc>
        <w:tc>
          <w:tcPr>
            <w:tcW w:w="1200" w:type="dxa"/>
            <w:vAlign w:val="bottom"/>
            <w:tcBorders>
              <w:right w:val="single" w:sz="8" w:color="009AD9"/>
            </w:tcBorders>
            <w:vMerge w:val="continue"/>
          </w:tcPr>
          <w:p>
            <w:pPr>
              <w:spacing w:after="0"/>
              <w:rPr>
                <w:sz w:val="6"/>
                <w:szCs w:val="6"/>
                <w:color w:val="auto"/>
              </w:rPr>
            </w:pPr>
          </w:p>
        </w:tc>
        <w:tc>
          <w:tcPr>
            <w:tcW w:w="352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color w:val="auto"/>
              </w:rPr>
              <w:t>incentive award</w:t>
            </w:r>
          </w:p>
        </w:tc>
        <w:tc>
          <w:tcPr>
            <w:tcW w:w="0" w:type="dxa"/>
            <w:vAlign w:val="bottom"/>
          </w:tcPr>
          <w:p>
            <w:pPr>
              <w:spacing w:after="0"/>
              <w:rPr>
                <w:sz w:val="1"/>
                <w:szCs w:val="1"/>
                <w:color w:val="auto"/>
              </w:rPr>
            </w:pPr>
          </w:p>
        </w:tc>
      </w:tr>
      <w:tr>
        <w:trPr>
          <w:trHeight w:val="73"/>
        </w:trPr>
        <w:tc>
          <w:tcPr>
            <w:tcW w:w="1540" w:type="dxa"/>
            <w:vAlign w:val="bottom"/>
            <w:tcBorders>
              <w:left w:val="single" w:sz="8" w:color="009AD9"/>
              <w:right w:val="single" w:sz="8" w:color="009AD9"/>
            </w:tcBorders>
          </w:tcPr>
          <w:p>
            <w:pPr>
              <w:spacing w:after="0"/>
              <w:rPr>
                <w:sz w:val="6"/>
                <w:szCs w:val="6"/>
                <w:color w:val="auto"/>
              </w:rPr>
            </w:pPr>
          </w:p>
        </w:tc>
        <w:tc>
          <w:tcPr>
            <w:tcW w:w="1200" w:type="dxa"/>
            <w:vAlign w:val="bottom"/>
            <w:tcBorders>
              <w:right w:val="single" w:sz="8" w:color="009AD9"/>
            </w:tcBorders>
          </w:tcPr>
          <w:p>
            <w:pPr>
              <w:spacing w:after="0"/>
              <w:rPr>
                <w:sz w:val="6"/>
                <w:szCs w:val="6"/>
                <w:color w:val="auto"/>
              </w:rPr>
            </w:pPr>
          </w:p>
        </w:tc>
        <w:tc>
          <w:tcPr>
            <w:tcW w:w="3520" w:type="dxa"/>
            <w:vAlign w:val="bottom"/>
            <w:tcBorders>
              <w:right w:val="single" w:sz="8" w:color="009AD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540" w:type="dxa"/>
            <w:vAlign w:val="bottom"/>
            <w:tcBorders>
              <w:left w:val="single" w:sz="8" w:color="009AD9"/>
              <w:bottom w:val="single" w:sz="8" w:color="009AD9"/>
              <w:right w:val="single" w:sz="8" w:color="009AD9"/>
            </w:tcBorders>
          </w:tcPr>
          <w:p>
            <w:pPr>
              <w:spacing w:after="0"/>
              <w:rPr>
                <w:sz w:val="2"/>
                <w:szCs w:val="2"/>
                <w:color w:val="auto"/>
              </w:rPr>
            </w:pPr>
          </w:p>
        </w:tc>
        <w:tc>
          <w:tcPr>
            <w:tcW w:w="1200" w:type="dxa"/>
            <w:vAlign w:val="bottom"/>
            <w:tcBorders>
              <w:bottom w:val="single" w:sz="8" w:color="009AD9"/>
              <w:right w:val="single" w:sz="8" w:color="009AD9"/>
            </w:tcBorders>
          </w:tcPr>
          <w:p>
            <w:pPr>
              <w:spacing w:after="0"/>
              <w:rPr>
                <w:sz w:val="2"/>
                <w:szCs w:val="2"/>
                <w:color w:val="auto"/>
              </w:rPr>
            </w:pPr>
          </w:p>
        </w:tc>
        <w:tc>
          <w:tcPr>
            <w:tcW w:w="3520" w:type="dxa"/>
            <w:vAlign w:val="bottom"/>
            <w:tcBorders>
              <w:bottom w:val="single" w:sz="8" w:color="009AD9"/>
              <w:right w:val="single" w:sz="8" w:color="009AD9"/>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540" w:type="dxa"/>
            <w:vAlign w:val="bottom"/>
            <w:tcBorders>
              <w:left w:val="single" w:sz="8" w:color="009AD9"/>
              <w:right w:val="single" w:sz="8" w:color="009AD9"/>
            </w:tcBorders>
            <w:shd w:val="clear" w:color="auto" w:fill="D8EFF9"/>
          </w:tcPr>
          <w:p>
            <w:pPr>
              <w:jc w:val="center"/>
              <w:ind w:left="19"/>
              <w:spacing w:after="0"/>
              <w:rPr>
                <w:sz w:val="20"/>
                <w:szCs w:val="20"/>
                <w:color w:val="auto"/>
              </w:rPr>
            </w:pPr>
            <w:r>
              <w:rPr>
                <w:rFonts w:ascii="Arial" w:cs="Arial" w:eastAsia="Arial" w:hAnsi="Arial"/>
                <w:sz w:val="12"/>
                <w:szCs w:val="12"/>
                <w:b w:val="1"/>
                <w:bCs w:val="1"/>
                <w:color w:val="auto"/>
              </w:rPr>
              <w:t>Non-CEO Named</w:t>
            </w:r>
          </w:p>
        </w:tc>
        <w:tc>
          <w:tcPr>
            <w:tcW w:w="1200" w:type="dxa"/>
            <w:vAlign w:val="bottom"/>
            <w:tcBorders>
              <w:right w:val="single" w:sz="8" w:color="009AD9"/>
            </w:tcBorders>
            <w:vMerge w:val="restart"/>
            <w:shd w:val="clear" w:color="auto" w:fill="D8EFF9"/>
          </w:tcPr>
          <w:p>
            <w:pPr>
              <w:jc w:val="center"/>
              <w:spacing w:after="0"/>
              <w:rPr>
                <w:sz w:val="20"/>
                <w:szCs w:val="20"/>
                <w:color w:val="auto"/>
              </w:rPr>
            </w:pPr>
            <w:r>
              <w:rPr>
                <w:rFonts w:ascii="Arial" w:cs="Arial" w:eastAsia="Arial" w:hAnsi="Arial"/>
                <w:sz w:val="12"/>
                <w:szCs w:val="12"/>
                <w:b w:val="1"/>
                <w:bCs w:val="1"/>
                <w:color w:val="auto"/>
              </w:rPr>
              <w:t>1.5x</w:t>
            </w:r>
          </w:p>
        </w:tc>
        <w:tc>
          <w:tcPr>
            <w:tcW w:w="3520" w:type="dxa"/>
            <w:vAlign w:val="bottom"/>
            <w:tcBorders>
              <w:right w:val="single" w:sz="8" w:color="009AD9"/>
            </w:tcBorders>
            <w:shd w:val="clear" w:color="auto" w:fill="D8EFF9"/>
          </w:tcPr>
          <w:p>
            <w:pPr>
              <w:jc w:val="center"/>
              <w:spacing w:after="0"/>
              <w:rPr>
                <w:sz w:val="20"/>
                <w:szCs w:val="20"/>
                <w:color w:val="auto"/>
              </w:rPr>
            </w:pPr>
            <w:r>
              <w:rPr>
                <w:rFonts w:ascii="Arial" w:cs="Arial" w:eastAsia="Arial" w:hAnsi="Arial"/>
                <w:sz w:val="12"/>
                <w:szCs w:val="12"/>
                <w:color w:val="auto"/>
              </w:rPr>
              <w:t>One and a half (1.5) times annual base salary plus target</w:t>
            </w:r>
          </w:p>
        </w:tc>
        <w:tc>
          <w:tcPr>
            <w:tcW w:w="0" w:type="dxa"/>
            <w:vAlign w:val="bottom"/>
          </w:tcPr>
          <w:p>
            <w:pPr>
              <w:spacing w:after="0"/>
              <w:rPr>
                <w:sz w:val="1"/>
                <w:szCs w:val="1"/>
                <w:color w:val="auto"/>
              </w:rPr>
            </w:pPr>
          </w:p>
        </w:tc>
      </w:tr>
      <w:tr>
        <w:trPr>
          <w:trHeight w:val="87"/>
        </w:trPr>
        <w:tc>
          <w:tcPr>
            <w:tcW w:w="1540" w:type="dxa"/>
            <w:vAlign w:val="bottom"/>
            <w:tcBorders>
              <w:left w:val="single" w:sz="8" w:color="009AD9"/>
              <w:right w:val="single" w:sz="8" w:color="009AD9"/>
            </w:tcBorders>
            <w:vMerge w:val="restart"/>
            <w:shd w:val="clear" w:color="auto" w:fill="D8EFF9"/>
          </w:tcPr>
          <w:p>
            <w:pPr>
              <w:jc w:val="center"/>
              <w:ind w:left="19"/>
              <w:spacing w:after="0"/>
              <w:rPr>
                <w:sz w:val="20"/>
                <w:szCs w:val="20"/>
                <w:color w:val="auto"/>
              </w:rPr>
            </w:pPr>
            <w:r>
              <w:rPr>
                <w:rFonts w:ascii="Arial" w:cs="Arial" w:eastAsia="Arial" w:hAnsi="Arial"/>
                <w:sz w:val="12"/>
                <w:szCs w:val="12"/>
                <w:b w:val="1"/>
                <w:bCs w:val="1"/>
                <w:color w:val="auto"/>
                <w:w w:val="99"/>
              </w:rPr>
              <w:t>Executive Officer</w:t>
            </w:r>
          </w:p>
        </w:tc>
        <w:tc>
          <w:tcPr>
            <w:tcW w:w="1200" w:type="dxa"/>
            <w:vAlign w:val="bottom"/>
            <w:tcBorders>
              <w:right w:val="single" w:sz="8" w:color="009AD9"/>
            </w:tcBorders>
            <w:vMerge w:val="continue"/>
            <w:shd w:val="clear" w:color="auto" w:fill="D8EFF9"/>
          </w:tcPr>
          <w:p>
            <w:pPr>
              <w:spacing w:after="0"/>
              <w:rPr>
                <w:sz w:val="7"/>
                <w:szCs w:val="7"/>
                <w:color w:val="auto"/>
              </w:rPr>
            </w:pPr>
          </w:p>
        </w:tc>
        <w:tc>
          <w:tcPr>
            <w:tcW w:w="3520" w:type="dxa"/>
            <w:vAlign w:val="bottom"/>
            <w:tcBorders>
              <w:right w:val="single" w:sz="8" w:color="009AD9"/>
            </w:tcBorders>
            <w:vMerge w:val="restart"/>
            <w:shd w:val="clear" w:color="auto" w:fill="D8EFF9"/>
          </w:tcPr>
          <w:p>
            <w:pPr>
              <w:jc w:val="center"/>
              <w:spacing w:after="0"/>
              <w:rPr>
                <w:sz w:val="20"/>
                <w:szCs w:val="20"/>
                <w:color w:val="auto"/>
              </w:rPr>
            </w:pPr>
            <w:r>
              <w:rPr>
                <w:rFonts w:ascii="Arial" w:cs="Arial" w:eastAsia="Arial" w:hAnsi="Arial"/>
                <w:sz w:val="12"/>
                <w:szCs w:val="12"/>
                <w:color w:val="auto"/>
              </w:rPr>
              <w:t>short-term incentive award</w:t>
            </w:r>
          </w:p>
        </w:tc>
        <w:tc>
          <w:tcPr>
            <w:tcW w:w="0" w:type="dxa"/>
            <w:vAlign w:val="bottom"/>
          </w:tcPr>
          <w:p>
            <w:pPr>
              <w:spacing w:after="0"/>
              <w:rPr>
                <w:sz w:val="1"/>
                <w:szCs w:val="1"/>
                <w:color w:val="auto"/>
              </w:rPr>
            </w:pPr>
          </w:p>
        </w:tc>
      </w:tr>
      <w:tr>
        <w:trPr>
          <w:trHeight w:val="80"/>
        </w:trPr>
        <w:tc>
          <w:tcPr>
            <w:tcW w:w="1540" w:type="dxa"/>
            <w:vAlign w:val="bottom"/>
            <w:tcBorders>
              <w:left w:val="single" w:sz="8" w:color="009AD9"/>
              <w:bottom w:val="single" w:sz="8" w:color="D8EFF9"/>
              <w:right w:val="single" w:sz="8" w:color="009AD9"/>
            </w:tcBorders>
            <w:vMerge w:val="continue"/>
            <w:shd w:val="clear" w:color="auto" w:fill="D8EFF9"/>
          </w:tcPr>
          <w:p>
            <w:pPr>
              <w:spacing w:after="0"/>
              <w:rPr>
                <w:sz w:val="6"/>
                <w:szCs w:val="6"/>
                <w:color w:val="auto"/>
              </w:rPr>
            </w:pPr>
          </w:p>
        </w:tc>
        <w:tc>
          <w:tcPr>
            <w:tcW w:w="1200" w:type="dxa"/>
            <w:vAlign w:val="bottom"/>
            <w:tcBorders>
              <w:bottom w:val="single" w:sz="8" w:color="D8EFF9"/>
              <w:right w:val="single" w:sz="8" w:color="009AD9"/>
            </w:tcBorders>
            <w:shd w:val="clear" w:color="auto" w:fill="D8EFF9"/>
          </w:tcPr>
          <w:p>
            <w:pPr>
              <w:spacing w:after="0"/>
              <w:rPr>
                <w:sz w:val="6"/>
                <w:szCs w:val="6"/>
                <w:color w:val="auto"/>
              </w:rPr>
            </w:pPr>
          </w:p>
        </w:tc>
        <w:tc>
          <w:tcPr>
            <w:tcW w:w="3520" w:type="dxa"/>
            <w:vAlign w:val="bottom"/>
            <w:tcBorders>
              <w:bottom w:val="single" w:sz="8" w:color="D8EFF9"/>
              <w:right w:val="single" w:sz="8" w:color="009AD9"/>
            </w:tcBorders>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40" w:type="dxa"/>
            <w:vAlign w:val="bottom"/>
            <w:tcBorders>
              <w:left w:val="single" w:sz="8" w:color="009AD9"/>
              <w:right w:val="single" w:sz="8" w:color="009AD9"/>
            </w:tcBorders>
            <w:shd w:val="clear" w:color="auto" w:fill="009AD9"/>
          </w:tcPr>
          <w:p>
            <w:pPr>
              <w:spacing w:after="0" w:line="20" w:lineRule="exact"/>
              <w:rPr>
                <w:sz w:val="1"/>
                <w:szCs w:val="1"/>
                <w:color w:val="auto"/>
              </w:rPr>
            </w:pPr>
          </w:p>
        </w:tc>
        <w:tc>
          <w:tcPr>
            <w:tcW w:w="1200" w:type="dxa"/>
            <w:vAlign w:val="bottom"/>
            <w:tcBorders>
              <w:right w:val="single" w:sz="8" w:color="009AD9"/>
            </w:tcBorders>
            <w:shd w:val="clear" w:color="auto" w:fill="009AD9"/>
          </w:tcPr>
          <w:p>
            <w:pPr>
              <w:spacing w:after="0" w:line="20" w:lineRule="exact"/>
              <w:rPr>
                <w:sz w:val="1"/>
                <w:szCs w:val="1"/>
                <w:color w:val="auto"/>
              </w:rPr>
            </w:pPr>
          </w:p>
        </w:tc>
        <w:tc>
          <w:tcPr>
            <w:tcW w:w="3520" w:type="dxa"/>
            <w:vAlign w:val="bottom"/>
            <w:tcBorders>
              <w:right w:val="single" w:sz="8" w:color="009AD9"/>
            </w:tcBorders>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160" w:right="819" w:hanging="226"/>
        <w:spacing w:after="0" w:line="234" w:lineRule="auto"/>
        <w:tabs>
          <w:tab w:leader="none" w:pos="21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executive severance guidelines also permit the payment of certain other compensation and benefits, as appropriate, in addition to the cash severance payment, as described in “Executive Compensation Tables—Potential Payments upon Change in Control or Termination—Executive Severance Guidelines.”</w:t>
      </w:r>
    </w:p>
    <w:p>
      <w:pPr>
        <w:spacing w:after="0" w:line="122"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Target Compensation Opportunities for Named Executive Officers</w:t>
      </w:r>
    </w:p>
    <w:p>
      <w:pPr>
        <w:spacing w:after="0" w:line="85"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following graphics reflect the components of the target total direct compensation opportunities provided to our named executive officers.</w:t>
      </w:r>
    </w:p>
    <w:p>
      <w:pPr>
        <w:spacing w:after="0" w:line="11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TARGET COMPENSATION MIX AS OF DECEMBER 31, 2022</w:t>
      </w:r>
    </w:p>
    <w:p>
      <w:pPr>
        <w:spacing w:after="0" w:line="12"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103505</wp:posOffset>
            </wp:positionV>
            <wp:extent cx="3475990" cy="1593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7599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160" w:right="819" w:hanging="226"/>
        <w:spacing w:after="0" w:line="234" w:lineRule="auto"/>
        <w:tabs>
          <w:tab w:leader="none" w:pos="21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graphic represents the average size of each component as a percentage of each named executive officer’s (other than the Chief Executive Officer’s) target total direct compensation opportunities (approved by the Compensation Committee in 2022).</w:t>
      </w:r>
    </w:p>
    <w:p>
      <w:pPr>
        <w:spacing w:after="0" w:line="123" w:lineRule="exact"/>
        <w:rPr>
          <w:sz w:val="20"/>
          <w:szCs w:val="20"/>
          <w:color w:val="auto"/>
        </w:rPr>
      </w:pPr>
    </w:p>
    <w:p>
      <w:pPr>
        <w:ind w:left="8220"/>
        <w:spacing w:after="0"/>
        <w:tabs>
          <w:tab w:leader="none" w:pos="926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2180" w:type="dxa"/>
            <w:vAlign w:val="bottom"/>
            <w:gridSpan w:val="3"/>
          </w:tcPr>
          <w:p>
            <w:pPr>
              <w:jc w:val="right"/>
              <w:ind w:right="472"/>
              <w:spacing w:after="0"/>
              <w:rPr>
                <w:sz w:val="20"/>
                <w:szCs w:val="20"/>
                <w:color w:val="auto"/>
              </w:rPr>
            </w:pPr>
            <w:r>
              <w:rPr>
                <w:rFonts w:ascii="Arial" w:cs="Arial" w:eastAsia="Arial" w:hAnsi="Arial"/>
                <w:sz w:val="10"/>
                <w:szCs w:val="10"/>
                <w:i w:val="1"/>
                <w:iCs w:val="1"/>
                <w:color w:val="auto"/>
                <w:w w:val="95"/>
              </w:rPr>
              <w:t>Proxy Statement Summary (continued)</w:t>
            </w: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90"/>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19"/>
        </w:trPr>
        <w:tc>
          <w:tcPr>
            <w:tcW w:w="1040" w:type="dxa"/>
            <w:vAlign w:val="bottom"/>
            <w:shd w:val="clear" w:color="auto" w:fill="009AD9"/>
          </w:tcPr>
          <w:p>
            <w:pPr>
              <w:spacing w:after="0"/>
              <w:rPr>
                <w:sz w:val="10"/>
                <w:szCs w:val="10"/>
                <w:color w:val="auto"/>
              </w:rPr>
            </w:pPr>
          </w:p>
        </w:tc>
        <w:tc>
          <w:tcPr>
            <w:tcW w:w="420" w:type="dxa"/>
            <w:vAlign w:val="bottom"/>
            <w:shd w:val="clear" w:color="auto" w:fill="009AD9"/>
          </w:tcPr>
          <w:p>
            <w:pPr>
              <w:spacing w:after="0"/>
              <w:rPr>
                <w:sz w:val="10"/>
                <w:szCs w:val="10"/>
                <w:color w:val="auto"/>
              </w:rPr>
            </w:pPr>
          </w:p>
        </w:tc>
        <w:tc>
          <w:tcPr>
            <w:tcW w:w="720" w:type="dxa"/>
            <w:vAlign w:val="bottom"/>
            <w:shd w:val="clear" w:color="auto" w:fill="009AD9"/>
          </w:tcPr>
          <w:p>
            <w:pPr>
              <w:spacing w:after="0"/>
              <w:rPr>
                <w:sz w:val="10"/>
                <w:szCs w:val="10"/>
                <w:color w:val="auto"/>
              </w:rPr>
            </w:pPr>
          </w:p>
        </w:tc>
        <w:tc>
          <w:tcPr>
            <w:tcW w:w="1020" w:type="dxa"/>
            <w:vAlign w:val="bottom"/>
            <w:shd w:val="clear" w:color="auto" w:fill="009AD9"/>
          </w:tcPr>
          <w:p>
            <w:pPr>
              <w:jc w:val="center"/>
              <w:ind w:left="72"/>
              <w:spacing w:after="0"/>
              <w:rPr>
                <w:sz w:val="20"/>
                <w:szCs w:val="20"/>
                <w:color w:val="auto"/>
              </w:rPr>
            </w:pPr>
            <w:r>
              <w:rPr>
                <w:rFonts w:ascii="Arial" w:cs="Arial" w:eastAsia="Arial" w:hAnsi="Arial"/>
                <w:sz w:val="10"/>
                <w:szCs w:val="10"/>
                <w:b w:val="1"/>
                <w:bCs w:val="1"/>
                <w:color w:val="FFFFFF"/>
                <w:w w:val="98"/>
              </w:rPr>
              <w:t>2022</w:t>
            </w:r>
          </w:p>
        </w:tc>
        <w:tc>
          <w:tcPr>
            <w:tcW w:w="240" w:type="dxa"/>
            <w:vAlign w:val="bottom"/>
            <w:shd w:val="clear" w:color="auto" w:fill="009AD9"/>
          </w:tcPr>
          <w:p>
            <w:pPr>
              <w:spacing w:after="0"/>
              <w:rPr>
                <w:sz w:val="10"/>
                <w:szCs w:val="10"/>
                <w:color w:val="auto"/>
              </w:rPr>
            </w:pPr>
          </w:p>
        </w:tc>
        <w:tc>
          <w:tcPr>
            <w:tcW w:w="580" w:type="dxa"/>
            <w:vAlign w:val="bottom"/>
            <w:shd w:val="clear" w:color="auto" w:fill="009AD9"/>
          </w:tcPr>
          <w:p>
            <w:pPr>
              <w:spacing w:after="0"/>
              <w:rPr>
                <w:sz w:val="10"/>
                <w:szCs w:val="10"/>
                <w:color w:val="auto"/>
              </w:rPr>
            </w:pPr>
          </w:p>
        </w:tc>
        <w:tc>
          <w:tcPr>
            <w:tcW w:w="1040" w:type="dxa"/>
            <w:vAlign w:val="bottom"/>
            <w:shd w:val="clear" w:color="auto" w:fill="009AD9"/>
          </w:tcPr>
          <w:p>
            <w:pPr>
              <w:jc w:val="center"/>
              <w:ind w:right="32"/>
              <w:spacing w:after="0"/>
              <w:rPr>
                <w:sz w:val="20"/>
                <w:szCs w:val="20"/>
                <w:color w:val="auto"/>
              </w:rPr>
            </w:pPr>
            <w:r>
              <w:rPr>
                <w:rFonts w:ascii="Arial" w:cs="Arial" w:eastAsia="Arial" w:hAnsi="Arial"/>
                <w:sz w:val="10"/>
                <w:szCs w:val="10"/>
                <w:b w:val="1"/>
                <w:bCs w:val="1"/>
                <w:color w:val="FFFFFF"/>
                <w:w w:val="89"/>
              </w:rPr>
              <w:t>2022</w:t>
            </w:r>
          </w:p>
        </w:tc>
        <w:tc>
          <w:tcPr>
            <w:tcW w:w="1120" w:type="dxa"/>
            <w:vAlign w:val="bottom"/>
            <w:shd w:val="clear" w:color="auto" w:fill="009AD9"/>
          </w:tcPr>
          <w:p>
            <w:pPr>
              <w:spacing w:after="0"/>
              <w:rPr>
                <w:sz w:val="10"/>
                <w:szCs w:val="10"/>
                <w:color w:val="auto"/>
              </w:rPr>
            </w:pPr>
          </w:p>
        </w:tc>
        <w:tc>
          <w:tcPr>
            <w:tcW w:w="460" w:type="dxa"/>
            <w:vAlign w:val="bottom"/>
            <w:shd w:val="clear" w:color="auto" w:fill="009AD9"/>
          </w:tcPr>
          <w:p>
            <w:pPr>
              <w:spacing w:after="0"/>
              <w:rPr>
                <w:sz w:val="10"/>
                <w:szCs w:val="10"/>
                <w:color w:val="auto"/>
              </w:rPr>
            </w:pPr>
          </w:p>
        </w:tc>
        <w:tc>
          <w:tcPr>
            <w:tcW w:w="780" w:type="dxa"/>
            <w:vAlign w:val="bottom"/>
            <w:shd w:val="clear" w:color="auto" w:fill="009AD9"/>
          </w:tcPr>
          <w:p>
            <w:pPr>
              <w:spacing w:after="0"/>
              <w:rPr>
                <w:sz w:val="10"/>
                <w:szCs w:val="10"/>
                <w:color w:val="auto"/>
              </w:rPr>
            </w:pPr>
          </w:p>
        </w:tc>
      </w:tr>
      <w:tr>
        <w:trPr>
          <w:trHeight w:val="109"/>
        </w:trPr>
        <w:tc>
          <w:tcPr>
            <w:tcW w:w="1040" w:type="dxa"/>
            <w:vAlign w:val="bottom"/>
            <w:shd w:val="clear" w:color="auto" w:fill="009AD9"/>
          </w:tcPr>
          <w:p>
            <w:pPr>
              <w:spacing w:after="0"/>
              <w:rPr>
                <w:sz w:val="9"/>
                <w:szCs w:val="9"/>
                <w:color w:val="auto"/>
              </w:rPr>
            </w:pPr>
          </w:p>
        </w:tc>
        <w:tc>
          <w:tcPr>
            <w:tcW w:w="42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10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4"/>
              </w:rPr>
              <w:t>Short-</w:t>
            </w:r>
          </w:p>
        </w:tc>
        <w:tc>
          <w:tcPr>
            <w:tcW w:w="240" w:type="dxa"/>
            <w:vAlign w:val="bottom"/>
            <w:shd w:val="clear" w:color="auto" w:fill="009AD9"/>
          </w:tcPr>
          <w:p>
            <w:pPr>
              <w:spacing w:after="0"/>
              <w:rPr>
                <w:sz w:val="9"/>
                <w:szCs w:val="9"/>
                <w:color w:val="auto"/>
              </w:rPr>
            </w:pPr>
          </w:p>
        </w:tc>
        <w:tc>
          <w:tcPr>
            <w:tcW w:w="580" w:type="dxa"/>
            <w:vAlign w:val="bottom"/>
            <w:shd w:val="clear" w:color="auto" w:fill="009AD9"/>
          </w:tcPr>
          <w:p>
            <w:pPr>
              <w:jc w:val="center"/>
              <w:ind w:right="232"/>
              <w:spacing w:after="0" w:line="109" w:lineRule="exact"/>
              <w:rPr>
                <w:sz w:val="20"/>
                <w:szCs w:val="20"/>
                <w:color w:val="auto"/>
              </w:rPr>
            </w:pPr>
            <w:r>
              <w:rPr>
                <w:rFonts w:ascii="Arial" w:cs="Arial" w:eastAsia="Arial" w:hAnsi="Arial"/>
                <w:sz w:val="10"/>
                <w:szCs w:val="10"/>
                <w:b w:val="1"/>
                <w:bCs w:val="1"/>
                <w:color w:val="FFFFFF"/>
                <w:w w:val="98"/>
              </w:rPr>
              <w:t>2022</w:t>
            </w:r>
          </w:p>
        </w:tc>
        <w:tc>
          <w:tcPr>
            <w:tcW w:w="104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rPr>
              <w:t>Long-</w:t>
            </w:r>
          </w:p>
        </w:tc>
        <w:tc>
          <w:tcPr>
            <w:tcW w:w="1120" w:type="dxa"/>
            <w:vAlign w:val="bottom"/>
            <w:shd w:val="clear" w:color="auto" w:fill="009AD9"/>
          </w:tcPr>
          <w:p>
            <w:pPr>
              <w:jc w:val="center"/>
              <w:ind w:right="92"/>
              <w:spacing w:after="0" w:line="109" w:lineRule="exact"/>
              <w:rPr>
                <w:sz w:val="20"/>
                <w:szCs w:val="20"/>
                <w:color w:val="auto"/>
              </w:rPr>
            </w:pPr>
            <w:r>
              <w:rPr>
                <w:rFonts w:ascii="Arial" w:cs="Arial" w:eastAsia="Arial" w:hAnsi="Arial"/>
                <w:sz w:val="10"/>
                <w:szCs w:val="10"/>
                <w:b w:val="1"/>
                <w:bCs w:val="1"/>
                <w:color w:val="FFFFFF"/>
                <w:w w:val="98"/>
              </w:rPr>
              <w:t>2022</w:t>
            </w:r>
          </w:p>
        </w:tc>
        <w:tc>
          <w:tcPr>
            <w:tcW w:w="460" w:type="dxa"/>
            <w:vAlign w:val="bottom"/>
            <w:shd w:val="clear" w:color="auto" w:fill="009AD9"/>
          </w:tcPr>
          <w:p>
            <w:pPr>
              <w:spacing w:after="0"/>
              <w:rPr>
                <w:sz w:val="9"/>
                <w:szCs w:val="9"/>
                <w:color w:val="auto"/>
              </w:rPr>
            </w:pPr>
          </w:p>
        </w:tc>
        <w:tc>
          <w:tcPr>
            <w:tcW w:w="780" w:type="dxa"/>
            <w:vAlign w:val="bottom"/>
            <w:shd w:val="clear" w:color="auto" w:fill="009AD9"/>
          </w:tcPr>
          <w:p>
            <w:pPr>
              <w:jc w:val="center"/>
              <w:ind w:right="312"/>
              <w:spacing w:after="0" w:line="109" w:lineRule="exact"/>
              <w:rPr>
                <w:sz w:val="20"/>
                <w:szCs w:val="20"/>
                <w:color w:val="auto"/>
              </w:rPr>
            </w:pPr>
            <w:r>
              <w:rPr>
                <w:rFonts w:ascii="Arial" w:cs="Arial" w:eastAsia="Arial" w:hAnsi="Arial"/>
                <w:sz w:val="10"/>
                <w:szCs w:val="10"/>
                <w:b w:val="1"/>
                <w:bCs w:val="1"/>
                <w:color w:val="FFFFFF"/>
                <w:w w:val="98"/>
              </w:rPr>
              <w:t>2022</w:t>
            </w:r>
          </w:p>
        </w:tc>
      </w:tr>
      <w:tr>
        <w:trPr>
          <w:trHeight w:val="109"/>
        </w:trPr>
        <w:tc>
          <w:tcPr>
            <w:tcW w:w="1040" w:type="dxa"/>
            <w:vAlign w:val="bottom"/>
            <w:shd w:val="clear" w:color="auto" w:fill="009AD9"/>
          </w:tcPr>
          <w:p>
            <w:pPr>
              <w:spacing w:after="0"/>
              <w:rPr>
                <w:sz w:val="9"/>
                <w:szCs w:val="9"/>
                <w:color w:val="auto"/>
              </w:rPr>
            </w:pPr>
          </w:p>
        </w:tc>
        <w:tc>
          <w:tcPr>
            <w:tcW w:w="42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102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7"/>
              </w:rPr>
              <w:t>term Incentive</w:t>
            </w:r>
          </w:p>
        </w:tc>
        <w:tc>
          <w:tcPr>
            <w:tcW w:w="240" w:type="dxa"/>
            <w:vAlign w:val="bottom"/>
            <w:shd w:val="clear" w:color="auto" w:fill="009AD9"/>
          </w:tcPr>
          <w:p>
            <w:pPr>
              <w:spacing w:after="0"/>
              <w:rPr>
                <w:sz w:val="9"/>
                <w:szCs w:val="9"/>
                <w:color w:val="auto"/>
              </w:rPr>
            </w:pPr>
          </w:p>
        </w:tc>
        <w:tc>
          <w:tcPr>
            <w:tcW w:w="580" w:type="dxa"/>
            <w:vAlign w:val="bottom"/>
            <w:shd w:val="clear" w:color="auto" w:fill="009AD9"/>
          </w:tcPr>
          <w:p>
            <w:pPr>
              <w:jc w:val="center"/>
              <w:ind w:right="232"/>
              <w:spacing w:after="0" w:line="109" w:lineRule="exact"/>
              <w:rPr>
                <w:sz w:val="20"/>
                <w:szCs w:val="20"/>
                <w:color w:val="auto"/>
              </w:rPr>
            </w:pPr>
            <w:r>
              <w:rPr>
                <w:rFonts w:ascii="Arial" w:cs="Arial" w:eastAsia="Arial" w:hAnsi="Arial"/>
                <w:sz w:val="10"/>
                <w:szCs w:val="10"/>
                <w:b w:val="1"/>
                <w:bCs w:val="1"/>
                <w:color w:val="FFFFFF"/>
              </w:rPr>
              <w:t>Short-</w:t>
            </w:r>
          </w:p>
        </w:tc>
        <w:tc>
          <w:tcPr>
            <w:tcW w:w="104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4"/>
              </w:rPr>
              <w:t>term Incentive</w:t>
            </w:r>
          </w:p>
        </w:tc>
        <w:tc>
          <w:tcPr>
            <w:tcW w:w="1120" w:type="dxa"/>
            <w:vAlign w:val="bottom"/>
            <w:shd w:val="clear" w:color="auto" w:fill="009AD9"/>
          </w:tcPr>
          <w:p>
            <w:pPr>
              <w:jc w:val="center"/>
              <w:ind w:right="92"/>
              <w:spacing w:after="0" w:line="109" w:lineRule="exact"/>
              <w:rPr>
                <w:sz w:val="20"/>
                <w:szCs w:val="20"/>
                <w:color w:val="auto"/>
              </w:rPr>
            </w:pPr>
            <w:r>
              <w:rPr>
                <w:rFonts w:ascii="Arial" w:cs="Arial" w:eastAsia="Arial" w:hAnsi="Arial"/>
                <w:sz w:val="10"/>
                <w:szCs w:val="10"/>
                <w:b w:val="1"/>
                <w:bCs w:val="1"/>
                <w:color w:val="FFFFFF"/>
                <w:w w:val="92"/>
              </w:rPr>
              <w:t>Long-term</w:t>
            </w:r>
          </w:p>
        </w:tc>
        <w:tc>
          <w:tcPr>
            <w:tcW w:w="1240" w:type="dxa"/>
            <w:vAlign w:val="bottom"/>
            <w:gridSpan w:val="2"/>
            <w:shd w:val="clear" w:color="auto" w:fill="009AD9"/>
          </w:tcPr>
          <w:p>
            <w:pPr>
              <w:ind w:left="400"/>
              <w:spacing w:after="0" w:line="109" w:lineRule="exact"/>
              <w:rPr>
                <w:sz w:val="20"/>
                <w:szCs w:val="20"/>
                <w:color w:val="auto"/>
              </w:rPr>
            </w:pPr>
            <w:r>
              <w:rPr>
                <w:rFonts w:ascii="Arial" w:cs="Arial" w:eastAsia="Arial" w:hAnsi="Arial"/>
                <w:sz w:val="10"/>
                <w:szCs w:val="10"/>
                <w:b w:val="1"/>
                <w:bCs w:val="1"/>
                <w:color w:val="FFFFFF"/>
              </w:rPr>
              <w:t>Total Direct</w:t>
            </w:r>
          </w:p>
        </w:tc>
      </w:tr>
      <w:tr>
        <w:trPr>
          <w:trHeight w:val="109"/>
        </w:trPr>
        <w:tc>
          <w:tcPr>
            <w:tcW w:w="1040" w:type="dxa"/>
            <w:vAlign w:val="bottom"/>
            <w:shd w:val="clear" w:color="auto" w:fill="009AD9"/>
          </w:tcPr>
          <w:p>
            <w:pPr>
              <w:spacing w:after="0"/>
              <w:rPr>
                <w:sz w:val="9"/>
                <w:szCs w:val="9"/>
                <w:color w:val="auto"/>
              </w:rPr>
            </w:pPr>
          </w:p>
        </w:tc>
        <w:tc>
          <w:tcPr>
            <w:tcW w:w="420" w:type="dxa"/>
            <w:vAlign w:val="bottom"/>
            <w:shd w:val="clear" w:color="auto" w:fill="009AD9"/>
          </w:tcPr>
          <w:p>
            <w:pPr>
              <w:spacing w:after="0"/>
              <w:rPr>
                <w:sz w:val="9"/>
                <w:szCs w:val="9"/>
                <w:color w:val="auto"/>
              </w:rPr>
            </w:pPr>
          </w:p>
        </w:tc>
        <w:tc>
          <w:tcPr>
            <w:tcW w:w="720" w:type="dxa"/>
            <w:vAlign w:val="bottom"/>
            <w:shd w:val="clear" w:color="auto" w:fill="009AD9"/>
          </w:tcPr>
          <w:p>
            <w:pPr>
              <w:jc w:val="right"/>
              <w:ind w:right="372"/>
              <w:spacing w:after="0" w:line="109" w:lineRule="exact"/>
              <w:rPr>
                <w:sz w:val="20"/>
                <w:szCs w:val="20"/>
                <w:color w:val="auto"/>
              </w:rPr>
            </w:pPr>
            <w:r>
              <w:rPr>
                <w:rFonts w:ascii="Arial" w:cs="Arial" w:eastAsia="Arial" w:hAnsi="Arial"/>
                <w:sz w:val="10"/>
                <w:szCs w:val="10"/>
                <w:b w:val="1"/>
                <w:bCs w:val="1"/>
                <w:color w:val="FFFFFF"/>
              </w:rPr>
              <w:t>2022</w:t>
            </w:r>
          </w:p>
        </w:tc>
        <w:tc>
          <w:tcPr>
            <w:tcW w:w="10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1"/>
              </w:rPr>
              <w:t>Target</w:t>
            </w:r>
          </w:p>
        </w:tc>
        <w:tc>
          <w:tcPr>
            <w:tcW w:w="82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term Target</w:t>
            </w:r>
          </w:p>
        </w:tc>
        <w:tc>
          <w:tcPr>
            <w:tcW w:w="104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1"/>
              </w:rPr>
              <w:t>Target</w:t>
            </w:r>
          </w:p>
        </w:tc>
        <w:tc>
          <w:tcPr>
            <w:tcW w:w="1120" w:type="dxa"/>
            <w:vAlign w:val="bottom"/>
            <w:shd w:val="clear" w:color="auto" w:fill="009AD9"/>
          </w:tcPr>
          <w:p>
            <w:pPr>
              <w:jc w:val="center"/>
              <w:ind w:right="92"/>
              <w:spacing w:after="0" w:line="109" w:lineRule="exact"/>
              <w:rPr>
                <w:sz w:val="20"/>
                <w:szCs w:val="20"/>
                <w:color w:val="auto"/>
              </w:rPr>
            </w:pPr>
            <w:r>
              <w:rPr>
                <w:rFonts w:ascii="Arial" w:cs="Arial" w:eastAsia="Arial" w:hAnsi="Arial"/>
                <w:sz w:val="10"/>
                <w:szCs w:val="10"/>
                <w:b w:val="1"/>
                <w:bCs w:val="1"/>
                <w:color w:val="FFFFFF"/>
                <w:w w:val="98"/>
              </w:rPr>
              <w:t>Target</w:t>
            </w:r>
          </w:p>
        </w:tc>
        <w:tc>
          <w:tcPr>
            <w:tcW w:w="460" w:type="dxa"/>
            <w:vAlign w:val="bottom"/>
            <w:shd w:val="clear" w:color="auto" w:fill="009AD9"/>
          </w:tcPr>
          <w:p>
            <w:pPr>
              <w:spacing w:after="0"/>
              <w:rPr>
                <w:sz w:val="9"/>
                <w:szCs w:val="9"/>
                <w:color w:val="auto"/>
              </w:rPr>
            </w:pPr>
          </w:p>
        </w:tc>
        <w:tc>
          <w:tcPr>
            <w:tcW w:w="780" w:type="dxa"/>
            <w:vAlign w:val="bottom"/>
            <w:shd w:val="clear" w:color="auto" w:fill="009AD9"/>
          </w:tcPr>
          <w:p>
            <w:pPr>
              <w:jc w:val="center"/>
              <w:ind w:right="312"/>
              <w:spacing w:after="0" w:line="109" w:lineRule="exact"/>
              <w:rPr>
                <w:sz w:val="20"/>
                <w:szCs w:val="20"/>
                <w:color w:val="auto"/>
              </w:rPr>
            </w:pPr>
            <w:r>
              <w:rPr>
                <w:rFonts w:ascii="Arial" w:cs="Arial" w:eastAsia="Arial" w:hAnsi="Arial"/>
                <w:sz w:val="10"/>
                <w:szCs w:val="10"/>
                <w:b w:val="1"/>
                <w:bCs w:val="1"/>
                <w:color w:val="FFFFFF"/>
                <w:w w:val="98"/>
              </w:rPr>
              <w:t>Target</w:t>
            </w:r>
          </w:p>
        </w:tc>
      </w:tr>
      <w:tr>
        <w:trPr>
          <w:trHeight w:val="145"/>
        </w:trPr>
        <w:tc>
          <w:tcPr>
            <w:tcW w:w="1040" w:type="dxa"/>
            <w:vAlign w:val="bottom"/>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1140" w:type="dxa"/>
            <w:vAlign w:val="bottom"/>
            <w:gridSpan w:val="2"/>
            <w:shd w:val="clear" w:color="auto" w:fill="009AD9"/>
          </w:tcPr>
          <w:p>
            <w:pPr>
              <w:jc w:val="right"/>
              <w:ind w:right="212"/>
              <w:spacing w:after="0"/>
              <w:rPr>
                <w:sz w:val="20"/>
                <w:szCs w:val="20"/>
                <w:color w:val="auto"/>
              </w:rPr>
            </w:pPr>
            <w:r>
              <w:rPr>
                <w:rFonts w:ascii="Arial" w:cs="Arial" w:eastAsia="Arial" w:hAnsi="Arial"/>
                <w:sz w:val="10"/>
                <w:szCs w:val="10"/>
                <w:b w:val="1"/>
                <w:bCs w:val="1"/>
                <w:color w:val="FFFFFF"/>
              </w:rPr>
              <w:t>Base Salary</w:t>
            </w:r>
          </w:p>
        </w:tc>
        <w:tc>
          <w:tcPr>
            <w:tcW w:w="1020" w:type="dxa"/>
            <w:vAlign w:val="bottom"/>
            <w:shd w:val="clear" w:color="auto" w:fill="009AD9"/>
          </w:tcPr>
          <w:p>
            <w:pPr>
              <w:jc w:val="center"/>
              <w:ind w:left="72"/>
              <w:spacing w:after="0"/>
              <w:rPr>
                <w:sz w:val="20"/>
                <w:szCs w:val="20"/>
                <w:color w:val="auto"/>
              </w:rPr>
            </w:pPr>
            <w:r>
              <w:rPr>
                <w:rFonts w:ascii="Arial" w:cs="Arial" w:eastAsia="Arial" w:hAnsi="Arial"/>
                <w:sz w:val="10"/>
                <w:szCs w:val="10"/>
                <w:b w:val="1"/>
                <w:bCs w:val="1"/>
                <w:color w:val="FFFFFF"/>
                <w:w w:val="95"/>
              </w:rPr>
              <w:t>(% of Salary)</w:t>
            </w:r>
          </w:p>
        </w:tc>
        <w:tc>
          <w:tcPr>
            <w:tcW w:w="82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4"/>
              </w:rPr>
              <w:t>Opportunity</w:t>
            </w:r>
          </w:p>
        </w:tc>
        <w:tc>
          <w:tcPr>
            <w:tcW w:w="1040" w:type="dxa"/>
            <w:vAlign w:val="bottom"/>
            <w:shd w:val="clear" w:color="auto" w:fill="009AD9"/>
          </w:tcPr>
          <w:p>
            <w:pPr>
              <w:jc w:val="center"/>
              <w:ind w:right="32"/>
              <w:spacing w:after="0"/>
              <w:rPr>
                <w:sz w:val="20"/>
                <w:szCs w:val="20"/>
                <w:color w:val="auto"/>
              </w:rPr>
            </w:pPr>
            <w:r>
              <w:rPr>
                <w:rFonts w:ascii="Arial" w:cs="Arial" w:eastAsia="Arial" w:hAnsi="Arial"/>
                <w:sz w:val="10"/>
                <w:szCs w:val="10"/>
                <w:b w:val="1"/>
                <w:bCs w:val="1"/>
                <w:color w:val="FFFFFF"/>
                <w:w w:val="98"/>
              </w:rPr>
              <w:t>(% of Salary)</w:t>
            </w:r>
          </w:p>
        </w:tc>
        <w:tc>
          <w:tcPr>
            <w:tcW w:w="1120" w:type="dxa"/>
            <w:vAlign w:val="bottom"/>
            <w:shd w:val="clear" w:color="auto" w:fill="009AD9"/>
          </w:tcPr>
          <w:p>
            <w:pPr>
              <w:jc w:val="center"/>
              <w:ind w:right="92"/>
              <w:spacing w:after="0"/>
              <w:rPr>
                <w:sz w:val="20"/>
                <w:szCs w:val="20"/>
                <w:color w:val="auto"/>
              </w:rPr>
            </w:pPr>
            <w:r>
              <w:rPr>
                <w:rFonts w:ascii="Arial" w:cs="Arial" w:eastAsia="Arial" w:hAnsi="Arial"/>
                <w:sz w:val="10"/>
                <w:szCs w:val="10"/>
                <w:b w:val="1"/>
                <w:bCs w:val="1"/>
                <w:color w:val="FFFFFF"/>
                <w:w w:val="94"/>
              </w:rPr>
              <w:t>Opportunity</w:t>
            </w:r>
          </w:p>
        </w:tc>
        <w:tc>
          <w:tcPr>
            <w:tcW w:w="1240" w:type="dxa"/>
            <w:vAlign w:val="bottom"/>
            <w:gridSpan w:val="2"/>
            <w:shd w:val="clear" w:color="auto" w:fill="009AD9"/>
          </w:tcPr>
          <w:p>
            <w:pPr>
              <w:jc w:val="center"/>
              <w:ind w:left="52"/>
              <w:spacing w:after="0"/>
              <w:rPr>
                <w:sz w:val="20"/>
                <w:szCs w:val="20"/>
                <w:color w:val="auto"/>
              </w:rPr>
            </w:pPr>
            <w:r>
              <w:rPr>
                <w:rFonts w:ascii="Arial" w:cs="Arial" w:eastAsia="Arial" w:hAnsi="Arial"/>
                <w:sz w:val="10"/>
                <w:szCs w:val="10"/>
                <w:b w:val="1"/>
                <w:bCs w:val="1"/>
                <w:color w:val="FFFFFF"/>
                <w:w w:val="94"/>
              </w:rPr>
              <w:t>Compensation</w:t>
            </w:r>
          </w:p>
        </w:tc>
      </w:tr>
      <w:tr>
        <w:trPr>
          <w:trHeight w:val="162"/>
        </w:trPr>
        <w:tc>
          <w:tcPr>
            <w:tcW w:w="10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David J. Lesar</w:t>
            </w: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8EFF9"/>
            </w:tcBorders>
            <w:shd w:val="clear" w:color="auto" w:fill="D8EFF9"/>
          </w:tcPr>
          <w:p>
            <w:pPr>
              <w:jc w:val="right"/>
              <w:ind w:right="232"/>
              <w:spacing w:after="0"/>
              <w:rPr>
                <w:sz w:val="20"/>
                <w:szCs w:val="20"/>
                <w:color w:val="auto"/>
              </w:rPr>
            </w:pPr>
            <w:r>
              <w:rPr>
                <w:rFonts w:ascii="Arial" w:cs="Arial" w:eastAsia="Arial" w:hAnsi="Arial"/>
                <w:sz w:val="10"/>
                <w:szCs w:val="10"/>
                <w:color w:val="auto"/>
                <w:w w:val="94"/>
              </w:rPr>
              <w:t>1,475,000</w:t>
            </w:r>
          </w:p>
        </w:tc>
        <w:tc>
          <w:tcPr>
            <w:tcW w:w="1020" w:type="dxa"/>
            <w:vAlign w:val="bottom"/>
            <w:tcBorders>
              <w:bottom w:val="single" w:sz="8" w:color="D8EFF9"/>
            </w:tcBorders>
            <w:shd w:val="clear" w:color="auto" w:fill="D8EFF9"/>
          </w:tcPr>
          <w:p>
            <w:pPr>
              <w:jc w:val="right"/>
              <w:ind w:right="232"/>
              <w:spacing w:after="0"/>
              <w:rPr>
                <w:sz w:val="20"/>
                <w:szCs w:val="20"/>
                <w:color w:val="auto"/>
              </w:rPr>
            </w:pPr>
            <w:r>
              <w:rPr>
                <w:rFonts w:ascii="Arial" w:cs="Arial" w:eastAsia="Arial" w:hAnsi="Arial"/>
                <w:sz w:val="10"/>
                <w:szCs w:val="10"/>
                <w:color w:val="auto"/>
              </w:rPr>
              <w:t>140%</w:t>
            </w:r>
          </w:p>
        </w:tc>
        <w:tc>
          <w:tcPr>
            <w:tcW w:w="2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w w:val="89"/>
              </w:rPr>
              <w:t>2,065,000</w:t>
            </w:r>
          </w:p>
        </w:tc>
        <w:tc>
          <w:tcPr>
            <w:tcW w:w="1040" w:type="dxa"/>
            <w:vAlign w:val="bottom"/>
            <w:tcBorders>
              <w:bottom w:val="single" w:sz="8" w:color="D8EFF9"/>
            </w:tcBorders>
            <w:shd w:val="clear" w:color="auto" w:fill="D8EFF9"/>
          </w:tcPr>
          <w:p>
            <w:pPr>
              <w:jc w:val="right"/>
              <w:ind w:right="332"/>
              <w:spacing w:after="0"/>
              <w:rPr>
                <w:sz w:val="20"/>
                <w:szCs w:val="20"/>
                <w:color w:val="auto"/>
              </w:rPr>
            </w:pPr>
            <w:r>
              <w:rPr>
                <w:rFonts w:ascii="Arial" w:cs="Arial" w:eastAsia="Arial" w:hAnsi="Arial"/>
                <w:sz w:val="10"/>
                <w:szCs w:val="10"/>
                <w:color w:val="auto"/>
              </w:rPr>
              <w:t>575%</w:t>
            </w:r>
          </w:p>
        </w:tc>
        <w:tc>
          <w:tcPr>
            <w:tcW w:w="1120" w:type="dxa"/>
            <w:vAlign w:val="bottom"/>
            <w:tcBorders>
              <w:bottom w:val="single" w:sz="8" w:color="D8EFF9"/>
            </w:tcBorders>
            <w:shd w:val="clear" w:color="auto" w:fill="D8EFF9"/>
          </w:tcPr>
          <w:p>
            <w:pPr>
              <w:jc w:val="center"/>
              <w:ind w:right="92"/>
              <w:spacing w:after="0"/>
              <w:rPr>
                <w:sz w:val="20"/>
                <w:szCs w:val="20"/>
                <w:color w:val="auto"/>
              </w:rPr>
            </w:pPr>
            <w:r>
              <w:rPr>
                <w:rFonts w:ascii="Arial" w:cs="Arial" w:eastAsia="Arial" w:hAnsi="Arial"/>
                <w:sz w:val="10"/>
                <w:szCs w:val="10"/>
                <w:color w:val="auto"/>
                <w:w w:val="99"/>
              </w:rPr>
              <w:t>$8,481,250</w:t>
            </w:r>
          </w:p>
        </w:tc>
        <w:tc>
          <w:tcPr>
            <w:tcW w:w="460" w:type="dxa"/>
            <w:vAlign w:val="bottom"/>
            <w:tcBorders>
              <w:bottom w:val="single" w:sz="8" w:color="D8EFF9"/>
            </w:tcBorders>
            <w:shd w:val="clear" w:color="auto" w:fill="D8EFF9"/>
          </w:tcPr>
          <w:p>
            <w:pPr>
              <w:ind w:left="40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w w:val="91"/>
              </w:rPr>
              <w:t>12,021,250</w:t>
            </w:r>
          </w:p>
        </w:tc>
      </w:tr>
      <w:tr>
        <w:trPr>
          <w:trHeight w:val="155"/>
        </w:trPr>
        <w:tc>
          <w:tcPr>
            <w:tcW w:w="1040" w:type="dxa"/>
            <w:vAlign w:val="bottom"/>
          </w:tcPr>
          <w:p>
            <w:pPr>
              <w:ind w:left="40"/>
              <w:spacing w:after="0"/>
              <w:rPr>
                <w:sz w:val="20"/>
                <w:szCs w:val="20"/>
                <w:color w:val="auto"/>
              </w:rPr>
            </w:pPr>
            <w:r>
              <w:rPr>
                <w:rFonts w:ascii="Arial" w:cs="Arial" w:eastAsia="Arial" w:hAnsi="Arial"/>
                <w:sz w:val="10"/>
                <w:szCs w:val="10"/>
                <w:b w:val="1"/>
                <w:bCs w:val="1"/>
                <w:color w:val="auto"/>
              </w:rPr>
              <w:t>Jason P. Wells</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rPr>
                <w:sz w:val="20"/>
                <w:szCs w:val="20"/>
                <w:color w:val="auto"/>
              </w:rPr>
            </w:pPr>
            <w:r>
              <w:rPr>
                <w:rFonts w:ascii="Arial" w:cs="Arial" w:eastAsia="Arial" w:hAnsi="Arial"/>
                <w:sz w:val="10"/>
                <w:szCs w:val="10"/>
                <w:color w:val="auto"/>
              </w:rPr>
              <w:t>695,000</w:t>
            </w:r>
          </w:p>
        </w:tc>
        <w:tc>
          <w:tcPr>
            <w:tcW w:w="1020" w:type="dxa"/>
            <w:vAlign w:val="bottom"/>
          </w:tcPr>
          <w:p>
            <w:pPr>
              <w:jc w:val="right"/>
              <w:ind w:right="232"/>
              <w:spacing w:after="0"/>
              <w:rPr>
                <w:sz w:val="20"/>
                <w:szCs w:val="20"/>
                <w:color w:val="auto"/>
              </w:rPr>
            </w:pPr>
            <w:r>
              <w:rPr>
                <w:rFonts w:ascii="Arial" w:cs="Arial" w:eastAsia="Arial" w:hAnsi="Arial"/>
                <w:sz w:val="10"/>
                <w:szCs w:val="10"/>
                <w:color w:val="auto"/>
              </w:rPr>
              <w:t>75%</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521,250</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250%</w:t>
            </w:r>
          </w:p>
        </w:tc>
        <w:tc>
          <w:tcPr>
            <w:tcW w:w="1120" w:type="dxa"/>
            <w:vAlign w:val="bottom"/>
          </w:tcPr>
          <w:p>
            <w:pPr>
              <w:jc w:val="center"/>
              <w:ind w:right="92"/>
              <w:spacing w:after="0"/>
              <w:rPr>
                <w:sz w:val="20"/>
                <w:szCs w:val="20"/>
                <w:color w:val="auto"/>
              </w:rPr>
            </w:pPr>
            <w:r>
              <w:rPr>
                <w:rFonts w:ascii="Arial" w:cs="Arial" w:eastAsia="Arial" w:hAnsi="Arial"/>
                <w:sz w:val="10"/>
                <w:szCs w:val="10"/>
                <w:color w:val="auto"/>
                <w:w w:val="99"/>
              </w:rPr>
              <w:t>$1,737,500</w:t>
            </w:r>
          </w:p>
        </w:tc>
        <w:tc>
          <w:tcPr>
            <w:tcW w:w="460" w:type="dxa"/>
            <w:vAlign w:val="bottom"/>
          </w:tcPr>
          <w:p>
            <w:pPr>
              <w:ind w:left="40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252"/>
              <w:spacing w:after="0"/>
              <w:rPr>
                <w:sz w:val="20"/>
                <w:szCs w:val="20"/>
                <w:color w:val="auto"/>
              </w:rPr>
            </w:pPr>
            <w:r>
              <w:rPr>
                <w:rFonts w:ascii="Arial" w:cs="Arial" w:eastAsia="Arial" w:hAnsi="Arial"/>
                <w:sz w:val="10"/>
                <w:szCs w:val="10"/>
                <w:color w:val="auto"/>
              </w:rPr>
              <w:t>2,953,750</w:t>
            </w:r>
          </w:p>
        </w:tc>
      </w:tr>
      <w:tr>
        <w:trPr>
          <w:trHeight w:val="27"/>
        </w:trPr>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2"/>
        </w:trPr>
        <w:tc>
          <w:tcPr>
            <w:tcW w:w="10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Scott E. Doyle</w:t>
            </w: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8EFF9"/>
            </w:tcBorders>
            <w:shd w:val="clear" w:color="auto" w:fill="D8EFF9"/>
          </w:tcPr>
          <w:p>
            <w:pPr>
              <w:jc w:val="right"/>
              <w:ind w:right="232"/>
              <w:spacing w:after="0"/>
              <w:rPr>
                <w:sz w:val="20"/>
                <w:szCs w:val="20"/>
                <w:color w:val="auto"/>
              </w:rPr>
            </w:pPr>
            <w:r>
              <w:rPr>
                <w:rFonts w:ascii="Arial" w:cs="Arial" w:eastAsia="Arial" w:hAnsi="Arial"/>
                <w:sz w:val="10"/>
                <w:szCs w:val="10"/>
                <w:color w:val="auto"/>
              </w:rPr>
              <w:t>600,000</w:t>
            </w:r>
          </w:p>
        </w:tc>
        <w:tc>
          <w:tcPr>
            <w:tcW w:w="1020" w:type="dxa"/>
            <w:vAlign w:val="bottom"/>
            <w:tcBorders>
              <w:bottom w:val="single" w:sz="8" w:color="D8EFF9"/>
            </w:tcBorders>
            <w:shd w:val="clear" w:color="auto" w:fill="D8EFF9"/>
          </w:tcPr>
          <w:p>
            <w:pPr>
              <w:jc w:val="right"/>
              <w:ind w:right="232"/>
              <w:spacing w:after="0"/>
              <w:rPr>
                <w:sz w:val="20"/>
                <w:szCs w:val="20"/>
                <w:color w:val="auto"/>
              </w:rPr>
            </w:pPr>
            <w:r>
              <w:rPr>
                <w:rFonts w:ascii="Arial" w:cs="Arial" w:eastAsia="Arial" w:hAnsi="Arial"/>
                <w:sz w:val="10"/>
                <w:szCs w:val="10"/>
                <w:color w:val="auto"/>
              </w:rPr>
              <w:t>75%</w:t>
            </w:r>
          </w:p>
        </w:tc>
        <w:tc>
          <w:tcPr>
            <w:tcW w:w="2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450,000</w:t>
            </w:r>
          </w:p>
        </w:tc>
        <w:tc>
          <w:tcPr>
            <w:tcW w:w="1040" w:type="dxa"/>
            <w:vAlign w:val="bottom"/>
            <w:tcBorders>
              <w:bottom w:val="single" w:sz="8" w:color="D8EFF9"/>
            </w:tcBorders>
            <w:shd w:val="clear" w:color="auto" w:fill="D8EFF9"/>
          </w:tcPr>
          <w:p>
            <w:pPr>
              <w:jc w:val="right"/>
              <w:ind w:right="332"/>
              <w:spacing w:after="0"/>
              <w:rPr>
                <w:sz w:val="20"/>
                <w:szCs w:val="20"/>
                <w:color w:val="auto"/>
              </w:rPr>
            </w:pPr>
            <w:r>
              <w:rPr>
                <w:rFonts w:ascii="Arial" w:cs="Arial" w:eastAsia="Arial" w:hAnsi="Arial"/>
                <w:sz w:val="10"/>
                <w:szCs w:val="10"/>
                <w:color w:val="auto"/>
              </w:rPr>
              <w:t>250%</w:t>
            </w:r>
          </w:p>
        </w:tc>
        <w:tc>
          <w:tcPr>
            <w:tcW w:w="1120" w:type="dxa"/>
            <w:vAlign w:val="bottom"/>
            <w:tcBorders>
              <w:bottom w:val="single" w:sz="8" w:color="D8EFF9"/>
            </w:tcBorders>
            <w:shd w:val="clear" w:color="auto" w:fill="D8EFF9"/>
          </w:tcPr>
          <w:p>
            <w:pPr>
              <w:jc w:val="center"/>
              <w:ind w:right="92"/>
              <w:spacing w:after="0"/>
              <w:rPr>
                <w:sz w:val="20"/>
                <w:szCs w:val="20"/>
                <w:color w:val="auto"/>
              </w:rPr>
            </w:pPr>
            <w:r>
              <w:rPr>
                <w:rFonts w:ascii="Arial" w:cs="Arial" w:eastAsia="Arial" w:hAnsi="Arial"/>
                <w:sz w:val="10"/>
                <w:szCs w:val="10"/>
                <w:color w:val="auto"/>
                <w:w w:val="99"/>
              </w:rPr>
              <w:t>$1,500,000</w:t>
            </w:r>
          </w:p>
        </w:tc>
        <w:tc>
          <w:tcPr>
            <w:tcW w:w="460" w:type="dxa"/>
            <w:vAlign w:val="bottom"/>
            <w:tcBorders>
              <w:bottom w:val="single" w:sz="8" w:color="D8EFF9"/>
            </w:tcBorders>
            <w:shd w:val="clear" w:color="auto" w:fill="D8EFF9"/>
          </w:tcPr>
          <w:p>
            <w:pPr>
              <w:ind w:left="40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2,550,000</w:t>
            </w:r>
          </w:p>
        </w:tc>
      </w:tr>
      <w:tr>
        <w:trPr>
          <w:trHeight w:val="155"/>
        </w:trPr>
        <w:tc>
          <w:tcPr>
            <w:tcW w:w="1040" w:type="dxa"/>
            <w:vAlign w:val="bottom"/>
          </w:tcPr>
          <w:p>
            <w:pPr>
              <w:ind w:left="40"/>
              <w:spacing w:after="0"/>
              <w:rPr>
                <w:sz w:val="20"/>
                <w:szCs w:val="20"/>
                <w:color w:val="auto"/>
              </w:rPr>
            </w:pPr>
            <w:r>
              <w:rPr>
                <w:rFonts w:ascii="Arial" w:cs="Arial" w:eastAsia="Arial" w:hAnsi="Arial"/>
                <w:sz w:val="10"/>
                <w:szCs w:val="10"/>
                <w:b w:val="1"/>
                <w:bCs w:val="1"/>
                <w:color w:val="auto"/>
              </w:rPr>
              <w:t>Monica Karuturi</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rPr>
                <w:sz w:val="20"/>
                <w:szCs w:val="20"/>
                <w:color w:val="auto"/>
              </w:rPr>
            </w:pPr>
            <w:r>
              <w:rPr>
                <w:rFonts w:ascii="Arial" w:cs="Arial" w:eastAsia="Arial" w:hAnsi="Arial"/>
                <w:sz w:val="10"/>
                <w:szCs w:val="10"/>
                <w:color w:val="auto"/>
              </w:rPr>
              <w:t>580,000</w:t>
            </w:r>
          </w:p>
        </w:tc>
        <w:tc>
          <w:tcPr>
            <w:tcW w:w="1020" w:type="dxa"/>
            <w:vAlign w:val="bottom"/>
          </w:tcPr>
          <w:p>
            <w:pPr>
              <w:jc w:val="right"/>
              <w:ind w:right="232"/>
              <w:spacing w:after="0"/>
              <w:rPr>
                <w:sz w:val="20"/>
                <w:szCs w:val="20"/>
                <w:color w:val="auto"/>
              </w:rPr>
            </w:pPr>
            <w:r>
              <w:rPr>
                <w:rFonts w:ascii="Arial" w:cs="Arial" w:eastAsia="Arial" w:hAnsi="Arial"/>
                <w:sz w:val="10"/>
                <w:szCs w:val="10"/>
                <w:color w:val="auto"/>
              </w:rPr>
              <w:t>70%</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406,000</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190%</w:t>
            </w:r>
          </w:p>
        </w:tc>
        <w:tc>
          <w:tcPr>
            <w:tcW w:w="1120" w:type="dxa"/>
            <w:vAlign w:val="bottom"/>
          </w:tcPr>
          <w:p>
            <w:pPr>
              <w:jc w:val="center"/>
              <w:ind w:right="92"/>
              <w:spacing w:after="0"/>
              <w:rPr>
                <w:sz w:val="20"/>
                <w:szCs w:val="20"/>
                <w:color w:val="auto"/>
              </w:rPr>
            </w:pPr>
            <w:r>
              <w:rPr>
                <w:rFonts w:ascii="Arial" w:cs="Arial" w:eastAsia="Arial" w:hAnsi="Arial"/>
                <w:sz w:val="10"/>
                <w:szCs w:val="10"/>
                <w:color w:val="auto"/>
                <w:w w:val="99"/>
              </w:rPr>
              <w:t>$1,102,000</w:t>
            </w:r>
          </w:p>
        </w:tc>
        <w:tc>
          <w:tcPr>
            <w:tcW w:w="460" w:type="dxa"/>
            <w:vAlign w:val="bottom"/>
          </w:tcPr>
          <w:p>
            <w:pPr>
              <w:ind w:left="40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252"/>
              <w:spacing w:after="0"/>
              <w:rPr>
                <w:sz w:val="20"/>
                <w:szCs w:val="20"/>
                <w:color w:val="auto"/>
              </w:rPr>
            </w:pPr>
            <w:r>
              <w:rPr>
                <w:rFonts w:ascii="Arial" w:cs="Arial" w:eastAsia="Arial" w:hAnsi="Arial"/>
                <w:sz w:val="10"/>
                <w:szCs w:val="10"/>
                <w:color w:val="auto"/>
              </w:rPr>
              <w:t>2,088,000</w:t>
            </w:r>
          </w:p>
        </w:tc>
      </w:tr>
      <w:tr>
        <w:trPr>
          <w:trHeight w:val="27"/>
        </w:trPr>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5"/>
        </w:trPr>
        <w:tc>
          <w:tcPr>
            <w:tcW w:w="104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Gregory E. Knight</w:t>
            </w:r>
          </w:p>
        </w:tc>
        <w:tc>
          <w:tcPr>
            <w:tcW w:w="4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D8EFF9"/>
          </w:tcPr>
          <w:p>
            <w:pPr>
              <w:jc w:val="right"/>
              <w:ind w:right="232"/>
              <w:spacing w:after="0"/>
              <w:rPr>
                <w:sz w:val="20"/>
                <w:szCs w:val="20"/>
                <w:color w:val="auto"/>
              </w:rPr>
            </w:pPr>
            <w:r>
              <w:rPr>
                <w:rFonts w:ascii="Arial" w:cs="Arial" w:eastAsia="Arial" w:hAnsi="Arial"/>
                <w:sz w:val="10"/>
                <w:szCs w:val="10"/>
                <w:color w:val="auto"/>
              </w:rPr>
              <w:t>530,000</w:t>
            </w:r>
          </w:p>
        </w:tc>
        <w:tc>
          <w:tcPr>
            <w:tcW w:w="1020" w:type="dxa"/>
            <w:vAlign w:val="bottom"/>
            <w:shd w:val="clear" w:color="auto" w:fill="D8EFF9"/>
          </w:tcPr>
          <w:p>
            <w:pPr>
              <w:jc w:val="right"/>
              <w:ind w:right="232"/>
              <w:spacing w:after="0"/>
              <w:rPr>
                <w:sz w:val="20"/>
                <w:szCs w:val="20"/>
                <w:color w:val="auto"/>
              </w:rPr>
            </w:pPr>
            <w:r>
              <w:rPr>
                <w:rFonts w:ascii="Arial" w:cs="Arial" w:eastAsia="Arial" w:hAnsi="Arial"/>
                <w:sz w:val="10"/>
                <w:szCs w:val="10"/>
                <w:color w:val="auto"/>
              </w:rPr>
              <w:t>70%</w:t>
            </w:r>
          </w:p>
        </w:tc>
        <w:tc>
          <w:tcPr>
            <w:tcW w:w="2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371,000</w:t>
            </w:r>
          </w:p>
        </w:tc>
        <w:tc>
          <w:tcPr>
            <w:tcW w:w="104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190%</w:t>
            </w:r>
          </w:p>
        </w:tc>
        <w:tc>
          <w:tcPr>
            <w:tcW w:w="1120" w:type="dxa"/>
            <w:vAlign w:val="bottom"/>
            <w:shd w:val="clear" w:color="auto" w:fill="D8EFF9"/>
          </w:tcPr>
          <w:p>
            <w:pPr>
              <w:jc w:val="center"/>
              <w:ind w:right="92"/>
              <w:spacing w:after="0"/>
              <w:rPr>
                <w:sz w:val="20"/>
                <w:szCs w:val="20"/>
                <w:color w:val="auto"/>
              </w:rPr>
            </w:pPr>
            <w:r>
              <w:rPr>
                <w:rFonts w:ascii="Arial" w:cs="Arial" w:eastAsia="Arial" w:hAnsi="Arial"/>
                <w:sz w:val="10"/>
                <w:szCs w:val="10"/>
                <w:color w:val="auto"/>
                <w:w w:val="99"/>
              </w:rPr>
              <w:t>$1,007,000</w:t>
            </w:r>
          </w:p>
        </w:tc>
        <w:tc>
          <w:tcPr>
            <w:tcW w:w="460" w:type="dxa"/>
            <w:vAlign w:val="bottom"/>
            <w:shd w:val="clear" w:color="auto" w:fill="D8EFF9"/>
          </w:tcPr>
          <w:p>
            <w:pPr>
              <w:ind w:left="40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D8EFF9"/>
          </w:tcPr>
          <w:p>
            <w:pPr>
              <w:jc w:val="right"/>
              <w:ind w:right="252"/>
              <w:spacing w:after="0"/>
              <w:rPr>
                <w:sz w:val="20"/>
                <w:szCs w:val="20"/>
                <w:color w:val="auto"/>
              </w:rPr>
            </w:pPr>
            <w:r>
              <w:rPr>
                <w:rFonts w:ascii="Arial" w:cs="Arial" w:eastAsia="Arial" w:hAnsi="Arial"/>
                <w:sz w:val="10"/>
                <w:szCs w:val="10"/>
                <w:color w:val="auto"/>
              </w:rPr>
              <w:t>1,908,000</w:t>
            </w:r>
          </w:p>
        </w:tc>
      </w:tr>
      <w:tr>
        <w:trPr>
          <w:trHeight w:val="27"/>
        </w:trPr>
        <w:tc>
          <w:tcPr>
            <w:tcW w:w="1040" w:type="dxa"/>
            <w:vAlign w:val="bottom"/>
            <w:shd w:val="clear" w:color="auto" w:fill="D8EFF9"/>
          </w:tcPr>
          <w:p>
            <w:pPr>
              <w:spacing w:after="0"/>
              <w:rPr>
                <w:sz w:val="2"/>
                <w:szCs w:val="2"/>
                <w:color w:val="auto"/>
              </w:rPr>
            </w:pPr>
          </w:p>
        </w:tc>
        <w:tc>
          <w:tcPr>
            <w:tcW w:w="420" w:type="dxa"/>
            <w:vAlign w:val="bottom"/>
            <w:shd w:val="clear" w:color="auto" w:fill="D8EFF9"/>
          </w:tcPr>
          <w:p>
            <w:pPr>
              <w:spacing w:after="0"/>
              <w:rPr>
                <w:sz w:val="2"/>
                <w:szCs w:val="2"/>
                <w:color w:val="auto"/>
              </w:rPr>
            </w:pPr>
          </w:p>
        </w:tc>
        <w:tc>
          <w:tcPr>
            <w:tcW w:w="720" w:type="dxa"/>
            <w:vAlign w:val="bottom"/>
            <w:shd w:val="clear" w:color="auto" w:fill="D8EFF9"/>
          </w:tcPr>
          <w:p>
            <w:pPr>
              <w:spacing w:after="0"/>
              <w:rPr>
                <w:sz w:val="2"/>
                <w:szCs w:val="2"/>
                <w:color w:val="auto"/>
              </w:rPr>
            </w:pPr>
          </w:p>
        </w:tc>
        <w:tc>
          <w:tcPr>
            <w:tcW w:w="1020" w:type="dxa"/>
            <w:vAlign w:val="bottom"/>
            <w:shd w:val="clear" w:color="auto" w:fill="D8EFF9"/>
          </w:tcPr>
          <w:p>
            <w:pPr>
              <w:spacing w:after="0"/>
              <w:rPr>
                <w:sz w:val="2"/>
                <w:szCs w:val="2"/>
                <w:color w:val="auto"/>
              </w:rPr>
            </w:pPr>
          </w:p>
        </w:tc>
        <w:tc>
          <w:tcPr>
            <w:tcW w:w="240" w:type="dxa"/>
            <w:vAlign w:val="bottom"/>
            <w:shd w:val="clear" w:color="auto" w:fill="D8EFF9"/>
          </w:tcPr>
          <w:p>
            <w:pPr>
              <w:spacing w:after="0"/>
              <w:rPr>
                <w:sz w:val="2"/>
                <w:szCs w:val="2"/>
                <w:color w:val="auto"/>
              </w:rPr>
            </w:pPr>
          </w:p>
        </w:tc>
        <w:tc>
          <w:tcPr>
            <w:tcW w:w="580" w:type="dxa"/>
            <w:vAlign w:val="bottom"/>
            <w:shd w:val="clear" w:color="auto" w:fill="D8EFF9"/>
          </w:tcPr>
          <w:p>
            <w:pPr>
              <w:spacing w:after="0"/>
              <w:rPr>
                <w:sz w:val="2"/>
                <w:szCs w:val="2"/>
                <w:color w:val="auto"/>
              </w:rPr>
            </w:pPr>
          </w:p>
        </w:tc>
        <w:tc>
          <w:tcPr>
            <w:tcW w:w="1040" w:type="dxa"/>
            <w:vAlign w:val="bottom"/>
            <w:shd w:val="clear" w:color="auto" w:fill="D8EFF9"/>
          </w:tcPr>
          <w:p>
            <w:pPr>
              <w:spacing w:after="0"/>
              <w:rPr>
                <w:sz w:val="2"/>
                <w:szCs w:val="2"/>
                <w:color w:val="auto"/>
              </w:rPr>
            </w:pPr>
          </w:p>
        </w:tc>
        <w:tc>
          <w:tcPr>
            <w:tcW w:w="1120" w:type="dxa"/>
            <w:vAlign w:val="bottom"/>
            <w:shd w:val="clear" w:color="auto" w:fill="D8EFF9"/>
          </w:tcPr>
          <w:p>
            <w:pPr>
              <w:spacing w:after="0"/>
              <w:rPr>
                <w:sz w:val="2"/>
                <w:szCs w:val="2"/>
                <w:color w:val="auto"/>
              </w:rPr>
            </w:pPr>
          </w:p>
        </w:tc>
        <w:tc>
          <w:tcPr>
            <w:tcW w:w="460" w:type="dxa"/>
            <w:vAlign w:val="bottom"/>
            <w:shd w:val="clear" w:color="auto" w:fill="D8EFF9"/>
          </w:tcPr>
          <w:p>
            <w:pPr>
              <w:spacing w:after="0"/>
              <w:rPr>
                <w:sz w:val="2"/>
                <w:szCs w:val="2"/>
                <w:color w:val="auto"/>
              </w:rPr>
            </w:pPr>
          </w:p>
        </w:tc>
        <w:tc>
          <w:tcPr>
            <w:tcW w:w="780" w:type="dxa"/>
            <w:vAlign w:val="bottom"/>
            <w:shd w:val="clear" w:color="auto" w:fill="D8EFF9"/>
          </w:tcPr>
          <w:p>
            <w:pPr>
              <w:spacing w:after="0"/>
              <w:rPr>
                <w:sz w:val="2"/>
                <w:szCs w:val="2"/>
                <w:color w:val="auto"/>
              </w:rPr>
            </w:pPr>
          </w:p>
        </w:tc>
      </w:tr>
    </w:tbl>
    <w:p>
      <w:pPr>
        <w:spacing w:after="0" w:line="140" w:lineRule="exact"/>
        <w:rPr>
          <w:sz w:val="20"/>
          <w:szCs w:val="20"/>
          <w:color w:val="auto"/>
        </w:rPr>
      </w:pPr>
    </w:p>
    <w:p>
      <w:pPr>
        <w:ind w:left="2080" w:hanging="145"/>
        <w:spacing w:after="0"/>
        <w:tabs>
          <w:tab w:leader="none" w:pos="2080" w:val="left"/>
        </w:tabs>
        <w:numPr>
          <w:ilvl w:val="0"/>
          <w:numId w:val="1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CENTERPOINT ENERGY, INC.</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1111 Louisiana</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Houston, Texas 77002</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(713) 207-1111</w:t>
      </w:r>
    </w:p>
    <w:p>
      <w:pPr>
        <w:spacing w:after="0" w:line="62"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i w:val="1"/>
          <w:iCs w:val="1"/>
          <w:color w:val="auto"/>
        </w:rPr>
        <w:t>For deliveries by U.S. Postal Service:</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P.O. Box 4567</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Houston, Texas 77210-4567</w:t>
      </w:r>
    </w:p>
    <w:p>
      <w:pPr>
        <w:spacing w:after="0" w:line="109" w:lineRule="exact"/>
        <w:rPr>
          <w:sz w:val="20"/>
          <w:szCs w:val="20"/>
          <w:color w:val="auto"/>
        </w:rPr>
      </w:pPr>
    </w:p>
    <w:p>
      <w:pPr>
        <w:ind w:left="4500"/>
        <w:spacing w:after="0"/>
        <w:rPr>
          <w:sz w:val="20"/>
          <w:szCs w:val="20"/>
          <w:color w:val="auto"/>
        </w:rPr>
      </w:pPr>
      <w:r>
        <w:rPr>
          <w:rFonts w:ascii="Arial" w:cs="Arial" w:eastAsia="Arial" w:hAnsi="Arial"/>
          <w:sz w:val="29"/>
          <w:szCs w:val="29"/>
          <w:b w:val="1"/>
          <w:bCs w:val="1"/>
          <w:color w:val="auto"/>
        </w:rPr>
        <w:t>Proxy Statement</w:t>
      </w:r>
    </w:p>
    <w:p>
      <w:pPr>
        <w:spacing w:after="0" w:line="306"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FREQUENTLY ASKED QUESTIONS ABOUT VOTING</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On what am I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21" w:lineRule="exact"/>
        <w:rPr>
          <w:sz w:val="20"/>
          <w:szCs w:val="20"/>
          <w:color w:val="auto"/>
        </w:rPr>
      </w:pPr>
    </w:p>
    <w:tbl>
      <w:tblPr>
        <w:tblLayout w:type="fixed"/>
        <w:tblInd w:w="1940" w:type="dxa"/>
        <w:tblCellMar>
          <w:top w:w="0" w:type="dxa"/>
          <w:left w:w="0" w:type="dxa"/>
          <w:bottom w:w="0" w:type="dxa"/>
          <w:right w:w="0" w:type="dxa"/>
        </w:tblCellMar>
      </w:tblPr>
      <w:tr>
        <w:trPr>
          <w:trHeight w:val="119"/>
        </w:trPr>
        <w:tc>
          <w:tcPr>
            <w:tcW w:w="1600" w:type="dxa"/>
            <w:vAlign w:val="bottom"/>
            <w:shd w:val="clear" w:color="auto" w:fill="009AD9"/>
          </w:tcPr>
          <w:p>
            <w:pPr>
              <w:spacing w:after="0"/>
              <w:rPr>
                <w:sz w:val="10"/>
                <w:szCs w:val="10"/>
                <w:color w:val="auto"/>
              </w:rPr>
            </w:pPr>
          </w:p>
        </w:tc>
        <w:tc>
          <w:tcPr>
            <w:tcW w:w="1360" w:type="dxa"/>
            <w:vAlign w:val="bottom"/>
            <w:shd w:val="clear" w:color="auto" w:fill="009AD9"/>
          </w:tcPr>
          <w:p>
            <w:pPr>
              <w:spacing w:after="0"/>
              <w:rPr>
                <w:sz w:val="10"/>
                <w:szCs w:val="10"/>
                <w:color w:val="auto"/>
              </w:rPr>
            </w:pPr>
          </w:p>
        </w:tc>
        <w:tc>
          <w:tcPr>
            <w:tcW w:w="124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Board</w:t>
            </w:r>
          </w:p>
        </w:tc>
        <w:tc>
          <w:tcPr>
            <w:tcW w:w="1040" w:type="dxa"/>
            <w:vAlign w:val="bottom"/>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2"/>
              </w:rPr>
              <w:t>Broker</w:t>
            </w:r>
          </w:p>
        </w:tc>
        <w:tc>
          <w:tcPr>
            <w:tcW w:w="1060" w:type="dxa"/>
            <w:vAlign w:val="bottom"/>
            <w:shd w:val="clear" w:color="auto" w:fill="009AD9"/>
          </w:tcPr>
          <w:p>
            <w:pPr>
              <w:spacing w:after="0"/>
              <w:rPr>
                <w:sz w:val="10"/>
                <w:szCs w:val="10"/>
                <w:color w:val="auto"/>
              </w:rPr>
            </w:pPr>
          </w:p>
        </w:tc>
        <w:tc>
          <w:tcPr>
            <w:tcW w:w="1120" w:type="dxa"/>
            <w:vAlign w:val="bottom"/>
            <w:shd w:val="clear" w:color="auto" w:fill="009AD9"/>
          </w:tcPr>
          <w:p>
            <w:pPr>
              <w:jc w:val="center"/>
              <w:ind w:left="92"/>
              <w:spacing w:after="0"/>
              <w:rPr>
                <w:sz w:val="20"/>
                <w:szCs w:val="20"/>
                <w:color w:val="auto"/>
              </w:rPr>
            </w:pPr>
            <w:r>
              <w:rPr>
                <w:rFonts w:ascii="Arial" w:cs="Arial" w:eastAsia="Arial" w:hAnsi="Arial"/>
                <w:sz w:val="10"/>
                <w:szCs w:val="10"/>
                <w:b w:val="1"/>
                <w:bCs w:val="1"/>
                <w:color w:val="FFFFFF"/>
                <w:w w:val="94"/>
              </w:rPr>
              <w:t>Votes required</w:t>
            </w:r>
          </w:p>
        </w:tc>
      </w:tr>
      <w:tr>
        <w:trPr>
          <w:trHeight w:val="145"/>
        </w:trPr>
        <w:tc>
          <w:tcPr>
            <w:tcW w:w="1600" w:type="dxa"/>
            <w:vAlign w:val="bottom"/>
            <w:shd w:val="clear" w:color="auto" w:fill="009AD9"/>
          </w:tcPr>
          <w:p>
            <w:pPr>
              <w:ind w:left="40"/>
              <w:spacing w:after="0"/>
              <w:rPr>
                <w:sz w:val="20"/>
                <w:szCs w:val="20"/>
                <w:color w:val="auto"/>
              </w:rPr>
            </w:pPr>
            <w:r>
              <w:rPr>
                <w:rFonts w:ascii="Arial" w:cs="Arial" w:eastAsia="Arial" w:hAnsi="Arial"/>
                <w:sz w:val="10"/>
                <w:szCs w:val="10"/>
                <w:b w:val="1"/>
                <w:bCs w:val="1"/>
                <w:color w:val="FFFFFF"/>
              </w:rPr>
              <w:t>Item Description</w:t>
            </w:r>
          </w:p>
        </w:tc>
        <w:tc>
          <w:tcPr>
            <w:tcW w:w="1360" w:type="dxa"/>
            <w:vAlign w:val="bottom"/>
            <w:shd w:val="clear" w:color="auto" w:fill="009AD9"/>
          </w:tcPr>
          <w:p>
            <w:pPr>
              <w:jc w:val="center"/>
              <w:ind w:left="172"/>
              <w:spacing w:after="0"/>
              <w:rPr>
                <w:sz w:val="20"/>
                <w:szCs w:val="20"/>
                <w:color w:val="auto"/>
              </w:rPr>
            </w:pPr>
            <w:r>
              <w:rPr>
                <w:rFonts w:ascii="Arial" w:cs="Arial" w:eastAsia="Arial" w:hAnsi="Arial"/>
                <w:sz w:val="10"/>
                <w:szCs w:val="10"/>
                <w:b w:val="1"/>
                <w:bCs w:val="1"/>
                <w:color w:val="FFFFFF"/>
                <w:w w:val="95"/>
              </w:rPr>
              <w:t>More Information</w:t>
            </w:r>
          </w:p>
        </w:tc>
        <w:tc>
          <w:tcPr>
            <w:tcW w:w="124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Recommendation</w:t>
            </w:r>
          </w:p>
        </w:tc>
        <w:tc>
          <w:tcPr>
            <w:tcW w:w="1040" w:type="dxa"/>
            <w:vAlign w:val="bottom"/>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6"/>
              </w:rPr>
              <w:t>non-votes</w:t>
            </w:r>
          </w:p>
        </w:tc>
        <w:tc>
          <w:tcPr>
            <w:tcW w:w="1060" w:type="dxa"/>
            <w:vAlign w:val="bottom"/>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6"/>
              </w:rPr>
              <w:t>Abstentions</w:t>
            </w:r>
          </w:p>
        </w:tc>
        <w:tc>
          <w:tcPr>
            <w:tcW w:w="1120" w:type="dxa"/>
            <w:vAlign w:val="bottom"/>
            <w:shd w:val="clear" w:color="auto" w:fill="009AD9"/>
          </w:tcPr>
          <w:p>
            <w:pPr>
              <w:jc w:val="center"/>
              <w:ind w:left="72"/>
              <w:spacing w:after="0"/>
              <w:rPr>
                <w:sz w:val="20"/>
                <w:szCs w:val="20"/>
                <w:color w:val="auto"/>
              </w:rPr>
            </w:pPr>
            <w:r>
              <w:rPr>
                <w:rFonts w:ascii="Arial" w:cs="Arial" w:eastAsia="Arial" w:hAnsi="Arial"/>
                <w:sz w:val="10"/>
                <w:szCs w:val="10"/>
                <w:b w:val="1"/>
                <w:bCs w:val="1"/>
                <w:color w:val="FFFFFF"/>
                <w:w w:val="96"/>
              </w:rPr>
              <w:t>for approval</w:t>
            </w:r>
          </w:p>
        </w:tc>
      </w:tr>
      <w:tr>
        <w:trPr>
          <w:trHeight w:val="185"/>
        </w:trPr>
        <w:tc>
          <w:tcPr>
            <w:tcW w:w="1600" w:type="dxa"/>
            <w:vAlign w:val="bottom"/>
          </w:tcPr>
          <w:p>
            <w:pPr>
              <w:ind w:left="40"/>
              <w:spacing w:after="0"/>
              <w:rPr>
                <w:sz w:val="20"/>
                <w:szCs w:val="20"/>
                <w:color w:val="auto"/>
              </w:rPr>
            </w:pPr>
            <w:r>
              <w:rPr>
                <w:rFonts w:ascii="Arial" w:cs="Arial" w:eastAsia="Arial" w:hAnsi="Arial"/>
                <w:sz w:val="10"/>
                <w:szCs w:val="10"/>
                <w:b w:val="1"/>
                <w:bCs w:val="1"/>
                <w:color w:val="auto"/>
              </w:rPr>
              <w:t>Item 1: Election of directors</w:t>
            </w:r>
          </w:p>
        </w:tc>
        <w:tc>
          <w:tcPr>
            <w:tcW w:w="1360" w:type="dxa"/>
            <w:vAlign w:val="bottom"/>
          </w:tcPr>
          <w:p>
            <w:pPr>
              <w:jc w:val="center"/>
              <w:ind w:left="172"/>
              <w:spacing w:after="0"/>
              <w:rPr>
                <w:sz w:val="20"/>
                <w:szCs w:val="20"/>
                <w:color w:val="auto"/>
              </w:rPr>
            </w:pPr>
            <w:r>
              <w:rPr>
                <w:rFonts w:ascii="Arial" w:cs="Arial" w:eastAsia="Arial" w:hAnsi="Arial"/>
                <w:sz w:val="10"/>
                <w:szCs w:val="10"/>
                <w:color w:val="auto"/>
              </w:rPr>
              <w:t>Page 10</w:t>
            </w: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FOR</w:t>
            </w:r>
          </w:p>
        </w:tc>
        <w:tc>
          <w:tcPr>
            <w:tcW w:w="1040" w:type="dxa"/>
            <w:vAlign w:val="bottom"/>
          </w:tcPr>
          <w:p>
            <w:pPr>
              <w:jc w:val="center"/>
              <w:ind w:right="12"/>
              <w:spacing w:after="0"/>
              <w:rPr>
                <w:sz w:val="20"/>
                <w:szCs w:val="20"/>
                <w:color w:val="auto"/>
              </w:rPr>
            </w:pPr>
            <w:r>
              <w:rPr>
                <w:rFonts w:ascii="Arial" w:cs="Arial" w:eastAsia="Arial" w:hAnsi="Arial"/>
                <w:sz w:val="10"/>
                <w:szCs w:val="10"/>
                <w:color w:val="auto"/>
                <w:w w:val="95"/>
              </w:rPr>
              <w:t>Do not count</w:t>
            </w:r>
          </w:p>
        </w:tc>
        <w:tc>
          <w:tcPr>
            <w:tcW w:w="1060" w:type="dxa"/>
            <w:vAlign w:val="bottom"/>
          </w:tcPr>
          <w:p>
            <w:pPr>
              <w:jc w:val="center"/>
              <w:ind w:left="12"/>
              <w:spacing w:after="0"/>
              <w:rPr>
                <w:sz w:val="20"/>
                <w:szCs w:val="20"/>
                <w:color w:val="auto"/>
              </w:rPr>
            </w:pPr>
            <w:r>
              <w:rPr>
                <w:rFonts w:ascii="Arial" w:cs="Arial" w:eastAsia="Arial" w:hAnsi="Arial"/>
                <w:sz w:val="10"/>
                <w:szCs w:val="10"/>
                <w:color w:val="auto"/>
                <w:w w:val="98"/>
              </w:rPr>
              <w:t>Do not count</w:t>
            </w:r>
          </w:p>
        </w:tc>
        <w:tc>
          <w:tcPr>
            <w:tcW w:w="1120" w:type="dxa"/>
            <w:vAlign w:val="bottom"/>
          </w:tcPr>
          <w:p>
            <w:pPr>
              <w:jc w:val="center"/>
              <w:ind w:left="92"/>
              <w:spacing w:after="0"/>
              <w:rPr>
                <w:sz w:val="20"/>
                <w:szCs w:val="20"/>
                <w:color w:val="auto"/>
              </w:rPr>
            </w:pPr>
            <w:r>
              <w:rPr>
                <w:rFonts w:ascii="Arial" w:cs="Arial" w:eastAsia="Arial" w:hAnsi="Arial"/>
                <w:sz w:val="10"/>
                <w:szCs w:val="10"/>
                <w:color w:val="auto"/>
                <w:w w:val="95"/>
              </w:rPr>
              <w:t>Shares voted for</w:t>
            </w:r>
          </w:p>
        </w:tc>
      </w:tr>
      <w:tr>
        <w:trPr>
          <w:trHeight w:val="109"/>
        </w:trPr>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jc w:val="center"/>
              <w:spacing w:after="0" w:line="109" w:lineRule="exact"/>
              <w:rPr>
                <w:sz w:val="20"/>
                <w:szCs w:val="20"/>
                <w:color w:val="auto"/>
              </w:rPr>
            </w:pPr>
            <w:r>
              <w:rPr>
                <w:rFonts w:ascii="Arial" w:cs="Arial" w:eastAsia="Arial" w:hAnsi="Arial"/>
                <w:sz w:val="10"/>
                <w:szCs w:val="10"/>
                <w:color w:val="auto"/>
                <w:w w:val="95"/>
              </w:rPr>
              <w:t>each nominee</w:t>
            </w: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jc w:val="center"/>
              <w:ind w:left="92"/>
              <w:spacing w:after="0" w:line="109" w:lineRule="exact"/>
              <w:rPr>
                <w:sz w:val="20"/>
                <w:szCs w:val="20"/>
                <w:color w:val="auto"/>
              </w:rPr>
            </w:pPr>
            <w:r>
              <w:rPr>
                <w:rFonts w:ascii="Arial" w:cs="Arial" w:eastAsia="Arial" w:hAnsi="Arial"/>
                <w:sz w:val="10"/>
                <w:szCs w:val="10"/>
                <w:color w:val="auto"/>
                <w:w w:val="96"/>
              </w:rPr>
              <w:t>must exceed shares</w:t>
            </w:r>
          </w:p>
        </w:tc>
      </w:tr>
      <w:tr>
        <w:trPr>
          <w:trHeight w:val="106"/>
        </w:trPr>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jc w:val="center"/>
              <w:ind w:left="92"/>
              <w:spacing w:after="0" w:line="106" w:lineRule="exact"/>
              <w:rPr>
                <w:sz w:val="20"/>
                <w:szCs w:val="20"/>
                <w:color w:val="auto"/>
              </w:rPr>
            </w:pPr>
            <w:r>
              <w:rPr>
                <w:rFonts w:ascii="Arial" w:cs="Arial" w:eastAsia="Arial" w:hAnsi="Arial"/>
                <w:sz w:val="10"/>
                <w:szCs w:val="10"/>
                <w:color w:val="auto"/>
                <w:w w:val="97"/>
              </w:rPr>
              <w:t>voted against</w:t>
            </w:r>
          </w:p>
        </w:tc>
      </w:tr>
      <w:tr>
        <w:trPr>
          <w:trHeight w:val="173"/>
        </w:trPr>
        <w:tc>
          <w:tcPr>
            <w:tcW w:w="160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Item 2: Ratification of</w:t>
            </w:r>
          </w:p>
        </w:tc>
        <w:tc>
          <w:tcPr>
            <w:tcW w:w="1360" w:type="dxa"/>
            <w:vAlign w:val="bottom"/>
            <w:shd w:val="clear" w:color="auto" w:fill="D8EFF9"/>
          </w:tcPr>
          <w:p>
            <w:pPr>
              <w:jc w:val="center"/>
              <w:ind w:left="172"/>
              <w:spacing w:after="0"/>
              <w:rPr>
                <w:sz w:val="20"/>
                <w:szCs w:val="20"/>
                <w:color w:val="auto"/>
              </w:rPr>
            </w:pPr>
            <w:r>
              <w:rPr>
                <w:rFonts w:ascii="Arial" w:cs="Arial" w:eastAsia="Arial" w:hAnsi="Arial"/>
                <w:sz w:val="10"/>
                <w:szCs w:val="10"/>
                <w:color w:val="auto"/>
              </w:rPr>
              <w:t>Page 99</w:t>
            </w:r>
          </w:p>
        </w:tc>
        <w:tc>
          <w:tcPr>
            <w:tcW w:w="124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94"/>
              </w:rPr>
              <w:t>FOR</w:t>
            </w:r>
          </w:p>
        </w:tc>
        <w:tc>
          <w:tcPr>
            <w:tcW w:w="1040" w:type="dxa"/>
            <w:vAlign w:val="bottom"/>
            <w:shd w:val="clear" w:color="auto" w:fill="D8EFF9"/>
          </w:tcPr>
          <w:p>
            <w:pPr>
              <w:jc w:val="center"/>
              <w:ind w:right="12"/>
              <w:spacing w:after="0"/>
              <w:rPr>
                <w:sz w:val="20"/>
                <w:szCs w:val="20"/>
                <w:color w:val="auto"/>
              </w:rPr>
            </w:pPr>
            <w:r>
              <w:rPr>
                <w:rFonts w:ascii="Arial" w:cs="Arial" w:eastAsia="Arial" w:hAnsi="Arial"/>
                <w:sz w:val="10"/>
                <w:szCs w:val="10"/>
                <w:color w:val="auto"/>
                <w:w w:val="98"/>
              </w:rPr>
              <w:t>None expected</w:t>
            </w:r>
          </w:p>
        </w:tc>
        <w:tc>
          <w:tcPr>
            <w:tcW w:w="1060" w:type="dxa"/>
            <w:vAlign w:val="bottom"/>
            <w:shd w:val="clear" w:color="auto" w:fill="D8EFF9"/>
          </w:tcPr>
          <w:p>
            <w:pPr>
              <w:jc w:val="center"/>
              <w:ind w:left="12"/>
              <w:spacing w:after="0"/>
              <w:rPr>
                <w:sz w:val="20"/>
                <w:szCs w:val="20"/>
                <w:color w:val="auto"/>
              </w:rPr>
            </w:pPr>
            <w:r>
              <w:rPr>
                <w:rFonts w:ascii="Arial" w:cs="Arial" w:eastAsia="Arial" w:hAnsi="Arial"/>
                <w:sz w:val="10"/>
                <w:szCs w:val="10"/>
                <w:color w:val="auto"/>
                <w:w w:val="98"/>
              </w:rPr>
              <w:t>Do not count</w:t>
            </w:r>
          </w:p>
        </w:tc>
        <w:tc>
          <w:tcPr>
            <w:tcW w:w="1120" w:type="dxa"/>
            <w:vAlign w:val="bottom"/>
            <w:shd w:val="clear" w:color="auto" w:fill="D8EFF9"/>
          </w:tcPr>
          <w:p>
            <w:pPr>
              <w:jc w:val="center"/>
              <w:ind w:left="92"/>
              <w:spacing w:after="0"/>
              <w:rPr>
                <w:sz w:val="20"/>
                <w:szCs w:val="20"/>
                <w:color w:val="auto"/>
              </w:rPr>
            </w:pPr>
            <w:r>
              <w:rPr>
                <w:rFonts w:ascii="Arial" w:cs="Arial" w:eastAsia="Arial" w:hAnsi="Arial"/>
                <w:sz w:val="10"/>
                <w:szCs w:val="10"/>
                <w:color w:val="auto"/>
                <w:w w:val="95"/>
              </w:rPr>
              <w:t>Shares voted for</w:t>
            </w:r>
          </w:p>
        </w:tc>
      </w:tr>
      <w:tr>
        <w:trPr>
          <w:trHeight w:val="109"/>
        </w:trPr>
        <w:tc>
          <w:tcPr>
            <w:tcW w:w="16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b w:val="1"/>
                <w:bCs w:val="1"/>
                <w:color w:val="auto"/>
              </w:rPr>
              <w:t>appointment of the independent</w:t>
            </w:r>
          </w:p>
        </w:tc>
        <w:tc>
          <w:tcPr>
            <w:tcW w:w="1360" w:type="dxa"/>
            <w:vAlign w:val="bottom"/>
            <w:shd w:val="clear" w:color="auto" w:fill="D8EFF9"/>
          </w:tcPr>
          <w:p>
            <w:pPr>
              <w:spacing w:after="0"/>
              <w:rPr>
                <w:sz w:val="9"/>
                <w:szCs w:val="9"/>
                <w:color w:val="auto"/>
              </w:rPr>
            </w:pPr>
          </w:p>
        </w:tc>
        <w:tc>
          <w:tcPr>
            <w:tcW w:w="1240" w:type="dxa"/>
            <w:vAlign w:val="bottom"/>
            <w:shd w:val="clear" w:color="auto" w:fill="D8EFF9"/>
          </w:tcPr>
          <w:p>
            <w:pPr>
              <w:spacing w:after="0"/>
              <w:rPr>
                <w:sz w:val="9"/>
                <w:szCs w:val="9"/>
                <w:color w:val="auto"/>
              </w:rPr>
            </w:pPr>
          </w:p>
        </w:tc>
        <w:tc>
          <w:tcPr>
            <w:tcW w:w="1040" w:type="dxa"/>
            <w:vAlign w:val="bottom"/>
            <w:shd w:val="clear" w:color="auto" w:fill="D8EFF9"/>
          </w:tcPr>
          <w:p>
            <w:pPr>
              <w:spacing w:after="0"/>
              <w:rPr>
                <w:sz w:val="9"/>
                <w:szCs w:val="9"/>
                <w:color w:val="auto"/>
              </w:rPr>
            </w:pPr>
          </w:p>
        </w:tc>
        <w:tc>
          <w:tcPr>
            <w:tcW w:w="1060" w:type="dxa"/>
            <w:vAlign w:val="bottom"/>
            <w:shd w:val="clear" w:color="auto" w:fill="D8EFF9"/>
          </w:tcPr>
          <w:p>
            <w:pPr>
              <w:spacing w:after="0"/>
              <w:rPr>
                <w:sz w:val="9"/>
                <w:szCs w:val="9"/>
                <w:color w:val="auto"/>
              </w:rPr>
            </w:pPr>
          </w:p>
        </w:tc>
        <w:tc>
          <w:tcPr>
            <w:tcW w:w="1120" w:type="dxa"/>
            <w:vAlign w:val="bottom"/>
            <w:shd w:val="clear" w:color="auto" w:fill="D8EFF9"/>
          </w:tcPr>
          <w:p>
            <w:pPr>
              <w:jc w:val="center"/>
              <w:ind w:left="92"/>
              <w:spacing w:after="0" w:line="109" w:lineRule="exact"/>
              <w:rPr>
                <w:sz w:val="20"/>
                <w:szCs w:val="20"/>
                <w:color w:val="auto"/>
              </w:rPr>
            </w:pPr>
            <w:r>
              <w:rPr>
                <w:rFonts w:ascii="Arial" w:cs="Arial" w:eastAsia="Arial" w:hAnsi="Arial"/>
                <w:sz w:val="10"/>
                <w:szCs w:val="10"/>
                <w:color w:val="auto"/>
                <w:w w:val="96"/>
              </w:rPr>
              <w:t>must exceed shares</w:t>
            </w:r>
          </w:p>
        </w:tc>
      </w:tr>
      <w:tr>
        <w:trPr>
          <w:trHeight w:val="118"/>
        </w:trPr>
        <w:tc>
          <w:tcPr>
            <w:tcW w:w="160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w w:val="97"/>
              </w:rPr>
              <w:t>registered public accounting firm</w:t>
            </w:r>
          </w:p>
        </w:tc>
        <w:tc>
          <w:tcPr>
            <w:tcW w:w="1360" w:type="dxa"/>
            <w:vAlign w:val="bottom"/>
            <w:shd w:val="clear" w:color="auto" w:fill="D8EFF9"/>
          </w:tcPr>
          <w:p>
            <w:pPr>
              <w:spacing w:after="0"/>
              <w:rPr>
                <w:sz w:val="10"/>
                <w:szCs w:val="10"/>
                <w:color w:val="auto"/>
              </w:rPr>
            </w:pPr>
          </w:p>
        </w:tc>
        <w:tc>
          <w:tcPr>
            <w:tcW w:w="1240" w:type="dxa"/>
            <w:vAlign w:val="bottom"/>
            <w:shd w:val="clear" w:color="auto" w:fill="D8EFF9"/>
          </w:tcPr>
          <w:p>
            <w:pPr>
              <w:spacing w:after="0"/>
              <w:rPr>
                <w:sz w:val="10"/>
                <w:szCs w:val="10"/>
                <w:color w:val="auto"/>
              </w:rPr>
            </w:pPr>
          </w:p>
        </w:tc>
        <w:tc>
          <w:tcPr>
            <w:tcW w:w="1040" w:type="dxa"/>
            <w:vAlign w:val="bottom"/>
            <w:shd w:val="clear" w:color="auto" w:fill="D8EFF9"/>
          </w:tcPr>
          <w:p>
            <w:pPr>
              <w:spacing w:after="0"/>
              <w:rPr>
                <w:sz w:val="10"/>
                <w:szCs w:val="10"/>
                <w:color w:val="auto"/>
              </w:rPr>
            </w:pPr>
          </w:p>
        </w:tc>
        <w:tc>
          <w:tcPr>
            <w:tcW w:w="1060" w:type="dxa"/>
            <w:vAlign w:val="bottom"/>
            <w:shd w:val="clear" w:color="auto" w:fill="D8EFF9"/>
          </w:tcPr>
          <w:p>
            <w:pPr>
              <w:spacing w:after="0"/>
              <w:rPr>
                <w:sz w:val="10"/>
                <w:szCs w:val="10"/>
                <w:color w:val="auto"/>
              </w:rPr>
            </w:pPr>
          </w:p>
        </w:tc>
        <w:tc>
          <w:tcPr>
            <w:tcW w:w="1120" w:type="dxa"/>
            <w:vAlign w:val="bottom"/>
            <w:shd w:val="clear" w:color="auto" w:fill="D8EFF9"/>
          </w:tcPr>
          <w:p>
            <w:pPr>
              <w:jc w:val="center"/>
              <w:ind w:left="92"/>
              <w:spacing w:after="0"/>
              <w:rPr>
                <w:sz w:val="20"/>
                <w:szCs w:val="20"/>
                <w:color w:val="auto"/>
              </w:rPr>
            </w:pPr>
            <w:r>
              <w:rPr>
                <w:rFonts w:ascii="Arial" w:cs="Arial" w:eastAsia="Arial" w:hAnsi="Arial"/>
                <w:sz w:val="10"/>
                <w:szCs w:val="10"/>
                <w:color w:val="auto"/>
                <w:w w:val="97"/>
              </w:rPr>
              <w:t>voted against</w:t>
            </w:r>
          </w:p>
        </w:tc>
      </w:tr>
      <w:tr>
        <w:trPr>
          <w:trHeight w:val="173"/>
        </w:trPr>
        <w:tc>
          <w:tcPr>
            <w:tcW w:w="1600" w:type="dxa"/>
            <w:vAlign w:val="bottom"/>
          </w:tcPr>
          <w:p>
            <w:pPr>
              <w:ind w:left="40"/>
              <w:spacing w:after="0"/>
              <w:rPr>
                <w:sz w:val="20"/>
                <w:szCs w:val="20"/>
                <w:color w:val="auto"/>
              </w:rPr>
            </w:pPr>
            <w:r>
              <w:rPr>
                <w:rFonts w:ascii="Arial" w:cs="Arial" w:eastAsia="Arial" w:hAnsi="Arial"/>
                <w:sz w:val="10"/>
                <w:szCs w:val="10"/>
                <w:b w:val="1"/>
                <w:bCs w:val="1"/>
                <w:color w:val="auto"/>
              </w:rPr>
              <w:t>Item 3: Advisory vote on</w:t>
            </w:r>
          </w:p>
        </w:tc>
        <w:tc>
          <w:tcPr>
            <w:tcW w:w="1360" w:type="dxa"/>
            <w:vAlign w:val="bottom"/>
          </w:tcPr>
          <w:p>
            <w:pPr>
              <w:jc w:val="center"/>
              <w:ind w:left="172"/>
              <w:spacing w:after="0"/>
              <w:rPr>
                <w:sz w:val="20"/>
                <w:szCs w:val="20"/>
                <w:color w:val="auto"/>
              </w:rPr>
            </w:pPr>
            <w:r>
              <w:rPr>
                <w:rFonts w:ascii="Arial" w:cs="Arial" w:eastAsia="Arial" w:hAnsi="Arial"/>
                <w:sz w:val="10"/>
                <w:szCs w:val="10"/>
                <w:color w:val="auto"/>
                <w:w w:val="97"/>
              </w:rPr>
              <w:t>Page 100</w:t>
            </w:r>
          </w:p>
        </w:tc>
        <w:tc>
          <w:tcPr>
            <w:tcW w:w="1240" w:type="dxa"/>
            <w:vAlign w:val="bottom"/>
          </w:tcPr>
          <w:p>
            <w:pPr>
              <w:jc w:val="center"/>
              <w:spacing w:after="0"/>
              <w:rPr>
                <w:sz w:val="20"/>
                <w:szCs w:val="20"/>
                <w:color w:val="auto"/>
              </w:rPr>
            </w:pPr>
            <w:r>
              <w:rPr>
                <w:rFonts w:ascii="Arial" w:cs="Arial" w:eastAsia="Arial" w:hAnsi="Arial"/>
                <w:sz w:val="10"/>
                <w:szCs w:val="10"/>
                <w:color w:val="auto"/>
                <w:w w:val="94"/>
              </w:rPr>
              <w:t>FOR</w:t>
            </w:r>
          </w:p>
        </w:tc>
        <w:tc>
          <w:tcPr>
            <w:tcW w:w="1040" w:type="dxa"/>
            <w:vAlign w:val="bottom"/>
          </w:tcPr>
          <w:p>
            <w:pPr>
              <w:jc w:val="center"/>
              <w:ind w:right="12"/>
              <w:spacing w:after="0"/>
              <w:rPr>
                <w:sz w:val="20"/>
                <w:szCs w:val="20"/>
                <w:color w:val="auto"/>
              </w:rPr>
            </w:pPr>
            <w:r>
              <w:rPr>
                <w:rFonts w:ascii="Arial" w:cs="Arial" w:eastAsia="Arial" w:hAnsi="Arial"/>
                <w:sz w:val="10"/>
                <w:szCs w:val="10"/>
                <w:color w:val="auto"/>
                <w:w w:val="95"/>
              </w:rPr>
              <w:t>Do not count</w:t>
            </w:r>
          </w:p>
        </w:tc>
        <w:tc>
          <w:tcPr>
            <w:tcW w:w="1060" w:type="dxa"/>
            <w:vAlign w:val="bottom"/>
          </w:tcPr>
          <w:p>
            <w:pPr>
              <w:jc w:val="center"/>
              <w:ind w:left="12"/>
              <w:spacing w:after="0"/>
              <w:rPr>
                <w:sz w:val="20"/>
                <w:szCs w:val="20"/>
                <w:color w:val="auto"/>
              </w:rPr>
            </w:pPr>
            <w:r>
              <w:rPr>
                <w:rFonts w:ascii="Arial" w:cs="Arial" w:eastAsia="Arial" w:hAnsi="Arial"/>
                <w:sz w:val="10"/>
                <w:szCs w:val="10"/>
                <w:color w:val="auto"/>
                <w:w w:val="98"/>
              </w:rPr>
              <w:t>Do not count</w:t>
            </w:r>
          </w:p>
        </w:tc>
        <w:tc>
          <w:tcPr>
            <w:tcW w:w="1120" w:type="dxa"/>
            <w:vAlign w:val="bottom"/>
          </w:tcPr>
          <w:p>
            <w:pPr>
              <w:jc w:val="center"/>
              <w:ind w:left="92"/>
              <w:spacing w:after="0"/>
              <w:rPr>
                <w:sz w:val="20"/>
                <w:szCs w:val="20"/>
                <w:color w:val="auto"/>
              </w:rPr>
            </w:pPr>
            <w:r>
              <w:rPr>
                <w:rFonts w:ascii="Arial" w:cs="Arial" w:eastAsia="Arial" w:hAnsi="Arial"/>
                <w:sz w:val="10"/>
                <w:szCs w:val="10"/>
                <w:color w:val="auto"/>
                <w:w w:val="95"/>
              </w:rPr>
              <w:t>Shares voted for</w:t>
            </w:r>
          </w:p>
        </w:tc>
      </w:tr>
      <w:tr>
        <w:trPr>
          <w:trHeight w:val="121"/>
        </w:trPr>
        <w:tc>
          <w:tcPr>
            <w:tcW w:w="1600" w:type="dxa"/>
            <w:vAlign w:val="bottom"/>
          </w:tcPr>
          <w:p>
            <w:pPr>
              <w:ind w:left="40"/>
              <w:spacing w:after="0"/>
              <w:rPr>
                <w:sz w:val="20"/>
                <w:szCs w:val="20"/>
                <w:color w:val="auto"/>
              </w:rPr>
            </w:pPr>
            <w:r>
              <w:rPr>
                <w:rFonts w:ascii="Arial" w:cs="Arial" w:eastAsia="Arial" w:hAnsi="Arial"/>
                <w:sz w:val="10"/>
                <w:szCs w:val="10"/>
                <w:b w:val="1"/>
                <w:bCs w:val="1"/>
                <w:color w:val="auto"/>
              </w:rPr>
              <w:t>executive compensation</w:t>
            </w:r>
          </w:p>
        </w:tc>
        <w:tc>
          <w:tcPr>
            <w:tcW w:w="1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jc w:val="center"/>
              <w:ind w:left="92"/>
              <w:spacing w:after="0"/>
              <w:rPr>
                <w:sz w:val="20"/>
                <w:szCs w:val="20"/>
                <w:color w:val="auto"/>
              </w:rPr>
            </w:pPr>
            <w:r>
              <w:rPr>
                <w:rFonts w:ascii="Arial" w:cs="Arial" w:eastAsia="Arial" w:hAnsi="Arial"/>
                <w:sz w:val="10"/>
                <w:szCs w:val="10"/>
                <w:color w:val="auto"/>
                <w:w w:val="96"/>
              </w:rPr>
              <w:t>must exceed shares</w:t>
            </w:r>
          </w:p>
        </w:tc>
      </w:tr>
      <w:tr>
        <w:trPr>
          <w:trHeight w:val="106"/>
        </w:trPr>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jc w:val="center"/>
              <w:ind w:left="92"/>
              <w:spacing w:after="0" w:line="106" w:lineRule="exact"/>
              <w:rPr>
                <w:sz w:val="20"/>
                <w:szCs w:val="20"/>
                <w:color w:val="auto"/>
              </w:rPr>
            </w:pPr>
            <w:r>
              <w:rPr>
                <w:rFonts w:ascii="Arial" w:cs="Arial" w:eastAsia="Arial" w:hAnsi="Arial"/>
                <w:sz w:val="10"/>
                <w:szCs w:val="10"/>
                <w:color w:val="auto"/>
                <w:w w:val="97"/>
              </w:rPr>
              <w:t>voted against</w:t>
            </w:r>
          </w:p>
        </w:tc>
      </w:tr>
      <w:tr>
        <w:trPr>
          <w:trHeight w:val="173"/>
        </w:trPr>
        <w:tc>
          <w:tcPr>
            <w:tcW w:w="160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Item 4: Advisory vote on the</w:t>
            </w:r>
          </w:p>
        </w:tc>
        <w:tc>
          <w:tcPr>
            <w:tcW w:w="1360" w:type="dxa"/>
            <w:vAlign w:val="bottom"/>
            <w:shd w:val="clear" w:color="auto" w:fill="D8EFF9"/>
          </w:tcPr>
          <w:p>
            <w:pPr>
              <w:jc w:val="center"/>
              <w:ind w:left="172"/>
              <w:spacing w:after="0"/>
              <w:rPr>
                <w:sz w:val="20"/>
                <w:szCs w:val="20"/>
                <w:color w:val="auto"/>
              </w:rPr>
            </w:pPr>
            <w:r>
              <w:rPr>
                <w:rFonts w:ascii="Arial" w:cs="Arial" w:eastAsia="Arial" w:hAnsi="Arial"/>
                <w:sz w:val="10"/>
                <w:szCs w:val="10"/>
                <w:color w:val="auto"/>
                <w:w w:val="97"/>
              </w:rPr>
              <w:t>Page 106</w:t>
            </w:r>
          </w:p>
        </w:tc>
        <w:tc>
          <w:tcPr>
            <w:tcW w:w="124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95"/>
              </w:rPr>
              <w:t>FOR “1 YEAR” as the</w:t>
            </w:r>
          </w:p>
        </w:tc>
        <w:tc>
          <w:tcPr>
            <w:tcW w:w="1040" w:type="dxa"/>
            <w:vAlign w:val="bottom"/>
            <w:shd w:val="clear" w:color="auto" w:fill="D8EFF9"/>
          </w:tcPr>
          <w:p>
            <w:pPr>
              <w:jc w:val="center"/>
              <w:ind w:right="12"/>
              <w:spacing w:after="0"/>
              <w:rPr>
                <w:sz w:val="20"/>
                <w:szCs w:val="20"/>
                <w:color w:val="auto"/>
              </w:rPr>
            </w:pPr>
            <w:r>
              <w:rPr>
                <w:rFonts w:ascii="Arial" w:cs="Arial" w:eastAsia="Arial" w:hAnsi="Arial"/>
                <w:sz w:val="10"/>
                <w:szCs w:val="10"/>
                <w:color w:val="auto"/>
                <w:w w:val="95"/>
              </w:rPr>
              <w:t>Do not count</w:t>
            </w:r>
          </w:p>
        </w:tc>
        <w:tc>
          <w:tcPr>
            <w:tcW w:w="1060" w:type="dxa"/>
            <w:vAlign w:val="bottom"/>
            <w:shd w:val="clear" w:color="auto" w:fill="D8EFF9"/>
          </w:tcPr>
          <w:p>
            <w:pPr>
              <w:jc w:val="center"/>
              <w:ind w:left="12"/>
              <w:spacing w:after="0"/>
              <w:rPr>
                <w:sz w:val="20"/>
                <w:szCs w:val="20"/>
                <w:color w:val="auto"/>
              </w:rPr>
            </w:pPr>
            <w:r>
              <w:rPr>
                <w:rFonts w:ascii="Arial" w:cs="Arial" w:eastAsia="Arial" w:hAnsi="Arial"/>
                <w:sz w:val="10"/>
                <w:szCs w:val="10"/>
                <w:color w:val="auto"/>
                <w:w w:val="98"/>
              </w:rPr>
              <w:t>Do not count</w:t>
            </w:r>
          </w:p>
        </w:tc>
        <w:tc>
          <w:tcPr>
            <w:tcW w:w="1120" w:type="dxa"/>
            <w:vAlign w:val="bottom"/>
            <w:shd w:val="clear" w:color="auto" w:fill="D8EFF9"/>
          </w:tcPr>
          <w:p>
            <w:pPr>
              <w:jc w:val="center"/>
              <w:ind w:left="92"/>
              <w:spacing w:after="0"/>
              <w:rPr>
                <w:sz w:val="20"/>
                <w:szCs w:val="20"/>
                <w:color w:val="auto"/>
              </w:rPr>
            </w:pPr>
            <w:r>
              <w:rPr>
                <w:rFonts w:ascii="Arial" w:cs="Arial" w:eastAsia="Arial" w:hAnsi="Arial"/>
                <w:sz w:val="10"/>
                <w:szCs w:val="10"/>
                <w:color w:val="auto"/>
                <w:w w:val="95"/>
              </w:rPr>
              <w:t>Highest number of</w:t>
            </w:r>
          </w:p>
        </w:tc>
      </w:tr>
      <w:tr>
        <w:trPr>
          <w:trHeight w:val="109"/>
        </w:trPr>
        <w:tc>
          <w:tcPr>
            <w:tcW w:w="16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b w:val="1"/>
                <w:bCs w:val="1"/>
                <w:color w:val="auto"/>
              </w:rPr>
              <w:t>frequency of future advisory</w:t>
            </w:r>
          </w:p>
        </w:tc>
        <w:tc>
          <w:tcPr>
            <w:tcW w:w="1360" w:type="dxa"/>
            <w:vAlign w:val="bottom"/>
            <w:shd w:val="clear" w:color="auto" w:fill="D8EFF9"/>
          </w:tcPr>
          <w:p>
            <w:pPr>
              <w:spacing w:after="0"/>
              <w:rPr>
                <w:sz w:val="9"/>
                <w:szCs w:val="9"/>
                <w:color w:val="auto"/>
              </w:rPr>
            </w:pPr>
          </w:p>
        </w:tc>
        <w:tc>
          <w:tcPr>
            <w:tcW w:w="1240" w:type="dxa"/>
            <w:vAlign w:val="bottom"/>
            <w:shd w:val="clear" w:color="auto" w:fill="D8EFF9"/>
          </w:tcPr>
          <w:p>
            <w:pPr>
              <w:jc w:val="center"/>
              <w:spacing w:after="0" w:line="109" w:lineRule="exact"/>
              <w:rPr>
                <w:sz w:val="20"/>
                <w:szCs w:val="20"/>
                <w:color w:val="auto"/>
              </w:rPr>
            </w:pPr>
            <w:r>
              <w:rPr>
                <w:rFonts w:ascii="Arial" w:cs="Arial" w:eastAsia="Arial" w:hAnsi="Arial"/>
                <w:sz w:val="10"/>
                <w:szCs w:val="10"/>
                <w:color w:val="auto"/>
                <w:w w:val="96"/>
              </w:rPr>
              <w:t>preferred frequency</w:t>
            </w:r>
          </w:p>
        </w:tc>
        <w:tc>
          <w:tcPr>
            <w:tcW w:w="1040" w:type="dxa"/>
            <w:vAlign w:val="bottom"/>
            <w:shd w:val="clear" w:color="auto" w:fill="D8EFF9"/>
          </w:tcPr>
          <w:p>
            <w:pPr>
              <w:spacing w:after="0"/>
              <w:rPr>
                <w:sz w:val="9"/>
                <w:szCs w:val="9"/>
                <w:color w:val="auto"/>
              </w:rPr>
            </w:pPr>
          </w:p>
        </w:tc>
        <w:tc>
          <w:tcPr>
            <w:tcW w:w="1060" w:type="dxa"/>
            <w:vAlign w:val="bottom"/>
            <w:shd w:val="clear" w:color="auto" w:fill="D8EFF9"/>
          </w:tcPr>
          <w:p>
            <w:pPr>
              <w:spacing w:after="0"/>
              <w:rPr>
                <w:sz w:val="9"/>
                <w:szCs w:val="9"/>
                <w:color w:val="auto"/>
              </w:rPr>
            </w:pPr>
          </w:p>
        </w:tc>
        <w:tc>
          <w:tcPr>
            <w:tcW w:w="1120" w:type="dxa"/>
            <w:vAlign w:val="bottom"/>
            <w:shd w:val="clear" w:color="auto" w:fill="D8EFF9"/>
          </w:tcPr>
          <w:p>
            <w:pPr>
              <w:jc w:val="center"/>
              <w:ind w:left="92"/>
              <w:spacing w:after="0" w:line="109" w:lineRule="exact"/>
              <w:rPr>
                <w:sz w:val="20"/>
                <w:szCs w:val="20"/>
                <w:color w:val="auto"/>
              </w:rPr>
            </w:pPr>
            <w:r>
              <w:rPr>
                <w:rFonts w:ascii="Arial" w:cs="Arial" w:eastAsia="Arial" w:hAnsi="Arial"/>
                <w:sz w:val="10"/>
                <w:szCs w:val="10"/>
                <w:color w:val="auto"/>
                <w:w w:val="97"/>
              </w:rPr>
              <w:t>votes cast will be</w:t>
            </w:r>
          </w:p>
        </w:tc>
      </w:tr>
      <w:tr>
        <w:trPr>
          <w:trHeight w:val="121"/>
        </w:trPr>
        <w:tc>
          <w:tcPr>
            <w:tcW w:w="160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w w:val="96"/>
              </w:rPr>
              <w:t>votes on executive compensation</w:t>
            </w:r>
          </w:p>
        </w:tc>
        <w:tc>
          <w:tcPr>
            <w:tcW w:w="1360" w:type="dxa"/>
            <w:vAlign w:val="bottom"/>
            <w:shd w:val="clear" w:color="auto" w:fill="D8EFF9"/>
          </w:tcPr>
          <w:p>
            <w:pPr>
              <w:spacing w:after="0"/>
              <w:rPr>
                <w:sz w:val="10"/>
                <w:szCs w:val="10"/>
                <w:color w:val="auto"/>
              </w:rPr>
            </w:pPr>
          </w:p>
        </w:tc>
        <w:tc>
          <w:tcPr>
            <w:tcW w:w="124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95"/>
              </w:rPr>
              <w:t>for holding future</w:t>
            </w:r>
          </w:p>
        </w:tc>
        <w:tc>
          <w:tcPr>
            <w:tcW w:w="1040" w:type="dxa"/>
            <w:vAlign w:val="bottom"/>
            <w:shd w:val="clear" w:color="auto" w:fill="D8EFF9"/>
          </w:tcPr>
          <w:p>
            <w:pPr>
              <w:spacing w:after="0"/>
              <w:rPr>
                <w:sz w:val="10"/>
                <w:szCs w:val="10"/>
                <w:color w:val="auto"/>
              </w:rPr>
            </w:pPr>
          </w:p>
        </w:tc>
        <w:tc>
          <w:tcPr>
            <w:tcW w:w="1060" w:type="dxa"/>
            <w:vAlign w:val="bottom"/>
            <w:shd w:val="clear" w:color="auto" w:fill="D8EFF9"/>
          </w:tcPr>
          <w:p>
            <w:pPr>
              <w:spacing w:after="0"/>
              <w:rPr>
                <w:sz w:val="10"/>
                <w:szCs w:val="10"/>
                <w:color w:val="auto"/>
              </w:rPr>
            </w:pPr>
          </w:p>
        </w:tc>
        <w:tc>
          <w:tcPr>
            <w:tcW w:w="1120" w:type="dxa"/>
            <w:vAlign w:val="bottom"/>
            <w:shd w:val="clear" w:color="auto" w:fill="D8EFF9"/>
          </w:tcPr>
          <w:p>
            <w:pPr>
              <w:jc w:val="center"/>
              <w:ind w:left="72"/>
              <w:spacing w:after="0"/>
              <w:rPr>
                <w:sz w:val="20"/>
                <w:szCs w:val="20"/>
                <w:color w:val="auto"/>
              </w:rPr>
            </w:pPr>
            <w:r>
              <w:rPr>
                <w:rFonts w:ascii="Arial" w:cs="Arial" w:eastAsia="Arial" w:hAnsi="Arial"/>
                <w:sz w:val="10"/>
                <w:szCs w:val="10"/>
                <w:color w:val="auto"/>
                <w:w w:val="97"/>
              </w:rPr>
              <w:t>considered the</w:t>
            </w:r>
          </w:p>
        </w:tc>
      </w:tr>
      <w:tr>
        <w:trPr>
          <w:trHeight w:val="109"/>
        </w:trPr>
        <w:tc>
          <w:tcPr>
            <w:tcW w:w="1600" w:type="dxa"/>
            <w:vAlign w:val="bottom"/>
            <w:shd w:val="clear" w:color="auto" w:fill="D8EFF9"/>
          </w:tcPr>
          <w:p>
            <w:pPr>
              <w:spacing w:after="0"/>
              <w:rPr>
                <w:sz w:val="9"/>
                <w:szCs w:val="9"/>
                <w:color w:val="auto"/>
              </w:rPr>
            </w:pPr>
          </w:p>
        </w:tc>
        <w:tc>
          <w:tcPr>
            <w:tcW w:w="1360" w:type="dxa"/>
            <w:vAlign w:val="bottom"/>
            <w:shd w:val="clear" w:color="auto" w:fill="D8EFF9"/>
          </w:tcPr>
          <w:p>
            <w:pPr>
              <w:spacing w:after="0"/>
              <w:rPr>
                <w:sz w:val="9"/>
                <w:szCs w:val="9"/>
                <w:color w:val="auto"/>
              </w:rPr>
            </w:pPr>
          </w:p>
        </w:tc>
        <w:tc>
          <w:tcPr>
            <w:tcW w:w="1240" w:type="dxa"/>
            <w:vAlign w:val="bottom"/>
            <w:shd w:val="clear" w:color="auto" w:fill="D8EFF9"/>
          </w:tcPr>
          <w:p>
            <w:pPr>
              <w:jc w:val="center"/>
              <w:spacing w:after="0" w:line="109" w:lineRule="exact"/>
              <w:rPr>
                <w:sz w:val="20"/>
                <w:szCs w:val="20"/>
                <w:color w:val="auto"/>
              </w:rPr>
            </w:pPr>
            <w:r>
              <w:rPr>
                <w:rFonts w:ascii="Arial" w:cs="Arial" w:eastAsia="Arial" w:hAnsi="Arial"/>
                <w:sz w:val="10"/>
                <w:szCs w:val="10"/>
                <w:color w:val="auto"/>
                <w:w w:val="95"/>
              </w:rPr>
              <w:t>advisory “say-on-pay”</w:t>
            </w:r>
          </w:p>
        </w:tc>
        <w:tc>
          <w:tcPr>
            <w:tcW w:w="1040" w:type="dxa"/>
            <w:vAlign w:val="bottom"/>
            <w:shd w:val="clear" w:color="auto" w:fill="D8EFF9"/>
          </w:tcPr>
          <w:p>
            <w:pPr>
              <w:spacing w:after="0"/>
              <w:rPr>
                <w:sz w:val="9"/>
                <w:szCs w:val="9"/>
                <w:color w:val="auto"/>
              </w:rPr>
            </w:pPr>
          </w:p>
        </w:tc>
        <w:tc>
          <w:tcPr>
            <w:tcW w:w="1060" w:type="dxa"/>
            <w:vAlign w:val="bottom"/>
            <w:shd w:val="clear" w:color="auto" w:fill="D8EFF9"/>
          </w:tcPr>
          <w:p>
            <w:pPr>
              <w:spacing w:after="0"/>
              <w:rPr>
                <w:sz w:val="9"/>
                <w:szCs w:val="9"/>
                <w:color w:val="auto"/>
              </w:rPr>
            </w:pPr>
          </w:p>
        </w:tc>
        <w:tc>
          <w:tcPr>
            <w:tcW w:w="1120" w:type="dxa"/>
            <w:vAlign w:val="bottom"/>
            <w:shd w:val="clear" w:color="auto" w:fill="D8EFF9"/>
          </w:tcPr>
          <w:p>
            <w:pPr>
              <w:jc w:val="center"/>
              <w:ind w:left="92"/>
              <w:spacing w:after="0" w:line="109" w:lineRule="exact"/>
              <w:rPr>
                <w:sz w:val="20"/>
                <w:szCs w:val="20"/>
                <w:color w:val="auto"/>
              </w:rPr>
            </w:pPr>
            <w:r>
              <w:rPr>
                <w:rFonts w:ascii="Arial" w:cs="Arial" w:eastAsia="Arial" w:hAnsi="Arial"/>
                <w:sz w:val="10"/>
                <w:szCs w:val="10"/>
                <w:color w:val="auto"/>
                <w:w w:val="98"/>
              </w:rPr>
              <w:t>preferred frequency</w:t>
            </w:r>
          </w:p>
        </w:tc>
      </w:tr>
      <w:tr>
        <w:trPr>
          <w:trHeight w:val="109"/>
        </w:trPr>
        <w:tc>
          <w:tcPr>
            <w:tcW w:w="1600" w:type="dxa"/>
            <w:vAlign w:val="bottom"/>
            <w:shd w:val="clear" w:color="auto" w:fill="D8EFF9"/>
          </w:tcPr>
          <w:p>
            <w:pPr>
              <w:spacing w:after="0"/>
              <w:rPr>
                <w:sz w:val="9"/>
                <w:szCs w:val="9"/>
                <w:color w:val="auto"/>
              </w:rPr>
            </w:pPr>
          </w:p>
        </w:tc>
        <w:tc>
          <w:tcPr>
            <w:tcW w:w="1360" w:type="dxa"/>
            <w:vAlign w:val="bottom"/>
            <w:shd w:val="clear" w:color="auto" w:fill="D8EFF9"/>
          </w:tcPr>
          <w:p>
            <w:pPr>
              <w:spacing w:after="0"/>
              <w:rPr>
                <w:sz w:val="9"/>
                <w:szCs w:val="9"/>
                <w:color w:val="auto"/>
              </w:rPr>
            </w:pPr>
          </w:p>
        </w:tc>
        <w:tc>
          <w:tcPr>
            <w:tcW w:w="1240" w:type="dxa"/>
            <w:vAlign w:val="bottom"/>
            <w:shd w:val="clear" w:color="auto" w:fill="D8EFF9"/>
          </w:tcPr>
          <w:p>
            <w:pPr>
              <w:jc w:val="center"/>
              <w:spacing w:after="0" w:line="109" w:lineRule="exact"/>
              <w:rPr>
                <w:sz w:val="20"/>
                <w:szCs w:val="20"/>
                <w:color w:val="auto"/>
              </w:rPr>
            </w:pPr>
            <w:r>
              <w:rPr>
                <w:rFonts w:ascii="Arial" w:cs="Arial" w:eastAsia="Arial" w:hAnsi="Arial"/>
                <w:sz w:val="10"/>
                <w:szCs w:val="10"/>
                <w:color w:val="auto"/>
              </w:rPr>
              <w:t>votes</w:t>
            </w:r>
          </w:p>
        </w:tc>
        <w:tc>
          <w:tcPr>
            <w:tcW w:w="1040" w:type="dxa"/>
            <w:vAlign w:val="bottom"/>
            <w:shd w:val="clear" w:color="auto" w:fill="D8EFF9"/>
          </w:tcPr>
          <w:p>
            <w:pPr>
              <w:spacing w:after="0"/>
              <w:rPr>
                <w:sz w:val="9"/>
                <w:szCs w:val="9"/>
                <w:color w:val="auto"/>
              </w:rPr>
            </w:pPr>
          </w:p>
        </w:tc>
        <w:tc>
          <w:tcPr>
            <w:tcW w:w="1060" w:type="dxa"/>
            <w:vAlign w:val="bottom"/>
            <w:shd w:val="clear" w:color="auto" w:fill="D8EFF9"/>
          </w:tcPr>
          <w:p>
            <w:pPr>
              <w:spacing w:after="0"/>
              <w:rPr>
                <w:sz w:val="9"/>
                <w:szCs w:val="9"/>
                <w:color w:val="auto"/>
              </w:rPr>
            </w:pPr>
          </w:p>
        </w:tc>
        <w:tc>
          <w:tcPr>
            <w:tcW w:w="1120" w:type="dxa"/>
            <w:vAlign w:val="bottom"/>
            <w:shd w:val="clear" w:color="auto" w:fill="D8EFF9"/>
          </w:tcPr>
          <w:p>
            <w:pPr>
              <w:jc w:val="center"/>
              <w:ind w:left="72"/>
              <w:spacing w:after="0" w:line="109" w:lineRule="exact"/>
              <w:rPr>
                <w:sz w:val="20"/>
                <w:szCs w:val="20"/>
                <w:color w:val="auto"/>
              </w:rPr>
            </w:pPr>
            <w:r>
              <w:rPr>
                <w:rFonts w:ascii="Arial" w:cs="Arial" w:eastAsia="Arial" w:hAnsi="Arial"/>
                <w:sz w:val="10"/>
                <w:szCs w:val="10"/>
                <w:color w:val="auto"/>
                <w:w w:val="96"/>
              </w:rPr>
              <w:t>for future “say-on-pay”</w:t>
            </w:r>
          </w:p>
        </w:tc>
      </w:tr>
      <w:tr>
        <w:trPr>
          <w:trHeight w:val="106"/>
        </w:trPr>
        <w:tc>
          <w:tcPr>
            <w:tcW w:w="1600" w:type="dxa"/>
            <w:vAlign w:val="bottom"/>
            <w:shd w:val="clear" w:color="auto" w:fill="D8EFF9"/>
          </w:tcPr>
          <w:p>
            <w:pPr>
              <w:spacing w:after="0"/>
              <w:rPr>
                <w:sz w:val="9"/>
                <w:szCs w:val="9"/>
                <w:color w:val="auto"/>
              </w:rPr>
            </w:pPr>
          </w:p>
        </w:tc>
        <w:tc>
          <w:tcPr>
            <w:tcW w:w="1360" w:type="dxa"/>
            <w:vAlign w:val="bottom"/>
            <w:shd w:val="clear" w:color="auto" w:fill="D8EFF9"/>
          </w:tcPr>
          <w:p>
            <w:pPr>
              <w:spacing w:after="0"/>
              <w:rPr>
                <w:sz w:val="9"/>
                <w:szCs w:val="9"/>
                <w:color w:val="auto"/>
              </w:rPr>
            </w:pPr>
          </w:p>
        </w:tc>
        <w:tc>
          <w:tcPr>
            <w:tcW w:w="1240" w:type="dxa"/>
            <w:vAlign w:val="bottom"/>
            <w:shd w:val="clear" w:color="auto" w:fill="D8EFF9"/>
          </w:tcPr>
          <w:p>
            <w:pPr>
              <w:spacing w:after="0"/>
              <w:rPr>
                <w:sz w:val="9"/>
                <w:szCs w:val="9"/>
                <w:color w:val="auto"/>
              </w:rPr>
            </w:pPr>
          </w:p>
        </w:tc>
        <w:tc>
          <w:tcPr>
            <w:tcW w:w="1040" w:type="dxa"/>
            <w:vAlign w:val="bottom"/>
            <w:shd w:val="clear" w:color="auto" w:fill="D8EFF9"/>
          </w:tcPr>
          <w:p>
            <w:pPr>
              <w:spacing w:after="0"/>
              <w:rPr>
                <w:sz w:val="9"/>
                <w:szCs w:val="9"/>
                <w:color w:val="auto"/>
              </w:rPr>
            </w:pPr>
          </w:p>
        </w:tc>
        <w:tc>
          <w:tcPr>
            <w:tcW w:w="1060" w:type="dxa"/>
            <w:vAlign w:val="bottom"/>
            <w:shd w:val="clear" w:color="auto" w:fill="D8EFF9"/>
          </w:tcPr>
          <w:p>
            <w:pPr>
              <w:spacing w:after="0"/>
              <w:rPr>
                <w:sz w:val="9"/>
                <w:szCs w:val="9"/>
                <w:color w:val="auto"/>
              </w:rPr>
            </w:pPr>
          </w:p>
        </w:tc>
        <w:tc>
          <w:tcPr>
            <w:tcW w:w="1120" w:type="dxa"/>
            <w:vAlign w:val="bottom"/>
            <w:shd w:val="clear" w:color="auto" w:fill="D8EFF9"/>
          </w:tcPr>
          <w:p>
            <w:pPr>
              <w:jc w:val="center"/>
              <w:ind w:left="92"/>
              <w:spacing w:after="0" w:line="106" w:lineRule="exact"/>
              <w:rPr>
                <w:sz w:val="20"/>
                <w:szCs w:val="20"/>
                <w:color w:val="auto"/>
              </w:rPr>
            </w:pPr>
            <w:r>
              <w:rPr>
                <w:rFonts w:ascii="Arial" w:cs="Arial" w:eastAsia="Arial" w:hAnsi="Arial"/>
                <w:sz w:val="10"/>
                <w:szCs w:val="10"/>
                <w:color w:val="auto"/>
                <w:w w:val="91"/>
              </w:rPr>
              <w:t>votes</w:t>
            </w:r>
          </w:p>
        </w:tc>
      </w:tr>
      <w:tr>
        <w:trPr>
          <w:trHeight w:val="173"/>
        </w:trPr>
        <w:tc>
          <w:tcPr>
            <w:tcW w:w="1600" w:type="dxa"/>
            <w:vAlign w:val="bottom"/>
          </w:tcPr>
          <w:p>
            <w:pPr>
              <w:ind w:left="40"/>
              <w:spacing w:after="0"/>
              <w:rPr>
                <w:sz w:val="20"/>
                <w:szCs w:val="20"/>
                <w:color w:val="auto"/>
              </w:rPr>
            </w:pPr>
            <w:r>
              <w:rPr>
                <w:rFonts w:ascii="Arial" w:cs="Arial" w:eastAsia="Arial" w:hAnsi="Arial"/>
                <w:sz w:val="10"/>
                <w:szCs w:val="10"/>
                <w:b w:val="1"/>
                <w:bCs w:val="1"/>
                <w:color w:val="auto"/>
              </w:rPr>
              <w:t>Item 5: Shareholder Proposal –</w:t>
            </w:r>
          </w:p>
        </w:tc>
        <w:tc>
          <w:tcPr>
            <w:tcW w:w="1360" w:type="dxa"/>
            <w:vAlign w:val="bottom"/>
          </w:tcPr>
          <w:p>
            <w:pPr>
              <w:jc w:val="center"/>
              <w:ind w:left="172"/>
              <w:spacing w:after="0"/>
              <w:rPr>
                <w:sz w:val="20"/>
                <w:szCs w:val="20"/>
                <w:color w:val="auto"/>
              </w:rPr>
            </w:pPr>
            <w:r>
              <w:rPr>
                <w:rFonts w:ascii="Arial" w:cs="Arial" w:eastAsia="Arial" w:hAnsi="Arial"/>
                <w:sz w:val="10"/>
                <w:szCs w:val="10"/>
                <w:color w:val="auto"/>
                <w:w w:val="97"/>
              </w:rPr>
              <w:t>Page 107</w:t>
            </w:r>
          </w:p>
        </w:tc>
        <w:tc>
          <w:tcPr>
            <w:tcW w:w="1240" w:type="dxa"/>
            <w:vAlign w:val="bottom"/>
          </w:tcPr>
          <w:p>
            <w:pPr>
              <w:jc w:val="center"/>
              <w:spacing w:after="0"/>
              <w:rPr>
                <w:sz w:val="20"/>
                <w:szCs w:val="20"/>
                <w:color w:val="auto"/>
              </w:rPr>
            </w:pPr>
            <w:r>
              <w:rPr>
                <w:rFonts w:ascii="Arial" w:cs="Arial" w:eastAsia="Arial" w:hAnsi="Arial"/>
                <w:sz w:val="10"/>
                <w:szCs w:val="10"/>
                <w:color w:val="auto"/>
              </w:rPr>
              <w:t>AGAINST</w:t>
            </w:r>
          </w:p>
        </w:tc>
        <w:tc>
          <w:tcPr>
            <w:tcW w:w="1040" w:type="dxa"/>
            <w:vAlign w:val="bottom"/>
          </w:tcPr>
          <w:p>
            <w:pPr>
              <w:jc w:val="center"/>
              <w:ind w:right="12"/>
              <w:spacing w:after="0"/>
              <w:rPr>
                <w:sz w:val="20"/>
                <w:szCs w:val="20"/>
                <w:color w:val="auto"/>
              </w:rPr>
            </w:pPr>
            <w:r>
              <w:rPr>
                <w:rFonts w:ascii="Arial" w:cs="Arial" w:eastAsia="Arial" w:hAnsi="Arial"/>
                <w:sz w:val="10"/>
                <w:szCs w:val="10"/>
                <w:color w:val="auto"/>
                <w:w w:val="95"/>
              </w:rPr>
              <w:t>Do not count</w:t>
            </w:r>
          </w:p>
        </w:tc>
        <w:tc>
          <w:tcPr>
            <w:tcW w:w="1060" w:type="dxa"/>
            <w:vAlign w:val="bottom"/>
          </w:tcPr>
          <w:p>
            <w:pPr>
              <w:jc w:val="center"/>
              <w:ind w:left="12"/>
              <w:spacing w:after="0"/>
              <w:rPr>
                <w:sz w:val="20"/>
                <w:szCs w:val="20"/>
                <w:color w:val="auto"/>
              </w:rPr>
            </w:pPr>
            <w:r>
              <w:rPr>
                <w:rFonts w:ascii="Arial" w:cs="Arial" w:eastAsia="Arial" w:hAnsi="Arial"/>
                <w:sz w:val="10"/>
                <w:szCs w:val="10"/>
                <w:color w:val="auto"/>
                <w:w w:val="97"/>
              </w:rPr>
              <w:t>Count as a vote</w:t>
            </w:r>
          </w:p>
        </w:tc>
        <w:tc>
          <w:tcPr>
            <w:tcW w:w="1120" w:type="dxa"/>
            <w:vAlign w:val="bottom"/>
          </w:tcPr>
          <w:p>
            <w:pPr>
              <w:jc w:val="center"/>
              <w:ind w:left="72"/>
              <w:spacing w:after="0"/>
              <w:rPr>
                <w:sz w:val="20"/>
                <w:szCs w:val="20"/>
                <w:color w:val="auto"/>
              </w:rPr>
            </w:pPr>
            <w:r>
              <w:rPr>
                <w:rFonts w:ascii="Arial" w:cs="Arial" w:eastAsia="Arial" w:hAnsi="Arial"/>
                <w:sz w:val="10"/>
                <w:szCs w:val="10"/>
                <w:color w:val="auto"/>
                <w:w w:val="96"/>
              </w:rPr>
              <w:t>Majority of shares</w:t>
            </w:r>
          </w:p>
        </w:tc>
      </w:tr>
      <w:tr>
        <w:trPr>
          <w:trHeight w:val="109"/>
        </w:trPr>
        <w:tc>
          <w:tcPr>
            <w:tcW w:w="1600" w:type="dxa"/>
            <w:vAlign w:val="bottom"/>
          </w:tcPr>
          <w:p>
            <w:pPr>
              <w:ind w:left="40"/>
              <w:spacing w:after="0" w:line="109" w:lineRule="exact"/>
              <w:rPr>
                <w:sz w:val="20"/>
                <w:szCs w:val="20"/>
                <w:color w:val="auto"/>
              </w:rPr>
            </w:pPr>
            <w:r>
              <w:rPr>
                <w:rFonts w:ascii="Arial" w:cs="Arial" w:eastAsia="Arial" w:hAnsi="Arial"/>
                <w:sz w:val="10"/>
                <w:szCs w:val="10"/>
                <w:b w:val="1"/>
                <w:bCs w:val="1"/>
                <w:color w:val="auto"/>
                <w:w w:val="97"/>
              </w:rPr>
              <w:t>Disclosure of Scope 3 Emissions</w:t>
            </w: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jc w:val="center"/>
              <w:ind w:left="12"/>
              <w:spacing w:after="0" w:line="109" w:lineRule="exact"/>
              <w:rPr>
                <w:sz w:val="20"/>
                <w:szCs w:val="20"/>
                <w:color w:val="auto"/>
              </w:rPr>
            </w:pPr>
            <w:r>
              <w:rPr>
                <w:rFonts w:ascii="Arial" w:cs="Arial" w:eastAsia="Arial" w:hAnsi="Arial"/>
                <w:sz w:val="10"/>
                <w:szCs w:val="10"/>
                <w:color w:val="auto"/>
                <w:w w:val="99"/>
              </w:rPr>
              <w:t>against</w:t>
            </w:r>
          </w:p>
        </w:tc>
        <w:tc>
          <w:tcPr>
            <w:tcW w:w="1120" w:type="dxa"/>
            <w:vAlign w:val="bottom"/>
          </w:tcPr>
          <w:p>
            <w:pPr>
              <w:jc w:val="center"/>
              <w:ind w:left="92"/>
              <w:spacing w:after="0" w:line="109" w:lineRule="exact"/>
              <w:rPr>
                <w:sz w:val="20"/>
                <w:szCs w:val="20"/>
                <w:color w:val="auto"/>
              </w:rPr>
            </w:pPr>
            <w:r>
              <w:rPr>
                <w:rFonts w:ascii="Arial" w:cs="Arial" w:eastAsia="Arial" w:hAnsi="Arial"/>
                <w:sz w:val="10"/>
                <w:szCs w:val="10"/>
                <w:color w:val="auto"/>
                <w:w w:val="96"/>
              </w:rPr>
              <w:t>entitled to vote and</w:t>
            </w:r>
          </w:p>
        </w:tc>
      </w:tr>
      <w:tr>
        <w:trPr>
          <w:trHeight w:val="109"/>
        </w:trPr>
        <w:tc>
          <w:tcPr>
            <w:tcW w:w="160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and Setting Scope 3 Emissions</w:t>
            </w:r>
          </w:p>
        </w:tc>
        <w:tc>
          <w:tcPr>
            <w:tcW w:w="1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jc w:val="center"/>
              <w:ind w:left="92"/>
              <w:spacing w:after="0" w:line="109" w:lineRule="exact"/>
              <w:rPr>
                <w:sz w:val="20"/>
                <w:szCs w:val="20"/>
                <w:color w:val="auto"/>
              </w:rPr>
            </w:pPr>
            <w:r>
              <w:rPr>
                <w:rFonts w:ascii="Arial" w:cs="Arial" w:eastAsia="Arial" w:hAnsi="Arial"/>
                <w:sz w:val="10"/>
                <w:szCs w:val="10"/>
                <w:color w:val="auto"/>
                <w:w w:val="96"/>
              </w:rPr>
              <w:t>represented in person</w:t>
            </w:r>
          </w:p>
        </w:tc>
      </w:tr>
      <w:tr>
        <w:trPr>
          <w:trHeight w:val="128"/>
        </w:trPr>
        <w:tc>
          <w:tcPr>
            <w:tcW w:w="1600" w:type="dxa"/>
            <w:vAlign w:val="bottom"/>
          </w:tcPr>
          <w:p>
            <w:pPr>
              <w:ind w:left="40"/>
              <w:spacing w:after="0"/>
              <w:rPr>
                <w:sz w:val="20"/>
                <w:szCs w:val="20"/>
                <w:color w:val="auto"/>
              </w:rPr>
            </w:pPr>
            <w:r>
              <w:rPr>
                <w:rFonts w:ascii="Arial" w:cs="Arial" w:eastAsia="Arial" w:hAnsi="Arial"/>
                <w:sz w:val="10"/>
                <w:szCs w:val="10"/>
                <w:b w:val="1"/>
                <w:bCs w:val="1"/>
                <w:color w:val="auto"/>
              </w:rPr>
              <w:t>Targets</w:t>
            </w:r>
          </w:p>
        </w:tc>
        <w:tc>
          <w:tcPr>
            <w:tcW w:w="1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jc w:val="center"/>
              <w:ind w:left="72"/>
              <w:spacing w:after="0"/>
              <w:rPr>
                <w:sz w:val="20"/>
                <w:szCs w:val="20"/>
                <w:color w:val="auto"/>
              </w:rPr>
            </w:pPr>
            <w:r>
              <w:rPr>
                <w:rFonts w:ascii="Arial" w:cs="Arial" w:eastAsia="Arial" w:hAnsi="Arial"/>
                <w:sz w:val="10"/>
                <w:szCs w:val="10"/>
                <w:color w:val="auto"/>
                <w:w w:val="96"/>
              </w:rPr>
              <w:t>or by proxy</w:t>
            </w:r>
          </w:p>
        </w:tc>
      </w:tr>
    </w:tbl>
    <w:p>
      <w:pPr>
        <w:spacing w:after="0" w:line="131"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Holders of our common stock recorded in our stock register at the close of business on February 24, 2023 may vote at the meeting. As of that date, there were 631,002,678 shares of our common stock outstanding.</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48"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You have one vote for each share of our common stock you owned as of the record date for the meeting.</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p>
    <w:p>
      <w:pPr>
        <w:spacing w:after="0" w:line="160" w:lineRule="exact"/>
        <w:rPr>
          <w:sz w:val="20"/>
          <w:szCs w:val="20"/>
          <w:color w:val="auto"/>
        </w:rPr>
      </w:pPr>
    </w:p>
    <w:p>
      <w:pPr>
        <w:ind w:left="8220"/>
        <w:spacing w:after="0"/>
        <w:tabs>
          <w:tab w:leader="none" w:pos="926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Frequently Asked Questions About Voting (continued)</w:t>
      </w:r>
    </w:p>
    <w:p>
      <w:pPr>
        <w:spacing w:after="0" w:line="10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You may vote for or against each director nominee under Item 1 (election of directors) and the proposals under Item 2 (ratification of appointment of the independent registered public accounting firm), Item 3 (advisory vote on executive compensation) and Item 5 (shareholder proposal relating to disclosure of our Scope 3 emissions and setting Scope 3 emissions targets), and you may vote for us to conduct future advisory votes on executive compensation every one, two or three years under Item 4 (advisory vote on the frequency of future advisory votes on executive compensation), or you may abstain from voting on these items. If you give us your proxy but do not specify how to vote, we will vote your shares of our common stock in accordance with the Board’s recommendations.</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p>
    <w:p>
      <w:pPr>
        <w:spacing w:after="0" w:line="58" w:lineRule="exact"/>
        <w:rPr>
          <w:sz w:val="20"/>
          <w:szCs w:val="20"/>
          <w:color w:val="auto"/>
        </w:rPr>
      </w:pPr>
    </w:p>
    <w:p>
      <w:pPr>
        <w:ind w:left="2220" w:hanging="213"/>
        <w:spacing w:after="0"/>
        <w:tabs>
          <w:tab w:leader="none" w:pos="2220" w:val="left"/>
        </w:tabs>
        <w:numPr>
          <w:ilvl w:val="0"/>
          <w:numId w:val="20"/>
        </w:numPr>
        <w:rPr>
          <w:rFonts w:ascii="Arial" w:cs="Arial" w:eastAsia="Arial" w:hAnsi="Arial"/>
          <w:sz w:val="12"/>
          <w:szCs w:val="12"/>
          <w:color w:val="009AD9"/>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election of the nine nominees named in this proxy statement as directors;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20"/>
        </w:numPr>
        <w:rPr>
          <w:rFonts w:ascii="Arial" w:cs="Arial" w:eastAsia="Arial" w:hAnsi="Arial"/>
          <w:sz w:val="12"/>
          <w:szCs w:val="12"/>
          <w:color w:val="009AD9"/>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ratification of the appointment of Deloitte &amp; Touche LLP as our independent registered public accounting firm for 2023;</w:t>
      </w:r>
    </w:p>
    <w:p>
      <w:pPr>
        <w:spacing w:after="0" w:line="80" w:lineRule="exact"/>
        <w:rPr>
          <w:rFonts w:ascii="Arial" w:cs="Arial" w:eastAsia="Arial" w:hAnsi="Arial"/>
          <w:sz w:val="12"/>
          <w:szCs w:val="12"/>
          <w:color w:val="009AD9"/>
        </w:rPr>
      </w:pPr>
    </w:p>
    <w:p>
      <w:pPr>
        <w:ind w:left="2220" w:right="799" w:hanging="213"/>
        <w:spacing w:after="0" w:line="274" w:lineRule="auto"/>
        <w:tabs>
          <w:tab w:leader="none" w:pos="2220" w:val="left"/>
        </w:tabs>
        <w:numPr>
          <w:ilvl w:val="0"/>
          <w:numId w:val="20"/>
        </w:numPr>
        <w:rPr>
          <w:rFonts w:ascii="Arial" w:cs="Arial" w:eastAsia="Arial" w:hAnsi="Arial"/>
          <w:sz w:val="12"/>
          <w:szCs w:val="12"/>
          <w:color w:val="009AD9"/>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approval, on an advisory basis, of the compensation paid to our named executive officers as disclosed in this proxy</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w:t>
      </w:r>
    </w:p>
    <w:p>
      <w:pPr>
        <w:spacing w:after="0" w:line="39" w:lineRule="exact"/>
        <w:rPr>
          <w:rFonts w:ascii="Arial" w:cs="Arial" w:eastAsia="Arial" w:hAnsi="Arial"/>
          <w:sz w:val="12"/>
          <w:szCs w:val="12"/>
          <w:color w:val="009AD9"/>
        </w:rPr>
      </w:pPr>
    </w:p>
    <w:p>
      <w:pPr>
        <w:ind w:left="2220" w:hanging="213"/>
        <w:spacing w:after="0"/>
        <w:tabs>
          <w:tab w:leader="none" w:pos="2220" w:val="left"/>
        </w:tabs>
        <w:numPr>
          <w:ilvl w:val="0"/>
          <w:numId w:val="20"/>
        </w:numPr>
        <w:rPr>
          <w:rFonts w:ascii="Arial" w:cs="Arial" w:eastAsia="Arial" w:hAnsi="Arial"/>
          <w:sz w:val="12"/>
          <w:szCs w:val="12"/>
          <w:color w:val="009AD9"/>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w:t>
      </w:r>
      <w:r>
        <w:rPr>
          <w:rFonts w:ascii="Arial" w:cs="Arial" w:eastAsia="Arial" w:hAnsi="Arial"/>
          <w:sz w:val="12"/>
          <w:szCs w:val="12"/>
          <w:b w:val="1"/>
          <w:bCs w:val="1"/>
          <w:color w:val="auto"/>
        </w:rPr>
        <w:t>1 YEAR</w:t>
      </w:r>
      <w:r>
        <w:rPr>
          <w:rFonts w:ascii="Arial" w:cs="Arial" w:eastAsia="Arial" w:hAnsi="Arial"/>
          <w:sz w:val="12"/>
          <w:szCs w:val="12"/>
          <w:color w:val="auto"/>
        </w:rPr>
        <w:t>” as the preferred frequency for holding future advisory “say-on-pay” votes; and</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20"/>
        </w:numPr>
        <w:rPr>
          <w:rFonts w:ascii="Arial" w:cs="Arial" w:eastAsia="Arial" w:hAnsi="Arial"/>
          <w:sz w:val="12"/>
          <w:szCs w:val="12"/>
          <w:color w:val="009AD9"/>
        </w:rPr>
      </w:pPr>
      <w:r>
        <w:rPr>
          <w:rFonts w:ascii="Arial" w:cs="Arial" w:eastAsia="Arial" w:hAnsi="Arial"/>
          <w:sz w:val="12"/>
          <w:szCs w:val="12"/>
          <w:b w:val="1"/>
          <w:bCs w:val="1"/>
          <w:color w:val="auto"/>
        </w:rPr>
        <w:t xml:space="preserve">AGAINST </w:t>
      </w:r>
      <w:r>
        <w:rPr>
          <w:rFonts w:ascii="Arial" w:cs="Arial" w:eastAsia="Arial" w:hAnsi="Arial"/>
          <w:sz w:val="12"/>
          <w:szCs w:val="12"/>
          <w:color w:val="auto"/>
        </w:rPr>
        <w:t>the shareholder proposal relating to disclosure of our Scope 3 emissions and setting Scope 3 emissions targets.</w:t>
      </w:r>
    </w:p>
    <w:p>
      <w:pPr>
        <w:spacing w:after="0" w:line="158"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If any other matters properly come before the meeting, we will vote the shares of common stock for which we received a proxy in accordance with our best judgment and discretion.</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What if I change my mind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You may revoke your proxy before it is voted by:</w:t>
      </w:r>
    </w:p>
    <w:p>
      <w:pPr>
        <w:spacing w:after="0" w:line="80" w:lineRule="exact"/>
        <w:rPr>
          <w:sz w:val="20"/>
          <w:szCs w:val="20"/>
          <w:color w:val="auto"/>
        </w:rPr>
      </w:pPr>
    </w:p>
    <w:p>
      <w:pPr>
        <w:ind w:left="2220" w:hanging="213"/>
        <w:spacing w:after="0"/>
        <w:tabs>
          <w:tab w:leader="none" w:pos="2220" w:val="left"/>
        </w:tabs>
        <w:numPr>
          <w:ilvl w:val="0"/>
          <w:numId w:val="21"/>
        </w:numPr>
        <w:rPr>
          <w:rFonts w:ascii="Arial" w:cs="Arial" w:eastAsia="Arial" w:hAnsi="Arial"/>
          <w:sz w:val="12"/>
          <w:szCs w:val="12"/>
          <w:color w:val="009AD9"/>
        </w:rPr>
      </w:pPr>
      <w:r>
        <w:rPr>
          <w:rFonts w:ascii="Arial" w:cs="Arial" w:eastAsia="Arial" w:hAnsi="Arial"/>
          <w:sz w:val="12"/>
          <w:szCs w:val="12"/>
          <w:color w:val="auto"/>
        </w:rPr>
        <w:t>submitting a new proxy card with a later date;</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21"/>
        </w:numPr>
        <w:rPr>
          <w:rFonts w:ascii="Arial" w:cs="Arial" w:eastAsia="Arial" w:hAnsi="Arial"/>
          <w:sz w:val="12"/>
          <w:szCs w:val="12"/>
          <w:color w:val="009AD9"/>
        </w:rPr>
      </w:pPr>
      <w:r>
        <w:rPr>
          <w:rFonts w:ascii="Arial" w:cs="Arial" w:eastAsia="Arial" w:hAnsi="Arial"/>
          <w:sz w:val="12"/>
          <w:szCs w:val="12"/>
          <w:color w:val="auto"/>
        </w:rPr>
        <w:t>voting in person at the meeting; or</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21"/>
        </w:numPr>
        <w:rPr>
          <w:rFonts w:ascii="Arial" w:cs="Arial" w:eastAsia="Arial" w:hAnsi="Arial"/>
          <w:sz w:val="12"/>
          <w:szCs w:val="12"/>
          <w:color w:val="009AD9"/>
        </w:rPr>
      </w:pPr>
      <w:r>
        <w:rPr>
          <w:rFonts w:ascii="Arial" w:cs="Arial" w:eastAsia="Arial" w:hAnsi="Arial"/>
          <w:sz w:val="12"/>
          <w:szCs w:val="12"/>
          <w:color w:val="auto"/>
        </w:rPr>
        <w:t>giving written notice to Mr. Vincent A. Mercaldi, Corporate Secretary, at CenterPoint Energy’s address shown above.</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48"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p>
    <w:p>
      <w:pPr>
        <w:spacing w:after="0" w:line="63"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Brokerage firms generally have the authority to vote their customers’ unvoted shares of common stock on certain “routine” matters as determined by the New York Stock Exchange. If your shares of our common stock are held in the name of a broker, bank or other nominee, such nominee can vote your shares for or against the ratification of the appointment of Deloitte &amp; Touche LLP as our independent registered public accounting firm for 2023 if you do not timely provide your proxy because this matter is considered “routine” under the applicable rules. However, no other items are considered “routine” and may not be voted on by your nominee without your instruction.</w:t>
      </w:r>
    </w:p>
    <w:p>
      <w:pPr>
        <w:spacing w:after="0" w:line="201"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For all items other than ratification of the appointment of our independent registered public accounting firm, brokers holding shares of our common stock must vote according to specific instructions they receive from the beneficial owners of those shares because the New York Stock Exchange precludes brokers from exercising voting discretion on certain proposals without specific instructions from the beneficial owner as to how to vote. Brokers cannot vote on</w:t>
      </w:r>
    </w:p>
    <w:p>
      <w:pPr>
        <w:spacing w:after="0" w:line="132" w:lineRule="exact"/>
        <w:rPr>
          <w:sz w:val="20"/>
          <w:szCs w:val="20"/>
          <w:color w:val="auto"/>
        </w:rPr>
      </w:pPr>
    </w:p>
    <w:p>
      <w:pPr>
        <w:ind w:left="2080" w:hanging="145"/>
        <w:spacing w:after="0"/>
        <w:tabs>
          <w:tab w:leader="none" w:pos="2080" w:val="left"/>
        </w:tabs>
        <w:numPr>
          <w:ilvl w:val="0"/>
          <w:numId w:val="2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Frequently Asked Questions About Voting (continued)</w:t>
      </w:r>
    </w:p>
    <w:p>
      <w:pPr>
        <w:spacing w:after="0" w:line="164"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Item 1 (election of directors), Item 3 (advisory vote on executive compensation), Item 4 (advisory vote on the frequency of future advisory votes on executive compensation) or Item 5 (shareholder proposal relating to disclosure of our Scope 3 emissions and setting Scope 3 emissions targets) without instructions from the beneficial owners. If you do not instruct your broker how to vote with respect to Item 1, Item 3, Item 4 or Item 5, your broker will not vote for you with respect to those items.</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Do I need a ticket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p>
    <w:p>
      <w:pPr>
        <w:spacing w:after="0" w:line="13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To carry on the business of the meeting, we must have a quorum. This means at least a majority of the shares of our common stock outstanding as of the record date must be represented at the meeting, either by proxy or in person. Shares of our common stock owned by CenterPoint Energy are not voted and do not count for this purpose.</w:t>
      </w:r>
    </w:p>
    <w:p>
      <w:pPr>
        <w:spacing w:after="0" w:line="63"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Abstentions and proxies submitted by brokers that do not indicate a vote because they do not have discretionary authority and have not received instructions as to how to vote on a proposal (so-called “broker non-votes”) will be considered as present for quorum purposes.</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48"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Under our third amended and restated bylaws (bylaws), directors are elected by a majority of the votes cast at the meeting. Under our bylaws, this means that the number of votes cast “for” a director must exceed the number of votes cast “against” that director. Abstentions and broker non-votes will not affect the outcome of the vote. For additional information on the election of directors, see “Item 1: Election of Directors—Majority Voting in Director Elections.”</w:t>
      </w:r>
    </w:p>
    <w:p>
      <w:pPr>
        <w:spacing w:after="0" w:line="64"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Each of the ratification of the appointment of independent registered public accounting firm in Item 2 and the approval of the resolution included in Item 3 regarding the advisory vote on executive compensation requires the affirmative vote of a majority of the shares of our common stock entitled to vote on the matter and voted for or against the item. With respect to the advisory vote on the frequency of future advisory votes on executive compensation in Item 4, the time period that receives the highest number of votes cast will be considered the preferred frequency for future “say-on-pay” votes as determined by our shareholders on an advisory basis. Abstentions and broker non-votes (none of which are expected for Item 2) will not affect the outcome of the vote on these items. The resolution included in Item 5 (shareholder proposal relating to disclosure of our Scope 3 emissions and setting Scope 3 emissions targets) requires the affirmative vote of a majority of the shares of common stock entitled to vote on the matter and represented in person or by proxy. Broker non-votes will not affect the outcome of the vote on this item and abstentions will have the same effect as a vote against this item.</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Who conducts the proxy solicitation and how much will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57" w:lineRule="exact"/>
        <w:rPr>
          <w:sz w:val="20"/>
          <w:szCs w:val="20"/>
          <w:color w:val="auto"/>
        </w:rPr>
      </w:pPr>
    </w:p>
    <w:p>
      <w:pPr>
        <w:jc w:val="both"/>
        <w:ind w:left="1940" w:right="799"/>
        <w:spacing w:after="0" w:line="221" w:lineRule="auto"/>
        <w:rPr>
          <w:sz w:val="20"/>
          <w:szCs w:val="20"/>
          <w:color w:val="auto"/>
        </w:rPr>
      </w:pPr>
      <w:r>
        <w:rPr>
          <w:rFonts w:ascii="Arial" w:cs="Arial" w:eastAsia="Arial" w:hAnsi="Arial"/>
          <w:sz w:val="12"/>
          <w:szCs w:val="12"/>
          <w:color w:val="auto"/>
        </w:rPr>
        <w:t>CenterPoint Energy is requesting your proxy for the annual shareholder meeting and will pay all the costs of requesting shareholder proxies, including a fee of $15,000 plus expenses to Okapi Partners LLC, 1212 Avenue of the Americas, 17</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Floor, New York, New York 10036, who will help us solicit proxies. We can request proxies through the mail, in person, or by telephone, fax or Internet. We can use directors, officers and other employees of CenterPoint Energy to request proxies. Directors, officers and other employees will not receive additional compensation for these services. We will reimburse brokerage firms, nominees, fiduciaries, custodians and other agents for their expenses in distributing proxy material to the beneficial owners of our common stock.</w:t>
      </w:r>
    </w:p>
    <w:p>
      <w:pPr>
        <w:spacing w:after="0" w:line="162" w:lineRule="exact"/>
        <w:rPr>
          <w:sz w:val="20"/>
          <w:szCs w:val="20"/>
          <w:color w:val="auto"/>
        </w:rPr>
      </w:pPr>
    </w:p>
    <w:p>
      <w:pPr>
        <w:ind w:left="8220"/>
        <w:spacing w:after="0"/>
        <w:tabs>
          <w:tab w:leader="none" w:pos="926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ITEM 1: ELECTION OF DIRECTORS</w:t>
      </w:r>
    </w:p>
    <w:p>
      <w:pPr>
        <w:spacing w:after="0" w:line="265"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60" w:type="dxa"/>
            <w:vAlign w:val="bottom"/>
            <w:shd w:val="clear" w:color="auto" w:fill="009AD9"/>
          </w:tcPr>
          <w:p>
            <w:pPr>
              <w:spacing w:after="0"/>
              <w:rPr>
                <w:sz w:val="10"/>
                <w:szCs w:val="10"/>
                <w:color w:val="auto"/>
              </w:rPr>
            </w:pPr>
          </w:p>
        </w:tc>
        <w:tc>
          <w:tcPr>
            <w:tcW w:w="960" w:type="dxa"/>
            <w:vAlign w:val="bottom"/>
            <w:shd w:val="clear" w:color="auto" w:fill="009AD9"/>
          </w:tcPr>
          <w:p>
            <w:pPr>
              <w:spacing w:after="0"/>
              <w:rPr>
                <w:sz w:val="10"/>
                <w:szCs w:val="10"/>
                <w:color w:val="auto"/>
              </w:rPr>
            </w:pPr>
          </w:p>
        </w:tc>
        <w:tc>
          <w:tcPr>
            <w:tcW w:w="120" w:type="dxa"/>
            <w:vAlign w:val="bottom"/>
            <w:shd w:val="clear" w:color="auto" w:fill="009AD9"/>
          </w:tcPr>
          <w:p>
            <w:pPr>
              <w:spacing w:after="0"/>
              <w:rPr>
                <w:sz w:val="10"/>
                <w:szCs w:val="10"/>
                <w:color w:val="auto"/>
              </w:rPr>
            </w:pPr>
          </w:p>
        </w:tc>
        <w:tc>
          <w:tcPr>
            <w:tcW w:w="160" w:type="dxa"/>
            <w:vAlign w:val="bottom"/>
            <w:shd w:val="clear" w:color="auto" w:fill="009AD9"/>
          </w:tcPr>
          <w:p>
            <w:pPr>
              <w:spacing w:after="0"/>
              <w:rPr>
                <w:sz w:val="10"/>
                <w:szCs w:val="10"/>
                <w:color w:val="auto"/>
              </w:rPr>
            </w:pPr>
          </w:p>
        </w:tc>
        <w:tc>
          <w:tcPr>
            <w:tcW w:w="200" w:type="dxa"/>
            <w:vAlign w:val="bottom"/>
            <w:tcBorders>
              <w:right w:val="single" w:sz="8" w:color="009AD9"/>
            </w:tcBorders>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140" w:type="dxa"/>
            <w:vAlign w:val="bottom"/>
            <w:tcBorders>
              <w:left w:val="single" w:sz="8" w:color="009AD9"/>
            </w:tcBorders>
            <w:shd w:val="clear" w:color="auto" w:fill="009AD9"/>
          </w:tcPr>
          <w:p>
            <w:pPr>
              <w:spacing w:after="0"/>
              <w:rPr>
                <w:sz w:val="10"/>
                <w:szCs w:val="10"/>
                <w:color w:val="auto"/>
              </w:rPr>
            </w:pPr>
          </w:p>
        </w:tc>
        <w:tc>
          <w:tcPr>
            <w:tcW w:w="140" w:type="dxa"/>
            <w:vAlign w:val="bottom"/>
            <w:shd w:val="clear" w:color="auto" w:fill="009AD9"/>
          </w:tcPr>
          <w:p>
            <w:pPr>
              <w:spacing w:after="0"/>
              <w:rPr>
                <w:sz w:val="10"/>
                <w:szCs w:val="10"/>
                <w:color w:val="auto"/>
              </w:rPr>
            </w:pPr>
          </w:p>
        </w:tc>
        <w:tc>
          <w:tcPr>
            <w:tcW w:w="80" w:type="dxa"/>
            <w:vAlign w:val="bottom"/>
            <w:shd w:val="clear" w:color="auto" w:fill="009AD9"/>
          </w:tcPr>
          <w:p>
            <w:pPr>
              <w:spacing w:after="0"/>
              <w:rPr>
                <w:sz w:val="10"/>
                <w:szCs w:val="10"/>
                <w:color w:val="auto"/>
              </w:rPr>
            </w:pPr>
          </w:p>
        </w:tc>
        <w:tc>
          <w:tcPr>
            <w:tcW w:w="20" w:type="dxa"/>
            <w:vAlign w:val="bottom"/>
            <w:shd w:val="clear" w:color="auto" w:fill="009AD9"/>
          </w:tcPr>
          <w:p>
            <w:pPr>
              <w:spacing w:after="0"/>
              <w:rPr>
                <w:sz w:val="10"/>
                <w:szCs w:val="10"/>
                <w:color w:val="auto"/>
              </w:rPr>
            </w:pPr>
          </w:p>
        </w:tc>
        <w:tc>
          <w:tcPr>
            <w:tcW w:w="40" w:type="dxa"/>
            <w:vAlign w:val="bottom"/>
            <w:shd w:val="clear" w:color="auto" w:fill="009AD9"/>
          </w:tcPr>
          <w:p>
            <w:pPr>
              <w:spacing w:after="0"/>
              <w:rPr>
                <w:sz w:val="10"/>
                <w:szCs w:val="10"/>
                <w:color w:val="auto"/>
              </w:rPr>
            </w:pPr>
          </w:p>
        </w:tc>
        <w:tc>
          <w:tcPr>
            <w:tcW w:w="660" w:type="dxa"/>
            <w:vAlign w:val="bottom"/>
            <w:shd w:val="clear" w:color="auto" w:fill="009AD9"/>
          </w:tcPr>
          <w:p>
            <w:pPr>
              <w:spacing w:after="0"/>
              <w:rPr>
                <w:sz w:val="10"/>
                <w:szCs w:val="10"/>
                <w:color w:val="auto"/>
              </w:rPr>
            </w:pPr>
          </w:p>
        </w:tc>
        <w:tc>
          <w:tcPr>
            <w:tcW w:w="3260" w:type="dxa"/>
            <w:vAlign w:val="bottom"/>
            <w:gridSpan w:val="4"/>
            <w:shd w:val="clear" w:color="auto" w:fill="009AD9"/>
          </w:tcPr>
          <w:p>
            <w:pPr>
              <w:ind w:left="140"/>
              <w:spacing w:after="0"/>
              <w:rPr>
                <w:sz w:val="20"/>
                <w:szCs w:val="20"/>
                <w:color w:val="auto"/>
              </w:rPr>
            </w:pPr>
            <w:r>
              <w:rPr>
                <w:rFonts w:ascii="Arial" w:cs="Arial" w:eastAsia="Arial" w:hAnsi="Arial"/>
                <w:sz w:val="10"/>
                <w:szCs w:val="10"/>
                <w:b w:val="1"/>
                <w:bCs w:val="1"/>
                <w:color w:val="FFFFFF"/>
              </w:rPr>
              <w:t>Election of Directors Table of Contents</w:t>
            </w:r>
          </w:p>
        </w:tc>
        <w:tc>
          <w:tcPr>
            <w:tcW w:w="1480" w:type="dxa"/>
            <w:vAlign w:val="bottom"/>
            <w:shd w:val="clear" w:color="auto" w:fill="009AD9"/>
          </w:tcPr>
          <w:p>
            <w:pPr>
              <w:spacing w:after="0"/>
              <w:rPr>
                <w:sz w:val="10"/>
                <w:szCs w:val="10"/>
                <w:color w:val="auto"/>
              </w:rPr>
            </w:pPr>
          </w:p>
        </w:tc>
      </w:tr>
      <w:tr>
        <w:trPr>
          <w:trHeight w:val="118"/>
        </w:trPr>
        <w:tc>
          <w:tcPr>
            <w:tcW w:w="60" w:type="dxa"/>
            <w:vAlign w:val="bottom"/>
          </w:tcPr>
          <w:p>
            <w:pPr>
              <w:spacing w:after="0"/>
              <w:rPr>
                <w:sz w:val="10"/>
                <w:szCs w:val="10"/>
                <w:color w:val="auto"/>
              </w:rPr>
            </w:pPr>
          </w:p>
        </w:tc>
        <w:tc>
          <w:tcPr>
            <w:tcW w:w="5880" w:type="dxa"/>
            <w:vAlign w:val="bottom"/>
            <w:gridSpan w:val="15"/>
          </w:tcPr>
          <w:p>
            <w:pPr>
              <w:spacing w:after="0" w:line="118" w:lineRule="exact"/>
              <w:rPr>
                <w:sz w:val="20"/>
                <w:szCs w:val="20"/>
                <w:color w:val="auto"/>
              </w:rPr>
            </w:pPr>
            <w:r>
              <w:rPr>
                <w:rFonts w:ascii="Arial" w:cs="Arial" w:eastAsia="Arial" w:hAnsi="Arial"/>
                <w:sz w:val="12"/>
                <w:szCs w:val="12"/>
                <w:color w:val="0000EE"/>
              </w:rPr>
              <w:t>Executive Summary</w:t>
            </w:r>
          </w:p>
        </w:tc>
        <w:tc>
          <w:tcPr>
            <w:tcW w:w="1480" w:type="dxa"/>
            <w:vAlign w:val="bottom"/>
          </w:tcPr>
          <w:p>
            <w:pPr>
              <w:jc w:val="right"/>
              <w:spacing w:after="0" w:line="118" w:lineRule="exact"/>
              <w:rPr>
                <w:sz w:val="20"/>
                <w:szCs w:val="20"/>
                <w:color w:val="auto"/>
              </w:rPr>
            </w:pPr>
            <w:r>
              <w:rPr>
                <w:rFonts w:ascii="Arial" w:cs="Arial" w:eastAsia="Arial" w:hAnsi="Arial"/>
                <w:sz w:val="12"/>
                <w:szCs w:val="12"/>
                <w:color w:val="auto"/>
              </w:rPr>
              <w:t>11</w:t>
            </w:r>
          </w:p>
        </w:tc>
      </w:tr>
      <w:tr>
        <w:trPr>
          <w:trHeight w:val="20"/>
        </w:trPr>
        <w:tc>
          <w:tcPr>
            <w:tcW w:w="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16"/>
        </w:trPr>
        <w:tc>
          <w:tcPr>
            <w:tcW w:w="60" w:type="dxa"/>
            <w:vAlign w:val="bottom"/>
            <w:shd w:val="clear" w:color="auto" w:fill="D8EFF9"/>
          </w:tcPr>
          <w:p>
            <w:pPr>
              <w:spacing w:after="0"/>
              <w:rPr>
                <w:sz w:val="10"/>
                <w:szCs w:val="10"/>
                <w:color w:val="auto"/>
              </w:rPr>
            </w:pPr>
          </w:p>
        </w:tc>
        <w:tc>
          <w:tcPr>
            <w:tcW w:w="5880" w:type="dxa"/>
            <w:vAlign w:val="bottom"/>
            <w:gridSpan w:val="15"/>
            <w:shd w:val="clear" w:color="auto" w:fill="D8EFF9"/>
          </w:tcPr>
          <w:p>
            <w:pPr>
              <w:spacing w:after="0" w:line="117" w:lineRule="exact"/>
              <w:rPr>
                <w:sz w:val="20"/>
                <w:szCs w:val="20"/>
                <w:color w:val="auto"/>
              </w:rPr>
            </w:pPr>
            <w:r>
              <w:rPr>
                <w:rFonts w:ascii="Arial" w:cs="Arial" w:eastAsia="Arial" w:hAnsi="Arial"/>
                <w:sz w:val="12"/>
                <w:szCs w:val="12"/>
                <w:color w:val="0000EE"/>
              </w:rPr>
              <w:t>Nominees for Directors</w:t>
            </w: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12</w:t>
            </w:r>
          </w:p>
        </w:tc>
      </w:tr>
      <w:tr>
        <w:trPr>
          <w:trHeight w:val="20"/>
        </w:trPr>
        <w:tc>
          <w:tcPr>
            <w:tcW w:w="60" w:type="dxa"/>
            <w:vAlign w:val="bottom"/>
            <w:shd w:val="clear" w:color="auto" w:fill="D8EFF9"/>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D8EFF9"/>
            </w:tcBorders>
            <w:shd w:val="clear" w:color="auto" w:fill="D8EFF9"/>
          </w:tcPr>
          <w:p>
            <w:pPr>
              <w:spacing w:after="0" w:line="20" w:lineRule="exact"/>
              <w:rPr>
                <w:sz w:val="1"/>
                <w:szCs w:val="1"/>
                <w:color w:val="auto"/>
              </w:rPr>
            </w:pPr>
          </w:p>
        </w:tc>
        <w:tc>
          <w:tcPr>
            <w:tcW w:w="100" w:type="dxa"/>
            <w:vAlign w:val="bottom"/>
            <w:shd w:val="clear" w:color="auto" w:fill="D8EFF9"/>
          </w:tcPr>
          <w:p>
            <w:pPr>
              <w:spacing w:after="0" w:line="20" w:lineRule="exact"/>
              <w:rPr>
                <w:sz w:val="1"/>
                <w:szCs w:val="1"/>
                <w:color w:val="auto"/>
              </w:rPr>
            </w:pPr>
          </w:p>
        </w:tc>
        <w:tc>
          <w:tcPr>
            <w:tcW w:w="140" w:type="dxa"/>
            <w:vAlign w:val="bottom"/>
            <w:tcBorders>
              <w:left w:val="single" w:sz="8" w:color="D8EFF9"/>
            </w:tcBorders>
            <w:shd w:val="clear" w:color="auto" w:fill="D8EFF9"/>
          </w:tcPr>
          <w:p>
            <w:pPr>
              <w:spacing w:after="0" w:line="20" w:lineRule="exact"/>
              <w:rPr>
                <w:sz w:val="1"/>
                <w:szCs w:val="1"/>
                <w:color w:val="auto"/>
              </w:rPr>
            </w:pPr>
          </w:p>
        </w:tc>
        <w:tc>
          <w:tcPr>
            <w:tcW w:w="140" w:type="dxa"/>
            <w:vAlign w:val="bottom"/>
            <w:shd w:val="clear" w:color="auto" w:fill="D8EFF9"/>
          </w:tcPr>
          <w:p>
            <w:pPr>
              <w:spacing w:after="0" w:line="20" w:lineRule="exact"/>
              <w:rPr>
                <w:sz w:val="1"/>
                <w:szCs w:val="1"/>
                <w:color w:val="auto"/>
              </w:rPr>
            </w:pPr>
          </w:p>
        </w:tc>
        <w:tc>
          <w:tcPr>
            <w:tcW w:w="80" w:type="dxa"/>
            <w:vAlign w:val="bottom"/>
            <w:shd w:val="clear" w:color="auto" w:fill="D8EFF9"/>
          </w:tcPr>
          <w:p>
            <w:pPr>
              <w:spacing w:after="0" w:line="20" w:lineRule="exact"/>
              <w:rPr>
                <w:sz w:val="1"/>
                <w:szCs w:val="1"/>
                <w:color w:val="auto"/>
              </w:rPr>
            </w:pPr>
          </w:p>
        </w:tc>
        <w:tc>
          <w:tcPr>
            <w:tcW w:w="2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660" w:type="dxa"/>
            <w:vAlign w:val="bottom"/>
            <w:shd w:val="clear" w:color="auto" w:fill="D8EFF9"/>
          </w:tcPr>
          <w:p>
            <w:pPr>
              <w:spacing w:after="0" w:line="20" w:lineRule="exact"/>
              <w:rPr>
                <w:sz w:val="1"/>
                <w:szCs w:val="1"/>
                <w:color w:val="auto"/>
              </w:rPr>
            </w:pPr>
          </w:p>
        </w:tc>
        <w:tc>
          <w:tcPr>
            <w:tcW w:w="160" w:type="dxa"/>
            <w:vAlign w:val="bottom"/>
            <w:shd w:val="clear" w:color="auto" w:fill="D8EFF9"/>
          </w:tcPr>
          <w:p>
            <w:pPr>
              <w:spacing w:after="0" w:line="20" w:lineRule="exact"/>
              <w:rPr>
                <w:sz w:val="1"/>
                <w:szCs w:val="1"/>
                <w:color w:val="auto"/>
              </w:rPr>
            </w:pPr>
          </w:p>
        </w:tc>
        <w:tc>
          <w:tcPr>
            <w:tcW w:w="48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2580" w:type="dxa"/>
            <w:vAlign w:val="bottom"/>
            <w:shd w:val="clear" w:color="auto" w:fill="D8EFF9"/>
          </w:tcPr>
          <w:p>
            <w:pPr>
              <w:spacing w:after="0" w:line="20" w:lineRule="exact"/>
              <w:rPr>
                <w:sz w:val="1"/>
                <w:szCs w:val="1"/>
                <w:color w:val="auto"/>
              </w:rPr>
            </w:pPr>
          </w:p>
        </w:tc>
        <w:tc>
          <w:tcPr>
            <w:tcW w:w="1480" w:type="dxa"/>
            <w:vAlign w:val="bottom"/>
            <w:shd w:val="clear" w:color="auto" w:fill="D8EFF9"/>
          </w:tcPr>
          <w:p>
            <w:pPr>
              <w:spacing w:after="0" w:line="20" w:lineRule="exact"/>
              <w:rPr>
                <w:sz w:val="1"/>
                <w:szCs w:val="1"/>
                <w:color w:val="auto"/>
              </w:rPr>
            </w:pPr>
          </w:p>
        </w:tc>
      </w:tr>
      <w:tr>
        <w:trPr>
          <w:trHeight w:val="116"/>
        </w:trPr>
        <w:tc>
          <w:tcPr>
            <w:tcW w:w="60" w:type="dxa"/>
            <w:vAlign w:val="bottom"/>
          </w:tcPr>
          <w:p>
            <w:pPr>
              <w:spacing w:after="0"/>
              <w:rPr>
                <w:sz w:val="10"/>
                <w:szCs w:val="10"/>
                <w:color w:val="auto"/>
              </w:rPr>
            </w:pPr>
          </w:p>
        </w:tc>
        <w:tc>
          <w:tcPr>
            <w:tcW w:w="5880" w:type="dxa"/>
            <w:vAlign w:val="bottom"/>
            <w:gridSpan w:val="15"/>
          </w:tcPr>
          <w:p>
            <w:pPr>
              <w:spacing w:after="0" w:line="117" w:lineRule="exact"/>
              <w:rPr>
                <w:sz w:val="20"/>
                <w:szCs w:val="20"/>
                <w:color w:val="auto"/>
              </w:rPr>
            </w:pPr>
            <w:r>
              <w:rPr>
                <w:rFonts w:ascii="Arial" w:cs="Arial" w:eastAsia="Arial" w:hAnsi="Arial"/>
                <w:sz w:val="12"/>
                <w:szCs w:val="12"/>
                <w:color w:val="0000EE"/>
              </w:rPr>
              <w:t>Director Nomination Process</w:t>
            </w: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22</w:t>
            </w:r>
          </w:p>
        </w:tc>
      </w:tr>
      <w:tr>
        <w:trPr>
          <w:trHeight w:val="20"/>
        </w:trPr>
        <w:tc>
          <w:tcPr>
            <w:tcW w:w="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16"/>
        </w:trPr>
        <w:tc>
          <w:tcPr>
            <w:tcW w:w="60" w:type="dxa"/>
            <w:vAlign w:val="bottom"/>
            <w:shd w:val="clear" w:color="auto" w:fill="D8EFF9"/>
          </w:tcPr>
          <w:p>
            <w:pPr>
              <w:spacing w:after="0"/>
              <w:rPr>
                <w:sz w:val="10"/>
                <w:szCs w:val="10"/>
                <w:color w:val="auto"/>
              </w:rPr>
            </w:pPr>
          </w:p>
        </w:tc>
        <w:tc>
          <w:tcPr>
            <w:tcW w:w="5880" w:type="dxa"/>
            <w:vAlign w:val="bottom"/>
            <w:gridSpan w:val="15"/>
            <w:shd w:val="clear" w:color="auto" w:fill="D8EFF9"/>
          </w:tcPr>
          <w:p>
            <w:pPr>
              <w:spacing w:after="0" w:line="117" w:lineRule="exact"/>
              <w:rPr>
                <w:sz w:val="20"/>
                <w:szCs w:val="20"/>
                <w:color w:val="auto"/>
              </w:rPr>
            </w:pPr>
            <w:r>
              <w:rPr>
                <w:rFonts w:ascii="Arial" w:cs="Arial" w:eastAsia="Arial" w:hAnsi="Arial"/>
                <w:sz w:val="12"/>
                <w:szCs w:val="12"/>
                <w:color w:val="0000EE"/>
              </w:rPr>
              <w:t>Annual Board Self-Assessment and Director Peer Evaluation</w:t>
            </w: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24</w:t>
            </w:r>
          </w:p>
        </w:tc>
      </w:tr>
      <w:tr>
        <w:trPr>
          <w:trHeight w:val="116"/>
        </w:trPr>
        <w:tc>
          <w:tcPr>
            <w:tcW w:w="60" w:type="dxa"/>
            <w:vAlign w:val="bottom"/>
            <w:tcBorders>
              <w:top w:val="single" w:sz="8" w:color="D8EFF9"/>
            </w:tcBorders>
          </w:tcPr>
          <w:p>
            <w:pPr>
              <w:spacing w:after="0"/>
              <w:rPr>
                <w:sz w:val="10"/>
                <w:szCs w:val="10"/>
                <w:color w:val="auto"/>
              </w:rPr>
            </w:pPr>
          </w:p>
        </w:tc>
        <w:tc>
          <w:tcPr>
            <w:tcW w:w="1240" w:type="dxa"/>
            <w:vAlign w:val="bottom"/>
            <w:tcBorders>
              <w:top w:val="single" w:sz="8" w:color="0000EE"/>
              <w:bottom w:val="single" w:sz="8" w:color="0000EE"/>
            </w:tcBorders>
            <w:gridSpan w:val="3"/>
          </w:tcPr>
          <w:p>
            <w:pPr>
              <w:spacing w:after="0" w:line="117" w:lineRule="exact"/>
              <w:rPr>
                <w:sz w:val="20"/>
                <w:szCs w:val="20"/>
                <w:color w:val="auto"/>
              </w:rPr>
            </w:pPr>
            <w:r>
              <w:rPr>
                <w:rFonts w:ascii="Arial" w:cs="Arial" w:eastAsia="Arial" w:hAnsi="Arial"/>
                <w:sz w:val="12"/>
                <w:szCs w:val="12"/>
                <w:color w:val="0000EE"/>
              </w:rPr>
              <w:t>Director Independence</w:t>
            </w:r>
          </w:p>
        </w:tc>
        <w:tc>
          <w:tcPr>
            <w:tcW w:w="2020" w:type="dxa"/>
            <w:vAlign w:val="bottom"/>
            <w:tcBorders>
              <w:top w:val="single" w:sz="8" w:color="0000EE"/>
            </w:tcBorders>
            <w:gridSpan w:val="10"/>
          </w:tcPr>
          <w:p>
            <w:pPr>
              <w:spacing w:after="0"/>
              <w:rPr>
                <w:sz w:val="10"/>
                <w:szCs w:val="10"/>
                <w:color w:val="auto"/>
              </w:rPr>
            </w:pPr>
          </w:p>
        </w:tc>
        <w:tc>
          <w:tcPr>
            <w:tcW w:w="2620" w:type="dxa"/>
            <w:vAlign w:val="bottom"/>
            <w:tcBorders>
              <w:top w:val="single" w:sz="8" w:color="D8EFF9"/>
            </w:tcBorders>
            <w:gridSpan w:val="2"/>
          </w:tcPr>
          <w:p>
            <w:pPr>
              <w:spacing w:after="0"/>
              <w:rPr>
                <w:sz w:val="10"/>
                <w:szCs w:val="10"/>
                <w:color w:val="auto"/>
              </w:rPr>
            </w:pPr>
          </w:p>
        </w:tc>
        <w:tc>
          <w:tcPr>
            <w:tcW w:w="1480" w:type="dxa"/>
            <w:vAlign w:val="bottom"/>
            <w:tcBorders>
              <w:top w:val="single" w:sz="8" w:color="D8EFF9"/>
            </w:tcBorders>
          </w:tcPr>
          <w:p>
            <w:pPr>
              <w:jc w:val="right"/>
              <w:spacing w:after="0" w:line="117" w:lineRule="exact"/>
              <w:rPr>
                <w:sz w:val="20"/>
                <w:szCs w:val="20"/>
                <w:color w:val="auto"/>
              </w:rPr>
            </w:pPr>
            <w:r>
              <w:rPr>
                <w:rFonts w:ascii="Arial" w:cs="Arial" w:eastAsia="Arial" w:hAnsi="Arial"/>
                <w:sz w:val="12"/>
                <w:szCs w:val="12"/>
                <w:color w:val="auto"/>
              </w:rPr>
              <w:t>24</w:t>
            </w:r>
          </w:p>
        </w:tc>
      </w:tr>
      <w:tr>
        <w:trPr>
          <w:trHeight w:val="116"/>
        </w:trPr>
        <w:tc>
          <w:tcPr>
            <w:tcW w:w="60" w:type="dxa"/>
            <w:vAlign w:val="bottom"/>
            <w:shd w:val="clear" w:color="auto" w:fill="D8EFF9"/>
          </w:tcPr>
          <w:p>
            <w:pPr>
              <w:spacing w:after="0"/>
              <w:rPr>
                <w:sz w:val="10"/>
                <w:szCs w:val="10"/>
                <w:color w:val="auto"/>
              </w:rPr>
            </w:pPr>
          </w:p>
        </w:tc>
        <w:tc>
          <w:tcPr>
            <w:tcW w:w="5880" w:type="dxa"/>
            <w:vAlign w:val="bottom"/>
            <w:gridSpan w:val="15"/>
            <w:shd w:val="clear" w:color="auto" w:fill="D8EFF9"/>
          </w:tcPr>
          <w:p>
            <w:pPr>
              <w:spacing w:after="0" w:line="117" w:lineRule="exact"/>
              <w:rPr>
                <w:sz w:val="20"/>
                <w:szCs w:val="20"/>
                <w:color w:val="auto"/>
              </w:rPr>
            </w:pPr>
            <w:r>
              <w:rPr>
                <w:rFonts w:ascii="Arial" w:cs="Arial" w:eastAsia="Arial" w:hAnsi="Arial"/>
                <w:sz w:val="12"/>
                <w:szCs w:val="12"/>
                <w:color w:val="0000EE"/>
              </w:rPr>
              <w:t>Code of Ethics and Ethics and Compliance Code</w:t>
            </w: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25</w:t>
            </w:r>
          </w:p>
        </w:tc>
      </w:tr>
      <w:tr>
        <w:trPr>
          <w:trHeight w:val="20"/>
        </w:trPr>
        <w:tc>
          <w:tcPr>
            <w:tcW w:w="60" w:type="dxa"/>
            <w:vAlign w:val="bottom"/>
            <w:shd w:val="clear" w:color="auto" w:fill="D8EFF9"/>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D8EFF9"/>
          </w:tcPr>
          <w:p>
            <w:pPr>
              <w:spacing w:after="0" w:line="20" w:lineRule="exact"/>
              <w:rPr>
                <w:sz w:val="1"/>
                <w:szCs w:val="1"/>
                <w:color w:val="auto"/>
              </w:rPr>
            </w:pPr>
          </w:p>
        </w:tc>
        <w:tc>
          <w:tcPr>
            <w:tcW w:w="48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2580" w:type="dxa"/>
            <w:vAlign w:val="bottom"/>
            <w:shd w:val="clear" w:color="auto" w:fill="D8EFF9"/>
          </w:tcPr>
          <w:p>
            <w:pPr>
              <w:spacing w:after="0" w:line="20" w:lineRule="exact"/>
              <w:rPr>
                <w:sz w:val="1"/>
                <w:szCs w:val="1"/>
                <w:color w:val="auto"/>
              </w:rPr>
            </w:pPr>
          </w:p>
        </w:tc>
        <w:tc>
          <w:tcPr>
            <w:tcW w:w="1480" w:type="dxa"/>
            <w:vAlign w:val="bottom"/>
            <w:shd w:val="clear" w:color="auto" w:fill="D8EFF9"/>
          </w:tcPr>
          <w:p>
            <w:pPr>
              <w:spacing w:after="0" w:line="20" w:lineRule="exact"/>
              <w:rPr>
                <w:sz w:val="1"/>
                <w:szCs w:val="1"/>
                <w:color w:val="auto"/>
              </w:rPr>
            </w:pPr>
          </w:p>
        </w:tc>
      </w:tr>
      <w:tr>
        <w:trPr>
          <w:trHeight w:val="116"/>
        </w:trPr>
        <w:tc>
          <w:tcPr>
            <w:tcW w:w="60" w:type="dxa"/>
            <w:vAlign w:val="bottom"/>
          </w:tcPr>
          <w:p>
            <w:pPr>
              <w:spacing w:after="0"/>
              <w:rPr>
                <w:sz w:val="10"/>
                <w:szCs w:val="10"/>
                <w:color w:val="auto"/>
              </w:rPr>
            </w:pPr>
          </w:p>
        </w:tc>
        <w:tc>
          <w:tcPr>
            <w:tcW w:w="2780" w:type="dxa"/>
            <w:vAlign w:val="bottom"/>
            <w:tcBorders>
              <w:bottom w:val="single" w:sz="8" w:color="0000EE"/>
            </w:tcBorders>
            <w:gridSpan w:val="12"/>
          </w:tcPr>
          <w:p>
            <w:pPr>
              <w:spacing w:after="0" w:line="117" w:lineRule="exact"/>
              <w:rPr>
                <w:sz w:val="20"/>
                <w:szCs w:val="20"/>
                <w:color w:val="auto"/>
              </w:rPr>
            </w:pPr>
            <w:r>
              <w:rPr>
                <w:rFonts w:ascii="Arial" w:cs="Arial" w:eastAsia="Arial" w:hAnsi="Arial"/>
                <w:sz w:val="12"/>
                <w:szCs w:val="12"/>
                <w:color w:val="0000EE"/>
              </w:rPr>
              <w:t>Conflicts of Interest and Related-Party Transactions</w:t>
            </w:r>
          </w:p>
        </w:tc>
        <w:tc>
          <w:tcPr>
            <w:tcW w:w="3100" w:type="dxa"/>
            <w:vAlign w:val="bottom"/>
            <w:gridSpan w:val="3"/>
          </w:tcPr>
          <w:p>
            <w:pPr>
              <w:spacing w:after="0"/>
              <w:rPr>
                <w:sz w:val="10"/>
                <w:szCs w:val="10"/>
                <w:color w:val="auto"/>
              </w:rPr>
            </w:pP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25</w:t>
            </w:r>
          </w:p>
        </w:tc>
      </w:tr>
      <w:tr>
        <w:trPr>
          <w:trHeight w:val="116"/>
        </w:trPr>
        <w:tc>
          <w:tcPr>
            <w:tcW w:w="60" w:type="dxa"/>
            <w:vAlign w:val="bottom"/>
            <w:tcBorders>
              <w:bottom w:val="single" w:sz="8" w:color="D8EFF9"/>
            </w:tcBorders>
            <w:shd w:val="clear" w:color="auto" w:fill="D8EFF9"/>
          </w:tcPr>
          <w:p>
            <w:pPr>
              <w:spacing w:after="0"/>
              <w:rPr>
                <w:sz w:val="10"/>
                <w:szCs w:val="10"/>
                <w:color w:val="auto"/>
              </w:rPr>
            </w:pPr>
          </w:p>
        </w:tc>
        <w:tc>
          <w:tcPr>
            <w:tcW w:w="1920" w:type="dxa"/>
            <w:vAlign w:val="bottom"/>
            <w:tcBorders>
              <w:bottom w:val="single" w:sz="8" w:color="0000EE"/>
            </w:tcBorders>
            <w:gridSpan w:val="9"/>
            <w:shd w:val="clear" w:color="auto" w:fill="D8EFF9"/>
          </w:tcPr>
          <w:p>
            <w:pPr>
              <w:spacing w:after="0" w:line="117" w:lineRule="exact"/>
              <w:rPr>
                <w:sz w:val="20"/>
                <w:szCs w:val="20"/>
                <w:color w:val="auto"/>
              </w:rPr>
            </w:pPr>
            <w:r>
              <w:rPr>
                <w:rFonts w:ascii="Arial" w:cs="Arial" w:eastAsia="Arial" w:hAnsi="Arial"/>
                <w:sz w:val="12"/>
                <w:szCs w:val="12"/>
                <w:color w:val="0000EE"/>
              </w:rPr>
              <w:t>Majority Voting in Director Elections</w:t>
            </w:r>
          </w:p>
        </w:tc>
        <w:tc>
          <w:tcPr>
            <w:tcW w:w="3960" w:type="dxa"/>
            <w:vAlign w:val="bottom"/>
            <w:tcBorders>
              <w:bottom w:val="single" w:sz="8" w:color="D8EFF9"/>
            </w:tcBorders>
            <w:gridSpan w:val="6"/>
            <w:shd w:val="clear" w:color="auto" w:fill="D8EFF9"/>
          </w:tcPr>
          <w:p>
            <w:pPr>
              <w:spacing w:after="0"/>
              <w:rPr>
                <w:sz w:val="10"/>
                <w:szCs w:val="10"/>
                <w:color w:val="auto"/>
              </w:rPr>
            </w:pPr>
          </w:p>
        </w:tc>
        <w:tc>
          <w:tcPr>
            <w:tcW w:w="1480" w:type="dxa"/>
            <w:vAlign w:val="bottom"/>
            <w:tcBorders>
              <w:bottom w:val="single" w:sz="8" w:color="D8EFF9"/>
            </w:tcBorders>
            <w:shd w:val="clear" w:color="auto" w:fill="D8EFF9"/>
          </w:tcPr>
          <w:p>
            <w:pPr>
              <w:jc w:val="right"/>
              <w:spacing w:after="0" w:line="117" w:lineRule="exact"/>
              <w:rPr>
                <w:sz w:val="20"/>
                <w:szCs w:val="20"/>
                <w:color w:val="auto"/>
              </w:rPr>
            </w:pPr>
            <w:r>
              <w:rPr>
                <w:rFonts w:ascii="Arial" w:cs="Arial" w:eastAsia="Arial" w:hAnsi="Arial"/>
                <w:sz w:val="12"/>
                <w:szCs w:val="12"/>
                <w:color w:val="auto"/>
              </w:rPr>
              <w:t>26</w:t>
            </w:r>
          </w:p>
        </w:tc>
      </w:tr>
      <w:tr>
        <w:trPr>
          <w:trHeight w:val="116"/>
        </w:trPr>
        <w:tc>
          <w:tcPr>
            <w:tcW w:w="60" w:type="dxa"/>
            <w:vAlign w:val="bottom"/>
          </w:tcPr>
          <w:p>
            <w:pPr>
              <w:spacing w:after="0"/>
              <w:rPr>
                <w:sz w:val="10"/>
                <w:szCs w:val="10"/>
                <w:color w:val="auto"/>
              </w:rPr>
            </w:pPr>
          </w:p>
        </w:tc>
        <w:tc>
          <w:tcPr>
            <w:tcW w:w="5880" w:type="dxa"/>
            <w:vAlign w:val="bottom"/>
            <w:gridSpan w:val="15"/>
          </w:tcPr>
          <w:p>
            <w:pPr>
              <w:spacing w:after="0" w:line="117" w:lineRule="exact"/>
              <w:rPr>
                <w:sz w:val="20"/>
                <w:szCs w:val="20"/>
                <w:color w:val="auto"/>
              </w:rPr>
            </w:pPr>
            <w:r>
              <w:rPr>
                <w:rFonts w:ascii="Arial" w:cs="Arial" w:eastAsia="Arial" w:hAnsi="Arial"/>
                <w:sz w:val="12"/>
                <w:szCs w:val="12"/>
                <w:color w:val="0000EE"/>
              </w:rPr>
              <w:t>Board Leadership</w:t>
            </w: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27</w:t>
            </w:r>
          </w:p>
        </w:tc>
      </w:tr>
      <w:tr>
        <w:trPr>
          <w:trHeight w:val="20"/>
        </w:trPr>
        <w:tc>
          <w:tcPr>
            <w:tcW w:w="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16"/>
        </w:trPr>
        <w:tc>
          <w:tcPr>
            <w:tcW w:w="60" w:type="dxa"/>
            <w:vAlign w:val="bottom"/>
            <w:tcBorders>
              <w:bottom w:val="single" w:sz="8" w:color="D8EFF9"/>
            </w:tcBorders>
            <w:shd w:val="clear" w:color="auto" w:fill="D8EFF9"/>
          </w:tcPr>
          <w:p>
            <w:pPr>
              <w:spacing w:after="0"/>
              <w:rPr>
                <w:sz w:val="10"/>
                <w:szCs w:val="10"/>
                <w:color w:val="auto"/>
              </w:rPr>
            </w:pPr>
          </w:p>
        </w:tc>
        <w:tc>
          <w:tcPr>
            <w:tcW w:w="1900" w:type="dxa"/>
            <w:vAlign w:val="bottom"/>
            <w:tcBorders>
              <w:bottom w:val="single" w:sz="8" w:color="0000EE"/>
            </w:tcBorders>
            <w:gridSpan w:val="8"/>
            <w:shd w:val="clear" w:color="auto" w:fill="D8EFF9"/>
          </w:tcPr>
          <w:p>
            <w:pPr>
              <w:spacing w:after="0" w:line="117" w:lineRule="exact"/>
              <w:rPr>
                <w:sz w:val="20"/>
                <w:szCs w:val="20"/>
                <w:color w:val="auto"/>
              </w:rPr>
            </w:pPr>
            <w:r>
              <w:rPr>
                <w:rFonts w:ascii="Arial" w:cs="Arial" w:eastAsia="Arial" w:hAnsi="Arial"/>
                <w:sz w:val="12"/>
                <w:szCs w:val="12"/>
                <w:color w:val="0000EE"/>
              </w:rPr>
              <w:t>The Board’s Role in Risk Oversight</w:t>
            </w:r>
          </w:p>
        </w:tc>
        <w:tc>
          <w:tcPr>
            <w:tcW w:w="3980" w:type="dxa"/>
            <w:vAlign w:val="bottom"/>
            <w:tcBorders>
              <w:bottom w:val="single" w:sz="8" w:color="D8EFF9"/>
            </w:tcBorders>
            <w:gridSpan w:val="7"/>
            <w:shd w:val="clear" w:color="auto" w:fill="D8EFF9"/>
          </w:tcPr>
          <w:p>
            <w:pPr>
              <w:spacing w:after="0"/>
              <w:rPr>
                <w:sz w:val="10"/>
                <w:szCs w:val="10"/>
                <w:color w:val="auto"/>
              </w:rPr>
            </w:pPr>
          </w:p>
        </w:tc>
        <w:tc>
          <w:tcPr>
            <w:tcW w:w="1480" w:type="dxa"/>
            <w:vAlign w:val="bottom"/>
            <w:tcBorders>
              <w:bottom w:val="single" w:sz="8" w:color="D8EFF9"/>
            </w:tcBorders>
            <w:shd w:val="clear" w:color="auto" w:fill="D8EFF9"/>
          </w:tcPr>
          <w:p>
            <w:pPr>
              <w:jc w:val="right"/>
              <w:spacing w:after="0" w:line="117" w:lineRule="exact"/>
              <w:rPr>
                <w:sz w:val="20"/>
                <w:szCs w:val="20"/>
                <w:color w:val="auto"/>
              </w:rPr>
            </w:pPr>
            <w:r>
              <w:rPr>
                <w:rFonts w:ascii="Arial" w:cs="Arial" w:eastAsia="Arial" w:hAnsi="Arial"/>
                <w:sz w:val="12"/>
                <w:szCs w:val="12"/>
                <w:color w:val="auto"/>
              </w:rPr>
              <w:t>28</w:t>
            </w:r>
          </w:p>
        </w:tc>
      </w:tr>
      <w:tr>
        <w:trPr>
          <w:trHeight w:val="116"/>
        </w:trPr>
        <w:tc>
          <w:tcPr>
            <w:tcW w:w="60" w:type="dxa"/>
            <w:vAlign w:val="bottom"/>
          </w:tcPr>
          <w:p>
            <w:pPr>
              <w:spacing w:after="0"/>
              <w:rPr>
                <w:sz w:val="10"/>
                <w:szCs w:val="10"/>
                <w:color w:val="auto"/>
              </w:rPr>
            </w:pPr>
          </w:p>
        </w:tc>
        <w:tc>
          <w:tcPr>
            <w:tcW w:w="5880" w:type="dxa"/>
            <w:vAlign w:val="bottom"/>
            <w:gridSpan w:val="15"/>
          </w:tcPr>
          <w:p>
            <w:pPr>
              <w:spacing w:after="0" w:line="117" w:lineRule="exact"/>
              <w:rPr>
                <w:sz w:val="20"/>
                <w:szCs w:val="20"/>
                <w:color w:val="auto"/>
              </w:rPr>
            </w:pPr>
            <w:r>
              <w:rPr>
                <w:rFonts w:ascii="Arial" w:cs="Arial" w:eastAsia="Arial" w:hAnsi="Arial"/>
                <w:sz w:val="12"/>
                <w:szCs w:val="12"/>
                <w:color w:val="0000EE"/>
              </w:rPr>
              <w:t>Executive Succession Planning and Leadership Development</w:t>
            </w: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30</w:t>
            </w:r>
          </w:p>
        </w:tc>
      </w:tr>
      <w:tr>
        <w:trPr>
          <w:trHeight w:val="116"/>
        </w:trPr>
        <w:tc>
          <w:tcPr>
            <w:tcW w:w="60" w:type="dxa"/>
            <w:vAlign w:val="bottom"/>
            <w:tcBorders>
              <w:bottom w:val="single" w:sz="8" w:color="D8EFF9"/>
            </w:tcBorders>
            <w:shd w:val="clear" w:color="auto" w:fill="D8EFF9"/>
          </w:tcPr>
          <w:p>
            <w:pPr>
              <w:spacing w:after="0"/>
              <w:rPr>
                <w:sz w:val="10"/>
                <w:szCs w:val="10"/>
                <w:color w:val="auto"/>
              </w:rPr>
            </w:pPr>
          </w:p>
        </w:tc>
        <w:tc>
          <w:tcPr>
            <w:tcW w:w="1080" w:type="dxa"/>
            <w:vAlign w:val="bottom"/>
            <w:tcBorders>
              <w:top w:val="single" w:sz="8" w:color="0000EE"/>
              <w:bottom w:val="single" w:sz="8" w:color="0000EE"/>
            </w:tcBorders>
            <w:gridSpan w:val="2"/>
            <w:shd w:val="clear" w:color="auto" w:fill="D8EFF9"/>
          </w:tcPr>
          <w:p>
            <w:pPr>
              <w:spacing w:after="0" w:line="117" w:lineRule="exact"/>
              <w:rPr>
                <w:sz w:val="20"/>
                <w:szCs w:val="20"/>
                <w:color w:val="auto"/>
              </w:rPr>
            </w:pPr>
            <w:r>
              <w:rPr>
                <w:rFonts w:ascii="Arial" w:cs="Arial" w:eastAsia="Arial" w:hAnsi="Arial"/>
                <w:sz w:val="12"/>
                <w:szCs w:val="12"/>
                <w:color w:val="0000EE"/>
                <w:w w:val="99"/>
              </w:rPr>
              <w:t>Director Attendance</w:t>
            </w:r>
          </w:p>
        </w:tc>
        <w:tc>
          <w:tcPr>
            <w:tcW w:w="2220" w:type="dxa"/>
            <w:vAlign w:val="bottom"/>
            <w:tcBorders>
              <w:top w:val="single" w:sz="8" w:color="0000EE"/>
              <w:bottom w:val="single" w:sz="8" w:color="D8EFF9"/>
            </w:tcBorders>
            <w:gridSpan w:val="12"/>
            <w:shd w:val="clear" w:color="auto" w:fill="D8EFF9"/>
          </w:tcPr>
          <w:p>
            <w:pPr>
              <w:spacing w:after="0"/>
              <w:rPr>
                <w:sz w:val="10"/>
                <w:szCs w:val="10"/>
                <w:color w:val="auto"/>
              </w:rPr>
            </w:pPr>
          </w:p>
        </w:tc>
        <w:tc>
          <w:tcPr>
            <w:tcW w:w="2580" w:type="dxa"/>
            <w:vAlign w:val="bottom"/>
            <w:tcBorders>
              <w:bottom w:val="single" w:sz="8" w:color="D8EFF9"/>
            </w:tcBorders>
            <w:shd w:val="clear" w:color="auto" w:fill="D8EFF9"/>
          </w:tcPr>
          <w:p>
            <w:pPr>
              <w:spacing w:after="0"/>
              <w:rPr>
                <w:sz w:val="10"/>
                <w:szCs w:val="10"/>
                <w:color w:val="auto"/>
              </w:rPr>
            </w:pPr>
          </w:p>
        </w:tc>
        <w:tc>
          <w:tcPr>
            <w:tcW w:w="1480" w:type="dxa"/>
            <w:vAlign w:val="bottom"/>
            <w:tcBorders>
              <w:bottom w:val="single" w:sz="8" w:color="D8EFF9"/>
            </w:tcBorders>
            <w:shd w:val="clear" w:color="auto" w:fill="D8EFF9"/>
          </w:tcPr>
          <w:p>
            <w:pPr>
              <w:jc w:val="right"/>
              <w:spacing w:after="0" w:line="117" w:lineRule="exact"/>
              <w:rPr>
                <w:sz w:val="20"/>
                <w:szCs w:val="20"/>
                <w:color w:val="auto"/>
              </w:rPr>
            </w:pPr>
            <w:r>
              <w:rPr>
                <w:rFonts w:ascii="Arial" w:cs="Arial" w:eastAsia="Arial" w:hAnsi="Arial"/>
                <w:sz w:val="12"/>
                <w:szCs w:val="12"/>
                <w:color w:val="auto"/>
              </w:rPr>
              <w:t>30</w:t>
            </w:r>
          </w:p>
        </w:tc>
      </w:tr>
      <w:tr>
        <w:trPr>
          <w:trHeight w:val="116"/>
        </w:trPr>
        <w:tc>
          <w:tcPr>
            <w:tcW w:w="60" w:type="dxa"/>
            <w:vAlign w:val="bottom"/>
          </w:tcPr>
          <w:p>
            <w:pPr>
              <w:spacing w:after="0"/>
              <w:rPr>
                <w:sz w:val="10"/>
                <w:szCs w:val="10"/>
                <w:color w:val="auto"/>
              </w:rPr>
            </w:pPr>
          </w:p>
        </w:tc>
        <w:tc>
          <w:tcPr>
            <w:tcW w:w="5880" w:type="dxa"/>
            <w:vAlign w:val="bottom"/>
            <w:gridSpan w:val="15"/>
          </w:tcPr>
          <w:p>
            <w:pPr>
              <w:spacing w:after="0" w:line="117" w:lineRule="exact"/>
              <w:rPr>
                <w:sz w:val="20"/>
                <w:szCs w:val="20"/>
                <w:color w:val="auto"/>
              </w:rPr>
            </w:pPr>
            <w:r>
              <w:rPr>
                <w:rFonts w:ascii="Arial" w:cs="Arial" w:eastAsia="Arial" w:hAnsi="Arial"/>
                <w:sz w:val="12"/>
                <w:szCs w:val="12"/>
                <w:color w:val="0000EE"/>
              </w:rPr>
              <w:t>Board Organization and Committees</w:t>
            </w: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31</w:t>
            </w:r>
          </w:p>
        </w:tc>
      </w:tr>
      <w:tr>
        <w:trPr>
          <w:trHeight w:val="116"/>
        </w:trPr>
        <w:tc>
          <w:tcPr>
            <w:tcW w:w="60" w:type="dxa"/>
            <w:vAlign w:val="bottom"/>
            <w:shd w:val="clear" w:color="auto" w:fill="D8EFF9"/>
          </w:tcPr>
          <w:p>
            <w:pPr>
              <w:spacing w:after="0"/>
              <w:rPr>
                <w:sz w:val="10"/>
                <w:szCs w:val="10"/>
                <w:color w:val="auto"/>
              </w:rPr>
            </w:pPr>
          </w:p>
        </w:tc>
        <w:tc>
          <w:tcPr>
            <w:tcW w:w="1960" w:type="dxa"/>
            <w:vAlign w:val="bottom"/>
            <w:tcBorders>
              <w:top w:val="single" w:sz="8" w:color="0000EE"/>
            </w:tcBorders>
            <w:gridSpan w:val="10"/>
            <w:shd w:val="clear" w:color="auto" w:fill="D8EFF9"/>
          </w:tcPr>
          <w:p>
            <w:pPr>
              <w:spacing w:after="0" w:line="117" w:lineRule="exact"/>
              <w:rPr>
                <w:sz w:val="20"/>
                <w:szCs w:val="20"/>
                <w:color w:val="auto"/>
              </w:rPr>
            </w:pPr>
            <w:r>
              <w:rPr>
                <w:rFonts w:ascii="Arial" w:cs="Arial" w:eastAsia="Arial" w:hAnsi="Arial"/>
                <w:sz w:val="12"/>
                <w:szCs w:val="12"/>
                <w:color w:val="0000EE"/>
              </w:rPr>
              <w:t>Shareholder Engagement</w:t>
            </w:r>
          </w:p>
        </w:tc>
        <w:tc>
          <w:tcPr>
            <w:tcW w:w="3920" w:type="dxa"/>
            <w:vAlign w:val="bottom"/>
            <w:gridSpan w:val="5"/>
            <w:shd w:val="clear" w:color="auto" w:fill="D8EFF9"/>
          </w:tcPr>
          <w:p>
            <w:pPr>
              <w:spacing w:after="0"/>
              <w:rPr>
                <w:sz w:val="10"/>
                <w:szCs w:val="10"/>
                <w:color w:val="auto"/>
              </w:rPr>
            </w:pP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33</w:t>
            </w:r>
          </w:p>
        </w:tc>
      </w:tr>
      <w:tr>
        <w:trPr>
          <w:trHeight w:val="20"/>
        </w:trPr>
        <w:tc>
          <w:tcPr>
            <w:tcW w:w="60" w:type="dxa"/>
            <w:vAlign w:val="bottom"/>
            <w:shd w:val="clear" w:color="auto" w:fill="D8EFF9"/>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D8EFF9"/>
            </w:tcBorders>
            <w:shd w:val="clear" w:color="auto" w:fill="0000EE"/>
          </w:tcPr>
          <w:p>
            <w:pPr>
              <w:spacing w:after="0" w:line="20" w:lineRule="exact"/>
              <w:rPr>
                <w:sz w:val="1"/>
                <w:szCs w:val="1"/>
                <w:color w:val="auto"/>
              </w:rPr>
            </w:pPr>
          </w:p>
        </w:tc>
        <w:tc>
          <w:tcPr>
            <w:tcW w:w="100" w:type="dxa"/>
            <w:vAlign w:val="bottom"/>
            <w:shd w:val="clear" w:color="auto" w:fill="D8EFF9"/>
          </w:tcPr>
          <w:p>
            <w:pPr>
              <w:spacing w:after="0" w:line="20" w:lineRule="exact"/>
              <w:rPr>
                <w:sz w:val="1"/>
                <w:szCs w:val="1"/>
                <w:color w:val="auto"/>
              </w:rPr>
            </w:pPr>
          </w:p>
        </w:tc>
        <w:tc>
          <w:tcPr>
            <w:tcW w:w="140" w:type="dxa"/>
            <w:vAlign w:val="bottom"/>
            <w:tcBorders>
              <w:left w:val="single" w:sz="8" w:color="D8EFF9"/>
            </w:tcBorders>
            <w:shd w:val="clear" w:color="auto" w:fill="D8EFF9"/>
          </w:tcPr>
          <w:p>
            <w:pPr>
              <w:spacing w:after="0" w:line="20" w:lineRule="exact"/>
              <w:rPr>
                <w:sz w:val="1"/>
                <w:szCs w:val="1"/>
                <w:color w:val="auto"/>
              </w:rPr>
            </w:pPr>
          </w:p>
        </w:tc>
        <w:tc>
          <w:tcPr>
            <w:tcW w:w="140" w:type="dxa"/>
            <w:vAlign w:val="bottom"/>
            <w:shd w:val="clear" w:color="auto" w:fill="D8EFF9"/>
          </w:tcPr>
          <w:p>
            <w:pPr>
              <w:spacing w:after="0" w:line="20" w:lineRule="exact"/>
              <w:rPr>
                <w:sz w:val="1"/>
                <w:szCs w:val="1"/>
                <w:color w:val="auto"/>
              </w:rPr>
            </w:pPr>
          </w:p>
        </w:tc>
        <w:tc>
          <w:tcPr>
            <w:tcW w:w="80" w:type="dxa"/>
            <w:vAlign w:val="bottom"/>
            <w:shd w:val="clear" w:color="auto" w:fill="D8EFF9"/>
          </w:tcPr>
          <w:p>
            <w:pPr>
              <w:spacing w:after="0" w:line="20" w:lineRule="exact"/>
              <w:rPr>
                <w:sz w:val="1"/>
                <w:szCs w:val="1"/>
                <w:color w:val="auto"/>
              </w:rPr>
            </w:pPr>
          </w:p>
        </w:tc>
        <w:tc>
          <w:tcPr>
            <w:tcW w:w="2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660" w:type="dxa"/>
            <w:vAlign w:val="bottom"/>
            <w:shd w:val="clear" w:color="auto" w:fill="D8EFF9"/>
          </w:tcPr>
          <w:p>
            <w:pPr>
              <w:spacing w:after="0" w:line="20" w:lineRule="exact"/>
              <w:rPr>
                <w:sz w:val="1"/>
                <w:szCs w:val="1"/>
                <w:color w:val="auto"/>
              </w:rPr>
            </w:pPr>
          </w:p>
        </w:tc>
        <w:tc>
          <w:tcPr>
            <w:tcW w:w="160" w:type="dxa"/>
            <w:vAlign w:val="bottom"/>
            <w:shd w:val="clear" w:color="auto" w:fill="D8EFF9"/>
          </w:tcPr>
          <w:p>
            <w:pPr>
              <w:spacing w:after="0" w:line="20" w:lineRule="exact"/>
              <w:rPr>
                <w:sz w:val="1"/>
                <w:szCs w:val="1"/>
                <w:color w:val="auto"/>
              </w:rPr>
            </w:pPr>
          </w:p>
        </w:tc>
        <w:tc>
          <w:tcPr>
            <w:tcW w:w="48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2580" w:type="dxa"/>
            <w:vAlign w:val="bottom"/>
            <w:shd w:val="clear" w:color="auto" w:fill="D8EFF9"/>
          </w:tcPr>
          <w:p>
            <w:pPr>
              <w:spacing w:after="0" w:line="20" w:lineRule="exact"/>
              <w:rPr>
                <w:sz w:val="1"/>
                <w:szCs w:val="1"/>
                <w:color w:val="auto"/>
              </w:rPr>
            </w:pPr>
          </w:p>
        </w:tc>
        <w:tc>
          <w:tcPr>
            <w:tcW w:w="1480" w:type="dxa"/>
            <w:vAlign w:val="bottom"/>
            <w:shd w:val="clear" w:color="auto" w:fill="D8EFF9"/>
          </w:tcPr>
          <w:p>
            <w:pPr>
              <w:spacing w:after="0" w:line="20" w:lineRule="exact"/>
              <w:rPr>
                <w:sz w:val="1"/>
                <w:szCs w:val="1"/>
                <w:color w:val="auto"/>
              </w:rPr>
            </w:pPr>
          </w:p>
        </w:tc>
      </w:tr>
      <w:tr>
        <w:trPr>
          <w:trHeight w:val="116"/>
        </w:trPr>
        <w:tc>
          <w:tcPr>
            <w:tcW w:w="60" w:type="dxa"/>
            <w:vAlign w:val="bottom"/>
          </w:tcPr>
          <w:p>
            <w:pPr>
              <w:spacing w:after="0"/>
              <w:rPr>
                <w:sz w:val="10"/>
                <w:szCs w:val="10"/>
                <w:color w:val="auto"/>
              </w:rPr>
            </w:pPr>
          </w:p>
        </w:tc>
        <w:tc>
          <w:tcPr>
            <w:tcW w:w="1680" w:type="dxa"/>
            <w:vAlign w:val="bottom"/>
            <w:tcBorders>
              <w:bottom w:val="single" w:sz="8" w:color="0000EE"/>
            </w:tcBorders>
            <w:gridSpan w:val="6"/>
          </w:tcPr>
          <w:p>
            <w:pPr>
              <w:spacing w:after="0" w:line="117" w:lineRule="exact"/>
              <w:rPr>
                <w:sz w:val="20"/>
                <w:szCs w:val="20"/>
                <w:color w:val="auto"/>
              </w:rPr>
            </w:pPr>
            <w:r>
              <w:rPr>
                <w:rFonts w:ascii="Arial" w:cs="Arial" w:eastAsia="Arial" w:hAnsi="Arial"/>
                <w:sz w:val="12"/>
                <w:szCs w:val="12"/>
                <w:color w:val="0000EE"/>
              </w:rPr>
              <w:t>Communications with Directors</w:t>
            </w:r>
          </w:p>
        </w:tc>
        <w:tc>
          <w:tcPr>
            <w:tcW w:w="4200" w:type="dxa"/>
            <w:vAlign w:val="bottom"/>
            <w:gridSpan w:val="9"/>
          </w:tcPr>
          <w:p>
            <w:pPr>
              <w:spacing w:after="0"/>
              <w:rPr>
                <w:sz w:val="10"/>
                <w:szCs w:val="10"/>
                <w:color w:val="auto"/>
              </w:rPr>
            </w:pPr>
          </w:p>
        </w:tc>
        <w:tc>
          <w:tcPr>
            <w:tcW w:w="1480" w:type="dxa"/>
            <w:vAlign w:val="bottom"/>
          </w:tcPr>
          <w:p>
            <w:pPr>
              <w:jc w:val="right"/>
              <w:spacing w:after="0" w:line="117" w:lineRule="exact"/>
              <w:rPr>
                <w:sz w:val="20"/>
                <w:szCs w:val="20"/>
                <w:color w:val="auto"/>
              </w:rPr>
            </w:pPr>
            <w:r>
              <w:rPr>
                <w:rFonts w:ascii="Arial" w:cs="Arial" w:eastAsia="Arial" w:hAnsi="Arial"/>
                <w:sz w:val="12"/>
                <w:szCs w:val="12"/>
                <w:color w:val="auto"/>
              </w:rPr>
              <w:t>34</w:t>
            </w:r>
          </w:p>
        </w:tc>
      </w:tr>
      <w:tr>
        <w:trPr>
          <w:trHeight w:val="116"/>
        </w:trPr>
        <w:tc>
          <w:tcPr>
            <w:tcW w:w="60" w:type="dxa"/>
            <w:vAlign w:val="bottom"/>
            <w:shd w:val="clear" w:color="auto" w:fill="D8EFF9"/>
          </w:tcPr>
          <w:p>
            <w:pPr>
              <w:spacing w:after="0"/>
              <w:rPr>
                <w:sz w:val="10"/>
                <w:szCs w:val="10"/>
                <w:color w:val="auto"/>
              </w:rPr>
            </w:pPr>
          </w:p>
        </w:tc>
        <w:tc>
          <w:tcPr>
            <w:tcW w:w="5880" w:type="dxa"/>
            <w:vAlign w:val="bottom"/>
            <w:gridSpan w:val="15"/>
            <w:shd w:val="clear" w:color="auto" w:fill="D8EFF9"/>
          </w:tcPr>
          <w:p>
            <w:pPr>
              <w:spacing w:after="0" w:line="117" w:lineRule="exact"/>
              <w:rPr>
                <w:sz w:val="20"/>
                <w:szCs w:val="20"/>
                <w:color w:val="auto"/>
              </w:rPr>
            </w:pPr>
            <w:r>
              <w:rPr>
                <w:rFonts w:ascii="Arial" w:cs="Arial" w:eastAsia="Arial" w:hAnsi="Arial"/>
                <w:sz w:val="12"/>
                <w:szCs w:val="12"/>
                <w:color w:val="0000EE"/>
              </w:rPr>
              <w:t>Website Availability of Documents</w:t>
            </w: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35</w:t>
            </w:r>
          </w:p>
        </w:tc>
      </w:tr>
      <w:tr>
        <w:trPr>
          <w:trHeight w:val="116"/>
        </w:trPr>
        <w:tc>
          <w:tcPr>
            <w:tcW w:w="60" w:type="dxa"/>
            <w:vAlign w:val="bottom"/>
            <w:tcBorders>
              <w:top w:val="single" w:sz="8" w:color="D8EFF9"/>
            </w:tcBorders>
          </w:tcPr>
          <w:p>
            <w:pPr>
              <w:spacing w:after="0"/>
              <w:rPr>
                <w:sz w:val="10"/>
                <w:szCs w:val="10"/>
                <w:color w:val="auto"/>
              </w:rPr>
            </w:pPr>
          </w:p>
        </w:tc>
        <w:tc>
          <w:tcPr>
            <w:tcW w:w="1820" w:type="dxa"/>
            <w:vAlign w:val="bottom"/>
            <w:tcBorders>
              <w:top w:val="single" w:sz="8" w:color="0000EE"/>
            </w:tcBorders>
            <w:gridSpan w:val="7"/>
          </w:tcPr>
          <w:p>
            <w:pPr>
              <w:spacing w:after="0" w:line="117" w:lineRule="exact"/>
              <w:rPr>
                <w:sz w:val="20"/>
                <w:szCs w:val="20"/>
                <w:color w:val="auto"/>
              </w:rPr>
            </w:pPr>
            <w:r>
              <w:rPr>
                <w:rFonts w:ascii="Arial" w:cs="Arial" w:eastAsia="Arial" w:hAnsi="Arial"/>
                <w:sz w:val="12"/>
                <w:szCs w:val="12"/>
                <w:color w:val="0000EE"/>
              </w:rPr>
              <w:t>Compensation of Directors</w:t>
            </w:r>
          </w:p>
        </w:tc>
        <w:tc>
          <w:tcPr>
            <w:tcW w:w="4060" w:type="dxa"/>
            <w:vAlign w:val="bottom"/>
            <w:tcBorders>
              <w:top w:val="single" w:sz="8" w:color="D8EFF9"/>
            </w:tcBorders>
            <w:gridSpan w:val="8"/>
          </w:tcPr>
          <w:p>
            <w:pPr>
              <w:spacing w:after="0"/>
              <w:rPr>
                <w:sz w:val="10"/>
                <w:szCs w:val="10"/>
                <w:color w:val="auto"/>
              </w:rPr>
            </w:pPr>
          </w:p>
        </w:tc>
        <w:tc>
          <w:tcPr>
            <w:tcW w:w="1480" w:type="dxa"/>
            <w:vAlign w:val="bottom"/>
            <w:tcBorders>
              <w:top w:val="single" w:sz="8" w:color="D8EFF9"/>
            </w:tcBorders>
          </w:tcPr>
          <w:p>
            <w:pPr>
              <w:jc w:val="right"/>
              <w:spacing w:after="0" w:line="117" w:lineRule="exact"/>
              <w:rPr>
                <w:sz w:val="20"/>
                <w:szCs w:val="20"/>
                <w:color w:val="auto"/>
              </w:rPr>
            </w:pPr>
            <w:r>
              <w:rPr>
                <w:rFonts w:ascii="Arial" w:cs="Arial" w:eastAsia="Arial" w:hAnsi="Arial"/>
                <w:sz w:val="12"/>
                <w:szCs w:val="12"/>
                <w:color w:val="auto"/>
              </w:rPr>
              <w:t>35</w:t>
            </w:r>
          </w:p>
        </w:tc>
      </w:tr>
      <w:tr>
        <w:trPr>
          <w:trHeight w:val="20"/>
        </w:trPr>
        <w:tc>
          <w:tcPr>
            <w:tcW w:w="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16"/>
        </w:trPr>
        <w:tc>
          <w:tcPr>
            <w:tcW w:w="60" w:type="dxa"/>
            <w:vAlign w:val="bottom"/>
            <w:shd w:val="clear" w:color="auto" w:fill="D8EFF9"/>
          </w:tcPr>
          <w:p>
            <w:pPr>
              <w:spacing w:after="0"/>
              <w:rPr>
                <w:sz w:val="10"/>
                <w:szCs w:val="10"/>
                <w:color w:val="auto"/>
              </w:rPr>
            </w:pPr>
          </w:p>
        </w:tc>
        <w:tc>
          <w:tcPr>
            <w:tcW w:w="5880" w:type="dxa"/>
            <w:vAlign w:val="bottom"/>
            <w:gridSpan w:val="15"/>
            <w:shd w:val="clear" w:color="auto" w:fill="D8EFF9"/>
          </w:tcPr>
          <w:p>
            <w:pPr>
              <w:spacing w:after="0" w:line="117" w:lineRule="exact"/>
              <w:rPr>
                <w:sz w:val="20"/>
                <w:szCs w:val="20"/>
                <w:color w:val="auto"/>
              </w:rPr>
            </w:pPr>
            <w:r>
              <w:rPr>
                <w:rFonts w:ascii="Arial" w:cs="Arial" w:eastAsia="Arial" w:hAnsi="Arial"/>
                <w:sz w:val="12"/>
                <w:szCs w:val="12"/>
                <w:color w:val="0000EE"/>
              </w:rPr>
              <w:t>Director Compensation Table</w:t>
            </w:r>
          </w:p>
        </w:tc>
        <w:tc>
          <w:tcPr>
            <w:tcW w:w="1480" w:type="dxa"/>
            <w:vAlign w:val="bottom"/>
            <w:shd w:val="clear" w:color="auto" w:fill="D8EFF9"/>
          </w:tcPr>
          <w:p>
            <w:pPr>
              <w:jc w:val="right"/>
              <w:spacing w:after="0" w:line="117" w:lineRule="exact"/>
              <w:rPr>
                <w:sz w:val="20"/>
                <w:szCs w:val="20"/>
                <w:color w:val="auto"/>
              </w:rPr>
            </w:pPr>
            <w:r>
              <w:rPr>
                <w:rFonts w:ascii="Arial" w:cs="Arial" w:eastAsia="Arial" w:hAnsi="Arial"/>
                <w:sz w:val="12"/>
                <w:szCs w:val="12"/>
                <w:color w:val="auto"/>
              </w:rPr>
              <w:t>37</w:t>
            </w:r>
          </w:p>
        </w:tc>
      </w:tr>
      <w:tr>
        <w:trPr>
          <w:trHeight w:val="20"/>
        </w:trPr>
        <w:tc>
          <w:tcPr>
            <w:tcW w:w="60" w:type="dxa"/>
            <w:vAlign w:val="bottom"/>
            <w:shd w:val="clear" w:color="auto" w:fill="D8EFF9"/>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D8EFF9"/>
          </w:tcPr>
          <w:p>
            <w:pPr>
              <w:spacing w:after="0" w:line="20" w:lineRule="exact"/>
              <w:rPr>
                <w:sz w:val="1"/>
                <w:szCs w:val="1"/>
                <w:color w:val="auto"/>
              </w:rPr>
            </w:pPr>
          </w:p>
        </w:tc>
        <w:tc>
          <w:tcPr>
            <w:tcW w:w="140" w:type="dxa"/>
            <w:vAlign w:val="bottom"/>
            <w:shd w:val="clear" w:color="auto" w:fill="D8EFF9"/>
          </w:tcPr>
          <w:p>
            <w:pPr>
              <w:spacing w:after="0" w:line="20" w:lineRule="exact"/>
              <w:rPr>
                <w:sz w:val="1"/>
                <w:szCs w:val="1"/>
                <w:color w:val="auto"/>
              </w:rPr>
            </w:pPr>
          </w:p>
        </w:tc>
        <w:tc>
          <w:tcPr>
            <w:tcW w:w="80" w:type="dxa"/>
            <w:vAlign w:val="bottom"/>
            <w:shd w:val="clear" w:color="auto" w:fill="D8EFF9"/>
          </w:tcPr>
          <w:p>
            <w:pPr>
              <w:spacing w:after="0" w:line="20" w:lineRule="exact"/>
              <w:rPr>
                <w:sz w:val="1"/>
                <w:szCs w:val="1"/>
                <w:color w:val="auto"/>
              </w:rPr>
            </w:pPr>
          </w:p>
        </w:tc>
        <w:tc>
          <w:tcPr>
            <w:tcW w:w="2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660" w:type="dxa"/>
            <w:vAlign w:val="bottom"/>
            <w:shd w:val="clear" w:color="auto" w:fill="D8EFF9"/>
          </w:tcPr>
          <w:p>
            <w:pPr>
              <w:spacing w:after="0" w:line="20" w:lineRule="exact"/>
              <w:rPr>
                <w:sz w:val="1"/>
                <w:szCs w:val="1"/>
                <w:color w:val="auto"/>
              </w:rPr>
            </w:pPr>
          </w:p>
        </w:tc>
        <w:tc>
          <w:tcPr>
            <w:tcW w:w="160" w:type="dxa"/>
            <w:vAlign w:val="bottom"/>
            <w:shd w:val="clear" w:color="auto" w:fill="D8EFF9"/>
          </w:tcPr>
          <w:p>
            <w:pPr>
              <w:spacing w:after="0" w:line="20" w:lineRule="exact"/>
              <w:rPr>
                <w:sz w:val="1"/>
                <w:szCs w:val="1"/>
                <w:color w:val="auto"/>
              </w:rPr>
            </w:pPr>
          </w:p>
        </w:tc>
        <w:tc>
          <w:tcPr>
            <w:tcW w:w="480" w:type="dxa"/>
            <w:vAlign w:val="bottom"/>
            <w:shd w:val="clear" w:color="auto" w:fill="D8EFF9"/>
          </w:tcPr>
          <w:p>
            <w:pPr>
              <w:spacing w:after="0" w:line="20" w:lineRule="exact"/>
              <w:rPr>
                <w:sz w:val="1"/>
                <w:szCs w:val="1"/>
                <w:color w:val="auto"/>
              </w:rPr>
            </w:pPr>
          </w:p>
        </w:tc>
        <w:tc>
          <w:tcPr>
            <w:tcW w:w="40" w:type="dxa"/>
            <w:vAlign w:val="bottom"/>
            <w:shd w:val="clear" w:color="auto" w:fill="D8EFF9"/>
          </w:tcPr>
          <w:p>
            <w:pPr>
              <w:spacing w:after="0" w:line="20" w:lineRule="exact"/>
              <w:rPr>
                <w:sz w:val="1"/>
                <w:szCs w:val="1"/>
                <w:color w:val="auto"/>
              </w:rPr>
            </w:pPr>
          </w:p>
        </w:tc>
        <w:tc>
          <w:tcPr>
            <w:tcW w:w="2580" w:type="dxa"/>
            <w:vAlign w:val="bottom"/>
            <w:shd w:val="clear" w:color="auto" w:fill="D8EFF9"/>
          </w:tcPr>
          <w:p>
            <w:pPr>
              <w:spacing w:after="0" w:line="20" w:lineRule="exact"/>
              <w:rPr>
                <w:sz w:val="1"/>
                <w:szCs w:val="1"/>
                <w:color w:val="auto"/>
              </w:rPr>
            </w:pPr>
          </w:p>
        </w:tc>
        <w:tc>
          <w:tcPr>
            <w:tcW w:w="1480" w:type="dxa"/>
            <w:vAlign w:val="bottom"/>
            <w:shd w:val="clear" w:color="auto" w:fill="D8EFF9"/>
          </w:tcPr>
          <w:p>
            <w:pPr>
              <w:spacing w:after="0" w:line="20" w:lineRule="exact"/>
              <w:rPr>
                <w:sz w:val="1"/>
                <w:szCs w:val="1"/>
                <w:color w:val="auto"/>
              </w:rPr>
            </w:pPr>
          </w:p>
        </w:tc>
      </w:tr>
    </w:tbl>
    <w:p>
      <w:pPr>
        <w:spacing w:after="0" w:line="140" w:lineRule="exact"/>
        <w:rPr>
          <w:sz w:val="20"/>
          <w:szCs w:val="20"/>
          <w:color w:val="auto"/>
        </w:rPr>
      </w:pPr>
    </w:p>
    <w:p>
      <w:pPr>
        <w:ind w:left="2220" w:hanging="230"/>
        <w:spacing w:after="0"/>
        <w:tabs>
          <w:tab w:leader="none" w:pos="2220" w:val="left"/>
        </w:tabs>
        <w:numPr>
          <w:ilvl w:val="0"/>
          <w:numId w:val="2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90" w:lineRule="exact"/>
        <w:rPr>
          <w:sz w:val="20"/>
          <w:szCs w:val="20"/>
          <w:color w:val="auto"/>
        </w:rPr>
      </w:pPr>
    </w:p>
    <w:p>
      <w:pPr>
        <w:jc w:val="both"/>
        <w:ind w:left="1940" w:right="799"/>
        <w:spacing w:after="0" w:line="244" w:lineRule="auto"/>
        <w:rPr>
          <w:sz w:val="20"/>
          <w:szCs w:val="20"/>
          <w:color w:val="auto"/>
        </w:rPr>
      </w:pPr>
      <w:r>
        <w:rPr>
          <w:rFonts w:ascii="Arial" w:cs="Arial" w:eastAsia="Arial" w:hAnsi="Arial"/>
          <w:sz w:val="12"/>
          <w:szCs w:val="12"/>
          <w:i w:val="1"/>
          <w:iCs w:val="1"/>
          <w:color w:val="auto"/>
        </w:rPr>
        <w:t xml:space="preserve">Overview. </w:t>
      </w:r>
      <w:r>
        <w:rPr>
          <w:rFonts w:ascii="Arial" w:cs="Arial" w:eastAsia="Arial" w:hAnsi="Arial"/>
          <w:sz w:val="12"/>
          <w:szCs w:val="12"/>
          <w:color w:val="auto"/>
        </w:rPr>
        <w:t>In this section, we introduce the nine nominees for election to our Board of Directors. These nominees bring relevant expertise</w:t>
      </w:r>
      <w:r>
        <w:rPr>
          <w:rFonts w:ascii="Arial" w:cs="Arial" w:eastAsia="Arial" w:hAnsi="Arial"/>
          <w:sz w:val="12"/>
          <w:szCs w:val="12"/>
          <w:i w:val="1"/>
          <w:iCs w:val="1"/>
          <w:color w:val="auto"/>
        </w:rPr>
        <w:t xml:space="preserve"> </w:t>
      </w:r>
      <w:r>
        <w:rPr>
          <w:rFonts w:ascii="Arial" w:cs="Arial" w:eastAsia="Arial" w:hAnsi="Arial"/>
          <w:sz w:val="12"/>
          <w:szCs w:val="12"/>
          <w:color w:val="auto"/>
        </w:rPr>
        <w:t>and skills and represent a diverse mix of professional experience, backgrounds and perspectives appropriate to oversee our Company’s businesses and operations. In addition, we describe our corporate governance practices and policies. Strong corporate governance is a priority for the Company and the Board of Directors, is in the best interests of our shareholders and is critical to the Company’s long-term success. We have implemented corporate governance and business conduct policies and procedures designed to help us operate effectively with accountability, integrity and transparency, some of which are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97155</wp:posOffset>
            </wp:positionV>
            <wp:extent cx="3493135" cy="1536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3135"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940" w:right="799"/>
        <w:spacing w:after="0" w:line="271" w:lineRule="auto"/>
        <w:rPr>
          <w:sz w:val="20"/>
          <w:szCs w:val="20"/>
          <w:color w:val="auto"/>
        </w:rPr>
      </w:pPr>
      <w:r>
        <w:rPr>
          <w:rFonts w:ascii="Arial" w:cs="Arial" w:eastAsia="Arial" w:hAnsi="Arial"/>
          <w:sz w:val="12"/>
          <w:szCs w:val="12"/>
          <w:i w:val="1"/>
          <w:iCs w:val="1"/>
          <w:color w:val="auto"/>
        </w:rPr>
        <w:t xml:space="preserve">Shareholder Engagement and Responses. </w:t>
      </w:r>
      <w:r>
        <w:rPr>
          <w:rFonts w:ascii="Arial" w:cs="Arial" w:eastAsia="Arial" w:hAnsi="Arial"/>
          <w:sz w:val="12"/>
          <w:szCs w:val="12"/>
          <w:color w:val="auto"/>
        </w:rPr>
        <w:t>In 2022 and into 2023, we continued our shareholder engagement outreach efforts. As a result</w:t>
      </w:r>
      <w:r>
        <w:rPr>
          <w:rFonts w:ascii="Arial" w:cs="Arial" w:eastAsia="Arial" w:hAnsi="Arial"/>
          <w:sz w:val="12"/>
          <w:szCs w:val="12"/>
          <w:i w:val="1"/>
          <w:iCs w:val="1"/>
          <w:color w:val="auto"/>
        </w:rPr>
        <w:t xml:space="preserve"> </w:t>
      </w:r>
      <w:r>
        <w:rPr>
          <w:rFonts w:ascii="Arial" w:cs="Arial" w:eastAsia="Arial" w:hAnsi="Arial"/>
          <w:sz w:val="12"/>
          <w:szCs w:val="12"/>
          <w:color w:val="auto"/>
        </w:rPr>
        <w:t>of the feedback we received from shareholders, we have enhanced the following sections of this Item 1, including:</w:t>
      </w:r>
    </w:p>
    <w:p>
      <w:pPr>
        <w:spacing w:after="0" w:line="55" w:lineRule="exact"/>
        <w:rPr>
          <w:sz w:val="20"/>
          <w:szCs w:val="20"/>
          <w:color w:val="auto"/>
        </w:rPr>
      </w:pPr>
    </w:p>
    <w:p>
      <w:pPr>
        <w:ind w:left="2220" w:right="819" w:hanging="213"/>
        <w:spacing w:after="0" w:line="250" w:lineRule="auto"/>
        <w:tabs>
          <w:tab w:leader="none" w:pos="2220" w:val="left"/>
        </w:tabs>
        <w:numPr>
          <w:ilvl w:val="0"/>
          <w:numId w:val="24"/>
        </w:numPr>
        <w:rPr>
          <w:rFonts w:ascii="Arial" w:cs="Arial" w:eastAsia="Arial" w:hAnsi="Arial"/>
          <w:sz w:val="12"/>
          <w:szCs w:val="12"/>
          <w:color w:val="009AD9"/>
        </w:rPr>
      </w:pPr>
      <w:r>
        <w:rPr>
          <w:rFonts w:ascii="Arial" w:cs="Arial" w:eastAsia="Arial" w:hAnsi="Arial"/>
          <w:sz w:val="12"/>
          <w:szCs w:val="12"/>
          <w:color w:val="auto"/>
        </w:rPr>
        <w:t>Enhancing our director biographies and adding a new individual director skills matrix to highlight how each individual director’s skills and experiences support the Board’s oversight and execution of the Company’s near- and long-term strategy;</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24"/>
        </w:numPr>
        <w:rPr>
          <w:rFonts w:ascii="Arial" w:cs="Arial" w:eastAsia="Arial" w:hAnsi="Arial"/>
          <w:sz w:val="12"/>
          <w:szCs w:val="12"/>
          <w:color w:val="009AD9"/>
        </w:rPr>
      </w:pPr>
      <w:r>
        <w:rPr>
          <w:rFonts w:ascii="Arial" w:cs="Arial" w:eastAsia="Arial" w:hAnsi="Arial"/>
          <w:sz w:val="12"/>
          <w:szCs w:val="12"/>
          <w:color w:val="auto"/>
        </w:rPr>
        <w:t>Enhancing our disclosure regarding the Company’s succession planning process;</w:t>
      </w:r>
    </w:p>
    <w:p>
      <w:pPr>
        <w:spacing w:after="0" w:line="80"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24"/>
        </w:numPr>
        <w:rPr>
          <w:rFonts w:ascii="Arial" w:cs="Arial" w:eastAsia="Arial" w:hAnsi="Arial"/>
          <w:sz w:val="12"/>
          <w:szCs w:val="12"/>
          <w:color w:val="009AD9"/>
        </w:rPr>
      </w:pPr>
      <w:r>
        <w:rPr>
          <w:rFonts w:ascii="Arial" w:cs="Arial" w:eastAsia="Arial" w:hAnsi="Arial"/>
          <w:sz w:val="12"/>
          <w:szCs w:val="12"/>
          <w:color w:val="auto"/>
        </w:rPr>
        <w:t>Enhancing our disclosure regarding diversity on the Board and at the Company as well as committing to appoint an additional gender diverse director by December 31, 2023; and</w:t>
      </w:r>
    </w:p>
    <w:p>
      <w:pPr>
        <w:spacing w:after="0" w:line="67" w:lineRule="exact"/>
        <w:rPr>
          <w:rFonts w:ascii="Arial" w:cs="Arial" w:eastAsia="Arial" w:hAnsi="Arial"/>
          <w:sz w:val="12"/>
          <w:szCs w:val="12"/>
          <w:color w:val="009AD9"/>
        </w:rPr>
      </w:pPr>
    </w:p>
    <w:p>
      <w:pPr>
        <w:jc w:val="both"/>
        <w:ind w:left="2220" w:right="819" w:hanging="213"/>
        <w:spacing w:after="0" w:line="243" w:lineRule="auto"/>
        <w:tabs>
          <w:tab w:leader="none" w:pos="2220" w:val="left"/>
        </w:tabs>
        <w:numPr>
          <w:ilvl w:val="0"/>
          <w:numId w:val="24"/>
        </w:numPr>
        <w:rPr>
          <w:rFonts w:ascii="Arial" w:cs="Arial" w:eastAsia="Arial" w:hAnsi="Arial"/>
          <w:sz w:val="12"/>
          <w:szCs w:val="12"/>
          <w:color w:val="009AD9"/>
        </w:rPr>
      </w:pPr>
      <w:r>
        <w:rPr>
          <w:rFonts w:ascii="Arial" w:cs="Arial" w:eastAsia="Arial" w:hAnsi="Arial"/>
          <w:sz w:val="12"/>
          <w:szCs w:val="12"/>
          <w:color w:val="auto"/>
        </w:rPr>
        <w:t>Enhancing our disclosure regarding the role of our Independent Chair under “Board Leadership” and enhancing our discussion of our Independent Chair Retainer as well as noting the reduction in the Independent Chair Retainer under “Reduction of Independent Chair Retainer.”</w:t>
      </w:r>
    </w:p>
    <w:p>
      <w:pPr>
        <w:spacing w:after="0" w:line="136"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For additional information regarding our shareholder engagement and our responses, see “Compensation Discussion and Analysis— Executive Summary—Shareholder Engagement and Say-on-Pay Vote.”</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Each of our directors will be elected at this year’s meeting to a one-year term expiring at the annual meeting of shareholders in 2024.</w:t>
      </w:r>
    </w:p>
    <w:p>
      <w:pPr>
        <w:spacing w:after="0" w:line="71"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If any nominee becomes unavailable for election, the Board of Directors can name a substitute nominee, and proxies will be voted for the substitute nominee pursuant to discretionary authority. Proxies cannot be voted for a greater number of persons than the number of nominees named below.</w:t>
      </w:r>
    </w:p>
    <w:p>
      <w:pPr>
        <w:spacing w:after="0" w:line="63"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Unless otherwise indicated or the context otherwise requires, when we refer to periods prior to September 1, 2002, CenterPoint Energy should be understood to mean or include the public companies that were its predecessors.</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Board Composition Highlights</w:t>
      </w:r>
    </w:p>
    <w:p>
      <w:pPr>
        <w:spacing w:after="0" w:line="85"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Our Board of Directors believes that having a diverse mix of directors with complementary qualifications, skills and expertise is essential to effectively discharging its oversight responsibility while advancing the Company’s long-term business strategy. Accordingly, the Board of Directors is focused on striking an appropriate balance between retaining directors with a deep knowledge of the Company and adding new directors with a fresh perspective, among other factors that are set forth below with respect to the nominees for election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99060</wp:posOffset>
            </wp:positionV>
            <wp:extent cx="3516630" cy="1663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1663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20" w:hanging="230"/>
        <w:spacing w:after="0"/>
        <w:tabs>
          <w:tab w:leader="none" w:pos="2220" w:val="left"/>
        </w:tabs>
        <w:numPr>
          <w:ilvl w:val="0"/>
          <w:numId w:val="25"/>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ind w:left="7660"/>
        <w:spacing w:after="0"/>
        <w:rPr>
          <w:sz w:val="20"/>
          <w:szCs w:val="20"/>
          <w:color w:val="auto"/>
        </w:rPr>
      </w:pPr>
      <w:r>
        <w:rPr>
          <w:rFonts w:ascii="Arial" w:cs="Arial" w:eastAsia="Arial" w:hAnsi="Arial"/>
          <w:sz w:val="8"/>
          <w:szCs w:val="8"/>
          <w:i w:val="1"/>
          <w:iCs w:val="1"/>
          <w:color w:val="auto"/>
        </w:rPr>
        <w:t>Item 1: Election of Directors (continued)</w:t>
      </w:r>
    </w:p>
    <w:p>
      <w:pPr>
        <w:spacing w:after="0" w:line="187"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The below chart summarizes certain information for each of our directors, including their key skills and qualifications that support oversight and execution of our near- and long-term strategy:</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809"/>
        </w:trPr>
        <w:tc>
          <w:tcPr>
            <w:tcW w:w="320" w:type="dxa"/>
            <w:vAlign w:val="bottom"/>
            <w:tcBorders>
              <w:right w:val="single" w:sz="8" w:color="009AD9"/>
            </w:tcBorders>
          </w:tcPr>
          <w:p>
            <w:pPr>
              <w:spacing w:after="0"/>
              <w:rPr>
                <w:sz w:val="24"/>
                <w:szCs w:val="24"/>
                <w:color w:val="auto"/>
              </w:rPr>
            </w:pPr>
          </w:p>
        </w:tc>
        <w:tc>
          <w:tcPr>
            <w:tcW w:w="332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8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8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300" w:type="dxa"/>
            <w:vAlign w:val="bottom"/>
            <w:shd w:val="clear" w:color="auto" w:fill="009AD9"/>
          </w:tcPr>
          <w:p>
            <w:pPr>
              <w:spacing w:after="0"/>
              <w:rPr>
                <w:sz w:val="24"/>
                <w:szCs w:val="24"/>
                <w:color w:val="auto"/>
              </w:rPr>
            </w:pPr>
          </w:p>
        </w:tc>
        <w:tc>
          <w:tcPr>
            <w:tcW w:w="260" w:type="dxa"/>
            <w:vAlign w:val="bottom"/>
            <w:shd w:val="clear" w:color="auto" w:fill="009AD9"/>
          </w:tcPr>
          <w:p>
            <w:pPr>
              <w:spacing w:after="0"/>
              <w:rPr>
                <w:sz w:val="24"/>
                <w:szCs w:val="24"/>
                <w:color w:val="auto"/>
              </w:rPr>
            </w:pPr>
          </w:p>
        </w:tc>
        <w:tc>
          <w:tcPr>
            <w:tcW w:w="880" w:type="dxa"/>
            <w:vAlign w:val="bottom"/>
            <w:tcBorders>
              <w:right w:val="single" w:sz="8" w:color="009AD9"/>
            </w:tcBorders>
            <w:shd w:val="clear" w:color="auto" w:fill="009AD9"/>
          </w:tcPr>
          <w:p>
            <w:pPr>
              <w:spacing w:after="0"/>
              <w:rPr>
                <w:sz w:val="24"/>
                <w:szCs w:val="24"/>
                <w:color w:val="auto"/>
              </w:rPr>
            </w:pPr>
          </w:p>
        </w:tc>
        <w:tc>
          <w:tcPr>
            <w:tcW w:w="280" w:type="dxa"/>
            <w:vAlign w:val="bottom"/>
          </w:tcPr>
          <w:p>
            <w:pPr>
              <w:spacing w:after="0"/>
              <w:rPr>
                <w:sz w:val="24"/>
                <w:szCs w:val="24"/>
                <w:color w:val="auto"/>
              </w:rPr>
            </w:pPr>
          </w:p>
        </w:tc>
      </w:tr>
      <w:tr>
        <w:trPr>
          <w:trHeight w:val="137"/>
        </w:trPr>
        <w:tc>
          <w:tcPr>
            <w:tcW w:w="320" w:type="dxa"/>
            <w:vAlign w:val="bottom"/>
            <w:tcBorders>
              <w:right w:val="single" w:sz="8" w:color="009AD9"/>
            </w:tcBorders>
          </w:tcPr>
          <w:p>
            <w:pPr>
              <w:spacing w:after="0"/>
              <w:rPr>
                <w:sz w:val="11"/>
                <w:szCs w:val="11"/>
                <w:color w:val="auto"/>
              </w:rPr>
            </w:pPr>
          </w:p>
        </w:tc>
        <w:tc>
          <w:tcPr>
            <w:tcW w:w="3320" w:type="dxa"/>
            <w:vAlign w:val="bottom"/>
            <w:shd w:val="clear" w:color="auto" w:fill="D8EFF9"/>
          </w:tcPr>
          <w:p>
            <w:pPr>
              <w:ind w:left="80"/>
              <w:spacing w:after="0"/>
              <w:rPr>
                <w:sz w:val="20"/>
                <w:szCs w:val="20"/>
                <w:color w:val="auto"/>
              </w:rPr>
            </w:pPr>
            <w:r>
              <w:rPr>
                <w:rFonts w:ascii="Arial" w:cs="Arial" w:eastAsia="Arial" w:hAnsi="Arial"/>
                <w:sz w:val="10"/>
                <w:szCs w:val="10"/>
                <w:b w:val="1"/>
                <w:bCs w:val="1"/>
                <w:color w:val="009AD9"/>
              </w:rPr>
              <w:t>CNP Board Tenure (in years)</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2</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28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71"/>
              </w:rPr>
              <w:t>1</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1.5</w:t>
            </w:r>
          </w:p>
        </w:tc>
        <w:tc>
          <w:tcPr>
            <w:tcW w:w="28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5</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8</w:t>
            </w:r>
          </w:p>
        </w:tc>
        <w:tc>
          <w:tcPr>
            <w:tcW w:w="3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9</w:t>
            </w:r>
          </w:p>
        </w:tc>
        <w:tc>
          <w:tcPr>
            <w:tcW w:w="26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3</w:t>
            </w:r>
          </w:p>
        </w:tc>
        <w:tc>
          <w:tcPr>
            <w:tcW w:w="8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3.94</w:t>
            </w:r>
          </w:p>
        </w:tc>
        <w:tc>
          <w:tcPr>
            <w:tcW w:w="280" w:type="dxa"/>
            <w:vAlign w:val="bottom"/>
          </w:tcPr>
          <w:p>
            <w:pPr>
              <w:spacing w:after="0"/>
              <w:rPr>
                <w:sz w:val="11"/>
                <w:szCs w:val="11"/>
                <w:color w:val="auto"/>
              </w:rPr>
            </w:pPr>
          </w:p>
        </w:tc>
      </w:tr>
      <w:tr>
        <w:trPr>
          <w:trHeight w:val="168"/>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spacing w:after="0"/>
              <w:rPr>
                <w:sz w:val="14"/>
                <w:szCs w:val="14"/>
                <w:color w:val="auto"/>
              </w:rPr>
            </w:pP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Average Tenure</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80"/>
              <w:spacing w:after="0"/>
              <w:rPr>
                <w:sz w:val="20"/>
                <w:szCs w:val="20"/>
                <w:color w:val="auto"/>
              </w:rPr>
            </w:pPr>
            <w:r>
              <w:rPr>
                <w:rFonts w:ascii="Arial" w:cs="Arial" w:eastAsia="Arial" w:hAnsi="Arial"/>
                <w:sz w:val="10"/>
                <w:szCs w:val="10"/>
                <w:b w:val="1"/>
                <w:bCs w:val="1"/>
                <w:color w:val="009AD9"/>
              </w:rPr>
              <w:t>Key Skills and Qualifications</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spacing w:after="0"/>
              <w:rPr>
                <w:sz w:val="11"/>
                <w:szCs w:val="11"/>
                <w:color w:val="auto"/>
              </w:rPr>
            </w:pPr>
          </w:p>
        </w:tc>
        <w:tc>
          <w:tcPr>
            <w:tcW w:w="880" w:type="dxa"/>
            <w:vAlign w:val="bottom"/>
            <w:tcBorders>
              <w:top w:val="single" w:sz="8" w:color="009AD9"/>
              <w:right w:val="single" w:sz="8" w:color="009AD9"/>
            </w:tcBorders>
          </w:tcPr>
          <w:p>
            <w:pPr>
              <w:spacing w:after="0"/>
              <w:rPr>
                <w:sz w:val="11"/>
                <w:szCs w:val="11"/>
                <w:color w:val="auto"/>
              </w:rPr>
            </w:pP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Senior Leadership</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9/9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Utility Industry Experience</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3/9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Operations Experience</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spacing w:after="0"/>
              <w:rPr>
                <w:sz w:val="14"/>
                <w:szCs w:val="14"/>
                <w:color w:val="auto"/>
              </w:rPr>
            </w:pP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Corporate Governance</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8/9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Government, Regulatory and Legal</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7/9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Public Company Experience</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spacing w:after="0"/>
              <w:rPr>
                <w:sz w:val="11"/>
                <w:szCs w:val="11"/>
                <w:color w:val="auto"/>
              </w:rPr>
            </w:pP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6/9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Finance and Accounting</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6/9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Risk Management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9/9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Cybersecurity/Technology</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Human Capital Management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9/9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Environmental/Sustainability</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4/9</w:t>
            </w:r>
          </w:p>
        </w:tc>
        <w:tc>
          <w:tcPr>
            <w:tcW w:w="280" w:type="dxa"/>
            <w:vAlign w:val="bottom"/>
          </w:tcPr>
          <w:p>
            <w:pPr>
              <w:spacing w:after="0"/>
              <w:rPr>
                <w:sz w:val="14"/>
                <w:szCs w:val="14"/>
                <w:color w:val="auto"/>
              </w:rPr>
            </w:pPr>
          </w:p>
        </w:tc>
      </w:tr>
      <w:tr>
        <w:trPr>
          <w:trHeight w:val="135"/>
        </w:trPr>
        <w:tc>
          <w:tcPr>
            <w:tcW w:w="320" w:type="dxa"/>
            <w:vAlign w:val="bottom"/>
            <w:tcBorders>
              <w:right w:val="single" w:sz="8" w:color="009AD9"/>
            </w:tcBorders>
          </w:tcPr>
          <w:p>
            <w:pPr>
              <w:spacing w:after="0"/>
              <w:rPr>
                <w:sz w:val="11"/>
                <w:szCs w:val="11"/>
                <w:color w:val="auto"/>
              </w:rPr>
            </w:pPr>
          </w:p>
        </w:tc>
        <w:tc>
          <w:tcPr>
            <w:tcW w:w="3320" w:type="dxa"/>
            <w:vAlign w:val="bottom"/>
            <w:tcBorders>
              <w:top w:val="single" w:sz="8" w:color="009AD9"/>
            </w:tcBorders>
          </w:tcPr>
          <w:p>
            <w:pPr>
              <w:ind w:left="180"/>
              <w:spacing w:after="0"/>
              <w:rPr>
                <w:sz w:val="20"/>
                <w:szCs w:val="20"/>
                <w:color w:val="auto"/>
              </w:rPr>
            </w:pPr>
            <w:r>
              <w:rPr>
                <w:rFonts w:ascii="Arial" w:cs="Arial" w:eastAsia="Arial" w:hAnsi="Arial"/>
                <w:sz w:val="10"/>
                <w:szCs w:val="10"/>
                <w:i w:val="1"/>
                <w:iCs w:val="1"/>
                <w:color w:val="auto"/>
              </w:rPr>
              <w:t>Strategic Planning/Transactions</w:t>
            </w:r>
          </w:p>
        </w:tc>
        <w:tc>
          <w:tcPr>
            <w:tcW w:w="300" w:type="dxa"/>
            <w:vAlign w:val="bottom"/>
            <w:tcBorders>
              <w:top w:val="single" w:sz="8" w:color="009AD9"/>
            </w:tcBorders>
          </w:tcPr>
          <w:p>
            <w:pPr>
              <w:spacing w:after="0"/>
              <w:rPr>
                <w:sz w:val="11"/>
                <w:szCs w:val="11"/>
                <w:color w:val="auto"/>
              </w:rPr>
            </w:pP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009AD9"/>
                <w:w w:val="98"/>
              </w:rPr>
              <w:t>●</w:t>
            </w:r>
          </w:p>
        </w:tc>
        <w:tc>
          <w:tcPr>
            <w:tcW w:w="260" w:type="dxa"/>
            <w:vAlign w:val="bottom"/>
            <w:tcBorders>
              <w:top w:val="single" w:sz="8" w:color="009AD9"/>
            </w:tcBorders>
          </w:tcPr>
          <w:p>
            <w:pPr>
              <w:spacing w:after="0"/>
              <w:rPr>
                <w:sz w:val="11"/>
                <w:szCs w:val="11"/>
                <w:color w:val="auto"/>
              </w:rPr>
            </w:pP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7/9</w:t>
            </w:r>
          </w:p>
        </w:tc>
        <w:tc>
          <w:tcPr>
            <w:tcW w:w="280" w:type="dxa"/>
            <w:vAlign w:val="bottom"/>
          </w:tcPr>
          <w:p>
            <w:pPr>
              <w:spacing w:after="0"/>
              <w:rPr>
                <w:sz w:val="11"/>
                <w:szCs w:val="11"/>
                <w:color w:val="auto"/>
              </w:rPr>
            </w:pPr>
          </w:p>
        </w:tc>
      </w:tr>
      <w:tr>
        <w:trPr>
          <w:trHeight w:val="27"/>
        </w:trPr>
        <w:tc>
          <w:tcPr>
            <w:tcW w:w="320" w:type="dxa"/>
            <w:vAlign w:val="bottom"/>
            <w:tcBorders>
              <w:right w:val="single" w:sz="8" w:color="009AD9"/>
            </w:tcBorders>
          </w:tcPr>
          <w:p>
            <w:pPr>
              <w:spacing w:after="0"/>
              <w:rPr>
                <w:sz w:val="2"/>
                <w:szCs w:val="2"/>
                <w:color w:val="auto"/>
              </w:rPr>
            </w:pPr>
          </w:p>
        </w:tc>
        <w:tc>
          <w:tcPr>
            <w:tcW w:w="332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8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300" w:type="dxa"/>
            <w:vAlign w:val="bottom"/>
            <w:tcBorders>
              <w:bottom w:val="single" w:sz="8" w:color="009AD9"/>
            </w:tcBorders>
          </w:tcPr>
          <w:p>
            <w:pPr>
              <w:spacing w:after="0"/>
              <w:rPr>
                <w:sz w:val="2"/>
                <w:szCs w:val="2"/>
                <w:color w:val="auto"/>
              </w:rPr>
            </w:pPr>
          </w:p>
        </w:tc>
        <w:tc>
          <w:tcPr>
            <w:tcW w:w="260" w:type="dxa"/>
            <w:vAlign w:val="bottom"/>
            <w:tcBorders>
              <w:bottom w:val="single" w:sz="8" w:color="009AD9"/>
            </w:tcBorders>
          </w:tcPr>
          <w:p>
            <w:pPr>
              <w:spacing w:after="0"/>
              <w:rPr>
                <w:sz w:val="2"/>
                <w:szCs w:val="2"/>
                <w:color w:val="auto"/>
              </w:rPr>
            </w:pPr>
          </w:p>
        </w:tc>
        <w:tc>
          <w:tcPr>
            <w:tcW w:w="880" w:type="dxa"/>
            <w:vAlign w:val="bottom"/>
            <w:tcBorders>
              <w:bottom w:val="single" w:sz="8" w:color="009AD9"/>
              <w:right w:val="single" w:sz="8" w:color="009AD9"/>
            </w:tcBorders>
          </w:tcPr>
          <w:p>
            <w:pPr>
              <w:spacing w:after="0"/>
              <w:rPr>
                <w:sz w:val="2"/>
                <w:szCs w:val="2"/>
                <w:color w:val="auto"/>
              </w:rPr>
            </w:pPr>
          </w:p>
        </w:tc>
        <w:tc>
          <w:tcPr>
            <w:tcW w:w="280" w:type="dxa"/>
            <w:vAlign w:val="bottom"/>
          </w:tcPr>
          <w:p>
            <w:pPr>
              <w:spacing w:after="0"/>
              <w:rPr>
                <w:sz w:val="2"/>
                <w:szCs w:val="2"/>
                <w:color w:val="auto"/>
              </w:rPr>
            </w:pPr>
          </w:p>
        </w:tc>
      </w:tr>
      <w:tr>
        <w:trPr>
          <w:trHeight w:val="167"/>
        </w:trPr>
        <w:tc>
          <w:tcPr>
            <w:tcW w:w="320" w:type="dxa"/>
            <w:vAlign w:val="bottom"/>
            <w:tcBorders>
              <w:right w:val="single" w:sz="8" w:color="009AD9"/>
            </w:tcBorders>
          </w:tcPr>
          <w:p>
            <w:pPr>
              <w:spacing w:after="0"/>
              <w:rPr>
                <w:sz w:val="14"/>
                <w:szCs w:val="14"/>
                <w:color w:val="auto"/>
              </w:rPr>
            </w:pPr>
          </w:p>
        </w:tc>
        <w:tc>
          <w:tcPr>
            <w:tcW w:w="332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i w:val="1"/>
                <w:iCs w:val="1"/>
                <w:color w:val="auto"/>
              </w:rPr>
              <w:t>Community Involvement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28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300" w:type="dxa"/>
            <w:vAlign w:val="bottom"/>
            <w:tcBorders>
              <w:bottom w:val="single" w:sz="8" w:color="D8EFF9"/>
            </w:tcBorders>
            <w:shd w:val="clear" w:color="auto" w:fill="D8EFF9"/>
          </w:tcPr>
          <w:p>
            <w:pPr>
              <w:spacing w:after="0"/>
              <w:rPr>
                <w:sz w:val="14"/>
                <w:szCs w:val="14"/>
                <w:color w:val="auto"/>
              </w:rPr>
            </w:pPr>
          </w:p>
        </w:tc>
        <w:tc>
          <w:tcPr>
            <w:tcW w:w="30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jc w:val="center"/>
              <w:spacing w:after="0"/>
              <w:rPr>
                <w:sz w:val="20"/>
                <w:szCs w:val="20"/>
                <w:color w:val="auto"/>
              </w:rPr>
            </w:pPr>
            <w:r>
              <w:rPr>
                <w:rFonts w:ascii="Arial" w:cs="Arial" w:eastAsia="Arial" w:hAnsi="Arial"/>
                <w:sz w:val="10"/>
                <w:szCs w:val="10"/>
                <w:color w:val="009AD9"/>
                <w:w w:val="98"/>
              </w:rPr>
              <w:t>●</w:t>
            </w:r>
          </w:p>
        </w:tc>
        <w:tc>
          <w:tcPr>
            <w:tcW w:w="880" w:type="dxa"/>
            <w:vAlign w:val="bottom"/>
            <w:tcBorders>
              <w:bottom w:val="single" w:sz="8" w:color="D8EFF9"/>
              <w:right w:val="single" w:sz="8" w:color="009AD9"/>
            </w:tcBorders>
            <w:shd w:val="clear" w:color="auto" w:fill="D8EFF9"/>
          </w:tcPr>
          <w:p>
            <w:pPr>
              <w:ind w:left="80"/>
              <w:spacing w:after="0"/>
              <w:rPr>
                <w:sz w:val="20"/>
                <w:szCs w:val="20"/>
                <w:color w:val="auto"/>
              </w:rPr>
            </w:pPr>
            <w:r>
              <w:rPr>
                <w:rFonts w:ascii="Arial" w:cs="Arial" w:eastAsia="Arial" w:hAnsi="Arial"/>
                <w:sz w:val="10"/>
                <w:szCs w:val="10"/>
                <w:b w:val="1"/>
                <w:bCs w:val="1"/>
                <w:color w:val="009AD9"/>
              </w:rPr>
              <w:t>6/9</w:t>
            </w:r>
          </w:p>
        </w:tc>
        <w:tc>
          <w:tcPr>
            <w:tcW w:w="280" w:type="dxa"/>
            <w:vAlign w:val="bottom"/>
          </w:tcPr>
          <w:p>
            <w:pPr>
              <w:spacing w:after="0"/>
              <w:rPr>
                <w:sz w:val="14"/>
                <w:szCs w:val="14"/>
                <w:color w:val="auto"/>
              </w:rPr>
            </w:pPr>
          </w:p>
        </w:tc>
      </w:tr>
      <w:tr>
        <w:trPr>
          <w:trHeight w:val="117"/>
        </w:trPr>
        <w:tc>
          <w:tcPr>
            <w:tcW w:w="320" w:type="dxa"/>
            <w:vAlign w:val="bottom"/>
            <w:tcBorders>
              <w:right w:val="single" w:sz="8" w:color="009AD9"/>
            </w:tcBorders>
          </w:tcPr>
          <w:p>
            <w:pPr>
              <w:spacing w:after="0"/>
              <w:rPr>
                <w:sz w:val="10"/>
                <w:szCs w:val="10"/>
                <w:color w:val="auto"/>
              </w:rPr>
            </w:pPr>
          </w:p>
        </w:tc>
        <w:tc>
          <w:tcPr>
            <w:tcW w:w="3320" w:type="dxa"/>
            <w:vAlign w:val="bottom"/>
            <w:tcBorders>
              <w:top w:val="single" w:sz="8" w:color="009AD9"/>
            </w:tcBorders>
          </w:tcPr>
          <w:p>
            <w:pPr>
              <w:ind w:left="80"/>
              <w:spacing w:after="0"/>
              <w:rPr>
                <w:sz w:val="20"/>
                <w:szCs w:val="20"/>
                <w:color w:val="auto"/>
              </w:rPr>
            </w:pPr>
            <w:r>
              <w:rPr>
                <w:rFonts w:ascii="Arial" w:cs="Arial" w:eastAsia="Arial" w:hAnsi="Arial"/>
                <w:sz w:val="10"/>
                <w:szCs w:val="10"/>
                <w:b w:val="1"/>
                <w:bCs w:val="1"/>
                <w:color w:val="009AD9"/>
              </w:rPr>
              <w:t>Age</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43</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58</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rPr>
              <w:t>57</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69</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52</w:t>
            </w:r>
          </w:p>
        </w:tc>
        <w:tc>
          <w:tcPr>
            <w:tcW w:w="28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rPr>
              <w:t>60</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68</w:t>
            </w:r>
          </w:p>
        </w:tc>
        <w:tc>
          <w:tcPr>
            <w:tcW w:w="30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71</w:t>
            </w:r>
          </w:p>
        </w:tc>
        <w:tc>
          <w:tcPr>
            <w:tcW w:w="260" w:type="dxa"/>
            <w:vAlign w:val="bottom"/>
            <w:tcBorders>
              <w:top w:val="single" w:sz="8" w:color="009AD9"/>
            </w:tcBorders>
          </w:tcPr>
          <w:p>
            <w:pPr>
              <w:jc w:val="center"/>
              <w:spacing w:after="0"/>
              <w:rPr>
                <w:sz w:val="20"/>
                <w:szCs w:val="20"/>
                <w:color w:val="auto"/>
              </w:rPr>
            </w:pPr>
            <w:r>
              <w:rPr>
                <w:rFonts w:ascii="Arial" w:cs="Arial" w:eastAsia="Arial" w:hAnsi="Arial"/>
                <w:sz w:val="10"/>
                <w:szCs w:val="10"/>
                <w:color w:val="auto"/>
                <w:w w:val="89"/>
              </w:rPr>
              <w:t>65</w:t>
            </w:r>
          </w:p>
        </w:tc>
        <w:tc>
          <w:tcPr>
            <w:tcW w:w="880" w:type="dxa"/>
            <w:vAlign w:val="bottom"/>
            <w:tcBorders>
              <w:top w:val="single" w:sz="8" w:color="009AD9"/>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60</w:t>
            </w:r>
          </w:p>
        </w:tc>
        <w:tc>
          <w:tcPr>
            <w:tcW w:w="280" w:type="dxa"/>
            <w:vAlign w:val="bottom"/>
          </w:tcPr>
          <w:p>
            <w:pPr>
              <w:spacing w:after="0"/>
              <w:rPr>
                <w:sz w:val="10"/>
                <w:szCs w:val="10"/>
                <w:color w:val="auto"/>
              </w:rPr>
            </w:pPr>
          </w:p>
        </w:tc>
      </w:tr>
      <w:tr>
        <w:trPr>
          <w:trHeight w:val="128"/>
        </w:trPr>
        <w:tc>
          <w:tcPr>
            <w:tcW w:w="320" w:type="dxa"/>
            <w:vAlign w:val="bottom"/>
            <w:tcBorders>
              <w:right w:val="single" w:sz="8" w:color="009AD9"/>
            </w:tcBorders>
          </w:tcPr>
          <w:p>
            <w:pPr>
              <w:spacing w:after="0"/>
              <w:rPr>
                <w:sz w:val="11"/>
                <w:szCs w:val="11"/>
                <w:color w:val="auto"/>
              </w:rPr>
            </w:pPr>
          </w:p>
        </w:tc>
        <w:tc>
          <w:tcPr>
            <w:tcW w:w="3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right w:val="single" w:sz="8" w:color="009AD9"/>
            </w:tcBorders>
          </w:tcPr>
          <w:p>
            <w:pPr>
              <w:ind w:left="80"/>
              <w:spacing w:after="0"/>
              <w:rPr>
                <w:sz w:val="20"/>
                <w:szCs w:val="20"/>
                <w:color w:val="auto"/>
              </w:rPr>
            </w:pPr>
            <w:r>
              <w:rPr>
                <w:rFonts w:ascii="Arial" w:cs="Arial" w:eastAsia="Arial" w:hAnsi="Arial"/>
                <w:sz w:val="10"/>
                <w:szCs w:val="10"/>
                <w:b w:val="1"/>
                <w:bCs w:val="1"/>
                <w:color w:val="009AD9"/>
              </w:rPr>
              <w:t>Average Age</w:t>
            </w:r>
          </w:p>
        </w:tc>
        <w:tc>
          <w:tcPr>
            <w:tcW w:w="280" w:type="dxa"/>
            <w:vAlign w:val="bottom"/>
          </w:tcPr>
          <w:p>
            <w:pPr>
              <w:spacing w:after="0"/>
              <w:rPr>
                <w:sz w:val="11"/>
                <w:szCs w:val="11"/>
                <w:color w:val="auto"/>
              </w:rPr>
            </w:pPr>
          </w:p>
        </w:tc>
      </w:tr>
      <w:tr>
        <w:trPr>
          <w:trHeight w:val="36"/>
        </w:trPr>
        <w:tc>
          <w:tcPr>
            <w:tcW w:w="320" w:type="dxa"/>
            <w:vAlign w:val="bottom"/>
            <w:tcBorders>
              <w:right w:val="single" w:sz="8" w:color="009AD9"/>
            </w:tcBorders>
          </w:tcPr>
          <w:p>
            <w:pPr>
              <w:spacing w:after="0"/>
              <w:rPr>
                <w:sz w:val="3"/>
                <w:szCs w:val="3"/>
                <w:color w:val="auto"/>
              </w:rPr>
            </w:pPr>
          </w:p>
        </w:tc>
        <w:tc>
          <w:tcPr>
            <w:tcW w:w="332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28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28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300" w:type="dxa"/>
            <w:vAlign w:val="bottom"/>
            <w:tcBorders>
              <w:bottom w:val="single" w:sz="8" w:color="009AD9"/>
            </w:tcBorders>
          </w:tcPr>
          <w:p>
            <w:pPr>
              <w:spacing w:after="0"/>
              <w:rPr>
                <w:sz w:val="3"/>
                <w:szCs w:val="3"/>
                <w:color w:val="auto"/>
              </w:rPr>
            </w:pPr>
          </w:p>
        </w:tc>
        <w:tc>
          <w:tcPr>
            <w:tcW w:w="1140" w:type="dxa"/>
            <w:vAlign w:val="bottom"/>
            <w:tcBorders>
              <w:bottom w:val="single" w:sz="8" w:color="009AD9"/>
              <w:right w:val="single" w:sz="8" w:color="009AD9"/>
            </w:tcBorders>
            <w:gridSpan w:val="2"/>
          </w:tcPr>
          <w:p>
            <w:pPr>
              <w:spacing w:after="0"/>
              <w:rPr>
                <w:sz w:val="3"/>
                <w:szCs w:val="3"/>
                <w:color w:val="auto"/>
              </w:rPr>
            </w:pPr>
          </w:p>
        </w:tc>
        <w:tc>
          <w:tcPr>
            <w:tcW w:w="280" w:type="dxa"/>
            <w:vAlign w:val="bottom"/>
          </w:tcPr>
          <w:p>
            <w:pPr>
              <w:spacing w:after="0"/>
              <w:rPr>
                <w:sz w:val="3"/>
                <w:szCs w:val="3"/>
                <w:color w:val="auto"/>
              </w:rPr>
            </w:pPr>
          </w:p>
        </w:tc>
      </w:tr>
      <w:tr>
        <w:trPr>
          <w:trHeight w:val="171"/>
        </w:trPr>
        <w:tc>
          <w:tcPr>
            <w:tcW w:w="320" w:type="dxa"/>
            <w:vAlign w:val="bottom"/>
            <w:tcBorders>
              <w:bottom w:val="single" w:sz="8" w:color="009AD9"/>
            </w:tcBorders>
          </w:tcPr>
          <w:p>
            <w:pPr>
              <w:spacing w:after="0"/>
              <w:rPr>
                <w:sz w:val="14"/>
                <w:szCs w:val="14"/>
                <w:color w:val="auto"/>
              </w:rPr>
            </w:pPr>
          </w:p>
        </w:tc>
        <w:tc>
          <w:tcPr>
            <w:tcW w:w="332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28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28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300" w:type="dxa"/>
            <w:vAlign w:val="bottom"/>
            <w:tcBorders>
              <w:bottom w:val="single" w:sz="8" w:color="009AD9"/>
            </w:tcBorders>
          </w:tcPr>
          <w:p>
            <w:pPr>
              <w:spacing w:after="0"/>
              <w:rPr>
                <w:sz w:val="14"/>
                <w:szCs w:val="14"/>
                <w:color w:val="auto"/>
              </w:rPr>
            </w:pPr>
          </w:p>
        </w:tc>
        <w:tc>
          <w:tcPr>
            <w:tcW w:w="1140" w:type="dxa"/>
            <w:vAlign w:val="bottom"/>
            <w:tcBorders>
              <w:bottom w:val="single" w:sz="8" w:color="009AD9"/>
            </w:tcBorders>
            <w:gridSpan w:val="2"/>
          </w:tcPr>
          <w:p>
            <w:pPr>
              <w:spacing w:after="0"/>
              <w:rPr>
                <w:sz w:val="14"/>
                <w:szCs w:val="14"/>
                <w:color w:val="auto"/>
              </w:rPr>
            </w:pPr>
          </w:p>
        </w:tc>
        <w:tc>
          <w:tcPr>
            <w:tcW w:w="280" w:type="dxa"/>
            <w:vAlign w:val="bottom"/>
            <w:tcBorders>
              <w:bottom w:val="single" w:sz="8" w:color="009AD9"/>
            </w:tcBorders>
          </w:tcPr>
          <w:p>
            <w:pPr>
              <w:spacing w:after="0"/>
              <w:rPr>
                <w:sz w:val="14"/>
                <w:szCs w:val="14"/>
                <w:color w:val="auto"/>
              </w:rPr>
            </w:pPr>
          </w:p>
        </w:tc>
      </w:tr>
      <w:tr>
        <w:trPr>
          <w:trHeight w:val="250"/>
        </w:trPr>
        <w:tc>
          <w:tcPr>
            <w:tcW w:w="3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009AD9"/>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-2670810</wp:posOffset>
            </wp:positionV>
            <wp:extent cx="63500" cy="288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0" cy="28892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-2647950</wp:posOffset>
            </wp:positionV>
            <wp:extent cx="63500" cy="26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-2740025</wp:posOffset>
            </wp:positionV>
            <wp:extent cx="63500" cy="358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0" cy="35814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-2595880</wp:posOffset>
            </wp:positionV>
            <wp:extent cx="63500" cy="2133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500" cy="21336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-2647950</wp:posOffset>
            </wp:positionV>
            <wp:extent cx="63500"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4568190</wp:posOffset>
            </wp:positionH>
            <wp:positionV relativeFrom="paragraph">
              <wp:posOffset>-2647950</wp:posOffset>
            </wp:positionV>
            <wp:extent cx="63500"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500" cy="26543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-2676525</wp:posOffset>
            </wp:positionV>
            <wp:extent cx="63500" cy="294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00" cy="29464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-2613025</wp:posOffset>
            </wp:positionV>
            <wp:extent cx="63500" cy="231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500" cy="231140"/>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-2711450</wp:posOffset>
            </wp:positionV>
            <wp:extent cx="63500" cy="3232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500" cy="3232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00"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Listed below are the biographies of each director nominee. The biographies include information regarding each individual’s service as a director of the Company, business experience, director positions at public companies held currently or at any time during the last five years, and the experiences, qualifications, attributes or skills that caused the Governance, Environmental and Sustainability Committee and the Board to determine that the person was supportive to the oversight and execution of the Company’s near- and long-term strategy and therefore should serve as a director for the Company.</w:t>
      </w:r>
    </w:p>
    <w:p>
      <w:pPr>
        <w:sectPr>
          <w:pgSz w:w="11900" w:h="16838" w:orient="portrait"/>
          <w:cols w:equalWidth="0" w:num="1">
            <w:col w:w="10159"/>
          </w:cols>
          <w:pgMar w:left="300" w:top="373" w:right="1440" w:bottom="1440" w:gutter="0" w:footer="0" w:header="0"/>
        </w:sectPr>
      </w:pPr>
    </w:p>
    <w:p>
      <w:pPr>
        <w:spacing w:after="0" w:line="138"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 nine nominees for election at the annual meeting are:</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Government and Regulatory</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Legal Expertise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Cybersecurity/Technology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15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 Houston Office Managing Partner (Jan. 2023 – Present) at Cantu Harden Montoya LLP, a</w:t>
      </w:r>
      <w:r>
        <w:rPr>
          <w:rFonts w:ascii="Arial" w:cs="Arial" w:eastAsia="Arial" w:hAnsi="Arial"/>
          <w:sz w:val="12"/>
          <w:szCs w:val="12"/>
          <w:color w:val="009AD9"/>
        </w:rPr>
        <w:t xml:space="preserve"> </w:t>
      </w:r>
      <w:r>
        <w:rPr>
          <w:rFonts w:ascii="Arial" w:cs="Arial" w:eastAsia="Arial" w:hAnsi="Arial"/>
          <w:sz w:val="12"/>
          <w:szCs w:val="12"/>
          <w:color w:val="000000"/>
        </w:rPr>
        <w:t>public law and public finance firm</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 Founder and Sole Shareholder (Aug. 2019 – Dec. 2022) of The Law Office of Wendy Montoya</w:t>
      </w:r>
      <w:r>
        <w:rPr>
          <w:rFonts w:ascii="Arial" w:cs="Arial" w:eastAsia="Arial" w:hAnsi="Arial"/>
          <w:sz w:val="12"/>
          <w:szCs w:val="12"/>
          <w:color w:val="009AD9"/>
        </w:rPr>
        <w:t xml:space="preserve"> </w:t>
      </w:r>
      <w:r>
        <w:rPr>
          <w:rFonts w:ascii="Arial" w:cs="Arial" w:eastAsia="Arial" w:hAnsi="Arial"/>
          <w:sz w:val="12"/>
          <w:szCs w:val="12"/>
          <w:color w:val="000000"/>
        </w:rPr>
        <w:t>Cloonan, PLLC, a public law and public finance firm based in Houston, Texas</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 Senior Program Officer in Education, Assistant General Counsel and Director of Legal (Feb.</w:t>
      </w:r>
      <w:r>
        <w:rPr>
          <w:rFonts w:ascii="Arial" w:cs="Arial" w:eastAsia="Arial" w:hAnsi="Arial"/>
          <w:sz w:val="12"/>
          <w:szCs w:val="12"/>
          <w:color w:val="009AD9"/>
        </w:rPr>
        <w:t xml:space="preserve"> </w:t>
      </w:r>
      <w:r>
        <w:rPr>
          <w:rFonts w:ascii="Arial" w:cs="Arial" w:eastAsia="Arial" w:hAnsi="Arial"/>
          <w:sz w:val="12"/>
          <w:szCs w:val="12"/>
          <w:color w:val="000000"/>
        </w:rPr>
        <w:t>2015 – July 2019) at the Houston Endowment, Inc., a private foundation that partners with other organizations in the non-profit, public and private sectors to improve quality of life for the residents of greater Houston</w:t>
      </w:r>
    </w:p>
    <w:p>
      <w:pPr>
        <w:spacing w:after="0" w:line="1" w:lineRule="exact"/>
        <w:rPr>
          <w:sz w:val="20"/>
          <w:szCs w:val="20"/>
          <w:color w:val="auto"/>
        </w:rPr>
      </w:pPr>
    </w:p>
    <w:p>
      <w:pPr>
        <w:jc w:val="both"/>
        <w:ind w:left="2180"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 Attorney at Hunton Andrews Kurth LLP (formerly Andrews Kurth LLP) (2013 – 2015), Schwartz,</w:t>
      </w:r>
      <w:r>
        <w:rPr>
          <w:rFonts w:ascii="Arial" w:cs="Arial" w:eastAsia="Arial" w:hAnsi="Arial"/>
          <w:sz w:val="12"/>
          <w:szCs w:val="12"/>
          <w:color w:val="009AD9"/>
        </w:rPr>
        <w:t xml:space="preserve"> </w:t>
      </w:r>
      <w:r>
        <w:rPr>
          <w:rFonts w:ascii="Arial" w:cs="Arial" w:eastAsia="Arial" w:hAnsi="Arial"/>
          <w:sz w:val="12"/>
          <w:szCs w:val="12"/>
          <w:color w:val="000000"/>
        </w:rPr>
        <w:t>Page &amp; Harding, L.L.P. (2011 – 2013) and Vinson &amp; Elkins L.L.P. (2006 – 2011)</w:t>
      </w:r>
    </w:p>
    <w:p>
      <w:pPr>
        <w:spacing w:after="0" w:line="13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 Commissioner (2019 – Present), Port of Houston Authority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Young Center (2020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 Board of the Harris County Hospital District Foundation (2021 – Present)</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 Executive Board Member, ALMAAHH: Advocate of a Latino Museum of Cultural/Visual Arts</w:t>
      </w:r>
      <w:r>
        <w:rPr>
          <w:rFonts w:ascii="Arial" w:cs="Arial" w:eastAsia="Arial" w:hAnsi="Arial"/>
          <w:sz w:val="12"/>
          <w:szCs w:val="12"/>
          <w:color w:val="009AD9"/>
        </w:rPr>
        <w:t xml:space="preserve"> </w:t>
      </w:r>
      <w:r>
        <w:rPr>
          <w:rFonts w:ascii="Arial" w:cs="Arial" w:eastAsia="Arial" w:hAnsi="Arial"/>
          <w:sz w:val="12"/>
          <w:szCs w:val="12"/>
          <w:color w:val="000000"/>
        </w:rPr>
        <w:t>and Archive Complex Houston/Harris County (2021 – Present)</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 Houston Downtown Management District (2019 – 2022)</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 B.A., Yale University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 M.P.P., John F. Kennedy School of Government at Harvard University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 J.D. with Honors, The University of Texas School of Law</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 Certificate: Systemic Cyber Risk Governance for U.S. Public Company Corporate Directors,</w:t>
      </w:r>
      <w:r>
        <w:rPr>
          <w:rFonts w:ascii="Arial" w:cs="Arial" w:eastAsia="Arial" w:hAnsi="Arial"/>
          <w:sz w:val="12"/>
          <w:szCs w:val="12"/>
          <w:color w:val="009AD9"/>
        </w:rPr>
        <w:t xml:space="preserve"> </w:t>
      </w:r>
      <w:r>
        <w:rPr>
          <w:rFonts w:ascii="Arial" w:cs="Arial" w:eastAsia="Arial" w:hAnsi="Arial"/>
          <w:sz w:val="12"/>
          <w:szCs w:val="12"/>
          <w:color w:val="000000"/>
        </w:rPr>
        <w:t>Digital Directors Network</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 Executive Education Certificate: Making Corporate Boards More Effective, Harvard Business</w:t>
      </w:r>
      <w:r>
        <w:rPr>
          <w:rFonts w:ascii="Arial" w:cs="Arial" w:eastAsia="Arial" w:hAnsi="Arial"/>
          <w:sz w:val="12"/>
          <w:szCs w:val="12"/>
          <w:color w:val="009AD9"/>
        </w:rPr>
        <w:t xml:space="preserve"> </w:t>
      </w:r>
      <w:r>
        <w:rPr>
          <w:rFonts w:ascii="Arial" w:cs="Arial" w:eastAsia="Arial" w:hAnsi="Arial"/>
          <w:sz w:val="12"/>
          <w:szCs w:val="12"/>
          <w:color w:val="000000"/>
        </w:rPr>
        <w:t>School</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 Board of Directors Financial Oversight, National Association of Corporate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009AD9"/>
        </w:rPr>
        <w:t>Wendy Montoya Cloonan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-1087120</wp:posOffset>
            </wp:positionV>
            <wp:extent cx="692785" cy="9702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b w:val="1"/>
          <w:bCs w:val="1"/>
          <w:color w:val="auto"/>
        </w:rPr>
        <w:t>Houston Office Managing</w:t>
      </w:r>
    </w:p>
    <w:p>
      <w:pPr>
        <w:spacing w:after="0" w:line="231" w:lineRule="auto"/>
        <w:rPr>
          <w:sz w:val="20"/>
          <w:szCs w:val="20"/>
          <w:color w:val="auto"/>
        </w:rPr>
      </w:pPr>
      <w:r>
        <w:rPr>
          <w:rFonts w:ascii="Arial" w:cs="Arial" w:eastAsia="Arial" w:hAnsi="Arial"/>
          <w:sz w:val="9"/>
          <w:szCs w:val="9"/>
          <w:b w:val="1"/>
          <w:bCs w:val="1"/>
          <w:color w:val="auto"/>
        </w:rPr>
        <w:t>Partner at Cantu Harden</w:t>
      </w:r>
    </w:p>
    <w:p>
      <w:pPr>
        <w:spacing w:after="0"/>
        <w:rPr>
          <w:sz w:val="20"/>
          <w:szCs w:val="20"/>
          <w:color w:val="auto"/>
        </w:rPr>
      </w:pPr>
      <w:r>
        <w:rPr>
          <w:rFonts w:ascii="Arial" w:cs="Arial" w:eastAsia="Arial" w:hAnsi="Arial"/>
          <w:sz w:val="9"/>
          <w:szCs w:val="9"/>
          <w:b w:val="1"/>
          <w:bCs w:val="1"/>
          <w:color w:val="auto"/>
        </w:rPr>
        <w:t>Montoya LLP</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43</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Independent Director Since 2021</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Compensation</w:t>
      </w:r>
    </w:p>
    <w:p>
      <w:pPr>
        <w:ind w:left="180" w:right="1079" w:hanging="135"/>
        <w:spacing w:after="0" w:line="243" w:lineRule="auto"/>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Governance, Environmental and</w:t>
      </w:r>
      <w:r>
        <w:rPr>
          <w:rFonts w:ascii="Arial" w:cs="Arial" w:eastAsia="Arial" w:hAnsi="Arial"/>
          <w:sz w:val="9"/>
          <w:szCs w:val="9"/>
          <w:color w:val="009AD9"/>
        </w:rPr>
        <w:t xml:space="preserve"> </w:t>
      </w:r>
      <w:r>
        <w:rPr>
          <w:rFonts w:ascii="Arial" w:cs="Arial" w:eastAsia="Arial" w:hAnsi="Arial"/>
          <w:sz w:val="9"/>
          <w:szCs w:val="9"/>
          <w:color w:val="000000"/>
        </w:rPr>
        <w:t>Sustainability</w:t>
      </w:r>
    </w:p>
    <w:p>
      <w:pPr>
        <w:spacing w:after="0" w:line="2665" w:lineRule="exact"/>
        <w:rPr>
          <w:sz w:val="20"/>
          <w:szCs w:val="20"/>
          <w:color w:val="auto"/>
        </w:rPr>
      </w:pPr>
    </w:p>
    <w:p>
      <w:pPr>
        <w:sectPr>
          <w:pgSz w:w="11900" w:h="16838" w:orient="portrait"/>
          <w:cols w:equalWidth="0" w:num="2">
            <w:col w:w="7260" w:space="320"/>
            <w:col w:w="2579"/>
          </w:cols>
          <w:pgMar w:left="300" w:top="373" w:right="1440" w:bottom="1440" w:gutter="0" w:footer="0" w:header="0"/>
          <w:type w:val="continuous"/>
        </w:sectPr>
      </w:pPr>
    </w:p>
    <w:p>
      <w:pPr>
        <w:spacing w:after="0" w:line="207" w:lineRule="exact"/>
        <w:rPr>
          <w:sz w:val="20"/>
          <w:szCs w:val="20"/>
          <w:color w:val="auto"/>
        </w:rPr>
      </w:pPr>
    </w:p>
    <w:p>
      <w:pPr>
        <w:ind w:left="2220" w:hanging="230"/>
        <w:spacing w:after="0"/>
        <w:tabs>
          <w:tab w:leader="none" w:pos="2220" w:val="left"/>
        </w:tabs>
        <w:numPr>
          <w:ilvl w:val="0"/>
          <w:numId w:val="26"/>
        </w:numPr>
        <w:rPr>
          <w:rFonts w:ascii="Arial" w:cs="Arial" w:eastAsia="Arial" w:hAnsi="Arial"/>
          <w:sz w:val="14"/>
          <w:szCs w:val="14"/>
          <w:b w:val="1"/>
          <w:bCs w:val="1"/>
          <w:color w:val="009AD9"/>
        </w:rPr>
      </w:pPr>
      <w:r>
        <w:rPr>
          <w:rFonts w:ascii="Arial" w:cs="Arial" w:eastAsia="Arial" w:hAnsi="Arial"/>
          <w:sz w:val="12"/>
          <w:szCs w:val="12"/>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-100965</wp:posOffset>
            </wp:positionV>
            <wp:extent cx="4711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154305</wp:posOffset>
            </wp:positionV>
            <wp:extent cx="1039495" cy="149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-256540</wp:posOffset>
            </wp:positionV>
            <wp:extent cx="36722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ind w:left="2000"/>
        <w:spacing w:after="0" w:line="130"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Government and Regulatory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Cybersecurity/Technology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Operations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 Managing Partner (2012 – Present) of MCM Houston Properties, LLC, a real estate fund that</w:t>
      </w:r>
      <w:r>
        <w:rPr>
          <w:rFonts w:ascii="Arial" w:cs="Arial" w:eastAsia="Arial" w:hAnsi="Arial"/>
          <w:sz w:val="12"/>
          <w:szCs w:val="12"/>
          <w:color w:val="009AD9"/>
        </w:rPr>
        <w:t xml:space="preserve"> </w:t>
      </w:r>
      <w:r>
        <w:rPr>
          <w:rFonts w:ascii="Arial" w:cs="Arial" w:eastAsia="Arial" w:hAnsi="Arial"/>
          <w:sz w:val="12"/>
          <w:szCs w:val="12"/>
          <w:color w:val="000000"/>
        </w:rPr>
        <w:t>invests in single family residential properties in Houston, Texas</w:t>
      </w:r>
    </w:p>
    <w:p>
      <w:pPr>
        <w:jc w:val="both"/>
        <w:ind w:left="2180" w:hanging="181"/>
        <w:spacing w:after="0" w:line="241"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 Served in various positions, including currently as Chief Executive Officer, at The BTS Team</w:t>
      </w:r>
      <w:r>
        <w:rPr>
          <w:rFonts w:ascii="Arial" w:cs="Arial" w:eastAsia="Arial" w:hAnsi="Arial"/>
          <w:sz w:val="12"/>
          <w:szCs w:val="12"/>
          <w:color w:val="009AD9"/>
        </w:rPr>
        <w:t xml:space="preserve"> </w:t>
      </w:r>
      <w:r>
        <w:rPr>
          <w:rFonts w:ascii="Arial" w:cs="Arial" w:eastAsia="Arial" w:hAnsi="Arial"/>
          <w:sz w:val="12"/>
          <w:szCs w:val="12"/>
          <w:color w:val="000000"/>
        </w:rPr>
        <w:t>(1997 – Present), that started as an information technology and staffing firm providing solutions and services across various regions and evolved into a company that also invests financial resources in various industries</w:t>
      </w:r>
    </w:p>
    <w:p>
      <w:pPr>
        <w:spacing w:after="0" w:line="141"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Public Company</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 Halliburton Company (2022 – Present)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Other</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 Texas Children’s Hospital (2022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 UH Energy Advisory Board (2021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 Board of Visitors of University of Houston (2016 – 2018)</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 Yellowstone Academy (2004 – 2017)</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 C-STEM Robotics (2002 – 2017)</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 BBA, University of Houston</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 EMBA, Pepperdine University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 Finance and Corporate Governance, Wharton School of Business</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 Director Education Program Certificate: NACD Corporate Director Institute</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 Corporate Mergers and Acquisitions Course, UCLA</w:t>
      </w:r>
    </w:p>
    <w:p>
      <w:pPr>
        <w:ind w:left="2000"/>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 Certificate in Real Estate, Ross Minority Program, USC</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 Socrates Program, The Aspen Institute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170815</wp:posOffset>
            </wp:positionV>
            <wp:extent cx="692785" cy="9702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009AD9"/>
        </w:rPr>
        <w:t>Earl M. Cummings</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Managing Partner of MCM</w:t>
      </w:r>
    </w:p>
    <w:p>
      <w:pPr>
        <w:ind w:left="60"/>
        <w:spacing w:after="0" w:line="231" w:lineRule="auto"/>
        <w:rPr>
          <w:sz w:val="20"/>
          <w:szCs w:val="20"/>
          <w:color w:val="auto"/>
        </w:rPr>
      </w:pPr>
      <w:r>
        <w:rPr>
          <w:rFonts w:ascii="Arial" w:cs="Arial" w:eastAsia="Arial" w:hAnsi="Arial"/>
          <w:sz w:val="9"/>
          <w:szCs w:val="9"/>
          <w:b w:val="1"/>
          <w:bCs w:val="1"/>
          <w:color w:val="auto"/>
        </w:rPr>
        <w:t>Houston Properties, LLC and</w:t>
      </w:r>
    </w:p>
    <w:p>
      <w:pPr>
        <w:ind w:left="60"/>
        <w:spacing w:after="0" w:line="232" w:lineRule="auto"/>
        <w:rPr>
          <w:sz w:val="20"/>
          <w:szCs w:val="20"/>
          <w:color w:val="auto"/>
        </w:rPr>
      </w:pPr>
      <w:r>
        <w:rPr>
          <w:rFonts w:ascii="Arial" w:cs="Arial" w:eastAsia="Arial" w:hAnsi="Arial"/>
          <w:sz w:val="9"/>
          <w:szCs w:val="9"/>
          <w:b w:val="1"/>
          <w:bCs w:val="1"/>
          <w:color w:val="auto"/>
        </w:rPr>
        <w:t>Chief Executive Officer of The</w:t>
      </w:r>
    </w:p>
    <w:p>
      <w:pPr>
        <w:ind w:left="60"/>
        <w:spacing w:after="0"/>
        <w:rPr>
          <w:sz w:val="20"/>
          <w:szCs w:val="20"/>
          <w:color w:val="auto"/>
        </w:rPr>
      </w:pPr>
      <w:r>
        <w:rPr>
          <w:rFonts w:ascii="Arial" w:cs="Arial" w:eastAsia="Arial" w:hAnsi="Arial"/>
          <w:sz w:val="9"/>
          <w:szCs w:val="9"/>
          <w:b w:val="1"/>
          <w:bCs w:val="1"/>
          <w:color w:val="auto"/>
        </w:rPr>
        <w:t>BTS Team</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58</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Independent Director Since 2020</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Committees:</w:t>
      </w:r>
    </w:p>
    <w:p>
      <w:pPr>
        <w:spacing w:after="0" w:line="52" w:lineRule="exact"/>
        <w:rPr>
          <w:sz w:val="20"/>
          <w:szCs w:val="20"/>
          <w:color w:val="auto"/>
        </w:rPr>
      </w:pPr>
    </w:p>
    <w:p>
      <w:pPr>
        <w:ind w:left="240" w:right="939" w:hanging="135"/>
        <w:spacing w:after="0" w:line="231" w:lineRule="auto"/>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Governance, Environmental and</w:t>
      </w:r>
      <w:r>
        <w:rPr>
          <w:rFonts w:ascii="Arial" w:cs="Arial" w:eastAsia="Arial" w:hAnsi="Arial"/>
          <w:sz w:val="9"/>
          <w:szCs w:val="9"/>
          <w:color w:val="009AD9"/>
        </w:rPr>
        <w:t xml:space="preserve"> </w:t>
      </w:r>
      <w:r>
        <w:rPr>
          <w:rFonts w:ascii="Arial" w:cs="Arial" w:eastAsia="Arial" w:hAnsi="Arial"/>
          <w:sz w:val="9"/>
          <w:szCs w:val="9"/>
          <w:color w:val="000000"/>
        </w:rPr>
        <w:t>Sustainability (Chair)</w:t>
      </w:r>
    </w:p>
    <w:p>
      <w:pPr>
        <w:ind w:left="120"/>
        <w:spacing w:after="0" w:line="233" w:lineRule="auto"/>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Audit</w:t>
      </w:r>
    </w:p>
    <w:p>
      <w:pPr>
        <w:ind w:left="1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Compensation</w:t>
      </w:r>
    </w:p>
    <w:p>
      <w:pPr>
        <w:spacing w:after="0" w:line="2625" w:lineRule="exact"/>
        <w:rPr>
          <w:sz w:val="20"/>
          <w:szCs w:val="20"/>
          <w:color w:val="auto"/>
        </w:rPr>
      </w:pPr>
    </w:p>
    <w:p>
      <w:pPr>
        <w:sectPr>
          <w:pgSz w:w="11900" w:h="16838" w:orient="portrait"/>
          <w:cols w:equalWidth="0" w:num="2">
            <w:col w:w="7420" w:space="240"/>
            <w:col w:w="2499"/>
          </w:cols>
          <w:pgMar w:left="300" w:top="373" w:right="1440" w:bottom="1440" w:gutter="0" w:footer="0" w:header="0"/>
          <w:type w:val="continuous"/>
        </w:sectPr>
      </w:pPr>
    </w:p>
    <w:p>
      <w:pPr>
        <w:spacing w:after="0" w:line="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jc w:val="right"/>
        <w:ind w:right="6519"/>
        <w:spacing w:after="0"/>
        <w:rPr>
          <w:sz w:val="20"/>
          <w:szCs w:val="20"/>
          <w:color w:val="auto"/>
        </w:rPr>
      </w:pPr>
      <w:r>
        <w:rPr>
          <w:rFonts w:ascii="Arial" w:cs="Arial" w:eastAsia="Arial" w:hAnsi="Arial"/>
          <w:sz w:val="10"/>
          <w:szCs w:val="10"/>
          <w:i w:val="1"/>
          <w:iCs w:val="1"/>
          <w:color w:val="auto"/>
        </w:rPr>
        <w:t>Item 1: Election of Directors (continued)</w:t>
      </w:r>
    </w:p>
    <w:p>
      <w:pPr>
        <w:sectPr>
          <w:pgSz w:w="11900" w:h="16838" w:orient="portrait"/>
          <w:cols w:equalWidth="0" w:num="1">
            <w:col w:w="10159"/>
          </w:cols>
          <w:pgMar w:left="300" w:top="373" w:right="1440" w:bottom="1440" w:gutter="0" w:footer="0" w:header="0"/>
        </w:sectPr>
      </w:pP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Utility Industry Experience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Company Governance</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Government and Regulatory</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Environmental/Sustainability</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Operations Experience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41"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Chief Executive Officer and President (2015 – Present) of Essential Utilities, Inc., a</w:t>
      </w:r>
      <w:r>
        <w:rPr>
          <w:rFonts w:ascii="Arial" w:cs="Arial" w:eastAsia="Arial" w:hAnsi="Arial"/>
          <w:sz w:val="12"/>
          <w:szCs w:val="12"/>
          <w:color w:val="009AD9"/>
        </w:rPr>
        <w:t xml:space="preserve"> </w:t>
      </w:r>
      <w:r>
        <w:rPr>
          <w:rFonts w:ascii="Arial" w:cs="Arial" w:eastAsia="Arial" w:hAnsi="Arial"/>
          <w:sz w:val="12"/>
          <w:szCs w:val="12"/>
          <w:color w:val="000000"/>
        </w:rPr>
        <w:t>public company providing regulated utilities, including water, wastewater and natural gas, to customers in 10 states; Has served in various roles of increasing responsibilities at Essential Utilities, Inc. (f.k.a. AquaAmerica, Inc.) since 1992</w:t>
      </w:r>
    </w:p>
    <w:p>
      <w:pPr>
        <w:spacing w:after="0" w:line="141"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Public Company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Essential Utilities, Inc. (2015 – Present)</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 ITC Holdings (2011 – 2016)</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Other</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 University of Pennsylvania Board of Trustees (2015 – Present)</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 Franklin Institute of Philadelphia (2017 – Present)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 B.S., West Chester University</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 M.B.A., Villanova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009AD9"/>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692785" cy="9702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b w:val="1"/>
          <w:bCs w:val="1"/>
          <w:color w:val="auto"/>
        </w:rPr>
        <w:t>Chairman, Chief Executive</w:t>
      </w:r>
    </w:p>
    <w:p>
      <w:pPr>
        <w:spacing w:after="0" w:line="231" w:lineRule="auto"/>
        <w:rPr>
          <w:sz w:val="20"/>
          <w:szCs w:val="20"/>
          <w:color w:val="auto"/>
        </w:rPr>
      </w:pPr>
      <w:r>
        <w:rPr>
          <w:rFonts w:ascii="Arial" w:cs="Arial" w:eastAsia="Arial" w:hAnsi="Arial"/>
          <w:sz w:val="9"/>
          <w:szCs w:val="9"/>
          <w:b w:val="1"/>
          <w:bCs w:val="1"/>
          <w:color w:val="auto"/>
        </w:rPr>
        <w:t>Officer and President of</w:t>
      </w:r>
    </w:p>
    <w:p>
      <w:pPr>
        <w:spacing w:after="0"/>
        <w:rPr>
          <w:sz w:val="20"/>
          <w:szCs w:val="20"/>
          <w:color w:val="auto"/>
        </w:rPr>
      </w:pPr>
      <w:r>
        <w:rPr>
          <w:rFonts w:ascii="Arial" w:cs="Arial" w:eastAsia="Arial" w:hAnsi="Arial"/>
          <w:sz w:val="9"/>
          <w:szCs w:val="9"/>
          <w:b w:val="1"/>
          <w:bCs w:val="1"/>
          <w:color w:val="auto"/>
        </w:rPr>
        <w:t>Essential Utilities</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57</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Independent Director Since 2022</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Audit</w:t>
      </w:r>
    </w:p>
    <w:p>
      <w:pPr>
        <w:ind w:left="180" w:right="939" w:hanging="135"/>
        <w:spacing w:after="0" w:line="243" w:lineRule="auto"/>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Governance, Environmental and</w:t>
      </w:r>
      <w:r>
        <w:rPr>
          <w:rFonts w:ascii="Arial" w:cs="Arial" w:eastAsia="Arial" w:hAnsi="Arial"/>
          <w:sz w:val="9"/>
          <w:szCs w:val="9"/>
          <w:color w:val="009AD9"/>
        </w:rPr>
        <w:t xml:space="preserve"> </w:t>
      </w:r>
      <w:r>
        <w:rPr>
          <w:rFonts w:ascii="Arial" w:cs="Arial" w:eastAsia="Arial" w:hAnsi="Arial"/>
          <w:sz w:val="9"/>
          <w:szCs w:val="9"/>
          <w:color w:val="000000"/>
        </w:rPr>
        <w:t>Sustainability</w:t>
      </w:r>
    </w:p>
    <w:p>
      <w:pPr>
        <w:spacing w:after="0" w:line="1592" w:lineRule="exact"/>
        <w:rPr>
          <w:sz w:val="20"/>
          <w:szCs w:val="20"/>
          <w:color w:val="auto"/>
        </w:rPr>
      </w:pPr>
    </w:p>
    <w:p>
      <w:pPr>
        <w:sectPr>
          <w:pgSz w:w="11900" w:h="16838" w:orient="portrait"/>
          <w:cols w:equalWidth="0" w:num="2">
            <w:col w:w="7420" w:space="300"/>
            <w:col w:w="2439"/>
          </w:cols>
          <w:pgMar w:left="300" w:top="373" w:right="1440" w:bottom="1440" w:gutter="0" w:footer="0" w:header="0"/>
          <w:type w:val="continuous"/>
        </w:sectPr>
      </w:pPr>
    </w:p>
    <w:p>
      <w:pPr>
        <w:spacing w:after="0" w:line="189" w:lineRule="exact"/>
        <w:rPr>
          <w:sz w:val="20"/>
          <w:szCs w:val="20"/>
          <w:color w:val="auto"/>
        </w:rPr>
      </w:pPr>
    </w:p>
    <w:p>
      <w:pPr>
        <w:ind w:left="2220" w:hanging="230"/>
        <w:spacing w:after="0"/>
        <w:tabs>
          <w:tab w:leader="none" w:pos="2220" w:val="left"/>
        </w:tabs>
        <w:numPr>
          <w:ilvl w:val="0"/>
          <w:numId w:val="27"/>
        </w:numPr>
        <w:rPr>
          <w:rFonts w:ascii="Arial" w:cs="Arial" w:eastAsia="Arial" w:hAnsi="Arial"/>
          <w:sz w:val="14"/>
          <w:szCs w:val="14"/>
          <w:b w:val="1"/>
          <w:bCs w:val="1"/>
          <w:color w:val="009AD9"/>
        </w:rPr>
      </w:pPr>
      <w:r>
        <w:rPr>
          <w:rFonts w:ascii="Arial" w:cs="Arial" w:eastAsia="Arial" w:hAnsi="Arial"/>
          <w:sz w:val="12"/>
          <w:szCs w:val="12"/>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-100965</wp:posOffset>
            </wp:positionV>
            <wp:extent cx="47117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283845</wp:posOffset>
            </wp:positionV>
            <wp:extent cx="36722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Utility Industry Experience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Government and Regulatory</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Operations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 Chief Executive Officer and Director (Jan. 2023 – Present); President, Chief Executive Officer and</w:t>
      </w:r>
      <w:r>
        <w:rPr>
          <w:rFonts w:ascii="Arial" w:cs="Arial" w:eastAsia="Arial" w:hAnsi="Arial"/>
          <w:sz w:val="12"/>
          <w:szCs w:val="12"/>
          <w:color w:val="009AD9"/>
        </w:rPr>
        <w:t xml:space="preserve"> </w:t>
      </w:r>
      <w:r>
        <w:rPr>
          <w:rFonts w:ascii="Arial" w:cs="Arial" w:eastAsia="Arial" w:hAnsi="Arial"/>
          <w:sz w:val="12"/>
          <w:szCs w:val="12"/>
          <w:color w:val="000000"/>
        </w:rPr>
        <w:t>Director (July 2020 – Dec. 2022); and Director (May 2020 – June 2020) of CenterPoint Energy, Inc.</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 Interim Chief Executive Officer (July 2019 – June 2020) of Health Care Services Corporation, the</w:t>
      </w:r>
      <w:r>
        <w:rPr>
          <w:rFonts w:ascii="Arial" w:cs="Arial" w:eastAsia="Arial" w:hAnsi="Arial"/>
          <w:sz w:val="12"/>
          <w:szCs w:val="12"/>
          <w:color w:val="009AD9"/>
        </w:rPr>
        <w:t xml:space="preserve"> </w:t>
      </w:r>
      <w:r>
        <w:rPr>
          <w:rFonts w:ascii="Arial" w:cs="Arial" w:eastAsia="Arial" w:hAnsi="Arial"/>
          <w:sz w:val="12"/>
          <w:szCs w:val="12"/>
          <w:color w:val="000000"/>
        </w:rPr>
        <w:t>largest privately held health insurer in the United States</w:t>
      </w:r>
    </w:p>
    <w:p>
      <w:pPr>
        <w:jc w:val="both"/>
        <w:ind w:left="2180" w:hanging="181"/>
        <w:spacing w:after="0" w:line="243"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 Held various positions (1993 – 2018) of increasing responsibilities culminating in holding the</w:t>
      </w:r>
      <w:r>
        <w:rPr>
          <w:rFonts w:ascii="Arial" w:cs="Arial" w:eastAsia="Arial" w:hAnsi="Arial"/>
          <w:sz w:val="12"/>
          <w:szCs w:val="12"/>
          <w:color w:val="009AD9"/>
        </w:rPr>
        <w:t xml:space="preserve"> </w:t>
      </w:r>
      <w:r>
        <w:rPr>
          <w:rFonts w:ascii="Arial" w:cs="Arial" w:eastAsia="Arial" w:hAnsi="Arial"/>
          <w:sz w:val="12"/>
          <w:szCs w:val="12"/>
          <w:color w:val="000000"/>
        </w:rPr>
        <w:t>position of Chairman and Chief Executive Officer (2000 – 2017) and Executive Chairman (2017 – 2018) of Halliburton Company</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Public Company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 Executive Chairman (2017 – 2018) and Chairman (2000 – 2017), Halliburton Company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 Agrium Inc. (2010 – 2015)</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 Lyondell Chemical Co. (2000 – 2007)</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 Mirant Corp. (2000 – 2005)</w:t>
      </w:r>
    </w:p>
    <w:p>
      <w:pPr>
        <w:ind w:left="2000"/>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 Southern Co. (1999 – 2000)</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 Cordant Technologies (1998 – 2000)</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Other</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 Health Care Services Corporation (2018 – 2020)</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 B.S., University of Wisconsin</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 M.B.A., University of Wisconsin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-104140</wp:posOffset>
            </wp:positionV>
            <wp:extent cx="1039495" cy="149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170815</wp:posOffset>
            </wp:positionV>
            <wp:extent cx="692785" cy="9702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009AD9"/>
        </w:rPr>
        <w:t>David J. Lesar</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Chief Executive Officer of</w:t>
      </w:r>
    </w:p>
    <w:p>
      <w:pPr>
        <w:ind w:left="60"/>
        <w:spacing w:after="0"/>
        <w:rPr>
          <w:sz w:val="20"/>
          <w:szCs w:val="20"/>
          <w:color w:val="auto"/>
        </w:rPr>
      </w:pPr>
      <w:r>
        <w:rPr>
          <w:rFonts w:ascii="Arial" w:cs="Arial" w:eastAsia="Arial" w:hAnsi="Arial"/>
          <w:sz w:val="9"/>
          <w:szCs w:val="9"/>
          <w:b w:val="1"/>
          <w:bCs w:val="1"/>
          <w:color w:val="auto"/>
        </w:rPr>
        <w:t>CenterPoint Energy, Inc.</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69</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Non-Independent Director Since 2020</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Committees: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None</w:t>
      </w:r>
    </w:p>
    <w:p>
      <w:pPr>
        <w:spacing w:after="0" w:line="2853" w:lineRule="exact"/>
        <w:rPr>
          <w:sz w:val="20"/>
          <w:szCs w:val="20"/>
          <w:color w:val="auto"/>
        </w:rPr>
      </w:pPr>
    </w:p>
    <w:p>
      <w:pPr>
        <w:sectPr>
          <w:pgSz w:w="11900" w:h="16838" w:orient="portrait"/>
          <w:cols w:equalWidth="0" w:num="2">
            <w:col w:w="7420" w:space="240"/>
            <w:col w:w="2499"/>
          </w:cols>
          <w:pgMar w:left="300" w:top="373" w:right="1440" w:bottom="1440" w:gutter="0" w:footer="0" w:header="0"/>
        </w:sectPr>
      </w:pPr>
    </w:p>
    <w:p>
      <w:pPr>
        <w:spacing w:after="0" w:line="186"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jc w:val="right"/>
        <w:ind w:right="6519"/>
        <w:spacing w:after="0"/>
        <w:rPr>
          <w:sz w:val="20"/>
          <w:szCs w:val="20"/>
          <w:color w:val="auto"/>
        </w:rPr>
      </w:pPr>
      <w:r>
        <w:rPr>
          <w:rFonts w:ascii="Arial" w:cs="Arial" w:eastAsia="Arial" w:hAnsi="Arial"/>
          <w:sz w:val="10"/>
          <w:szCs w:val="10"/>
          <w:i w:val="1"/>
          <w:iCs w:val="1"/>
          <w:color w:val="auto"/>
        </w:rPr>
        <w:t>Item 1: Election of Directors (continued)</w:t>
      </w:r>
    </w:p>
    <w:p>
      <w:pPr>
        <w:sectPr>
          <w:pgSz w:w="11900" w:h="16838" w:orient="portrait"/>
          <w:cols w:equalWidth="0" w:num="1">
            <w:col w:w="10159"/>
          </w:cols>
          <w:pgMar w:left="300" w:top="373" w:right="1440" w:bottom="1440" w:gutter="0" w:footer="0" w:header="0"/>
        </w:sectPr>
      </w:pP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Regulatory and Government</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Environmental/Sustainability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15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 Held various positions (2008 – Present) of increasing responsibilities including the position of</w:t>
      </w:r>
      <w:r>
        <w:rPr>
          <w:rFonts w:ascii="Arial" w:cs="Arial" w:eastAsia="Arial" w:hAnsi="Arial"/>
          <w:sz w:val="12"/>
          <w:szCs w:val="12"/>
          <w:color w:val="009AD9"/>
        </w:rPr>
        <w:t xml:space="preserve"> </w:t>
      </w:r>
      <w:r>
        <w:rPr>
          <w:rFonts w:ascii="Arial" w:cs="Arial" w:eastAsia="Arial" w:hAnsi="Arial"/>
          <w:sz w:val="12"/>
          <w:szCs w:val="12"/>
          <w:color w:val="000000"/>
        </w:rPr>
        <w:t>Southeast Texas Director of Communications &amp; Public Information Offices (2017 – Present) of the Texas Department of Transportation (TxDOT), a state government organization that plans, constructs, operates and maintains Texas’ integrated transportation system including highways and multimodal programs</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 Served as Special Advisor to TxDOT Executive Director and the Executive Administration (2015)</w:t>
      </w:r>
    </w:p>
    <w:p>
      <w:pPr>
        <w:jc w:val="both"/>
        <w:ind w:left="2180" w:hanging="181"/>
        <w:spacing w:after="0" w:line="241"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 Held various positions (1998 – 2008) of increasing responsibilities including the position of</w:t>
      </w:r>
      <w:r>
        <w:rPr>
          <w:rFonts w:ascii="Arial" w:cs="Arial" w:eastAsia="Arial" w:hAnsi="Arial"/>
          <w:sz w:val="12"/>
          <w:szCs w:val="12"/>
          <w:color w:val="009AD9"/>
        </w:rPr>
        <w:t xml:space="preserve"> </w:t>
      </w:r>
      <w:r>
        <w:rPr>
          <w:rFonts w:ascii="Arial" w:cs="Arial" w:eastAsia="Arial" w:hAnsi="Arial"/>
          <w:sz w:val="12"/>
          <w:szCs w:val="12"/>
          <w:color w:val="000000"/>
        </w:rPr>
        <w:t>Supervising Planner/Program Manager at Parsons Brinkerhoff, Inc., a multinational engineering and design firm that specializes in strategic consulting, planning, engineering, construction management, energy, infrastructure and community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009AD9"/>
        </w:rPr>
        <w:t>Raquelle W.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692785" cy="9702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b w:val="1"/>
          <w:bCs w:val="1"/>
          <w:color w:val="auto"/>
        </w:rPr>
        <w:t>Southeast Texas Director of</w:t>
      </w:r>
    </w:p>
    <w:p>
      <w:pPr>
        <w:spacing w:after="0" w:line="231" w:lineRule="auto"/>
        <w:rPr>
          <w:sz w:val="20"/>
          <w:szCs w:val="20"/>
          <w:color w:val="auto"/>
        </w:rPr>
      </w:pPr>
      <w:r>
        <w:rPr>
          <w:rFonts w:ascii="Arial" w:cs="Arial" w:eastAsia="Arial" w:hAnsi="Arial"/>
          <w:sz w:val="9"/>
          <w:szCs w:val="9"/>
          <w:b w:val="1"/>
          <w:bCs w:val="1"/>
          <w:color w:val="auto"/>
        </w:rPr>
        <w:t>Communications &amp; Public</w:t>
      </w:r>
    </w:p>
    <w:p>
      <w:pPr>
        <w:spacing w:after="0" w:line="232" w:lineRule="auto"/>
        <w:rPr>
          <w:sz w:val="20"/>
          <w:szCs w:val="20"/>
          <w:color w:val="auto"/>
        </w:rPr>
      </w:pPr>
      <w:r>
        <w:rPr>
          <w:rFonts w:ascii="Arial" w:cs="Arial" w:eastAsia="Arial" w:hAnsi="Arial"/>
          <w:sz w:val="9"/>
          <w:szCs w:val="9"/>
          <w:b w:val="1"/>
          <w:bCs w:val="1"/>
          <w:color w:val="auto"/>
        </w:rPr>
        <w:t>Information Offices for the</w:t>
      </w:r>
    </w:p>
    <w:p>
      <w:pPr>
        <w:spacing w:after="0" w:line="232" w:lineRule="auto"/>
        <w:rPr>
          <w:sz w:val="20"/>
          <w:szCs w:val="20"/>
          <w:color w:val="auto"/>
        </w:rPr>
      </w:pPr>
      <w:r>
        <w:rPr>
          <w:rFonts w:ascii="Arial" w:cs="Arial" w:eastAsia="Arial" w:hAnsi="Arial"/>
          <w:sz w:val="9"/>
          <w:szCs w:val="9"/>
          <w:b w:val="1"/>
          <w:bCs w:val="1"/>
          <w:color w:val="auto"/>
        </w:rPr>
        <w:t>Texas Department of</w:t>
      </w:r>
    </w:p>
    <w:p>
      <w:pPr>
        <w:spacing w:after="0"/>
        <w:rPr>
          <w:sz w:val="20"/>
          <w:szCs w:val="20"/>
          <w:color w:val="auto"/>
        </w:rPr>
      </w:pPr>
      <w:r>
        <w:rPr>
          <w:rFonts w:ascii="Arial" w:cs="Arial" w:eastAsia="Arial" w:hAnsi="Arial"/>
          <w:sz w:val="9"/>
          <w:szCs w:val="9"/>
          <w:b w:val="1"/>
          <w:bCs w:val="1"/>
          <w:color w:val="auto"/>
        </w:rPr>
        <w:t>Transportation</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52</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Independent Director Since 2021</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sectPr>
          <w:pgSz w:w="11900" w:h="16838" w:orient="portrait"/>
          <w:cols w:equalWidth="0" w:num="2">
            <w:col w:w="7420" w:space="300"/>
            <w:col w:w="2439"/>
          </w:cols>
          <w:pgMar w:left="300" w:top="373" w:right="1440" w:bottom="1440" w:gutter="0" w:footer="0" w:header="0"/>
          <w:type w:val="continuous"/>
        </w:sectPr>
      </w:pPr>
    </w:p>
    <w:tbl>
      <w:tblPr>
        <w:tblLayout w:type="fixed"/>
        <w:tblInd w:w="1940" w:type="dxa"/>
        <w:tblCellMar>
          <w:top w:w="0" w:type="dxa"/>
          <w:left w:w="0" w:type="dxa"/>
          <w:bottom w:w="0" w:type="dxa"/>
          <w:right w:w="0" w:type="dxa"/>
        </w:tblCellMar>
      </w:tblPr>
      <w:tr>
        <w:trPr>
          <w:trHeight w:val="103"/>
        </w:trPr>
        <w:tc>
          <w:tcPr>
            <w:tcW w:w="5420" w:type="dxa"/>
            <w:vAlign w:val="bottom"/>
            <w:gridSpan w:val="2"/>
            <w:vMerge w:val="restart"/>
          </w:tcPr>
          <w:p>
            <w:pPr>
              <w:spacing w:after="0"/>
              <w:rPr>
                <w:sz w:val="20"/>
                <w:szCs w:val="20"/>
                <w:color w:val="auto"/>
              </w:rPr>
            </w:pPr>
            <w:r>
              <w:rPr>
                <w:rFonts w:ascii="Arial" w:cs="Arial" w:eastAsia="Arial" w:hAnsi="Arial"/>
                <w:sz w:val="12"/>
                <w:szCs w:val="12"/>
                <w:b w:val="1"/>
                <w:bCs w:val="1"/>
                <w:color w:val="009AD9"/>
              </w:rPr>
              <w:t>Other Professional Experience and Community Involvement</w:t>
            </w:r>
          </w:p>
        </w:tc>
        <w:tc>
          <w:tcPr>
            <w:tcW w:w="500" w:type="dxa"/>
            <w:vAlign w:val="bottom"/>
          </w:tcPr>
          <w:p>
            <w:pPr>
              <w:ind w:left="4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w:t>
            </w:r>
          </w:p>
        </w:tc>
        <w:tc>
          <w:tcPr>
            <w:tcW w:w="1360" w:type="dxa"/>
            <w:vAlign w:val="bottom"/>
          </w:tcPr>
          <w:p>
            <w:pPr>
              <w:ind w:left="40"/>
              <w:spacing w:after="0"/>
              <w:rPr>
                <w:sz w:val="20"/>
                <w:szCs w:val="20"/>
                <w:color w:val="auto"/>
              </w:rPr>
            </w:pPr>
            <w:r>
              <w:rPr>
                <w:rFonts w:ascii="Arial" w:cs="Arial" w:eastAsia="Arial" w:hAnsi="Arial"/>
                <w:sz w:val="9"/>
                <w:szCs w:val="9"/>
                <w:color w:val="auto"/>
              </w:rPr>
              <w:t> Compensation</w:t>
            </w:r>
          </w:p>
        </w:tc>
        <w:tc>
          <w:tcPr>
            <w:tcW w:w="0" w:type="dxa"/>
            <w:vAlign w:val="bottom"/>
          </w:tcPr>
          <w:p>
            <w:pPr>
              <w:spacing w:after="0"/>
              <w:rPr>
                <w:sz w:val="1"/>
                <w:szCs w:val="1"/>
                <w:color w:val="auto"/>
              </w:rPr>
            </w:pPr>
          </w:p>
        </w:tc>
      </w:tr>
      <w:tr>
        <w:trPr>
          <w:trHeight w:val="82"/>
        </w:trPr>
        <w:tc>
          <w:tcPr>
            <w:tcW w:w="5420" w:type="dxa"/>
            <w:vAlign w:val="bottom"/>
            <w:gridSpan w:val="2"/>
            <w:vMerge w:val="continue"/>
          </w:tcPr>
          <w:p>
            <w:pPr>
              <w:spacing w:after="0"/>
              <w:rPr>
                <w:sz w:val="7"/>
                <w:szCs w:val="7"/>
                <w:color w:val="auto"/>
              </w:rPr>
            </w:pPr>
          </w:p>
        </w:tc>
        <w:tc>
          <w:tcPr>
            <w:tcW w:w="500" w:type="dxa"/>
            <w:vAlign w:val="bottom"/>
          </w:tcPr>
          <w:p>
            <w:pPr>
              <w:ind w:left="420"/>
              <w:spacing w:after="0" w:line="82" w:lineRule="exact"/>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w:t>
            </w:r>
          </w:p>
        </w:tc>
        <w:tc>
          <w:tcPr>
            <w:tcW w:w="1360" w:type="dxa"/>
            <w:vAlign w:val="bottom"/>
          </w:tcPr>
          <w:p>
            <w:pPr>
              <w:ind w:left="40"/>
              <w:spacing w:after="0" w:line="82" w:lineRule="exact"/>
              <w:rPr>
                <w:sz w:val="20"/>
                <w:szCs w:val="20"/>
                <w:color w:val="auto"/>
              </w:rPr>
            </w:pPr>
            <w:r>
              <w:rPr>
                <w:rFonts w:ascii="Arial" w:cs="Arial" w:eastAsia="Arial" w:hAnsi="Arial"/>
                <w:sz w:val="9"/>
                <w:szCs w:val="9"/>
                <w:color w:val="auto"/>
                <w:w w:val="99"/>
              </w:rPr>
              <w:t> Governance, Environmental and</w:t>
            </w:r>
          </w:p>
        </w:tc>
        <w:tc>
          <w:tcPr>
            <w:tcW w:w="0" w:type="dxa"/>
            <w:vAlign w:val="bottom"/>
          </w:tcPr>
          <w:p>
            <w:pPr>
              <w:spacing w:after="0"/>
              <w:rPr>
                <w:sz w:val="1"/>
                <w:szCs w:val="1"/>
                <w:color w:val="auto"/>
              </w:rPr>
            </w:pPr>
          </w:p>
        </w:tc>
      </w:tr>
      <w:tr>
        <w:trPr>
          <w:trHeight w:val="136"/>
        </w:trPr>
        <w:tc>
          <w:tcPr>
            <w:tcW w:w="5420" w:type="dxa"/>
            <w:vAlign w:val="bottom"/>
            <w:gridSpan w:val="2"/>
          </w:tcPr>
          <w:p>
            <w:pPr>
              <w:ind w:left="60"/>
              <w:spacing w:after="0" w:line="136"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 National Association for the Advancement of Colored People (NAACP) – Houston Branch</w:t>
            </w:r>
          </w:p>
        </w:tc>
        <w:tc>
          <w:tcPr>
            <w:tcW w:w="500" w:type="dxa"/>
            <w:vAlign w:val="bottom"/>
          </w:tcPr>
          <w:p>
            <w:pPr>
              <w:spacing w:after="0"/>
              <w:rPr>
                <w:sz w:val="11"/>
                <w:szCs w:val="11"/>
                <w:color w:val="auto"/>
              </w:rPr>
            </w:pPr>
          </w:p>
        </w:tc>
        <w:tc>
          <w:tcPr>
            <w:tcW w:w="1360" w:type="dxa"/>
            <w:vAlign w:val="bottom"/>
          </w:tcPr>
          <w:p>
            <w:pPr>
              <w:ind w:left="40"/>
              <w:spacing w:after="0"/>
              <w:rPr>
                <w:sz w:val="20"/>
                <w:szCs w:val="20"/>
                <w:color w:val="auto"/>
              </w:rPr>
            </w:pPr>
            <w:r>
              <w:rPr>
                <w:rFonts w:ascii="Arial" w:cs="Arial" w:eastAsia="Arial" w:hAnsi="Arial"/>
                <w:sz w:val="9"/>
                <w:szCs w:val="9"/>
                <w:color w:val="auto"/>
              </w:rPr>
              <w:t>Sustainability</w:t>
            </w:r>
          </w:p>
        </w:tc>
        <w:tc>
          <w:tcPr>
            <w:tcW w:w="0" w:type="dxa"/>
            <w:vAlign w:val="bottom"/>
          </w:tcPr>
          <w:p>
            <w:pPr>
              <w:spacing w:after="0"/>
              <w:rPr>
                <w:sz w:val="1"/>
                <w:szCs w:val="1"/>
                <w:color w:val="auto"/>
              </w:rPr>
            </w:pPr>
          </w:p>
        </w:tc>
      </w:tr>
      <w:tr>
        <w:trPr>
          <w:trHeight w:val="136"/>
        </w:trPr>
        <w:tc>
          <w:tcPr>
            <w:tcW w:w="180" w:type="dxa"/>
            <w:vAlign w:val="bottom"/>
          </w:tcPr>
          <w:p>
            <w:pPr>
              <w:ind w:left="6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w:t>
            </w:r>
          </w:p>
        </w:tc>
        <w:tc>
          <w:tcPr>
            <w:tcW w:w="5240" w:type="dxa"/>
            <w:vAlign w:val="bottom"/>
          </w:tcPr>
          <w:p>
            <w:pPr>
              <w:ind w:left="40"/>
              <w:spacing w:after="0" w:line="137" w:lineRule="exact"/>
              <w:rPr>
                <w:sz w:val="20"/>
                <w:szCs w:val="20"/>
                <w:color w:val="auto"/>
              </w:rPr>
            </w:pPr>
            <w:r>
              <w:rPr>
                <w:rFonts w:ascii="Arial" w:cs="Arial" w:eastAsia="Arial" w:hAnsi="Arial"/>
                <w:sz w:val="12"/>
                <w:szCs w:val="12"/>
                <w:color w:val="auto"/>
              </w:rPr>
              <w:t> WTS International</w:t>
            </w:r>
          </w:p>
        </w:tc>
        <w:tc>
          <w:tcPr>
            <w:tcW w:w="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0" w:type="dxa"/>
            <w:vAlign w:val="bottom"/>
          </w:tcPr>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w:t>
            </w:r>
          </w:p>
        </w:tc>
        <w:tc>
          <w:tcPr>
            <w:tcW w:w="5240" w:type="dxa"/>
            <w:vAlign w:val="bottom"/>
          </w:tcPr>
          <w:p>
            <w:pPr>
              <w:ind w:left="40"/>
              <w:spacing w:after="0"/>
              <w:rPr>
                <w:sz w:val="20"/>
                <w:szCs w:val="20"/>
                <w:color w:val="auto"/>
              </w:rPr>
            </w:pPr>
            <w:r>
              <w:rPr>
                <w:rFonts w:ascii="Arial" w:cs="Arial" w:eastAsia="Arial" w:hAnsi="Arial"/>
                <w:sz w:val="12"/>
                <w:szCs w:val="12"/>
                <w:color w:val="auto"/>
              </w:rPr>
              <w:t> Leadership Women, Inc.</w:t>
            </w: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 B.A.,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20" w:hanging="230"/>
        <w:spacing w:after="0"/>
        <w:tabs>
          <w:tab w:leader="none" w:pos="2220" w:val="left"/>
        </w:tabs>
        <w:numPr>
          <w:ilvl w:val="0"/>
          <w:numId w:val="2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283845</wp:posOffset>
            </wp:positionV>
            <wp:extent cx="36722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Operations Experience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 Co-Chief Executive Officer (2013 – Present) of The Vistria Group, LLC, a Chicago-based</w:t>
      </w:r>
      <w:r>
        <w:rPr>
          <w:rFonts w:ascii="Arial" w:cs="Arial" w:eastAsia="Arial" w:hAnsi="Arial"/>
          <w:sz w:val="12"/>
          <w:szCs w:val="12"/>
          <w:color w:val="009AD9"/>
        </w:rPr>
        <w:t xml:space="preserve"> </w:t>
      </w:r>
      <w:r>
        <w:rPr>
          <w:rFonts w:ascii="Arial" w:cs="Arial" w:eastAsia="Arial" w:hAnsi="Arial"/>
          <w:sz w:val="12"/>
          <w:szCs w:val="12"/>
          <w:color w:val="000000"/>
        </w:rPr>
        <w:t>investment firm focused on the education, healthcare and financial services industries</w:t>
      </w:r>
    </w:p>
    <w:p>
      <w:pPr>
        <w:ind w:left="2180"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 Chief Executive Officer (1996 – 2012) of PRG Parking Management (known as The Parking</w:t>
      </w:r>
      <w:r>
        <w:rPr>
          <w:rFonts w:ascii="Arial" w:cs="Arial" w:eastAsia="Arial" w:hAnsi="Arial"/>
          <w:sz w:val="12"/>
          <w:szCs w:val="12"/>
          <w:color w:val="009AD9"/>
        </w:rPr>
        <w:t xml:space="preserve"> </w:t>
      </w:r>
      <w:r>
        <w:rPr>
          <w:rFonts w:ascii="Arial" w:cs="Arial" w:eastAsia="Arial" w:hAnsi="Arial"/>
          <w:sz w:val="12"/>
          <w:szCs w:val="12"/>
          <w:color w:val="000000"/>
        </w:rPr>
        <w:t>Spot), an owner and operator of off-airport parking facilities</w:t>
      </w:r>
    </w:p>
    <w:p>
      <w:pPr>
        <w:spacing w:after="0" w:line="13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Public Company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 American Airlines Group (2015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 Chewy, Inc. (2020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 Jones Lang LaSalle (2011 – 2020)</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 Norfolk Southern Corp. (2013 – 2019)</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Other</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Barack Obama Foundation (2013 – Present)</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 Trustee, Museum of Contemporary Art Chicago</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 B.A., Albion College</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 M.B.A., University of Chicago</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-104140</wp:posOffset>
            </wp:positionV>
            <wp:extent cx="1039495" cy="149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119380</wp:posOffset>
            </wp:positionV>
            <wp:extent cx="692785" cy="9702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009AD9"/>
        </w:rPr>
        <w:t>Martin H. Nesbitt</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Independent Chair of the</w:t>
      </w:r>
    </w:p>
    <w:p>
      <w:pPr>
        <w:ind w:left="60"/>
        <w:spacing w:after="0" w:line="231" w:lineRule="auto"/>
        <w:rPr>
          <w:sz w:val="20"/>
          <w:szCs w:val="20"/>
          <w:color w:val="auto"/>
        </w:rPr>
      </w:pPr>
      <w:r>
        <w:rPr>
          <w:rFonts w:ascii="Arial" w:cs="Arial" w:eastAsia="Arial" w:hAnsi="Arial"/>
          <w:sz w:val="9"/>
          <w:szCs w:val="9"/>
          <w:b w:val="1"/>
          <w:bCs w:val="1"/>
          <w:color w:val="auto"/>
        </w:rPr>
        <w:t>Board of CenterPoint Energy,</w:t>
      </w:r>
    </w:p>
    <w:p>
      <w:pPr>
        <w:ind w:left="60"/>
        <w:spacing w:after="0" w:line="232" w:lineRule="auto"/>
        <w:rPr>
          <w:sz w:val="20"/>
          <w:szCs w:val="20"/>
          <w:color w:val="auto"/>
        </w:rPr>
      </w:pPr>
      <w:r>
        <w:rPr>
          <w:rFonts w:ascii="Arial" w:cs="Arial" w:eastAsia="Arial" w:hAnsi="Arial"/>
          <w:sz w:val="9"/>
          <w:szCs w:val="9"/>
          <w:b w:val="1"/>
          <w:bCs w:val="1"/>
          <w:color w:val="auto"/>
        </w:rPr>
        <w:t>Inc.</w:t>
      </w:r>
    </w:p>
    <w:p>
      <w:pPr>
        <w:ind w:left="60"/>
        <w:spacing w:after="0" w:line="232" w:lineRule="auto"/>
        <w:rPr>
          <w:sz w:val="20"/>
          <w:szCs w:val="20"/>
          <w:color w:val="auto"/>
        </w:rPr>
      </w:pPr>
      <w:r>
        <w:rPr>
          <w:rFonts w:ascii="Arial" w:cs="Arial" w:eastAsia="Arial" w:hAnsi="Arial"/>
          <w:sz w:val="9"/>
          <w:szCs w:val="9"/>
          <w:b w:val="1"/>
          <w:bCs w:val="1"/>
          <w:color w:val="auto"/>
        </w:rPr>
        <w:t>Co-Chief Executive Officer of</w:t>
      </w:r>
    </w:p>
    <w:p>
      <w:pPr>
        <w:ind w:left="60"/>
        <w:spacing w:after="0"/>
        <w:rPr>
          <w:sz w:val="20"/>
          <w:szCs w:val="20"/>
          <w:color w:val="auto"/>
        </w:rPr>
      </w:pPr>
      <w:r>
        <w:rPr>
          <w:rFonts w:ascii="Arial" w:cs="Arial" w:eastAsia="Arial" w:hAnsi="Arial"/>
          <w:sz w:val="9"/>
          <w:szCs w:val="9"/>
          <w:b w:val="1"/>
          <w:bCs w:val="1"/>
          <w:color w:val="auto"/>
        </w:rPr>
        <w:t>Vistria Group, LLC</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60</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Independent Director Since 2018</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Committees: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None</w:t>
      </w:r>
    </w:p>
    <w:p>
      <w:pPr>
        <w:spacing w:after="0" w:line="1698" w:lineRule="exact"/>
        <w:rPr>
          <w:sz w:val="20"/>
          <w:szCs w:val="20"/>
          <w:color w:val="auto"/>
        </w:rPr>
      </w:pPr>
    </w:p>
    <w:p>
      <w:pPr>
        <w:sectPr>
          <w:pgSz w:w="11900" w:h="16838" w:orient="portrait"/>
          <w:cols w:equalWidth="0" w:num="2">
            <w:col w:w="7420" w:space="240"/>
            <w:col w:w="2499"/>
          </w:cols>
          <w:pgMar w:left="300" w:top="373" w:right="1440" w:bottom="1440" w:gutter="0" w:footer="0" w:header="0"/>
        </w:sectPr>
      </w:pPr>
    </w:p>
    <w:p>
      <w:pPr>
        <w:spacing w:after="0" w:line="195"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jc w:val="right"/>
        <w:ind w:right="6519"/>
        <w:spacing w:after="0"/>
        <w:rPr>
          <w:sz w:val="20"/>
          <w:szCs w:val="20"/>
          <w:color w:val="auto"/>
        </w:rPr>
      </w:pPr>
      <w:r>
        <w:rPr>
          <w:rFonts w:ascii="Arial" w:cs="Arial" w:eastAsia="Arial" w:hAnsi="Arial"/>
          <w:sz w:val="10"/>
          <w:szCs w:val="10"/>
          <w:i w:val="1"/>
          <w:iCs w:val="1"/>
          <w:color w:val="auto"/>
        </w:rPr>
        <w:t>Item 1: Election of Directors (continued)</w:t>
      </w:r>
    </w:p>
    <w:p>
      <w:pPr>
        <w:sectPr>
          <w:pgSz w:w="11900" w:h="16838" w:orient="portrait"/>
          <w:cols w:equalWidth="0" w:num="1">
            <w:col w:w="10159"/>
          </w:cols>
          <w:pgMar w:left="300" w:top="372" w:right="1440" w:bottom="1440" w:gutter="0" w:footer="0" w:header="0"/>
        </w:sectPr>
      </w:pP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Legal Expertise</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 Private Investor and Attorney (2016 – Present)</w:t>
      </w: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 Vice President, General Counsel and Corporate Secretary (2013 – 2016) at Select Energy</w:t>
      </w:r>
      <w:r>
        <w:rPr>
          <w:rFonts w:ascii="Arial" w:cs="Arial" w:eastAsia="Arial" w:hAnsi="Arial"/>
          <w:sz w:val="12"/>
          <w:szCs w:val="12"/>
          <w:color w:val="009AD9"/>
        </w:rPr>
        <w:t xml:space="preserve"> </w:t>
      </w:r>
      <w:r>
        <w:rPr>
          <w:rFonts w:ascii="Arial" w:cs="Arial" w:eastAsia="Arial" w:hAnsi="Arial"/>
          <w:sz w:val="12"/>
          <w:szCs w:val="12"/>
          <w:color w:val="000000"/>
        </w:rPr>
        <w:t>Services, LLC, a private company providing water solutions and well-site services to energy producers</w:t>
      </w:r>
    </w:p>
    <w:p>
      <w:pPr>
        <w:jc w:val="both"/>
        <w:ind w:left="2180" w:right="20"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 Vice President, General Counsel and Secretary (2004 – 2011) at Allis-Chalmers Energy, Inc., a</w:t>
      </w:r>
      <w:r>
        <w:rPr>
          <w:rFonts w:ascii="Arial" w:cs="Arial" w:eastAsia="Arial" w:hAnsi="Arial"/>
          <w:sz w:val="12"/>
          <w:szCs w:val="12"/>
          <w:color w:val="009AD9"/>
        </w:rPr>
        <w:t xml:space="preserve"> </w:t>
      </w:r>
      <w:r>
        <w:rPr>
          <w:rFonts w:ascii="Arial" w:cs="Arial" w:eastAsia="Arial" w:hAnsi="Arial"/>
          <w:sz w:val="12"/>
          <w:szCs w:val="12"/>
          <w:color w:val="000000"/>
        </w:rPr>
        <w:t>publicly traded oilfield services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009AD9"/>
        </w:rPr>
        <w:t>Theodore F.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692785" cy="9702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b w:val="1"/>
          <w:bCs w:val="1"/>
          <w:color w:val="auto"/>
        </w:rPr>
        <w:t>Private Investor and Attorney</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68</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Independent Director Since 2015</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sectPr>
          <w:pgSz w:w="11900" w:h="16838" w:orient="portrait"/>
          <w:cols w:equalWidth="0" w:num="2">
            <w:col w:w="7420" w:space="300"/>
            <w:col w:w="2439"/>
          </w:cols>
          <w:pgMar w:left="300" w:top="372" w:right="1440" w:bottom="1440" w:gutter="0" w:footer="0" w:header="0"/>
          <w:type w:val="continuous"/>
        </w:sectPr>
      </w:pPr>
    </w:p>
    <w:p>
      <w:pPr>
        <w:spacing w:after="0" w:line="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 B.A., The University of Texas at Austin</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 J.D., University of Houston</w:t>
      </w:r>
    </w:p>
    <w:p>
      <w:pPr>
        <w:spacing w:after="0" w:line="284"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Strategic Planning/Transactions</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Cybersecurity/Technology</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Environmental/Sustainability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15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 Chief Financial Officer (2023 – Present) and previously President and Chief Executive Officer</w:t>
      </w:r>
      <w:r>
        <w:rPr>
          <w:rFonts w:ascii="Arial" w:cs="Arial" w:eastAsia="Arial" w:hAnsi="Arial"/>
          <w:sz w:val="12"/>
          <w:szCs w:val="12"/>
          <w:color w:val="009AD9"/>
        </w:rPr>
        <w:t xml:space="preserve"> </w:t>
      </w:r>
      <w:r>
        <w:rPr>
          <w:rFonts w:ascii="Arial" w:cs="Arial" w:eastAsia="Arial" w:hAnsi="Arial"/>
          <w:sz w:val="12"/>
          <w:szCs w:val="12"/>
          <w:color w:val="000000"/>
        </w:rPr>
        <w:t>(2019 – 2022) of Marathon-Sparta Holdings, Inc., a private company involved in non-healthcare related employee benefits programs and affiliated through common ownership with Torch Energy Advisor Inc.</w:t>
      </w:r>
    </w:p>
    <w:p>
      <w:pPr>
        <w:spacing w:after="0" w:line="1" w:lineRule="exact"/>
        <w:rPr>
          <w:sz w:val="20"/>
          <w:szCs w:val="20"/>
          <w:color w:val="auto"/>
        </w:rPr>
      </w:pPr>
    </w:p>
    <w:p>
      <w:pPr>
        <w:jc w:val="both"/>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 President and Chief Executive Officer (2013 – 2019) of Torch Energy Advisor Inc., a private</w:t>
      </w:r>
      <w:r>
        <w:rPr>
          <w:rFonts w:ascii="Arial" w:cs="Arial" w:eastAsia="Arial" w:hAnsi="Arial"/>
          <w:sz w:val="12"/>
          <w:szCs w:val="12"/>
          <w:color w:val="009AD9"/>
        </w:rPr>
        <w:t xml:space="preserve"> </w:t>
      </w:r>
      <w:r>
        <w:rPr>
          <w:rFonts w:ascii="Arial" w:cs="Arial" w:eastAsia="Arial" w:hAnsi="Arial"/>
          <w:sz w:val="12"/>
          <w:szCs w:val="12"/>
          <w:color w:val="000000"/>
        </w:rPr>
        <w:t>energy company with interests in oil, gas and renewable energy, including the development of wind and solar renewable projects</w:t>
      </w:r>
    </w:p>
    <w:p>
      <w:pPr>
        <w:jc w:val="both"/>
        <w:ind w:left="2180"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 Partner (2002 – 2012) at KMPG LLP, a global network of professional firms providing audit, tax</w:t>
      </w:r>
      <w:r>
        <w:rPr>
          <w:rFonts w:ascii="Arial" w:cs="Arial" w:eastAsia="Arial" w:hAnsi="Arial"/>
          <w:sz w:val="12"/>
          <w:szCs w:val="12"/>
          <w:color w:val="009AD9"/>
        </w:rPr>
        <w:t xml:space="preserve"> </w:t>
      </w:r>
      <w:r>
        <w:rPr>
          <w:rFonts w:ascii="Arial" w:cs="Arial" w:eastAsia="Arial" w:hAnsi="Arial"/>
          <w:sz w:val="12"/>
          <w:szCs w:val="12"/>
          <w:color w:val="000000"/>
        </w:rPr>
        <w:t>and advisory services</w:t>
      </w:r>
    </w:p>
    <w:p>
      <w:pPr>
        <w:spacing w:after="0" w:line="13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 Health Care Service Corporation (2021 – Present)</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 Oilstone Energy Services, Inc. (2014 – 2016)</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 B.A., Baylor University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 M.B.A., Baylor University</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 Licensed CPA – Texas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Compensation (Chair)</w:t>
      </w:r>
    </w:p>
    <w:p>
      <w:pPr>
        <w:ind w:left="6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692785" cy="9702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009AD9"/>
        </w:rPr>
        <w:t>Phillip R. Smith</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Chief Financial Officer of</w:t>
      </w:r>
    </w:p>
    <w:p>
      <w:pPr>
        <w:spacing w:after="0"/>
        <w:rPr>
          <w:sz w:val="20"/>
          <w:szCs w:val="20"/>
          <w:color w:val="auto"/>
        </w:rPr>
      </w:pPr>
      <w:r>
        <w:rPr>
          <w:rFonts w:ascii="Arial" w:cs="Arial" w:eastAsia="Arial" w:hAnsi="Arial"/>
          <w:sz w:val="9"/>
          <w:szCs w:val="9"/>
          <w:b w:val="1"/>
          <w:bCs w:val="1"/>
          <w:color w:val="auto"/>
        </w:rPr>
        <w:t>Marathon-Sparta Holdings, Inc.</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71</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Independent Director Since 2014</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Audit (Chair)</w:t>
      </w:r>
    </w:p>
    <w:p>
      <w:pPr>
        <w:ind w:left="180" w:right="939" w:hanging="135"/>
        <w:spacing w:after="0" w:line="243" w:lineRule="auto"/>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Governance, Environmental and</w:t>
      </w:r>
      <w:r>
        <w:rPr>
          <w:rFonts w:ascii="Arial" w:cs="Arial" w:eastAsia="Arial" w:hAnsi="Arial"/>
          <w:sz w:val="9"/>
          <w:szCs w:val="9"/>
          <w:color w:val="009AD9"/>
        </w:rPr>
        <w:t xml:space="preserve"> </w:t>
      </w:r>
      <w:r>
        <w:rPr>
          <w:rFonts w:ascii="Arial" w:cs="Arial" w:eastAsia="Arial" w:hAnsi="Arial"/>
          <w:sz w:val="9"/>
          <w:szCs w:val="9"/>
          <w:color w:val="000000"/>
        </w:rPr>
        <w:t>Sustainability</w:t>
      </w:r>
    </w:p>
    <w:p>
      <w:pPr>
        <w:spacing w:after="0" w:line="1453" w:lineRule="exact"/>
        <w:rPr>
          <w:sz w:val="20"/>
          <w:szCs w:val="20"/>
          <w:color w:val="auto"/>
        </w:rPr>
      </w:pPr>
    </w:p>
    <w:p>
      <w:pPr>
        <w:sectPr>
          <w:pgSz w:w="11900" w:h="16838" w:orient="portrait"/>
          <w:cols w:equalWidth="0" w:num="2">
            <w:col w:w="7420" w:space="300"/>
            <w:col w:w="2439"/>
          </w:cols>
          <w:pgMar w:left="300" w:top="372" w:right="1440" w:bottom="1440" w:gutter="0" w:footer="0" w:header="0"/>
          <w:type w:val="continuous"/>
        </w:sectPr>
      </w:pPr>
    </w:p>
    <w:p>
      <w:pPr>
        <w:ind w:left="2220" w:hanging="230"/>
        <w:spacing w:after="0"/>
        <w:tabs>
          <w:tab w:leader="none" w:pos="2220" w:val="left"/>
        </w:tabs>
        <w:numPr>
          <w:ilvl w:val="0"/>
          <w:numId w:val="29"/>
        </w:numPr>
        <w:rPr>
          <w:rFonts w:ascii="Arial" w:cs="Arial" w:eastAsia="Arial" w:hAnsi="Arial"/>
          <w:sz w:val="14"/>
          <w:szCs w:val="14"/>
          <w:b w:val="1"/>
          <w:bCs w:val="1"/>
          <w:color w:val="009AD9"/>
        </w:rPr>
      </w:pPr>
      <w:r>
        <w:rPr>
          <w:rFonts w:ascii="Arial" w:cs="Arial" w:eastAsia="Arial" w:hAnsi="Arial"/>
          <w:sz w:val="12"/>
          <w:szCs w:val="12"/>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-100965</wp:posOffset>
            </wp:positionV>
            <wp:extent cx="47117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283845</wp:posOffset>
            </wp:positionV>
            <wp:extent cx="367220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Key Qualifications and Skills Provided to Our Board</w:t>
      </w:r>
    </w:p>
    <w:p>
      <w:pPr>
        <w:spacing w:after="0" w:line="12"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Utility Industry Expertise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Government and Regulatory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Finance and Accounting</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Legal Expertise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Senior Leadership</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Public Company Experience</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Corporate Governance</w:t>
      </w:r>
    </w:p>
    <w:p>
      <w:pPr>
        <w:spacing w:after="0" w:line="5"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Risk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Environmental/Sustainability</w:t>
      </w:r>
    </w:p>
    <w:p>
      <w:pPr>
        <w:spacing w:after="0" w:line="10"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Cybersecurity/Technology</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Human Capital Management</w:t>
      </w:r>
    </w:p>
    <w:p>
      <w:pPr>
        <w:spacing w:after="0" w:line="7" w:lineRule="exact"/>
        <w:rPr>
          <w:sz w:val="20"/>
          <w:szCs w:val="20"/>
          <w:color w:val="auto"/>
        </w:rPr>
      </w:pPr>
    </w:p>
    <w:p>
      <w:pPr>
        <w:ind w:left="2000"/>
        <w:spacing w:after="0" w:line="138" w:lineRule="exact"/>
        <w:rPr>
          <w:sz w:val="20"/>
          <w:szCs w:val="20"/>
          <w:color w:val="auto"/>
        </w:rPr>
      </w:pPr>
      <w:r>
        <w:rPr>
          <w:rFonts w:ascii="MS PGothic" w:cs="MS PGothic" w:eastAsia="MS PGothic" w:hAnsi="MS PGothic"/>
          <w:sz w:val="12"/>
          <w:szCs w:val="12"/>
          <w:color w:val="009AD9"/>
        </w:rPr>
        <w:t>✓</w:t>
      </w:r>
      <w:r>
        <w:rPr>
          <w:rFonts w:ascii="Arial" w:cs="Arial" w:eastAsia="Arial" w:hAnsi="Arial"/>
          <w:sz w:val="12"/>
          <w:szCs w:val="12"/>
          <w:color w:val="auto"/>
        </w:rPr>
        <w:t xml:space="preserve">   Community Involvement</w:t>
      </w:r>
    </w:p>
    <w:p>
      <w:pPr>
        <w:spacing w:after="0" w:line="15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Experience</w:t>
      </w:r>
    </w:p>
    <w:p>
      <w:pPr>
        <w:spacing w:after="0" w:line="12" w:lineRule="exact"/>
        <w:rPr>
          <w:sz w:val="20"/>
          <w:szCs w:val="20"/>
          <w:color w:val="auto"/>
        </w:rPr>
      </w:pPr>
    </w:p>
    <w:p>
      <w:pPr>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 President and principal attorney (2017 – Present) of Barry Smitherman, P.C., a law firm specializing</w:t>
      </w:r>
      <w:r>
        <w:rPr>
          <w:rFonts w:ascii="Arial" w:cs="Arial" w:eastAsia="Arial" w:hAnsi="Arial"/>
          <w:sz w:val="12"/>
          <w:szCs w:val="12"/>
          <w:color w:val="009AD9"/>
        </w:rPr>
        <w:t xml:space="preserve"> </w:t>
      </w:r>
      <w:r>
        <w:rPr>
          <w:rFonts w:ascii="Arial" w:cs="Arial" w:eastAsia="Arial" w:hAnsi="Arial"/>
          <w:sz w:val="12"/>
          <w:szCs w:val="12"/>
          <w:color w:val="000000"/>
        </w:rPr>
        <w:t>in water, electricity and natural gas</w:t>
      </w:r>
    </w:p>
    <w:p>
      <w:pPr>
        <w:ind w:left="2180"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 Managing Partner (2017 – Present) of Smitherman + Associates, a firm providing consulting services</w:t>
      </w:r>
      <w:r>
        <w:rPr>
          <w:rFonts w:ascii="Arial" w:cs="Arial" w:eastAsia="Arial" w:hAnsi="Arial"/>
          <w:sz w:val="12"/>
          <w:szCs w:val="12"/>
          <w:color w:val="009AD9"/>
        </w:rPr>
        <w:t xml:space="preserve"> </w:t>
      </w:r>
      <w:r>
        <w:rPr>
          <w:rFonts w:ascii="Arial" w:cs="Arial" w:eastAsia="Arial" w:hAnsi="Arial"/>
          <w:sz w:val="12"/>
          <w:szCs w:val="12"/>
          <w:color w:val="000000"/>
        </w:rPr>
        <w:t>to energy infrastructure-related entities</w:t>
      </w:r>
    </w:p>
    <w:p>
      <w:pPr>
        <w:ind w:left="2000" w:right="128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 Adjunct Professor (2016 – Present) at The University of Texas School of Law</w:t>
      </w:r>
      <w:r>
        <w:rPr>
          <w:rFonts w:ascii="Arial" w:cs="Arial" w:eastAsia="Arial" w:hAnsi="Arial"/>
          <w:sz w:val="12"/>
          <w:szCs w:val="12"/>
          <w:color w:val="009AD9"/>
        </w:rPr>
        <w:t xml:space="preserve"> •</w:t>
      </w:r>
      <w:r>
        <w:rPr>
          <w:rFonts w:ascii="Arial" w:cs="Arial" w:eastAsia="Arial" w:hAnsi="Arial"/>
          <w:sz w:val="12"/>
          <w:szCs w:val="12"/>
          <w:color w:val="000000"/>
        </w:rPr>
        <w:t xml:space="preserve">   Partner (2015 – 2017) at Vinson &amp; Elkins LLP, an international law firm</w:t>
      </w:r>
    </w:p>
    <w:p>
      <w:pPr>
        <w:ind w:left="2180"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 Managing Director and National Head of Tax-Exempt Securities (1999 – 2002), Banc One Capital</w:t>
      </w:r>
      <w:r>
        <w:rPr>
          <w:rFonts w:ascii="Arial" w:cs="Arial" w:eastAsia="Arial" w:hAnsi="Arial"/>
          <w:sz w:val="12"/>
          <w:szCs w:val="12"/>
          <w:color w:val="009AD9"/>
        </w:rPr>
        <w:t xml:space="preserve"> </w:t>
      </w:r>
      <w:r>
        <w:rPr>
          <w:rFonts w:ascii="Arial" w:cs="Arial" w:eastAsia="Arial" w:hAnsi="Arial"/>
          <w:sz w:val="12"/>
          <w:szCs w:val="12"/>
          <w:color w:val="000000"/>
        </w:rPr>
        <w:t>Markets (later acquired by J.P. Morgan)</w:t>
      </w:r>
    </w:p>
    <w:p>
      <w:pPr>
        <w:spacing w:after="0" w:line="135"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Other Boards (</w:t>
      </w:r>
      <w:r>
        <w:rPr>
          <w:rFonts w:ascii="Arial" w:cs="Arial" w:eastAsia="Arial" w:hAnsi="Arial"/>
          <w:sz w:val="12"/>
          <w:szCs w:val="12"/>
          <w:color w:val="009AD9"/>
        </w:rPr>
        <w:t>For Profit and Non-Profit Entities</w:t>
      </w:r>
      <w:r>
        <w:rPr>
          <w:rFonts w:ascii="Arial" w:cs="Arial" w:eastAsia="Arial" w:hAnsi="Arial"/>
          <w:sz w:val="12"/>
          <w:szCs w:val="12"/>
          <w:b w:val="1"/>
          <w:bCs w:val="1"/>
          <w:color w:val="009AD9"/>
        </w:rPr>
        <w: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Public Company</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 NRG Energy, Inc. (2017 – 2018)</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Other</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and President, Texas Geothermal Energy Alliance (2022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Brookwood in Georgetown (2018 – Present)</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 Centric Infrastructure Group, LLC (2019 – 2021)</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(2012 – 2014) and Commissioner (2011 – 2014), Railroad Commission of Texas</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 National Association of Regulatory Utility Commission (2011 – 2014)</w:t>
      </w:r>
    </w:p>
    <w:p>
      <w:pPr>
        <w:ind w:left="2000"/>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 Southern States Energy Board (2011 – 2013)</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 Member, Interstate Oil and Gas Compact Commission (2011 – 2013)</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 Southwest Power Pool (SPP) Regional State Committee (2008 – 2011)</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 Member, U.S. Department of Energy Electricity Advisory Committee (2008 – 2011)</w:t>
      </w:r>
    </w:p>
    <w:p>
      <w:pPr>
        <w:ind w:left="2000"/>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 Vice-Chair, Texas Advisory Panel on Federal Environmental Regulations (2008 – 2009)</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 Chairman (2007 – 2011) and Commissioner (2004 – 2011), Public Utility Commission of Texas</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 Electric Reliability Council of Texas (2007 – 2011)</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 Member, Texas Public Finance Authority (2002 – 2004)</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Education and Credentials</w:t>
      </w:r>
    </w:p>
    <w:p>
      <w:pPr>
        <w:spacing w:after="0" w:line="11" w:lineRule="exact"/>
        <w:rPr>
          <w:sz w:val="20"/>
          <w:szCs w:val="20"/>
          <w:color w:val="auto"/>
        </w:rPr>
      </w:pP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 B.B.A., summa cum laude, Texas A&amp;M University</w:t>
      </w:r>
    </w:p>
    <w:p>
      <w:pPr>
        <w:ind w:left="200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 M.P.A., Harvard University</w:t>
      </w:r>
    </w:p>
    <w:p>
      <w:pPr>
        <w:ind w:left="200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 J.D., The University of Texas School of Law</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-104140</wp:posOffset>
            </wp:positionV>
            <wp:extent cx="1039495" cy="149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147955</wp:posOffset>
            </wp:positionV>
            <wp:extent cx="692785" cy="9702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785"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009AD9"/>
        </w:rPr>
        <w:t>Barry T. Smitherman</w:t>
      </w:r>
    </w:p>
    <w:p>
      <w:pPr>
        <w:spacing w:after="0" w:line="13" w:lineRule="exact"/>
        <w:rPr>
          <w:sz w:val="20"/>
          <w:szCs w:val="20"/>
          <w:color w:val="auto"/>
        </w:rPr>
      </w:pPr>
    </w:p>
    <w:p>
      <w:pPr>
        <w:ind w:left="60" w:right="1059"/>
        <w:spacing w:after="0" w:line="238" w:lineRule="auto"/>
        <w:rPr>
          <w:sz w:val="20"/>
          <w:szCs w:val="20"/>
          <w:color w:val="auto"/>
        </w:rPr>
      </w:pPr>
      <w:r>
        <w:rPr>
          <w:rFonts w:ascii="Arial" w:cs="Arial" w:eastAsia="Arial" w:hAnsi="Arial"/>
          <w:sz w:val="9"/>
          <w:szCs w:val="9"/>
          <w:b w:val="1"/>
          <w:bCs w:val="1"/>
          <w:color w:val="auto"/>
        </w:rPr>
        <w:t>President of Barry Smitherman, P.C. and Managing Partner of Smitherman + Associates, L.P.</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 xml:space="preserve">Age: </w:t>
      </w:r>
      <w:r>
        <w:rPr>
          <w:rFonts w:ascii="Arial" w:cs="Arial" w:eastAsia="Arial" w:hAnsi="Arial"/>
          <w:sz w:val="9"/>
          <w:szCs w:val="9"/>
          <w:color w:val="auto"/>
        </w:rPr>
        <w:t>65</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Independent Director Since 2020</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9"/>
          <w:szCs w:val="9"/>
          <w:b w:val="1"/>
          <w:bCs w:val="1"/>
          <w:color w:val="auto"/>
        </w:rPr>
        <w:t>Committees: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Audit</w:t>
      </w:r>
    </w:p>
    <w:p>
      <w:pPr>
        <w:ind w:left="120"/>
        <w:spacing w:after="0"/>
        <w:rPr>
          <w:sz w:val="20"/>
          <w:szCs w:val="20"/>
          <w:color w:val="auto"/>
        </w:rPr>
      </w:pPr>
      <w:r>
        <w:rPr>
          <w:rFonts w:ascii="Arial" w:cs="Arial" w:eastAsia="Arial" w:hAnsi="Arial"/>
          <w:sz w:val="9"/>
          <w:szCs w:val="9"/>
          <w:color w:val="009AD9"/>
        </w:rPr>
        <w:t>•</w:t>
      </w:r>
      <w:r>
        <w:rPr>
          <w:rFonts w:ascii="Arial" w:cs="Arial" w:eastAsia="Arial" w:hAnsi="Arial"/>
          <w:sz w:val="9"/>
          <w:szCs w:val="9"/>
          <w:color w:val="000000"/>
        </w:rPr>
        <w:t xml:space="preserve">    Compensation</w:t>
      </w:r>
    </w:p>
    <w:p>
      <w:pPr>
        <w:spacing w:after="0" w:line="4017" w:lineRule="exact"/>
        <w:rPr>
          <w:sz w:val="20"/>
          <w:szCs w:val="20"/>
          <w:color w:val="auto"/>
        </w:rPr>
      </w:pPr>
    </w:p>
    <w:p>
      <w:pPr>
        <w:sectPr>
          <w:pgSz w:w="11900" w:h="16838" w:orient="portrait"/>
          <w:cols w:equalWidth="0" w:num="2">
            <w:col w:w="7560" w:space="100"/>
            <w:col w:w="2499"/>
          </w:cols>
          <w:pgMar w:left="300" w:top="372" w:right="1440" w:bottom="1440" w:gutter="0" w:footer="0" w:header="0"/>
        </w:sectPr>
      </w:pPr>
    </w:p>
    <w:p>
      <w:pPr>
        <w:spacing w:after="0" w:line="357" w:lineRule="exact"/>
        <w:rPr>
          <w:sz w:val="20"/>
          <w:szCs w:val="20"/>
          <w:color w:val="auto"/>
        </w:rPr>
      </w:pPr>
    </w:p>
    <w:p>
      <w:pPr>
        <w:ind w:left="2820"/>
        <w:spacing w:after="0"/>
        <w:rPr>
          <w:sz w:val="20"/>
          <w:szCs w:val="20"/>
          <w:color w:val="auto"/>
        </w:rPr>
      </w:pPr>
      <w:r>
        <w:rPr>
          <w:rFonts w:ascii="Arial" w:cs="Arial" w:eastAsia="Arial" w:hAnsi="Arial"/>
          <w:sz w:val="12"/>
          <w:szCs w:val="12"/>
          <w:b w:val="1"/>
          <w:bCs w:val="1"/>
          <w:color w:val="009AD9"/>
        </w:rPr>
        <w:t>The Board of Directors recommends a vote FOR the election of each of the nominees as directors.</w:t>
      </w:r>
    </w:p>
    <w:p>
      <w:pPr>
        <w:spacing w:after="0" w:line="182" w:lineRule="exact"/>
        <w:rPr>
          <w:sz w:val="20"/>
          <w:szCs w:val="20"/>
          <w:color w:val="auto"/>
        </w:rPr>
      </w:pPr>
    </w:p>
    <w:p>
      <w:pPr>
        <w:jc w:val="right"/>
        <w:ind w:right="859"/>
        <w:spacing w:after="0"/>
        <w:tabs>
          <w:tab w:leader="none" w:pos="1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1"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In assessing the qualifications of candidates for nomination as a director in addition to qualifications set forth in our bylaws, the</w:t>
      </w:r>
    </w:p>
    <w:p>
      <w:pPr>
        <w:ind w:left="1940"/>
        <w:spacing w:after="0"/>
        <w:rPr>
          <w:sz w:val="20"/>
          <w:szCs w:val="20"/>
          <w:color w:val="auto"/>
        </w:rPr>
      </w:pPr>
      <w:r>
        <w:rPr>
          <w:rFonts w:ascii="Arial" w:cs="Arial" w:eastAsia="Arial" w:hAnsi="Arial"/>
          <w:sz w:val="12"/>
          <w:szCs w:val="12"/>
          <w:color w:val="auto"/>
        </w:rPr>
        <w:t>Governance, Environmental and Sustainability Committee and the Board consider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103505</wp:posOffset>
            </wp:positionV>
            <wp:extent cx="4688205" cy="8432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688205" cy="843280"/>
                    </a:xfrm>
                    <a:prstGeom prst="rect">
                      <a:avLst/>
                    </a:prstGeom>
                    <a:noFill/>
                  </pic:spPr>
                </pic:pic>
              </a:graphicData>
            </a:graphic>
          </wp:anchor>
        </w:drawing>
      </w:r>
    </w:p>
    <w:p>
      <w:pPr>
        <w:spacing w:after="0" w:line="178" w:lineRule="exact"/>
        <w:rPr>
          <w:sz w:val="20"/>
          <w:szCs w:val="20"/>
          <w:color w:val="auto"/>
        </w:rPr>
      </w:pPr>
    </w:p>
    <w:p>
      <w:pPr>
        <w:ind w:left="212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nominee’s personal and professional integrity, experience, reputation and skills;</w:t>
      </w:r>
    </w:p>
    <w:p>
      <w:pPr>
        <w:spacing w:after="0" w:line="71" w:lineRule="exact"/>
        <w:rPr>
          <w:sz w:val="20"/>
          <w:szCs w:val="20"/>
          <w:color w:val="auto"/>
        </w:rPr>
      </w:pPr>
    </w:p>
    <w:p>
      <w:pPr>
        <w:ind w:left="212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nominee’s ability and willingness to devote the time and effort necessary to be an effective board member;</w:t>
      </w:r>
    </w:p>
    <w:p>
      <w:pPr>
        <w:spacing w:after="0" w:line="71" w:lineRule="exact"/>
        <w:rPr>
          <w:sz w:val="20"/>
          <w:szCs w:val="20"/>
          <w:color w:val="auto"/>
        </w:rPr>
      </w:pPr>
    </w:p>
    <w:p>
      <w:pPr>
        <w:ind w:left="212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nominee’s commitment to act in the best interests of CenterPoint Energy and its shareholders;</w:t>
      </w:r>
    </w:p>
    <w:p>
      <w:pPr>
        <w:spacing w:after="0" w:line="71" w:lineRule="exact"/>
        <w:rPr>
          <w:sz w:val="20"/>
          <w:szCs w:val="20"/>
          <w:color w:val="auto"/>
        </w:rPr>
      </w:pPr>
    </w:p>
    <w:p>
      <w:pPr>
        <w:ind w:left="2300" w:right="85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requirements under the listing standards of the New York Stock Exchange for a majority of independent directors, as well as</w:t>
      </w:r>
      <w:r>
        <w:rPr>
          <w:rFonts w:ascii="Arial" w:cs="Arial" w:eastAsia="Arial" w:hAnsi="Arial"/>
          <w:sz w:val="12"/>
          <w:szCs w:val="12"/>
          <w:color w:val="009AD9"/>
        </w:rPr>
        <w:t xml:space="preserve"> </w:t>
      </w:r>
      <w:r>
        <w:rPr>
          <w:rFonts w:ascii="Arial" w:cs="Arial" w:eastAsia="Arial" w:hAnsi="Arial"/>
          <w:sz w:val="12"/>
          <w:szCs w:val="12"/>
          <w:color w:val="000000"/>
        </w:rPr>
        <w:t>qualifications applicable to membership on Board committees under the listing standards and various regulations; and</w:t>
      </w:r>
    </w:p>
    <w:p>
      <w:pPr>
        <w:spacing w:after="0" w:line="58" w:lineRule="exact"/>
        <w:rPr>
          <w:sz w:val="20"/>
          <w:szCs w:val="20"/>
          <w:color w:val="auto"/>
        </w:rPr>
      </w:pPr>
    </w:p>
    <w:p>
      <w:pPr>
        <w:ind w:left="2300" w:right="85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Board’s desire that the directors possess a broad range of business experience, diversity, professional skills, geographic</w:t>
      </w:r>
      <w:r>
        <w:rPr>
          <w:rFonts w:ascii="Arial" w:cs="Arial" w:eastAsia="Arial" w:hAnsi="Arial"/>
          <w:sz w:val="12"/>
          <w:szCs w:val="12"/>
          <w:color w:val="009AD9"/>
        </w:rPr>
        <w:t xml:space="preserve"> </w:t>
      </w:r>
      <w:r>
        <w:rPr>
          <w:rFonts w:ascii="Arial" w:cs="Arial" w:eastAsia="Arial" w:hAnsi="Arial"/>
          <w:sz w:val="12"/>
          <w:szCs w:val="12"/>
          <w:color w:val="000000"/>
        </w:rPr>
        <w:t>representation and other qualities it considers important in light of our business plan.</w:t>
      </w:r>
    </w:p>
    <w:p>
      <w:pPr>
        <w:spacing w:after="0" w:line="176"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At least annually, the Governance, Environmental and Sustainability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diversity of experience, skills, perspectives and backgrounds to see that the Company is well-managed with a focus on achieving the Company’s near- and long-term business strategy and (ii) represents the interests of the Company and its shareholders.</w:t>
      </w:r>
    </w:p>
    <w:p>
      <w:pPr>
        <w:spacing w:after="0" w:line="138"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In seeking new director candidates, the Governance, Environmental and Sustainability Committee and the Board consider the skills, expertise and qualities that will be required to effectively oversee management of the business and affairs of the Company. The Governance, Environmental and Sustainability Committee and the Board also consider the diversity of the Board in terms of the geographic, gender, age and ethnic makeup of its members. The Board believes that a diverse membership enhances the Board’s deliberations and promotes inclusiveness.</w:t>
      </w:r>
    </w:p>
    <w:p>
      <w:pPr>
        <w:spacing w:after="0" w:line="138"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Board and management believe that it is important that all aspects of the Company, including the Board and employee population at large, represent the diverse communities in our service territories in order to better serve our customers. This commitment to diversity has been incorporated throughout the Company including, among other items:</w:t>
      </w:r>
    </w:p>
    <w:p>
      <w:pPr>
        <w:spacing w:after="0" w:line="72" w:lineRule="exact"/>
        <w:rPr>
          <w:sz w:val="20"/>
          <w:szCs w:val="20"/>
          <w:color w:val="auto"/>
        </w:rPr>
      </w:pPr>
    </w:p>
    <w:p>
      <w:pPr>
        <w:ind w:left="2220" w:hanging="213"/>
        <w:spacing w:after="0"/>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40% of our current executive officers are either gender or racially/ethnically diverse;</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44% of our Board is either gender or racially/ethnically diverse, with two directors who are both gender and racially/ethnically diverse;</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41% of the Company’s workforce is racially/ethnically diverse as of December 31, 2022;</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Competitive job placements in 2022 were 57% racially/ethnically diverse and 41% gender diverse;</w:t>
      </w:r>
    </w:p>
    <w:p>
      <w:pPr>
        <w:spacing w:after="0" w:line="80"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Diversity, Equity and Inclusion Council oversees the Company’s diversity, equity and inclusion efforts and is sponsored by our Executive Vice President and Chief Human Resources Officer, and our Executive Vice President and General Counsel;</w:t>
      </w:r>
    </w:p>
    <w:p>
      <w:pPr>
        <w:spacing w:after="0" w:line="67" w:lineRule="exact"/>
        <w:rPr>
          <w:rFonts w:ascii="Arial" w:cs="Arial" w:eastAsia="Arial" w:hAnsi="Arial"/>
          <w:sz w:val="12"/>
          <w:szCs w:val="12"/>
          <w:color w:val="009AD9"/>
        </w:rPr>
      </w:pPr>
    </w:p>
    <w:p>
      <w:pPr>
        <w:jc w:val="both"/>
        <w:ind w:left="2220" w:right="799" w:hanging="213"/>
        <w:spacing w:after="0" w:line="241" w:lineRule="auto"/>
        <w:tabs>
          <w:tab w:leader="none" w:pos="2220" w:val="left"/>
        </w:tabs>
        <w:numPr>
          <w:ilvl w:val="0"/>
          <w:numId w:val="30"/>
        </w:numPr>
        <w:rPr>
          <w:rFonts w:ascii="Arial" w:cs="Arial" w:eastAsia="Arial" w:hAnsi="Arial"/>
          <w:sz w:val="12"/>
          <w:szCs w:val="12"/>
          <w:color w:val="009AD9"/>
        </w:rPr>
      </w:pPr>
      <w:r>
        <w:rPr>
          <w:rFonts w:ascii="Arial" w:cs="Arial" w:eastAsia="Arial" w:hAnsi="Arial"/>
          <w:sz w:val="12"/>
          <w:szCs w:val="12"/>
          <w:color w:val="auto"/>
        </w:rPr>
        <w:t>Eight employee resource groups (ERGs) currently encompass groups including Women, Black, LGTBQ+, Military, Hispanic/Latin, Asian, employees of Indian descent, and parents, caregivers and individuals with different abilities, and have been supported by our Board and executive management, including through participation by Board members and executive management in various employee presentations conducted by the Diversity, Equity and Inclusion Council and ERGs; and</w:t>
      </w:r>
    </w:p>
    <w:p>
      <w:pPr>
        <w:spacing w:after="0" w:line="132" w:lineRule="exact"/>
        <w:rPr>
          <w:sz w:val="20"/>
          <w:szCs w:val="20"/>
          <w:color w:val="auto"/>
        </w:rPr>
      </w:pPr>
    </w:p>
    <w:p>
      <w:pPr>
        <w:ind w:left="2220" w:hanging="230"/>
        <w:spacing w:after="0"/>
        <w:tabs>
          <w:tab w:leader="none" w:pos="2220" w:val="left"/>
        </w:tabs>
        <w:numPr>
          <w:ilvl w:val="0"/>
          <w:numId w:val="3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4" w:lineRule="exact"/>
        <w:rPr>
          <w:sz w:val="20"/>
          <w:szCs w:val="20"/>
          <w:color w:val="auto"/>
        </w:rPr>
      </w:pPr>
    </w:p>
    <w:p>
      <w:pPr>
        <w:ind w:left="2220" w:hanging="213"/>
        <w:spacing w:after="0"/>
        <w:tabs>
          <w:tab w:leader="none" w:pos="2220" w:val="left"/>
        </w:tabs>
        <w:numPr>
          <w:ilvl w:val="0"/>
          <w:numId w:val="32"/>
        </w:numPr>
        <w:rPr>
          <w:rFonts w:ascii="Arial" w:cs="Arial" w:eastAsia="Arial" w:hAnsi="Arial"/>
          <w:sz w:val="12"/>
          <w:szCs w:val="12"/>
          <w:color w:val="009AD9"/>
        </w:rPr>
      </w:pPr>
      <w:r>
        <w:rPr>
          <w:rFonts w:ascii="Arial" w:cs="Arial" w:eastAsia="Arial" w:hAnsi="Arial"/>
          <w:sz w:val="12"/>
          <w:szCs w:val="12"/>
          <w:color w:val="auto"/>
        </w:rPr>
        <w:t>A diversity, equity and inclusion negative-only modifier is included in executive officer short-term incentive compensation.</w:t>
      </w:r>
    </w:p>
    <w:p>
      <w:pPr>
        <w:spacing w:after="0" w:line="144" w:lineRule="exact"/>
        <w:rPr>
          <w:sz w:val="20"/>
          <w:szCs w:val="20"/>
          <w:color w:val="auto"/>
        </w:rPr>
      </w:pPr>
    </w:p>
    <w:p>
      <w:pPr>
        <w:jc w:val="both"/>
        <w:ind w:left="1940" w:right="819"/>
        <w:spacing w:after="0"/>
        <w:rPr>
          <w:sz w:val="20"/>
          <w:szCs w:val="20"/>
          <w:color w:val="auto"/>
        </w:rPr>
      </w:pPr>
      <w:r>
        <w:rPr>
          <w:rFonts w:ascii="Arial" w:cs="Arial" w:eastAsia="Arial" w:hAnsi="Arial"/>
          <w:sz w:val="12"/>
          <w:szCs w:val="12"/>
          <w:color w:val="auto"/>
        </w:rPr>
        <w:t>Prior to the departure of Ms. Leslie Biddle in April 2022 from the Board, Board membership represented 30% gender diversity. The Governance, Environmental and Sustainability Committee is committed to continuing to seek out diverse Board candidates, including gender diverse candidates, who possess skills that will help advance the near- and long-term strategic goals of the Company. The Governance, Environmental and Sustainability Committee and the Board are committed to appointing an additional gender diverse director by December 31, 2023.</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Director Nominations</w:t>
      </w:r>
    </w:p>
    <w:p>
      <w:pPr>
        <w:spacing w:after="0" w:line="85"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Suggestions for potential nominees for director can come to the Governance, Environmental and Sustainability Committee from a number of sources, including incumbent directors, officers, executive search firms and others. If an executive search firm is engaged for this purpose, the Governance, Environmental and Sustainability Committee has sole authority with respect to the engagement. The Governance, Environmental and Sustainability Committee will also consider director candidates recommended by shareholders. The extent to which the Governance, Environmental and Sustainability Committee dedicates time and resources to the consideration and evaluation of any potential nominee brought to its attention depends on the information available to the Governance, Environmental and Sustainability Committee about the qualifications and suitability of the individual, viewed in light of the needs of the Board, and is at the Governance, Environmental and Sustainability Committee’s discretion. The Governance, Environmental and Sustainability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near- and long-term business strategy.</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Bylaw Requirements for Director Nominations</w:t>
      </w:r>
    </w:p>
    <w:p>
      <w:pPr>
        <w:spacing w:after="0" w:line="85"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 xml:space="preserve">Our bylaws provide that a shareholder may nominate a director for election if the shareholder sends a notice to our Corporate Secretary, which must be received at our principal executive offices between October 24, 2023 and January 22, 2024. The bylaws require that the notice must contain prescribed information, including, among other things, the name and address of the shareholder, the number of shares owned beneficially by the shareholder, the name and address of each of the persons with whom the shareholder is acting in concert, the number of shares of capital stock beneficially owned by each such person with whom the shareholder is acting in concert, and a description of all arrangements or understandings between the shareholder and each nominee and any other persons with whom the shareholder is acting in concert pursuant to which the nomination or nominations are made, as well as other procedural requirements. The shareholder must also provide the documentation and information about the nominee required by our bylaws, including information about the nominee that would be required to be disclosed in the proxy statement. If any of the foregoing information changes or requires supplementation, the proponent must update the information at the times provided in our bylaws. Except as required under the proxy access provisions of our bylaws, CenterPoint Energy is not required to include any shareholder proposed nominee in the proxy statement. You may obtain a copy of the bylaws describing the requirements for nomination of director candidates by shareholders on our website at </w:t>
      </w:r>
      <w:r>
        <w:rPr>
          <w:rFonts w:ascii="Arial" w:cs="Arial" w:eastAsia="Arial" w:hAnsi="Arial"/>
          <w:sz w:val="12"/>
          <w:szCs w:val="12"/>
          <w:i w:val="1"/>
          <w:iCs w:val="1"/>
          <w:color w:val="auto"/>
        </w:rPr>
        <w:t>https://investors.centerpointenergy.com/governance.</w:t>
      </w:r>
    </w:p>
    <w:p>
      <w:pPr>
        <w:spacing w:after="0" w:line="140"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In addition to satisfying the foregoing requirements under the Company’s bylaws, to comply with the universal proxy rules under Rule 14a-19 of the Exchange Act of 1934, as amended (the Exchange Act), shareholders who intend to solicit proxies in support of director nominees other than the Company’s nominees must provide notice that sets forth the information required by Rule 14a-19 of the Exchange Act no later than February 21, 2024.</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Proxy Access Requirements</w:t>
      </w:r>
    </w:p>
    <w:p>
      <w:pPr>
        <w:spacing w:after="0" w:line="85"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Shareholders who intend to submit director nominees for inclusion in our proxy statement for the 2024 annual meeting must comply with the requirements of “proxy access” as set forth in our Bylaws, which permits a nominating</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0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 xml:space="preserve">group of up to 20 shareholders owning three percent or more of our common stock continuously for at least three years to nominate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 nominate a candidate for election to the Board at the 2024 annual meeting of our shareholders, in accordance with the proxy access provisions in our bylaws, must provide such notice no earlier than November 23, 2023 and no later than December 23, 2023. Any such notice and accompanying nomination materials must meet the requirements set forth in our bylaws, which are publicly available at </w:t>
      </w:r>
      <w:r>
        <w:rPr>
          <w:rFonts w:ascii="Arial" w:cs="Arial" w:eastAsia="Arial" w:hAnsi="Arial"/>
          <w:sz w:val="12"/>
          <w:szCs w:val="12"/>
          <w:i w:val="1"/>
          <w:iCs w:val="1"/>
          <w:color w:val="auto"/>
        </w:rPr>
        <w:t>https://investors.centerpointenergy.com/governance</w:t>
      </w:r>
      <w:r>
        <w:rPr>
          <w:rFonts w:ascii="Arial" w:cs="Arial" w:eastAsia="Arial" w:hAnsi="Arial"/>
          <w:sz w:val="12"/>
          <w:szCs w:val="12"/>
          <w:color w:val="auto"/>
        </w:rPr>
        <w:t>.</w:t>
      </w:r>
    </w:p>
    <w:p>
      <w:pPr>
        <w:spacing w:after="0" w:line="135"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Annual Board Self-Assessment and Director Peer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Board of Directors conducts a self-assessment of its performance and effectiveness as well as that of the three standing committees on an annual basis. The purpose of the self-assessment is to track progress from year to year and to identify ways to enhance the Board’s and its Committees’ effectiveness. Further, the Board of Directors, as part of its self-assessment, evaluates management’s preparation for Board and Committee meetings and the content presented at such meetings. As part of the assessment, each director completes a written questionnaire developed by the Governance, Environmental and Sustainability Committee to provide feedback on the effectiveness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152400</wp:posOffset>
            </wp:positionV>
            <wp:extent cx="3695065" cy="3638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95065"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Additionally, each director completes an individual evaluation for each of the other directors. The collective ratings and comments of the directors are compiled and presented by Mr. Cummings, the chair of the Governance, Environmental and Sustainability Committee, or by Mr. Nesbitt, with respect to Mr. Cummings’ evaluation, to the Governance, Environmental and Sustainability Committee and the full Board for discussion and action in connection with the director nomination process.</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The Board of Directors determined that Messrs. Cummings, Franklin, Nesbitt, Pound, Smith and Smitherman and Mses. Biddle*, Cloonan and Lewis are independent within the meaning of the listing standards for general independence of the New York Stock Exchange.</w:t>
      </w:r>
    </w:p>
    <w:p>
      <w:pPr>
        <w:spacing w:after="0" w:line="131"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Under the listing standards, a majority of our directors must be independent, and the Audit, Compensation, and Governance, Environmental and Sustainability Committees are each required to be composed solely of independent directors. The standards for audit committee and compensation committee membership include additional requirements under rules of the Securities and Exchange Commission. The Board has determined that all of the members of each of its standing committees meet the applicable independence requirements. The listing standards relating to general independence require an affirmative determination by the Board that the director has no material relationship with the listed company and contain a listing of several specific relationships that preclude independence.</w:t>
      </w:r>
    </w:p>
    <w:p>
      <w:pPr>
        <w:spacing w:after="0" w:line="139"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As contemplated by New York Stock Exchange rules then in effect, the Board adopted categorical standards in 2004 to assist in making determinations of independence. Under the rules then in effect, relationships falling within the categorical standards were not required to be disclosed or separately discussed in the proxy statement in connection with the Board’s independence determinations.</w:t>
      </w:r>
    </w:p>
    <w:p>
      <w:pPr>
        <w:spacing w:after="0" w:line="131" w:lineRule="exact"/>
        <w:rPr>
          <w:sz w:val="20"/>
          <w:szCs w:val="20"/>
          <w:color w:val="auto"/>
        </w:rPr>
      </w:pPr>
    </w:p>
    <w:p>
      <w:pPr>
        <w:ind w:left="2220" w:hanging="230"/>
        <w:spacing w:after="0"/>
        <w:tabs>
          <w:tab w:leader="none" w:pos="2220" w:val="left"/>
        </w:tabs>
        <w:numPr>
          <w:ilvl w:val="0"/>
          <w:numId w:val="3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 categorical standards cover two types of relationships. The first type involves relationships of the kind addressed in either:</w:t>
      </w:r>
    </w:p>
    <w:p>
      <w:pPr>
        <w:spacing w:after="0" w:line="80" w:lineRule="exact"/>
        <w:rPr>
          <w:sz w:val="20"/>
          <w:szCs w:val="20"/>
          <w:color w:val="auto"/>
        </w:rPr>
      </w:pPr>
    </w:p>
    <w:p>
      <w:pPr>
        <w:ind w:left="2220" w:hanging="213"/>
        <w:spacing w:after="0"/>
        <w:tabs>
          <w:tab w:leader="none" w:pos="2220" w:val="left"/>
        </w:tabs>
        <w:numPr>
          <w:ilvl w:val="0"/>
          <w:numId w:val="34"/>
        </w:numPr>
        <w:rPr>
          <w:rFonts w:ascii="Arial" w:cs="Arial" w:eastAsia="Arial" w:hAnsi="Arial"/>
          <w:sz w:val="12"/>
          <w:szCs w:val="12"/>
          <w:color w:val="009AD9"/>
        </w:rPr>
      </w:pPr>
      <w:r>
        <w:rPr>
          <w:rFonts w:ascii="Arial" w:cs="Arial" w:eastAsia="Arial" w:hAnsi="Arial"/>
          <w:sz w:val="12"/>
          <w:szCs w:val="12"/>
          <w:color w:val="auto"/>
        </w:rPr>
        <w:t>the rules of the Securities and Exchange Commission requiring proxy statement disclosure of relationships and transactions; or</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4"/>
        </w:numPr>
        <w:rPr>
          <w:rFonts w:ascii="Arial" w:cs="Arial" w:eastAsia="Arial" w:hAnsi="Arial"/>
          <w:sz w:val="12"/>
          <w:szCs w:val="12"/>
          <w:color w:val="009AD9"/>
        </w:rPr>
      </w:pPr>
      <w:r>
        <w:rPr>
          <w:rFonts w:ascii="Arial" w:cs="Arial" w:eastAsia="Arial" w:hAnsi="Arial"/>
          <w:sz w:val="12"/>
          <w:szCs w:val="12"/>
          <w:color w:val="auto"/>
        </w:rPr>
        <w:t>the New York Stock Exchange listing standards specifying relationships that preclude a determination of independence.</w:t>
      </w:r>
    </w:p>
    <w:p>
      <w:pPr>
        <w:spacing w:after="0" w:line="144"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For those relationships, the categorical standards are met if the relationship neither requires disclosure nor precludes a determination of independence under either set of rules.</w:t>
      </w:r>
    </w:p>
    <w:p>
      <w:pPr>
        <w:spacing w:after="0" w:line="131"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p>
    <w:p>
      <w:pPr>
        <w:spacing w:after="0" w:line="136"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In making its subjective determination regarding the independence of Messrs. Cummings, Franklin, Nesbitt, Pound, Smith and Smitherman and Mses. Biddle*, Cloonan and Lewis, the Board reviewed and discussed additional information provided by the directors and the Company with regard to each director’s business and personal activities as they related to the Company and Company management. The Board considered the transactions in the context of the New York Stock Exchange’s objective listing standards, the categorical standards noted above and the additional standards established for members of audit, compensation and governance committees.</w:t>
      </w:r>
    </w:p>
    <w:p>
      <w:pPr>
        <w:spacing w:after="0" w:line="296" w:lineRule="exact"/>
        <w:rPr>
          <w:sz w:val="20"/>
          <w:szCs w:val="20"/>
          <w:color w:val="auto"/>
        </w:rPr>
      </w:pPr>
    </w:p>
    <w:p>
      <w:pPr>
        <w:ind w:left="2160" w:hanging="226"/>
        <w:spacing w:after="0"/>
        <w:tabs>
          <w:tab w:leader="none" w:pos="21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Ms. Biddle served on the Board until the 2022 Annual Meeting.</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Code of Ethics and Ethics and Compliance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We have a Code of Ethics for our Chief Executive Officer and Senior Financial Officers, which group consists of our Chief Financial Officer, Chief Accounting Officer, Treasurer and Assistant Controller. We will post information regarding any amendments to, or waivers of, the provisions of this code applicable to these officers at the website location referred to below under “Website Availability of Documents.”</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We also have an Ethics and Compliance Code applicable to all directors, officers and employees. This code addresses, among other things, issues required to be addressed by a code of business conduct and ethics under New York Stock Exchange listing standards. Any waivers of this code for executive officers or directors may be made only by the Board of Directors or a committee of the Board and must be promptly disclosed to shareholders.</w:t>
      </w:r>
    </w:p>
    <w:p>
      <w:pPr>
        <w:spacing w:after="0" w:line="137"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In 2022, no waivers of our Code of Ethics or our Ethics and Compliance Code were granted.</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Conflicts of Interest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Governance, Environmental and Sustainability Committee will address and resolve any issues with respect to related-party transactions and conflicts of interest involving our executive officers, directors or other “related persons” under the applicable disclosure rules of the Securities and Exchange Commission.</w:t>
      </w:r>
    </w:p>
    <w:p>
      <w:pPr>
        <w:spacing w:after="0" w:line="136"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Our Ethics and Compliance Code provides that all employees must avoid even the appearance of a conflict of interest, and our Code of Ethics for our Chief Executive Officer and Senior Financial Officers similarly obligates the employees covered by that Code of Ethics (our Chief Executive Officer, Chief Financial Officer, Chief Accounting Officer, Treasurer and Assistant Controller) to avoid taking actions that would create actual or apparent conflicts of interest. Employees are advised to seek guidance or prior written approval from the Company to help avoid certain conflicts of interest, and to contact the Ethics &amp; Compliance Department for assistance in resolving potential or actual conflict of interests.</w:t>
      </w:r>
    </w:p>
    <w:p>
      <w:pPr>
        <w:spacing w:after="0" w:line="163"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00"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We have a written policy regarding related-party transactions. Pursuant to our Corporate Governance Guidelines, the Governance, Environmental and Sustainability Committee Charter and our Related-Party Transaction Approval Policy, the Board has delegated to the Governance, Environmental and Sustainability Committee the responsibility for reviewing and resolving any issues with respect to related-party transactions and conflicts of interests involving executive officers or directors of the Company or other related persons under the applicable rules of the Securities and Exchange Commission. The Company’s Corporate Governance Guidelines require that (i) each director shall promptly disclose to the Chair of the Board and the Chair of the Governance, Environmental and Sustainability Committee any potential conflicts of interest he or she may have with respect to any matter involving the Company and, if appropriate, recuse himself or herself from any discussions or decisions on any of these matters, and (ii) the Chair of the Board shall promptly advise the Governance, Environmental and Sustainability Committee of any potential conflicts of interest he or she may have with respect to any matter involving the Company and, if appropriate, recuse himself or herself from any discussions or decisions on any of these matters.</w:t>
      </w:r>
    </w:p>
    <w:p>
      <w:pPr>
        <w:spacing w:after="0" w:line="141"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Office of the Corporate Secretary periodically gathers information from directors and executive officers regarding matters involving potential conflicts of interest or related-party transactions and provides that information to the Governance, Environmental and Sustainability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p>
    <w:p>
      <w:pPr>
        <w:spacing w:after="0" w:line="139"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There were no related-party transactions in 2022 that were required to be reported pursuant to the applicable disclosure rules of the Securities and Exchange Commission.</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Majority Voting in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Our bylaws include a majority voting standard in uncontested director elections. This standard applies to the election of directors at this meeting. To be elected, a nominee must receive more votes cast “for” that nominee’s election than votes cast “against” that nominee’s election. In contested elections, the voting standard will be a plurality of votes cast. Under our bylaws, contested elections occur where, as of a date that is 14 days in advance of the date we file our definitive proxy statement with the Securities and Exchange Commission (regardless of whether or not thereafter revised or supplemented), the number of nominees exceeds the number of directors to be elected.</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Our Corporate Governance Guidelines include director resignation procedures. In brief, these procedures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103505</wp:posOffset>
            </wp:positionV>
            <wp:extent cx="4665345" cy="1189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65345" cy="1189355"/>
                    </a:xfrm>
                    <a:prstGeom prst="rect">
                      <a:avLst/>
                    </a:prstGeom>
                    <a:noFill/>
                  </pic:spPr>
                </pic:pic>
              </a:graphicData>
            </a:graphic>
          </wp:anchor>
        </w:drawing>
      </w:r>
    </w:p>
    <w:p>
      <w:pPr>
        <w:spacing w:after="0" w:line="178" w:lineRule="exact"/>
        <w:rPr>
          <w:sz w:val="20"/>
          <w:szCs w:val="20"/>
          <w:color w:val="auto"/>
        </w:rPr>
      </w:pPr>
    </w:p>
    <w:p>
      <w:pPr>
        <w:jc w:val="both"/>
        <w:ind w:left="2280" w:right="919" w:hanging="181"/>
        <w:spacing w:after="0" w:line="243"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Incumbent director nominees must submit irrevocable resignations that become effective upon and only in the event that (1) the</w:t>
      </w:r>
      <w:r>
        <w:rPr>
          <w:rFonts w:ascii="Arial" w:cs="Arial" w:eastAsia="Arial" w:hAnsi="Arial"/>
          <w:sz w:val="12"/>
          <w:szCs w:val="12"/>
          <w:color w:val="009AD9"/>
        </w:rPr>
        <w:t xml:space="preserve"> </w:t>
      </w:r>
      <w:r>
        <w:rPr>
          <w:rFonts w:ascii="Arial" w:cs="Arial" w:eastAsia="Arial" w:hAnsi="Arial"/>
          <w:sz w:val="12"/>
          <w:szCs w:val="12"/>
          <w:color w:val="000000"/>
        </w:rPr>
        <w:t>nominee fails to receive the required vote for election to the Board at the next annual meeting of shareholders at which such nominee faces re-election and (2) the Board accepts such resignation;</w:t>
      </w:r>
    </w:p>
    <w:p>
      <w:pPr>
        <w:spacing w:after="0" w:line="63"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Each director candidate who is not an incumbent director must agree to submit an irrevocable resignation upon election or</w:t>
      </w:r>
      <w:r>
        <w:rPr>
          <w:rFonts w:ascii="Arial" w:cs="Arial" w:eastAsia="Arial" w:hAnsi="Arial"/>
          <w:sz w:val="12"/>
          <w:szCs w:val="12"/>
          <w:color w:val="009AD9"/>
        </w:rPr>
        <w:t xml:space="preserve"> </w:t>
      </w:r>
      <w:r>
        <w:rPr>
          <w:rFonts w:ascii="Arial" w:cs="Arial" w:eastAsia="Arial" w:hAnsi="Arial"/>
          <w:sz w:val="12"/>
          <w:szCs w:val="12"/>
          <w:color w:val="000000"/>
        </w:rPr>
        <w:t>appointment as a director;</w:t>
      </w:r>
    </w:p>
    <w:p>
      <w:pPr>
        <w:spacing w:after="0" w:line="58"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Upon the failure of any nominee to receive the required vote, the Governance, Environmental and Sustainability Committee makes</w:t>
      </w:r>
      <w:r>
        <w:rPr>
          <w:rFonts w:ascii="Arial" w:cs="Arial" w:eastAsia="Arial" w:hAnsi="Arial"/>
          <w:sz w:val="12"/>
          <w:szCs w:val="12"/>
          <w:color w:val="009AD9"/>
        </w:rPr>
        <w:t xml:space="preserve"> </w:t>
      </w:r>
      <w:r>
        <w:rPr>
          <w:rFonts w:ascii="Arial" w:cs="Arial" w:eastAsia="Arial" w:hAnsi="Arial"/>
          <w:sz w:val="12"/>
          <w:szCs w:val="12"/>
          <w:color w:val="000000"/>
        </w:rPr>
        <w:t>a recommendation to the Board on whether to accept or reject the resignation;</w:t>
      </w:r>
    </w:p>
    <w:p>
      <w:pPr>
        <w:spacing w:after="0" w:line="58"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Board takes action with respect to the resignation and publicly discloses its decision and the reasons therefor within 90 days</w:t>
      </w:r>
      <w:r>
        <w:rPr>
          <w:rFonts w:ascii="Arial" w:cs="Arial" w:eastAsia="Arial" w:hAnsi="Arial"/>
          <w:sz w:val="12"/>
          <w:szCs w:val="12"/>
          <w:color w:val="009AD9"/>
        </w:rPr>
        <w:t xml:space="preserve"> </w:t>
      </w:r>
      <w:r>
        <w:rPr>
          <w:rFonts w:ascii="Arial" w:cs="Arial" w:eastAsia="Arial" w:hAnsi="Arial"/>
          <w:sz w:val="12"/>
          <w:szCs w:val="12"/>
          <w:color w:val="000000"/>
        </w:rPr>
        <w:t>from the date of the certification of the election results; and</w:t>
      </w:r>
    </w:p>
    <w:p>
      <w:pPr>
        <w:spacing w:after="0" w:line="58"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resignation, if accepted, will be effective at the time specified by the Board when it determines to accept the resignation, which</w:t>
      </w:r>
      <w:r>
        <w:rPr>
          <w:rFonts w:ascii="Arial" w:cs="Arial" w:eastAsia="Arial" w:hAnsi="Arial"/>
          <w:sz w:val="12"/>
          <w:szCs w:val="12"/>
          <w:color w:val="009AD9"/>
        </w:rPr>
        <w:t xml:space="preserve"> </w:t>
      </w:r>
      <w:r>
        <w:rPr>
          <w:rFonts w:ascii="Arial" w:cs="Arial" w:eastAsia="Arial" w:hAnsi="Arial"/>
          <w:sz w:val="12"/>
          <w:szCs w:val="12"/>
          <w:color w:val="000000"/>
        </w:rPr>
        <w:t>effective time may be deferred until a replacement director is identified and appointed to the Board.</w:t>
      </w:r>
    </w:p>
    <w:p>
      <w:pPr>
        <w:spacing w:after="0" w:line="172" w:lineRule="exact"/>
        <w:rPr>
          <w:sz w:val="20"/>
          <w:szCs w:val="20"/>
          <w:color w:val="auto"/>
        </w:rPr>
      </w:pPr>
    </w:p>
    <w:p>
      <w:pPr>
        <w:ind w:left="2220" w:hanging="230"/>
        <w:spacing w:after="0"/>
        <w:tabs>
          <w:tab w:leader="none" w:pos="2220" w:val="left"/>
        </w:tabs>
        <w:numPr>
          <w:ilvl w:val="0"/>
          <w:numId w:val="3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4" w:lineRule="exact"/>
        <w:rPr>
          <w:sz w:val="20"/>
          <w:szCs w:val="20"/>
          <w:color w:val="auto"/>
        </w:rPr>
      </w:pPr>
    </w:p>
    <w:p>
      <w:pPr>
        <w:jc w:val="both"/>
        <w:ind w:left="1940" w:right="819"/>
        <w:spacing w:after="0" w:line="245" w:lineRule="auto"/>
        <w:rPr>
          <w:sz w:val="20"/>
          <w:szCs w:val="20"/>
          <w:color w:val="auto"/>
        </w:rPr>
      </w:pPr>
      <w:r>
        <w:rPr>
          <w:rFonts w:ascii="Arial" w:cs="Arial" w:eastAsia="Arial" w:hAnsi="Arial"/>
          <w:sz w:val="12"/>
          <w:szCs w:val="12"/>
          <w:color w:val="auto"/>
        </w:rPr>
        <w:t xml:space="preserve">Our bylaws and our Corporate Governance Guidelines can be found on our website at </w:t>
      </w:r>
      <w:r>
        <w:rPr>
          <w:rFonts w:ascii="Arial" w:cs="Arial" w:eastAsia="Arial" w:hAnsi="Arial"/>
          <w:sz w:val="12"/>
          <w:szCs w:val="12"/>
          <w:i w:val="1"/>
          <w:iCs w:val="1"/>
          <w:color w:val="auto"/>
        </w:rPr>
        <w:t>https://investors.centerpointenergy.com/governance.</w:t>
      </w:r>
    </w:p>
    <w:p>
      <w:pPr>
        <w:spacing w:after="0" w:line="27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Separation of Chair and Chief Executive Officer Roles</w:t>
      </w:r>
    </w:p>
    <w:p>
      <w:pPr>
        <w:spacing w:after="0" w:line="85"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The offices of Chair of the Board and Chief Executive Officer are currently separate and have been separate since the formation of the Company as a new holding company in 2002. The Board believes that the separation of the two roles continues to provide, at present, the best balance of these important responsibilities with the Chair of the Board directing board operations and leading oversight of the Chief Executive Officer and management, and the Chief Executive Officer focusing on developing and implementing the Company’s board-approved strategic vision and managing its day-to-day business. The Board believes that separating the offices of Chair of the Board and Chief Executive Officer, coupled with regular executive sessions with only independent directors present, helps strengthen the Board’s independent oversight of management and provides an opportunity for the Board members to have more direct input to management in shaping the organization and strategy of the Company. A presiding independent director (typically the Independent Chair of the Board) leads the executive sessions. The presiding director provides the independent directors with a key means for communication and collaboration.</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Independent Chair Governance Structure</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Further, in July 2021, in response to extensive shareholder feedback and the evaluation of evolving governance practices, the Company announced the creation and appointment of the Independent Chair of the Board role and the elimination of the Executive Chair position. The Board determined that this transition was necessary for the Company to continue to advance its strategic plan to drive sustainable value for the benefit of all its stakeholders. This transition to the Independent Chair role reaffirms the separation of the Chief Executive Officer and Chair of the Board roles. The Independent Chair is designated by the independent members of the Board. In addition to other roles that may arise from time to time, such as in connection with the Company’s strategic transition discussed below, the Independent Chair has the following duties and responsibilities:</w:t>
      </w:r>
    </w:p>
    <w:p>
      <w:pPr>
        <w:spacing w:after="0" w:line="75" w:lineRule="exact"/>
        <w:rPr>
          <w:sz w:val="20"/>
          <w:szCs w:val="20"/>
          <w:color w:val="auto"/>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preside at all meetings of the Board, including executive sessions of the independent directors;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preside at annual and special meetings of shareholders;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take a leading role in succession planning efforts;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solicit the non-management directors for advice on agenda items for meetings of the Board;</w:t>
      </w:r>
    </w:p>
    <w:p>
      <w:pPr>
        <w:spacing w:after="0" w:line="80"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collaborate with the Chief Executive Officer in developing the agendas for meetings of the Board and its Committees and approve such agendas;</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serve as a liaison between the Chief Executive Officer and the independent directors;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call meetings of the directors;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consult with the Chief Executive Officer on and approve information that is sent to the Board;</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review major activities and plans of the Company with the Chief Executive Officer;</w:t>
      </w:r>
    </w:p>
    <w:p>
      <w:pPr>
        <w:spacing w:after="0" w:line="80"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confer with the Chief Executive Officer regarding the development, implementation, and monitoring of near- and long-term strategic plans for the Company;</w:t>
      </w:r>
    </w:p>
    <w:p>
      <w:pPr>
        <w:spacing w:after="0" w:line="67"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monitor performance of the Chief Executive Officer and provide input to the Compensation Committee concerning the compensation arrangements for the Chief Executive Officer;</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engage with employees, such as, for example, participating in ethics training videos distributed to employees;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from time to time, engage with shareholders and other stakeholders of the Company; and</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37"/>
        </w:numPr>
        <w:rPr>
          <w:rFonts w:ascii="Arial" w:cs="Arial" w:eastAsia="Arial" w:hAnsi="Arial"/>
          <w:sz w:val="12"/>
          <w:szCs w:val="12"/>
          <w:color w:val="009AD9"/>
        </w:rPr>
      </w:pPr>
      <w:r>
        <w:rPr>
          <w:rFonts w:ascii="Arial" w:cs="Arial" w:eastAsia="Arial" w:hAnsi="Arial"/>
          <w:sz w:val="12"/>
          <w:szCs w:val="12"/>
          <w:color w:val="auto"/>
        </w:rPr>
        <w:t>recruit and mentor non-employee directors.</w:t>
      </w:r>
    </w:p>
    <w:p>
      <w:pPr>
        <w:spacing w:after="0" w:line="168"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CenterPoint Energy is a public utility holding company that, through its subsidiaries, owns and operates electric transmission, distribution and generation facilities and natural gas distribution facilities, and provides energy performance contracting and sustainable infrastructure services. Risks are inherent in these businesses and investments, including, among other risks, regulatory and compliance risks, safety and operational risks, financial risks, environmental and climate risks and cybersecurity risks. The Board of Directors has responsibility for and is actively involved in the oversight of risks that could impact the Company. Our Corporate Governance Guidelines specify that the Board has ultimate oversight responsibility for the Company’s system of enterprise risk management.</w:t>
      </w:r>
    </w:p>
    <w:p>
      <w:pPr>
        <w:spacing w:after="0" w:line="139"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Management is responsible for developing and implementing the Company’s program of enterprise risk management. A risk oversight committee, which is composed of senior executives from across the Company, monitors and oversees risks facing the Company as well as provides risk assessment and control oversight for certain business activities, among other things. The Company’s Executive Vice President and General Counsel facilitates risk oversight committee meetings. The risk oversight committee provides risk assessment and control for certain business activities.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p>
    <w:p>
      <w:pPr>
        <w:spacing w:after="0" w:line="138"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Throughout the year, the Board participates in reviews with management of the Company’s risk management process, the major risks facing the Company and steps taken to mitigate those risks. Board reviews include the following areas,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95250</wp:posOffset>
            </wp:positionV>
            <wp:extent cx="121285" cy="144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1285" cy="144145"/>
                    </a:xfrm>
                    <a:prstGeom prst="rect">
                      <a:avLst/>
                    </a:prstGeom>
                    <a:noFill/>
                  </pic:spPr>
                </pic:pic>
              </a:graphicData>
            </a:graphic>
          </wp:anchor>
        </w:drawing>
        <w:drawing>
          <wp:anchor simplePos="0" relativeHeight="251657728" behindDoc="1" locked="0" layoutInCell="0" allowOverlap="1">
            <wp:simplePos x="0" y="0"/>
            <wp:positionH relativeFrom="column">
              <wp:posOffset>3650615</wp:posOffset>
            </wp:positionH>
            <wp:positionV relativeFrom="paragraph">
              <wp:posOffset>95250</wp:posOffset>
            </wp:positionV>
            <wp:extent cx="144145" cy="144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4145" cy="14414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45720</wp:posOffset>
            </wp:positionV>
            <wp:extent cx="127000" cy="138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0" cy="138430"/>
                    </a:xfrm>
                    <a:prstGeom prst="rect">
                      <a:avLst/>
                    </a:prstGeom>
                    <a:noFill/>
                  </pic:spPr>
                </pic:pic>
              </a:graphicData>
            </a:graphic>
          </wp:anchor>
        </w:drawing>
      </w:r>
    </w:p>
    <w:p>
      <w:pPr>
        <w:spacing w:after="0" w:line="133"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57150</wp:posOffset>
            </wp:positionV>
            <wp:extent cx="149860" cy="161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9860" cy="161925"/>
                    </a:xfrm>
                    <a:prstGeom prst="rect">
                      <a:avLst/>
                    </a:prstGeom>
                    <a:noFill/>
                  </pic:spPr>
                </pic:pic>
              </a:graphicData>
            </a:graphic>
          </wp:anchor>
        </w:drawing>
      </w:r>
    </w:p>
    <w:p>
      <w:pPr>
        <w:spacing w:after="0" w:line="78" w:lineRule="exact"/>
        <w:rPr>
          <w:sz w:val="20"/>
          <w:szCs w:val="20"/>
          <w:color w:val="auto"/>
        </w:rPr>
      </w:pPr>
    </w:p>
    <w:p>
      <w:pPr>
        <w:ind w:left="2380" w:right="400"/>
        <w:spacing w:after="0" w:line="250" w:lineRule="auto"/>
        <w:rPr>
          <w:sz w:val="20"/>
          <w:szCs w:val="20"/>
          <w:color w:val="auto"/>
        </w:rPr>
      </w:pPr>
      <w:r>
        <w:rPr>
          <w:rFonts w:ascii="Arial" w:cs="Arial" w:eastAsia="Arial" w:hAnsi="Arial"/>
          <w:sz w:val="12"/>
          <w:szCs w:val="12"/>
          <w:color w:val="auto"/>
        </w:rPr>
        <w:t>Business strategy and policy, including industry and economic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37465</wp:posOffset>
            </wp:positionV>
            <wp:extent cx="132715" cy="1905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2715" cy="190500"/>
                    </a:xfrm>
                    <a:prstGeom prst="rect">
                      <a:avLst/>
                    </a:prstGeom>
                    <a:noFill/>
                  </pic:spPr>
                </pic:pic>
              </a:graphicData>
            </a:graphic>
          </wp:anchor>
        </w:drawing>
      </w:r>
    </w:p>
    <w:p>
      <w:pPr>
        <w:spacing w:after="0" w:line="202"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Operations and system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51435</wp:posOffset>
            </wp:positionV>
            <wp:extent cx="149860" cy="156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9860" cy="156210"/>
                    </a:xfrm>
                    <a:prstGeom prst="rect">
                      <a:avLst/>
                    </a:prstGeom>
                    <a:noFill/>
                  </pic:spPr>
                </pic:pic>
              </a:graphicData>
            </a:graphic>
          </wp:anchor>
        </w:drawing>
      </w:r>
    </w:p>
    <w:p>
      <w:pPr>
        <w:spacing w:after="0" w:line="188"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Litigation and other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45720</wp:posOffset>
            </wp:positionV>
            <wp:extent cx="173355" cy="173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pacing w:after="0" w:line="188"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Supply chain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Regulatory and legislative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45720</wp:posOffset>
            </wp:positionV>
            <wp:extent cx="98425" cy="132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8425" cy="132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Cybersecurity and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45720</wp:posOffset>
            </wp:positionV>
            <wp:extent cx="167640" cy="190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7640" cy="190500"/>
                    </a:xfrm>
                    <a:prstGeom prst="rect">
                      <a:avLst/>
                    </a:prstGeom>
                    <a:noFill/>
                  </pic:spPr>
                </pic:pic>
              </a:graphicData>
            </a:graphic>
          </wp:anchor>
        </w:drawing>
      </w:r>
    </w:p>
    <w:p>
      <w:pPr>
        <w:spacing w:after="0" w:line="78" w:lineRule="exact"/>
        <w:rPr>
          <w:sz w:val="20"/>
          <w:szCs w:val="20"/>
          <w:color w:val="auto"/>
        </w:rPr>
      </w:pPr>
    </w:p>
    <w:p>
      <w:pPr>
        <w:ind w:right="1039"/>
        <w:spacing w:after="0" w:line="250" w:lineRule="auto"/>
        <w:rPr>
          <w:sz w:val="20"/>
          <w:szCs w:val="20"/>
          <w:color w:val="auto"/>
        </w:rPr>
      </w:pPr>
      <w:r>
        <w:rPr>
          <w:rFonts w:ascii="Arial" w:cs="Arial" w:eastAsia="Arial" w:hAnsi="Arial"/>
          <w:sz w:val="12"/>
          <w:szCs w:val="12"/>
          <w:color w:val="auto"/>
        </w:rPr>
        <w:t>Human capital management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66040</wp:posOffset>
            </wp:positionV>
            <wp:extent cx="173355" cy="132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3355" cy="1327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Annual budget, including capital investment plan</w:t>
      </w:r>
    </w:p>
    <w:p>
      <w:pPr>
        <w:spacing w:after="0" w:line="71" w:lineRule="exact"/>
        <w:rPr>
          <w:sz w:val="20"/>
          <w:szCs w:val="20"/>
          <w:color w:val="auto"/>
        </w:rPr>
      </w:pPr>
    </w:p>
    <w:p>
      <w:pPr>
        <w:ind w:right="1039"/>
        <w:spacing w:after="0" w:line="250" w:lineRule="auto"/>
        <w:rPr>
          <w:sz w:val="20"/>
          <w:szCs w:val="20"/>
          <w:color w:val="auto"/>
        </w:rPr>
      </w:pPr>
      <w:r>
        <w:rPr>
          <w:rFonts w:ascii="Arial" w:cs="Arial" w:eastAsia="Arial" w:hAnsi="Arial"/>
          <w:sz w:val="12"/>
          <w:szCs w:val="12"/>
          <w:color w:val="auto"/>
        </w:rPr>
        <w:t>Net zero and carbon emissions reduction targets and generation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-181610</wp:posOffset>
            </wp:positionV>
            <wp:extent cx="173355" cy="1733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560" w:space="720"/>
            <w:col w:w="3879"/>
          </w:cols>
          <w:pgMar w:left="300" w:top="373" w:right="1440" w:bottom="1440" w:gutter="0" w:footer="0" w:header="0"/>
          <w:type w:val="continuous"/>
        </w:sectPr>
      </w:pPr>
    </w:p>
    <w:p>
      <w:pPr>
        <w:ind w:left="1940" w:right="819"/>
        <w:spacing w:after="0" w:line="250" w:lineRule="auto"/>
        <w:rPr>
          <w:sz w:val="20"/>
          <w:szCs w:val="20"/>
          <w:color w:val="auto"/>
        </w:rPr>
      </w:pPr>
      <w:r>
        <w:rPr>
          <w:rFonts w:ascii="Arial" w:cs="Arial" w:eastAsia="Arial" w:hAnsi="Arial"/>
          <w:sz w:val="12"/>
          <w:szCs w:val="12"/>
          <w:color w:val="auto"/>
        </w:rPr>
        <w:t>To help the Board carry out its responsibility for risk oversight, the Board’s standing committees focus on the following specific key areas of risk:</w:t>
      </w:r>
    </w:p>
    <w:p>
      <w:pPr>
        <w:spacing w:after="0" w:line="150" w:lineRule="exact"/>
        <w:rPr>
          <w:sz w:val="20"/>
          <w:szCs w:val="20"/>
          <w:color w:val="auto"/>
        </w:rPr>
      </w:pPr>
    </w:p>
    <w:tbl>
      <w:tblPr>
        <w:tblLayout w:type="fixed"/>
        <w:tblInd w:w="2530" w:type="dxa"/>
        <w:tblCellMar>
          <w:top w:w="0" w:type="dxa"/>
          <w:left w:w="0" w:type="dxa"/>
          <w:bottom w:w="0" w:type="dxa"/>
          <w:right w:w="0" w:type="dxa"/>
        </w:tblCellMar>
      </w:tblPr>
      <w:tr>
        <w:trPr>
          <w:trHeight w:val="145"/>
        </w:trPr>
        <w:tc>
          <w:tcPr>
            <w:tcW w:w="1660" w:type="dxa"/>
            <w:vAlign w:val="bottom"/>
            <w:tcBorders>
              <w:left w:val="single" w:sz="8" w:color="009AD9"/>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4600" w:type="dxa"/>
            <w:vAlign w:val="bottom"/>
            <w:tcBorders>
              <w:right w:val="single" w:sz="8" w:color="009AD9"/>
            </w:tcBorders>
            <w:shd w:val="clear" w:color="auto" w:fill="009AD9"/>
          </w:tcPr>
          <w:p>
            <w:pPr>
              <w:ind w:left="1560"/>
              <w:spacing w:after="0"/>
              <w:rPr>
                <w:sz w:val="20"/>
                <w:szCs w:val="20"/>
                <w:color w:val="auto"/>
              </w:rPr>
            </w:pPr>
            <w:r>
              <w:rPr>
                <w:rFonts w:ascii="Arial" w:cs="Arial" w:eastAsia="Arial" w:hAnsi="Arial"/>
                <w:sz w:val="12"/>
                <w:szCs w:val="12"/>
                <w:b w:val="1"/>
                <w:bCs w:val="1"/>
                <w:color w:val="FFFFFF"/>
              </w:rPr>
              <w:t>Risk Oversight Responsibilities</w:t>
            </w:r>
          </w:p>
        </w:tc>
        <w:tc>
          <w:tcPr>
            <w:tcW w:w="0" w:type="dxa"/>
            <w:vAlign w:val="bottom"/>
          </w:tcPr>
          <w:p>
            <w:pPr>
              <w:spacing w:after="0"/>
              <w:rPr>
                <w:sz w:val="1"/>
                <w:szCs w:val="1"/>
                <w:color w:val="auto"/>
              </w:rPr>
            </w:pPr>
          </w:p>
        </w:tc>
      </w:tr>
      <w:tr>
        <w:trPr>
          <w:trHeight w:val="163"/>
        </w:trPr>
        <w:tc>
          <w:tcPr>
            <w:tcW w:w="1660" w:type="dxa"/>
            <w:vAlign w:val="bottom"/>
            <w:tcBorders>
              <w:left w:val="single" w:sz="8" w:color="009AD9"/>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7"/>
              </w:rPr>
              <w:t>Audit</w:t>
            </w:r>
          </w:p>
        </w:tc>
        <w:tc>
          <w:tcPr>
            <w:tcW w:w="4600" w:type="dxa"/>
            <w:vAlign w:val="bottom"/>
            <w:tcBorders>
              <w:right w:val="single" w:sz="8" w:color="009AD9"/>
            </w:tcBorders>
          </w:tcPr>
          <w:p>
            <w:pPr>
              <w:ind w:left="400"/>
              <w:spacing w:after="0"/>
              <w:rPr>
                <w:sz w:val="20"/>
                <w:szCs w:val="20"/>
                <w:color w:val="auto"/>
              </w:rPr>
            </w:pPr>
            <w:r>
              <w:rPr>
                <w:rFonts w:ascii="Arial" w:cs="Arial" w:eastAsia="Arial" w:hAnsi="Arial"/>
                <w:sz w:val="12"/>
                <w:szCs w:val="12"/>
                <w:color w:val="auto"/>
              </w:rPr>
              <w:t>Accounting and financial matters, including compliance with legal and</w:t>
            </w:r>
          </w:p>
        </w:tc>
        <w:tc>
          <w:tcPr>
            <w:tcW w:w="0" w:type="dxa"/>
            <w:vAlign w:val="bottom"/>
          </w:tcPr>
          <w:p>
            <w:pPr>
              <w:spacing w:after="0"/>
              <w:rPr>
                <w:sz w:val="1"/>
                <w:szCs w:val="1"/>
                <w:color w:val="auto"/>
              </w:rPr>
            </w:pPr>
          </w:p>
        </w:tc>
      </w:tr>
      <w:tr>
        <w:trPr>
          <w:trHeight w:val="136"/>
        </w:trPr>
        <w:tc>
          <w:tcPr>
            <w:tcW w:w="1660" w:type="dxa"/>
            <w:vAlign w:val="bottom"/>
            <w:tcBorders>
              <w:left w:val="single" w:sz="8" w:color="009AD9"/>
              <w:right w:val="single" w:sz="8" w:color="009AD9"/>
            </w:tcBorders>
            <w:vMerge w:val="continue"/>
          </w:tcPr>
          <w:p>
            <w:pPr>
              <w:spacing w:after="0"/>
              <w:rPr>
                <w:sz w:val="11"/>
                <w:szCs w:val="11"/>
                <w:color w:val="auto"/>
              </w:rPr>
            </w:pPr>
          </w:p>
        </w:tc>
        <w:tc>
          <w:tcPr>
            <w:tcW w:w="4600" w:type="dxa"/>
            <w:vAlign w:val="bottom"/>
            <w:tcBorders>
              <w:right w:val="single" w:sz="8" w:color="009AD9"/>
            </w:tcBorders>
          </w:tcPr>
          <w:p>
            <w:pPr>
              <w:ind w:left="400"/>
              <w:spacing w:after="0" w:line="137" w:lineRule="exact"/>
              <w:rPr>
                <w:sz w:val="20"/>
                <w:szCs w:val="20"/>
                <w:color w:val="auto"/>
              </w:rPr>
            </w:pPr>
            <w:r>
              <w:rPr>
                <w:rFonts w:ascii="Arial" w:cs="Arial" w:eastAsia="Arial" w:hAnsi="Arial"/>
                <w:sz w:val="12"/>
                <w:szCs w:val="12"/>
                <w:color w:val="auto"/>
              </w:rPr>
              <w:t>regulatory requirements, and financial reporting and internal controls</w:t>
            </w:r>
          </w:p>
        </w:tc>
        <w:tc>
          <w:tcPr>
            <w:tcW w:w="0" w:type="dxa"/>
            <w:vAlign w:val="bottom"/>
          </w:tcPr>
          <w:p>
            <w:pPr>
              <w:spacing w:after="0"/>
              <w:rPr>
                <w:sz w:val="1"/>
                <w:szCs w:val="1"/>
                <w:color w:val="auto"/>
              </w:rPr>
            </w:pPr>
          </w:p>
        </w:tc>
      </w:tr>
      <w:tr>
        <w:trPr>
          <w:trHeight w:val="146"/>
        </w:trPr>
        <w:tc>
          <w:tcPr>
            <w:tcW w:w="1660" w:type="dxa"/>
            <w:vAlign w:val="bottom"/>
            <w:tcBorders>
              <w:left w:val="single" w:sz="8" w:color="009AD9"/>
              <w:right w:val="single" w:sz="8" w:color="009AD9"/>
            </w:tcBorders>
          </w:tcPr>
          <w:p>
            <w:pPr>
              <w:spacing w:after="0"/>
              <w:rPr>
                <w:sz w:val="12"/>
                <w:szCs w:val="12"/>
                <w:color w:val="auto"/>
              </w:rPr>
            </w:pPr>
          </w:p>
        </w:tc>
        <w:tc>
          <w:tcPr>
            <w:tcW w:w="4600" w:type="dxa"/>
            <w:vAlign w:val="bottom"/>
            <w:tcBorders>
              <w:right w:val="single" w:sz="8" w:color="009AD9"/>
            </w:tcBorders>
          </w:tcPr>
          <w:p>
            <w:pPr>
              <w:ind w:left="400"/>
              <w:spacing w:after="0"/>
              <w:rPr>
                <w:sz w:val="20"/>
                <w:szCs w:val="20"/>
                <w:color w:val="auto"/>
              </w:rPr>
            </w:pPr>
            <w:r>
              <w:rPr>
                <w:rFonts w:ascii="Arial" w:cs="Arial" w:eastAsia="Arial" w:hAnsi="Arial"/>
                <w:sz w:val="12"/>
                <w:szCs w:val="12"/>
                <w:color w:val="auto"/>
              </w:rPr>
              <w:t>systems, and review of Company’s enterprise risk management process</w:t>
            </w:r>
          </w:p>
        </w:tc>
        <w:tc>
          <w:tcPr>
            <w:tcW w:w="0" w:type="dxa"/>
            <w:vAlign w:val="bottom"/>
          </w:tcPr>
          <w:p>
            <w:pPr>
              <w:spacing w:after="0"/>
              <w:rPr>
                <w:sz w:val="1"/>
                <w:szCs w:val="1"/>
                <w:color w:val="auto"/>
              </w:rPr>
            </w:pPr>
          </w:p>
        </w:tc>
      </w:tr>
      <w:tr>
        <w:trPr>
          <w:trHeight w:val="28"/>
        </w:trPr>
        <w:tc>
          <w:tcPr>
            <w:tcW w:w="1660" w:type="dxa"/>
            <w:vAlign w:val="bottom"/>
            <w:tcBorders>
              <w:left w:val="single" w:sz="8" w:color="009AD9"/>
              <w:bottom w:val="single" w:sz="8" w:color="009AD9"/>
              <w:right w:val="single" w:sz="8" w:color="009AD9"/>
            </w:tcBorders>
          </w:tcPr>
          <w:p>
            <w:pPr>
              <w:spacing w:after="0"/>
              <w:rPr>
                <w:sz w:val="2"/>
                <w:szCs w:val="2"/>
                <w:color w:val="auto"/>
              </w:rPr>
            </w:pPr>
          </w:p>
        </w:tc>
        <w:tc>
          <w:tcPr>
            <w:tcW w:w="4600" w:type="dxa"/>
            <w:vAlign w:val="bottom"/>
            <w:tcBorders>
              <w:bottom w:val="single" w:sz="8" w:color="009AD9"/>
              <w:right w:val="single" w:sz="8" w:color="009AD9"/>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660" w:type="dxa"/>
            <w:vAlign w:val="bottom"/>
            <w:tcBorders>
              <w:left w:val="single" w:sz="8" w:color="009AD9"/>
              <w:right w:val="single" w:sz="8" w:color="009AD9"/>
            </w:tcBorders>
            <w:vMerge w:val="restart"/>
            <w:shd w:val="clear" w:color="auto" w:fill="D8EFF9"/>
          </w:tcPr>
          <w:p>
            <w:pPr>
              <w:jc w:val="center"/>
              <w:spacing w:after="0"/>
              <w:rPr>
                <w:sz w:val="20"/>
                <w:szCs w:val="20"/>
                <w:color w:val="auto"/>
              </w:rPr>
            </w:pPr>
            <w:r>
              <w:rPr>
                <w:rFonts w:ascii="Arial" w:cs="Arial" w:eastAsia="Arial" w:hAnsi="Arial"/>
                <w:sz w:val="12"/>
                <w:szCs w:val="12"/>
                <w:b w:val="1"/>
                <w:bCs w:val="1"/>
                <w:color w:val="auto"/>
              </w:rPr>
              <w:t>Compensation</w:t>
            </w:r>
          </w:p>
        </w:tc>
        <w:tc>
          <w:tcPr>
            <w:tcW w:w="4600" w:type="dxa"/>
            <w:vAlign w:val="bottom"/>
            <w:tcBorders>
              <w:right w:val="single" w:sz="8" w:color="009AD9"/>
            </w:tcBorders>
            <w:shd w:val="clear" w:color="auto" w:fill="D8EFF9"/>
          </w:tcPr>
          <w:p>
            <w:pPr>
              <w:ind w:left="400"/>
              <w:spacing w:after="0" w:line="125" w:lineRule="exact"/>
              <w:rPr>
                <w:sz w:val="20"/>
                <w:szCs w:val="20"/>
                <w:color w:val="auto"/>
              </w:rPr>
            </w:pPr>
            <w:r>
              <w:rPr>
                <w:rFonts w:ascii="Arial" w:cs="Arial" w:eastAsia="Arial" w:hAnsi="Arial"/>
                <w:sz w:val="12"/>
                <w:szCs w:val="12"/>
                <w:color w:val="auto"/>
              </w:rPr>
              <w:t>Compensation policies and practices, diversity, equity and inclusion</w:t>
            </w:r>
          </w:p>
        </w:tc>
        <w:tc>
          <w:tcPr>
            <w:tcW w:w="0" w:type="dxa"/>
            <w:vAlign w:val="bottom"/>
          </w:tcPr>
          <w:p>
            <w:pPr>
              <w:spacing w:after="0"/>
              <w:rPr>
                <w:sz w:val="1"/>
                <w:szCs w:val="1"/>
                <w:color w:val="auto"/>
              </w:rPr>
            </w:pPr>
          </w:p>
        </w:tc>
      </w:tr>
      <w:tr>
        <w:trPr>
          <w:trHeight w:val="173"/>
        </w:trPr>
        <w:tc>
          <w:tcPr>
            <w:tcW w:w="1660" w:type="dxa"/>
            <w:vAlign w:val="bottom"/>
            <w:tcBorders>
              <w:left w:val="single" w:sz="8" w:color="009AD9"/>
              <w:bottom w:val="single" w:sz="8" w:color="D8EFF9"/>
              <w:right w:val="single" w:sz="8" w:color="009AD9"/>
            </w:tcBorders>
            <w:vMerge w:val="continue"/>
            <w:shd w:val="clear" w:color="auto" w:fill="D8EFF9"/>
          </w:tcPr>
          <w:p>
            <w:pPr>
              <w:spacing w:after="0"/>
              <w:rPr>
                <w:sz w:val="15"/>
                <w:szCs w:val="15"/>
                <w:color w:val="auto"/>
              </w:rPr>
            </w:pPr>
          </w:p>
        </w:tc>
        <w:tc>
          <w:tcPr>
            <w:tcW w:w="4600" w:type="dxa"/>
            <w:vAlign w:val="bottom"/>
            <w:tcBorders>
              <w:bottom w:val="single" w:sz="8" w:color="D8EFF9"/>
              <w:right w:val="single" w:sz="8" w:color="009AD9"/>
            </w:tcBorders>
            <w:shd w:val="clear" w:color="auto" w:fill="D8EFF9"/>
          </w:tcPr>
          <w:p>
            <w:pPr>
              <w:ind w:left="400"/>
              <w:spacing w:after="0"/>
              <w:rPr>
                <w:sz w:val="20"/>
                <w:szCs w:val="20"/>
                <w:color w:val="auto"/>
              </w:rPr>
            </w:pPr>
            <w:r>
              <w:rPr>
                <w:rFonts w:ascii="Arial" w:cs="Arial" w:eastAsia="Arial" w:hAnsi="Arial"/>
                <w:sz w:val="12"/>
                <w:szCs w:val="12"/>
                <w:color w:val="auto"/>
              </w:rPr>
              <w:t>initiatives, and succession planning</w:t>
            </w:r>
          </w:p>
        </w:tc>
        <w:tc>
          <w:tcPr>
            <w:tcW w:w="0" w:type="dxa"/>
            <w:vAlign w:val="bottom"/>
          </w:tcPr>
          <w:p>
            <w:pPr>
              <w:spacing w:after="0"/>
              <w:rPr>
                <w:sz w:val="1"/>
                <w:szCs w:val="1"/>
                <w:color w:val="auto"/>
              </w:rPr>
            </w:pPr>
          </w:p>
        </w:tc>
      </w:tr>
      <w:tr>
        <w:trPr>
          <w:trHeight w:val="193"/>
        </w:trPr>
        <w:tc>
          <w:tcPr>
            <w:tcW w:w="1660" w:type="dxa"/>
            <w:vAlign w:val="bottom"/>
            <w:tcBorders>
              <w:top w:val="single" w:sz="8" w:color="009AD9"/>
              <w:left w:val="single" w:sz="8" w:color="009AD9"/>
              <w:right w:val="single" w:sz="8" w:color="009AD9"/>
            </w:tcBorders>
          </w:tcPr>
          <w:p>
            <w:pPr>
              <w:jc w:val="center"/>
              <w:spacing w:after="0"/>
              <w:rPr>
                <w:sz w:val="20"/>
                <w:szCs w:val="20"/>
                <w:color w:val="auto"/>
              </w:rPr>
            </w:pPr>
            <w:r>
              <w:rPr>
                <w:rFonts w:ascii="Arial" w:cs="Arial" w:eastAsia="Arial" w:hAnsi="Arial"/>
                <w:sz w:val="12"/>
                <w:szCs w:val="12"/>
                <w:b w:val="1"/>
                <w:bCs w:val="1"/>
                <w:color w:val="auto"/>
              </w:rPr>
              <w:t>Governance,</w:t>
            </w:r>
          </w:p>
        </w:tc>
        <w:tc>
          <w:tcPr>
            <w:tcW w:w="4600" w:type="dxa"/>
            <w:vAlign w:val="bottom"/>
            <w:tcBorders>
              <w:top w:val="single" w:sz="8" w:color="009AD9"/>
              <w:right w:val="single" w:sz="8" w:color="009AD9"/>
            </w:tcBorders>
            <w:vMerge w:val="restart"/>
          </w:tcPr>
          <w:p>
            <w:pPr>
              <w:ind w:left="400"/>
              <w:spacing w:after="0"/>
              <w:rPr>
                <w:sz w:val="20"/>
                <w:szCs w:val="20"/>
                <w:color w:val="auto"/>
              </w:rPr>
            </w:pPr>
            <w:r>
              <w:rPr>
                <w:rFonts w:ascii="Arial" w:cs="Arial" w:eastAsia="Arial" w:hAnsi="Arial"/>
                <w:sz w:val="12"/>
                <w:szCs w:val="12"/>
                <w:color w:val="auto"/>
              </w:rPr>
              <w:t>Corporate governance, including Board structure, cybersecurity,</w:t>
            </w:r>
          </w:p>
        </w:tc>
        <w:tc>
          <w:tcPr>
            <w:tcW w:w="0" w:type="dxa"/>
            <w:vAlign w:val="bottom"/>
          </w:tcPr>
          <w:p>
            <w:pPr>
              <w:spacing w:after="0"/>
              <w:rPr>
                <w:sz w:val="1"/>
                <w:szCs w:val="1"/>
                <w:color w:val="auto"/>
              </w:rPr>
            </w:pPr>
          </w:p>
        </w:tc>
      </w:tr>
      <w:tr>
        <w:trPr>
          <w:trHeight w:val="87"/>
        </w:trPr>
        <w:tc>
          <w:tcPr>
            <w:tcW w:w="1660" w:type="dxa"/>
            <w:vAlign w:val="bottom"/>
            <w:tcBorders>
              <w:left w:val="single" w:sz="8" w:color="009AD9"/>
              <w:right w:val="single" w:sz="8" w:color="009AD9"/>
            </w:tcBorders>
            <w:vMerge w:val="restart"/>
          </w:tcPr>
          <w:p>
            <w:pPr>
              <w:jc w:val="center"/>
              <w:spacing w:after="0" w:line="137" w:lineRule="exact"/>
              <w:rPr>
                <w:sz w:val="20"/>
                <w:szCs w:val="20"/>
                <w:color w:val="auto"/>
              </w:rPr>
            </w:pPr>
            <w:r>
              <w:rPr>
                <w:rFonts w:ascii="Arial" w:cs="Arial" w:eastAsia="Arial" w:hAnsi="Arial"/>
                <w:sz w:val="12"/>
                <w:szCs w:val="12"/>
                <w:b w:val="1"/>
                <w:bCs w:val="1"/>
                <w:color w:val="auto"/>
              </w:rPr>
              <w:t>Environmental</w:t>
            </w:r>
          </w:p>
        </w:tc>
        <w:tc>
          <w:tcPr>
            <w:tcW w:w="4600" w:type="dxa"/>
            <w:vAlign w:val="bottom"/>
            <w:tcBorders>
              <w:right w:val="single" w:sz="8" w:color="009A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009AD9"/>
              <w:right w:val="single" w:sz="8" w:color="009AD9"/>
            </w:tcBorders>
            <w:vMerge w:val="continue"/>
          </w:tcPr>
          <w:p>
            <w:pPr>
              <w:spacing w:after="0"/>
              <w:rPr>
                <w:sz w:val="4"/>
                <w:szCs w:val="4"/>
                <w:color w:val="auto"/>
              </w:rPr>
            </w:pPr>
          </w:p>
        </w:tc>
        <w:tc>
          <w:tcPr>
            <w:tcW w:w="4600" w:type="dxa"/>
            <w:vAlign w:val="bottom"/>
            <w:tcBorders>
              <w:right w:val="single" w:sz="8" w:color="009AD9"/>
            </w:tcBorders>
            <w:vMerge w:val="restart"/>
          </w:tcPr>
          <w:p>
            <w:pPr>
              <w:ind w:left="400"/>
              <w:spacing w:after="0" w:line="137" w:lineRule="exact"/>
              <w:rPr>
                <w:sz w:val="20"/>
                <w:szCs w:val="20"/>
                <w:color w:val="auto"/>
              </w:rPr>
            </w:pPr>
            <w:r>
              <w:rPr>
                <w:rFonts w:ascii="Arial" w:cs="Arial" w:eastAsia="Arial" w:hAnsi="Arial"/>
                <w:sz w:val="12"/>
                <w:szCs w:val="12"/>
                <w:color w:val="auto"/>
              </w:rPr>
              <w:t>environmental matters, including those related to climate change, and</w:t>
            </w:r>
          </w:p>
        </w:tc>
        <w:tc>
          <w:tcPr>
            <w:tcW w:w="0" w:type="dxa"/>
            <w:vAlign w:val="bottom"/>
          </w:tcPr>
          <w:p>
            <w:pPr>
              <w:spacing w:after="0"/>
              <w:rPr>
                <w:sz w:val="1"/>
                <w:szCs w:val="1"/>
                <w:color w:val="auto"/>
              </w:rPr>
            </w:pPr>
          </w:p>
        </w:tc>
      </w:tr>
      <w:tr>
        <w:trPr>
          <w:trHeight w:val="87"/>
        </w:trPr>
        <w:tc>
          <w:tcPr>
            <w:tcW w:w="1660" w:type="dxa"/>
            <w:vAlign w:val="bottom"/>
            <w:tcBorders>
              <w:left w:val="single" w:sz="8" w:color="009AD9"/>
              <w:right w:val="single" w:sz="8" w:color="009AD9"/>
            </w:tcBorders>
            <w:vMerge w:val="restart"/>
          </w:tcPr>
          <w:p>
            <w:pPr>
              <w:jc w:val="center"/>
              <w:spacing w:after="0" w:line="137" w:lineRule="exact"/>
              <w:rPr>
                <w:sz w:val="20"/>
                <w:szCs w:val="20"/>
                <w:color w:val="auto"/>
              </w:rPr>
            </w:pPr>
            <w:r>
              <w:rPr>
                <w:rFonts w:ascii="Arial" w:cs="Arial" w:eastAsia="Arial" w:hAnsi="Arial"/>
                <w:sz w:val="12"/>
                <w:szCs w:val="12"/>
                <w:b w:val="1"/>
                <w:bCs w:val="1"/>
                <w:color w:val="auto"/>
              </w:rPr>
              <w:t>and</w:t>
            </w:r>
          </w:p>
        </w:tc>
        <w:tc>
          <w:tcPr>
            <w:tcW w:w="4600" w:type="dxa"/>
            <w:vAlign w:val="bottom"/>
            <w:tcBorders>
              <w:right w:val="single" w:sz="8" w:color="009A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009AD9"/>
              <w:right w:val="single" w:sz="8" w:color="009AD9"/>
            </w:tcBorders>
            <w:vMerge w:val="continue"/>
          </w:tcPr>
          <w:p>
            <w:pPr>
              <w:spacing w:after="0"/>
              <w:rPr>
                <w:sz w:val="4"/>
                <w:szCs w:val="4"/>
                <w:color w:val="auto"/>
              </w:rPr>
            </w:pPr>
          </w:p>
        </w:tc>
        <w:tc>
          <w:tcPr>
            <w:tcW w:w="4600" w:type="dxa"/>
            <w:vAlign w:val="bottom"/>
            <w:tcBorders>
              <w:right w:val="single" w:sz="8" w:color="009AD9"/>
            </w:tcBorders>
            <w:vMerge w:val="restart"/>
          </w:tcPr>
          <w:p>
            <w:pPr>
              <w:ind w:left="400"/>
              <w:spacing w:after="0"/>
              <w:rPr>
                <w:sz w:val="20"/>
                <w:szCs w:val="20"/>
                <w:color w:val="auto"/>
              </w:rPr>
            </w:pPr>
            <w:r>
              <w:rPr>
                <w:rFonts w:ascii="Arial" w:cs="Arial" w:eastAsia="Arial" w:hAnsi="Arial"/>
                <w:sz w:val="12"/>
                <w:szCs w:val="12"/>
                <w:color w:val="auto"/>
              </w:rPr>
              <w:t>sustainability, including our net zero and carbon emissions reduction goals</w:t>
            </w:r>
          </w:p>
        </w:tc>
        <w:tc>
          <w:tcPr>
            <w:tcW w:w="0" w:type="dxa"/>
            <w:vAlign w:val="bottom"/>
          </w:tcPr>
          <w:p>
            <w:pPr>
              <w:spacing w:after="0"/>
              <w:rPr>
                <w:sz w:val="1"/>
                <w:szCs w:val="1"/>
                <w:color w:val="auto"/>
              </w:rPr>
            </w:pPr>
          </w:p>
        </w:tc>
      </w:tr>
      <w:tr>
        <w:trPr>
          <w:trHeight w:val="96"/>
        </w:trPr>
        <w:tc>
          <w:tcPr>
            <w:tcW w:w="1660" w:type="dxa"/>
            <w:vAlign w:val="bottom"/>
            <w:tcBorders>
              <w:left w:val="single" w:sz="8" w:color="009AD9"/>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9"/>
              </w:rPr>
              <w:t>Sustainability</w:t>
            </w:r>
          </w:p>
        </w:tc>
        <w:tc>
          <w:tcPr>
            <w:tcW w:w="4600" w:type="dxa"/>
            <w:vAlign w:val="bottom"/>
            <w:tcBorders>
              <w:right w:val="single" w:sz="8" w:color="009AD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660" w:type="dxa"/>
            <w:vAlign w:val="bottom"/>
            <w:tcBorders>
              <w:left w:val="single" w:sz="8" w:color="009AD9"/>
              <w:right w:val="single" w:sz="8" w:color="009AD9"/>
            </w:tcBorders>
            <w:vMerge w:val="continue"/>
          </w:tcPr>
          <w:p>
            <w:pPr>
              <w:spacing w:after="0"/>
              <w:rPr>
                <w:sz w:val="5"/>
                <w:szCs w:val="5"/>
                <w:color w:val="auto"/>
              </w:rPr>
            </w:pPr>
          </w:p>
        </w:tc>
        <w:tc>
          <w:tcPr>
            <w:tcW w:w="4600" w:type="dxa"/>
            <w:vAlign w:val="bottom"/>
            <w:tcBorders>
              <w:right w:val="single" w:sz="8" w:color="009AD9"/>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660" w:type="dxa"/>
            <w:vAlign w:val="bottom"/>
            <w:tcBorders>
              <w:left w:val="single" w:sz="8" w:color="009AD9"/>
              <w:bottom w:val="single" w:sz="8" w:color="009AD9"/>
              <w:right w:val="single" w:sz="8" w:color="009AD9"/>
            </w:tcBorders>
          </w:tcPr>
          <w:p>
            <w:pPr>
              <w:spacing w:after="0"/>
              <w:rPr>
                <w:sz w:val="7"/>
                <w:szCs w:val="7"/>
                <w:color w:val="auto"/>
              </w:rPr>
            </w:pPr>
          </w:p>
        </w:tc>
        <w:tc>
          <w:tcPr>
            <w:tcW w:w="4600" w:type="dxa"/>
            <w:vAlign w:val="bottom"/>
            <w:tcBorders>
              <w:bottom w:val="single" w:sz="8" w:color="009AD9"/>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20" w:hanging="230"/>
        <w:spacing w:after="0"/>
        <w:tabs>
          <w:tab w:leader="none" w:pos="2220" w:val="left"/>
        </w:tabs>
        <w:numPr>
          <w:ilvl w:val="0"/>
          <w:numId w:val="3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4"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Board believes that the administration of its risk oversight function has not affected its leadership structure. In reviewing the Company’s compensation program, the Compensation Committee has made an assessment of whether compensation policies and practices create risks that are reasonably likely to have a material adverse effect on the Company and has concluded that they do not create such risks as presently constituted.</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Environmental, Social and Governance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112395</wp:posOffset>
            </wp:positionV>
            <wp:extent cx="3493135" cy="1437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93135" cy="143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As noted in the table above, the Board has charged the Governance, Environmental and Sustainability Committee with oversight responsibility of the Company’s governance and environmental matters, including those matters related to climate change, as well as assessing its sustainability strategy and initiatives, including the pathways and progress towards achievement of the Company’s net zero and carbon emissions reduction goals.</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Governance, Environmental and Sustainability Committee, the Board or both receive quarterly reports from representatives of the Company’s ESG Council regarding the Company’s environmental and sustainability activities and risks, including risks related to climate change and to the achievement of the Company’s net zero and carbon emissions goals, among others. The Company’s ESG Council, led by our Vice President of Environmental and Corporate Sustainability, and our Vice President, Investor Relations and Treasurer, includes officers and other members of management who identify, evaluate and recommend strategic directions and opportunities that promote ESG objectives aligned with the Company’s strategy and goals.</w:t>
      </w:r>
    </w:p>
    <w:p>
      <w:pPr>
        <w:spacing w:after="0" w:line="139"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Compensation Committee assists the Board in discharging its oversight responsibility for the Company’s human capital management matters, including its diversity, equity and inclusion initiatives, and supplier diversity program, among other programs. In addition, as a result of the introduction of a carbon emissions reduction metric to the Company’s long term incentive plan, the Compensation Committee receives reports regarding the Company’s progress towards achieving its net zero and carbon emissions reduction goals. Management provides regular updates to the Compensation Committee, the Board or both on human capital management strategy and programs, and the Board is kept apprised of any developments in these areas.</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ESG Disclosure</w:t>
      </w:r>
    </w:p>
    <w:p>
      <w:pPr>
        <w:spacing w:after="0" w:line="83"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Company voluntarily discloses key environmental, social and governance (ESG) matters and metrics in its annual Corporate Sustainability Report that follows the Global Reporting Initiative (GRI) framework and has been prepared in accordance with GRI Standards: Core Option. The Company has also disclosed information using the Sustainability Accounting Standards Board (SASB) standards for Electric Utilities &amp; Power Generators and the Gas Utilities &amp; Distributors sectors and incorporated both the Edison Electric Institute (EEI) and American Gas Association (AGA) Version 3 Templates into its annual sustainability reporting activities. The Company’s latest Corporate Sustainability Report,</w:t>
      </w:r>
    </w:p>
    <w:p>
      <w:pPr>
        <w:spacing w:after="0" w:line="163"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00"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 xml:space="preserve">published in August 2022, reaffirmed the Company’s net zero and carbon emissions reduction goals, and carbon policy, detailed the Company’s diversity, equity and inclusion initiatives, and provided an overview of the Company’s safety and environmental activities, among other key ESG disclosures. In response to stakeholder feedback, the Company redesigned and reorganized its recent Corporate Sustainability Reports into a web-based structure with a dedicated ESG data center, which are available on its website at </w:t>
      </w:r>
      <w:r>
        <w:rPr>
          <w:rFonts w:ascii="Arial" w:cs="Arial" w:eastAsia="Arial" w:hAnsi="Arial"/>
          <w:sz w:val="12"/>
          <w:szCs w:val="12"/>
          <w:i w:val="1"/>
          <w:iCs w:val="1"/>
          <w:color w:val="auto"/>
        </w:rPr>
        <w:t>www.sustainability.centerpointenergy.com</w:t>
      </w:r>
      <w:r>
        <w:rPr>
          <w:rFonts w:ascii="Arial" w:cs="Arial" w:eastAsia="Arial" w:hAnsi="Arial"/>
          <w:sz w:val="12"/>
          <w:szCs w:val="12"/>
          <w:color w:val="auto"/>
        </w:rPr>
        <w:t>, in addition to the GRI Content Index, SASB Index and EEI and AGA Version 3 Templates.</w:t>
      </w:r>
    </w:p>
    <w:p>
      <w:pPr>
        <w:spacing w:after="0" w:line="138"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 xml:space="preserve">Additionally, in November 2022, the Company posted its first Task Force on Climate-related Financial Disclosure (TCFD), which is available on its website at </w:t>
      </w:r>
      <w:r>
        <w:rPr>
          <w:rFonts w:ascii="Arial" w:cs="Arial" w:eastAsia="Arial" w:hAnsi="Arial"/>
          <w:sz w:val="12"/>
          <w:szCs w:val="12"/>
          <w:i w:val="1"/>
          <w:iCs w:val="1"/>
          <w:color w:val="auto"/>
        </w:rPr>
        <w:t>www.sustainability.centerpointenergy.com.</w:t>
      </w:r>
      <w:r>
        <w:rPr>
          <w:rFonts w:ascii="Arial" w:cs="Arial" w:eastAsia="Arial" w:hAnsi="Arial"/>
          <w:sz w:val="12"/>
          <w:szCs w:val="12"/>
          <w:color w:val="auto"/>
        </w:rPr>
        <w:t xml:space="preserve"> Some of the reports contain cautionary statements regarding forward-looking information included in those reports, include statistics or metrics that are estimates, make assumptions based on developing standards that may change, and provide targets or goals that are not intended to be promises or guarantees. As ESG disclosure standards continue to evolve, the Company expects to provide updates on its sustainability website accordingly. Unless specifically stated herein, documents, reports and information on CenterPoint Energy’s website are not incorporated by reference in this proxy statement.</w:t>
      </w:r>
    </w:p>
    <w:p>
      <w:pPr>
        <w:spacing w:after="0" w:line="269"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Executive 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The Compensation Committee along with the full Board, led by the Independent Chair, oversee management succession planning and talent development with continued focus on designing a succession planning program to support the execution of the Company’s long-term growth strategy. As part of its succession planning strategy, the Board and the Compensation Committee regularly discuss with the Chief Executive Officer and the Chief Human Resources Officer, the Company’s existing leadership and the Company’s process for identifying and developing potential internal candidates as successors to current leadership. During 2022, the Board discussed succession planning at each of its regularly scheduled Board meetings. The Compensation Committee and the Board particularly emphasize the importance of developing a deep leadership pipeline that also prioritizes the objective that leadership be representative of diverse communities in which the Company operates. Further, the Board interacts with potential future leaders of the Company through formal presentations at Board meetings and informal events. As part of its robust succession planning, the Board utilizes third party advisors in addition to internal pipelines and resources.</w:t>
      </w:r>
    </w:p>
    <w:p>
      <w:pPr>
        <w:spacing w:after="0" w:line="141"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During the Company’s shareholder engagement efforts since the onset of the Company’s leadership transition in 2020, shareholders have expressed interest in the Company’s succession planning process. In response to shareholder feedback and the implementation of good governance practices, in addition to the Compensation Committee, the Board has been regularly and actively engaged in robust succession planning, which to date has resulted in refreshment of the senior management team, including the appointment of David J. Lesar as President and Chief Executive Officer in 2020, the leadership promotions announced in 2021, and, more recently, the promotion of Jason P. Wells, who was previously the Company’s Chief Financial Officer, to President and Chief Operating Officer, which was announced in November 2022. Mr. Wells continues to serve as the Company’s Chief Financial Officer until the Company appoints a new Chief Financial Officer. Further, in January 2023, the Company announced a new streamlined organizational structure in furtherance of the Company’s continuing investments in developing future leaders and creating a deep succession pipeline. The Board continues to focus on the Company’s succession planning, including both developing internal talent and reviewing external candidates. In response to shareholder feedback, the Company provides updates regarding the execution of its succession planning process through Company press releases and, from time to time, the Company provides shareholders with opportunities to meet internal leaders through participation in conferences and other forums.</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Last year, the Board met 6 times, and the standing committees met a total of 17 times. Each incumbent director attended more than 75% of the meetings of the Board of Directors and each of the committees on which he or she served.</w:t>
      </w:r>
    </w:p>
    <w:p>
      <w:pPr>
        <w:spacing w:after="0" w:line="131"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Directors are expected to attend annual meetings of shareholders. All then-current directors who were standing for reelection and nominees attended the 2022 annual meeting of shareholders.</w:t>
      </w:r>
    </w:p>
    <w:p>
      <w:pPr>
        <w:spacing w:after="0" w:line="126" w:lineRule="exact"/>
        <w:rPr>
          <w:sz w:val="20"/>
          <w:szCs w:val="20"/>
          <w:color w:val="auto"/>
        </w:rPr>
      </w:pPr>
    </w:p>
    <w:p>
      <w:pPr>
        <w:ind w:left="2220" w:hanging="230"/>
        <w:spacing w:after="0"/>
        <w:tabs>
          <w:tab w:leader="none" w:pos="2220" w:val="left"/>
        </w:tabs>
        <w:numPr>
          <w:ilvl w:val="0"/>
          <w:numId w:val="3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Board Organization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Board oversees the management of the Company’s business and affairs. The Board appoints committees to help carry out its duties. Messrs. Lesar and Nesbitt do not serve on any standing committees. The following table sets forth the standing committees of the Board and their members as of the date of this proxy statement, as well as the number of meetings each committee held during 2022:</w:t>
      </w:r>
    </w:p>
    <w:p>
      <w:pPr>
        <w:spacing w:after="0" w:line="149" w:lineRule="exact"/>
        <w:rPr>
          <w:sz w:val="20"/>
          <w:szCs w:val="20"/>
          <w:color w:val="auto"/>
        </w:rPr>
      </w:pPr>
    </w:p>
    <w:tbl>
      <w:tblPr>
        <w:tblLayout w:type="fixed"/>
        <w:tblInd w:w="2530" w:type="dxa"/>
        <w:tblCellMar>
          <w:top w:w="0" w:type="dxa"/>
          <w:left w:w="0" w:type="dxa"/>
          <w:bottom w:w="0" w:type="dxa"/>
          <w:right w:w="0" w:type="dxa"/>
        </w:tblCellMar>
      </w:tblPr>
      <w:tr>
        <w:trPr>
          <w:trHeight w:val="115"/>
        </w:trPr>
        <w:tc>
          <w:tcPr>
            <w:tcW w:w="3020" w:type="dxa"/>
            <w:vAlign w:val="bottom"/>
            <w:tcBorders>
              <w:left w:val="single" w:sz="8" w:color="009AD9"/>
            </w:tcBorders>
            <w:shd w:val="clear" w:color="auto" w:fill="009AD9"/>
          </w:tcPr>
          <w:p>
            <w:pPr>
              <w:spacing w:after="0"/>
              <w:rPr>
                <w:sz w:val="10"/>
                <w:szCs w:val="10"/>
                <w:color w:val="auto"/>
              </w:rPr>
            </w:pPr>
          </w:p>
        </w:tc>
        <w:tc>
          <w:tcPr>
            <w:tcW w:w="1320" w:type="dxa"/>
            <w:vAlign w:val="bottom"/>
            <w:shd w:val="clear" w:color="auto" w:fill="009AD9"/>
          </w:tcPr>
          <w:p>
            <w:pPr>
              <w:spacing w:after="0"/>
              <w:rPr>
                <w:sz w:val="10"/>
                <w:szCs w:val="10"/>
                <w:color w:val="auto"/>
              </w:rPr>
            </w:pPr>
          </w:p>
        </w:tc>
        <w:tc>
          <w:tcPr>
            <w:tcW w:w="920" w:type="dxa"/>
            <w:vAlign w:val="bottom"/>
            <w:shd w:val="clear" w:color="auto" w:fill="009AD9"/>
          </w:tcPr>
          <w:p>
            <w:pPr>
              <w:spacing w:after="0"/>
              <w:rPr>
                <w:sz w:val="10"/>
                <w:szCs w:val="10"/>
                <w:color w:val="auto"/>
              </w:rPr>
            </w:pPr>
          </w:p>
        </w:tc>
        <w:tc>
          <w:tcPr>
            <w:tcW w:w="1000" w:type="dxa"/>
            <w:vAlign w:val="bottom"/>
            <w:tcBorders>
              <w:right w:val="single" w:sz="8" w:color="009AD9"/>
            </w:tcBorders>
            <w:shd w:val="clear" w:color="auto" w:fill="009AD9"/>
          </w:tcPr>
          <w:p>
            <w:pPr>
              <w:jc w:val="center"/>
              <w:ind w:left="32"/>
              <w:spacing w:after="0"/>
              <w:rPr>
                <w:sz w:val="20"/>
                <w:szCs w:val="20"/>
                <w:color w:val="auto"/>
              </w:rPr>
            </w:pPr>
            <w:r>
              <w:rPr>
                <w:rFonts w:ascii="Arial" w:cs="Arial" w:eastAsia="Arial" w:hAnsi="Arial"/>
                <w:sz w:val="10"/>
                <w:szCs w:val="10"/>
                <w:b w:val="1"/>
                <w:bCs w:val="1"/>
                <w:color w:val="FFFFFF"/>
                <w:w w:val="98"/>
              </w:rPr>
              <w:t>Governance,</w:t>
            </w:r>
          </w:p>
        </w:tc>
      </w:tr>
      <w:tr>
        <w:trPr>
          <w:trHeight w:val="109"/>
        </w:trPr>
        <w:tc>
          <w:tcPr>
            <w:tcW w:w="3020" w:type="dxa"/>
            <w:vAlign w:val="bottom"/>
            <w:tcBorders>
              <w:left w:val="single" w:sz="8" w:color="009AD9"/>
            </w:tcBorders>
            <w:shd w:val="clear" w:color="auto" w:fill="009AD9"/>
          </w:tcPr>
          <w:p>
            <w:pPr>
              <w:spacing w:after="0"/>
              <w:rPr>
                <w:sz w:val="9"/>
                <w:szCs w:val="9"/>
                <w:color w:val="auto"/>
              </w:rPr>
            </w:pPr>
          </w:p>
        </w:tc>
        <w:tc>
          <w:tcPr>
            <w:tcW w:w="1320" w:type="dxa"/>
            <w:vAlign w:val="bottom"/>
            <w:shd w:val="clear" w:color="auto" w:fill="009AD9"/>
          </w:tcPr>
          <w:p>
            <w:pPr>
              <w:spacing w:after="0"/>
              <w:rPr>
                <w:sz w:val="9"/>
                <w:szCs w:val="9"/>
                <w:color w:val="auto"/>
              </w:rPr>
            </w:pPr>
          </w:p>
        </w:tc>
        <w:tc>
          <w:tcPr>
            <w:tcW w:w="920" w:type="dxa"/>
            <w:vAlign w:val="bottom"/>
            <w:shd w:val="clear" w:color="auto" w:fill="009AD9"/>
          </w:tcPr>
          <w:p>
            <w:pPr>
              <w:spacing w:after="0"/>
              <w:rPr>
                <w:sz w:val="9"/>
                <w:szCs w:val="9"/>
                <w:color w:val="auto"/>
              </w:rPr>
            </w:pPr>
          </w:p>
        </w:tc>
        <w:tc>
          <w:tcPr>
            <w:tcW w:w="1000" w:type="dxa"/>
            <w:vAlign w:val="bottom"/>
            <w:tcBorders>
              <w:right w:val="single" w:sz="8" w:color="009AD9"/>
            </w:tcBorders>
            <w:shd w:val="clear" w:color="auto" w:fill="009AD9"/>
          </w:tcPr>
          <w:p>
            <w:pPr>
              <w:jc w:val="center"/>
              <w:ind w:left="32"/>
              <w:spacing w:after="0" w:line="109" w:lineRule="exact"/>
              <w:rPr>
                <w:sz w:val="20"/>
                <w:szCs w:val="20"/>
                <w:color w:val="auto"/>
              </w:rPr>
            </w:pPr>
            <w:r>
              <w:rPr>
                <w:rFonts w:ascii="Arial" w:cs="Arial" w:eastAsia="Arial" w:hAnsi="Arial"/>
                <w:sz w:val="10"/>
                <w:szCs w:val="10"/>
                <w:b w:val="1"/>
                <w:bCs w:val="1"/>
                <w:color w:val="FFFFFF"/>
                <w:w w:val="97"/>
              </w:rPr>
              <w:t>Environmental</w:t>
            </w:r>
          </w:p>
        </w:tc>
      </w:tr>
      <w:tr>
        <w:trPr>
          <w:trHeight w:val="109"/>
        </w:trPr>
        <w:tc>
          <w:tcPr>
            <w:tcW w:w="3020" w:type="dxa"/>
            <w:vAlign w:val="bottom"/>
            <w:tcBorders>
              <w:left w:val="single" w:sz="8" w:color="009AD9"/>
            </w:tcBorders>
            <w:shd w:val="clear" w:color="auto" w:fill="009AD9"/>
          </w:tcPr>
          <w:p>
            <w:pPr>
              <w:spacing w:after="0"/>
              <w:rPr>
                <w:sz w:val="9"/>
                <w:szCs w:val="9"/>
                <w:color w:val="auto"/>
              </w:rPr>
            </w:pPr>
          </w:p>
        </w:tc>
        <w:tc>
          <w:tcPr>
            <w:tcW w:w="132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3"/>
              </w:rPr>
              <w:t>Audit</w:t>
            </w:r>
          </w:p>
        </w:tc>
        <w:tc>
          <w:tcPr>
            <w:tcW w:w="9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Compensation</w:t>
            </w:r>
          </w:p>
        </w:tc>
        <w:tc>
          <w:tcPr>
            <w:tcW w:w="1000" w:type="dxa"/>
            <w:vAlign w:val="bottom"/>
            <w:tcBorders>
              <w:right w:val="single" w:sz="8" w:color="009AD9"/>
            </w:tcBorders>
            <w:shd w:val="clear" w:color="auto" w:fill="009AD9"/>
          </w:tcPr>
          <w:p>
            <w:pPr>
              <w:jc w:val="center"/>
              <w:ind w:left="32"/>
              <w:spacing w:after="0" w:line="109" w:lineRule="exact"/>
              <w:rPr>
                <w:sz w:val="20"/>
                <w:szCs w:val="20"/>
                <w:color w:val="auto"/>
              </w:rPr>
            </w:pPr>
            <w:r>
              <w:rPr>
                <w:rFonts w:ascii="Arial" w:cs="Arial" w:eastAsia="Arial" w:hAnsi="Arial"/>
                <w:sz w:val="10"/>
                <w:szCs w:val="10"/>
                <w:b w:val="1"/>
                <w:bCs w:val="1"/>
                <w:color w:val="FFFFFF"/>
                <w:w w:val="98"/>
              </w:rPr>
              <w:t>and Sustainability</w:t>
            </w:r>
          </w:p>
        </w:tc>
      </w:tr>
      <w:tr>
        <w:trPr>
          <w:trHeight w:val="145"/>
        </w:trPr>
        <w:tc>
          <w:tcPr>
            <w:tcW w:w="3020" w:type="dxa"/>
            <w:vAlign w:val="bottom"/>
            <w:tcBorders>
              <w:left w:val="single" w:sz="8" w:color="009AD9"/>
            </w:tcBorders>
            <w:shd w:val="clear" w:color="auto" w:fill="009AD9"/>
          </w:tcPr>
          <w:p>
            <w:pPr>
              <w:ind w:left="120"/>
              <w:spacing w:after="0"/>
              <w:rPr>
                <w:sz w:val="20"/>
                <w:szCs w:val="20"/>
                <w:color w:val="auto"/>
              </w:rPr>
            </w:pPr>
            <w:r>
              <w:rPr>
                <w:rFonts w:ascii="Arial" w:cs="Arial" w:eastAsia="Arial" w:hAnsi="Arial"/>
                <w:sz w:val="10"/>
                <w:szCs w:val="10"/>
                <w:b w:val="1"/>
                <w:bCs w:val="1"/>
                <w:color w:val="FFFFFF"/>
              </w:rPr>
              <w:t>Director</w:t>
            </w:r>
          </w:p>
        </w:tc>
        <w:tc>
          <w:tcPr>
            <w:tcW w:w="1320" w:type="dxa"/>
            <w:vAlign w:val="bottom"/>
            <w:shd w:val="clear" w:color="auto" w:fill="009AD9"/>
          </w:tcPr>
          <w:p>
            <w:pPr>
              <w:jc w:val="center"/>
              <w:ind w:left="52"/>
              <w:spacing w:after="0"/>
              <w:rPr>
                <w:sz w:val="20"/>
                <w:szCs w:val="20"/>
                <w:color w:val="auto"/>
              </w:rPr>
            </w:pPr>
            <w:r>
              <w:rPr>
                <w:rFonts w:ascii="Arial" w:cs="Arial" w:eastAsia="Arial" w:hAnsi="Arial"/>
                <w:sz w:val="10"/>
                <w:szCs w:val="10"/>
                <w:b w:val="1"/>
                <w:bCs w:val="1"/>
                <w:color w:val="FFFFFF"/>
                <w:w w:val="96"/>
              </w:rPr>
              <w:t>Committee</w:t>
            </w:r>
          </w:p>
        </w:tc>
        <w:tc>
          <w:tcPr>
            <w:tcW w:w="9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Committee</w:t>
            </w:r>
          </w:p>
        </w:tc>
        <w:tc>
          <w:tcPr>
            <w:tcW w:w="1000" w:type="dxa"/>
            <w:vAlign w:val="bottom"/>
            <w:tcBorders>
              <w:right w:val="single" w:sz="8" w:color="009AD9"/>
            </w:tcBorders>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6"/>
              </w:rPr>
              <w:t>Committee</w:t>
            </w:r>
          </w:p>
        </w:tc>
      </w:tr>
      <w:tr>
        <w:trPr>
          <w:trHeight w:val="145"/>
        </w:trPr>
        <w:tc>
          <w:tcPr>
            <w:tcW w:w="3020" w:type="dxa"/>
            <w:vAlign w:val="bottom"/>
            <w:tcBorders>
              <w:left w:val="single" w:sz="8" w:color="009AD9"/>
            </w:tcBorders>
          </w:tcPr>
          <w:p>
            <w:pPr>
              <w:ind w:left="120"/>
              <w:spacing w:after="0"/>
              <w:rPr>
                <w:sz w:val="20"/>
                <w:szCs w:val="20"/>
                <w:color w:val="auto"/>
              </w:rPr>
            </w:pPr>
            <w:r>
              <w:rPr>
                <w:rFonts w:ascii="Arial" w:cs="Arial" w:eastAsia="Arial" w:hAnsi="Arial"/>
                <w:sz w:val="10"/>
                <w:szCs w:val="10"/>
                <w:color w:val="auto"/>
              </w:rPr>
              <w:t>Wendy Montoya Cloonan</w:t>
            </w:r>
          </w:p>
        </w:tc>
        <w:tc>
          <w:tcPr>
            <w:tcW w:w="1320" w:type="dxa"/>
            <w:vAlign w:val="bottom"/>
          </w:tcPr>
          <w:p>
            <w:pPr>
              <w:spacing w:after="0"/>
              <w:rPr>
                <w:sz w:val="12"/>
                <w:szCs w:val="12"/>
                <w:color w:val="auto"/>
              </w:rPr>
            </w:pPr>
          </w:p>
        </w:tc>
        <w:tc>
          <w:tcPr>
            <w:tcW w:w="92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00" w:type="dxa"/>
            <w:vAlign w:val="bottom"/>
            <w:tcBorders>
              <w:right w:val="single" w:sz="8" w:color="009AD9"/>
            </w:tcBorders>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5"/>
        </w:trPr>
        <w:tc>
          <w:tcPr>
            <w:tcW w:w="3020" w:type="dxa"/>
            <w:vAlign w:val="bottom"/>
            <w:tcBorders>
              <w:left w:val="single" w:sz="8" w:color="009AD9"/>
            </w:tcBorders>
            <w:shd w:val="clear" w:color="auto" w:fill="D8EFF9"/>
          </w:tcPr>
          <w:p>
            <w:pPr>
              <w:ind w:left="120"/>
              <w:spacing w:after="0"/>
              <w:rPr>
                <w:sz w:val="20"/>
                <w:szCs w:val="20"/>
                <w:color w:val="auto"/>
              </w:rPr>
            </w:pPr>
            <w:r>
              <w:rPr>
                <w:rFonts w:ascii="Arial" w:cs="Arial" w:eastAsia="Arial" w:hAnsi="Arial"/>
                <w:sz w:val="10"/>
                <w:szCs w:val="10"/>
                <w:color w:val="auto"/>
              </w:rPr>
              <w:t>Earl M. Cummings</w:t>
            </w:r>
          </w:p>
        </w:tc>
        <w:tc>
          <w:tcPr>
            <w:tcW w:w="1320" w:type="dxa"/>
            <w:vAlign w:val="bottom"/>
            <w:shd w:val="clear" w:color="auto" w:fill="D8EFF9"/>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c>
          <w:tcPr>
            <w:tcW w:w="920" w:type="dxa"/>
            <w:vAlign w:val="bottom"/>
            <w:shd w:val="clear" w:color="auto" w:fill="D8EFF9"/>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00" w:type="dxa"/>
            <w:vAlign w:val="bottom"/>
            <w:tcBorders>
              <w:right w:val="single" w:sz="8" w:color="009AD9"/>
            </w:tcBorders>
            <w:shd w:val="clear" w:color="auto" w:fill="D8EFF9"/>
          </w:tcPr>
          <w:p>
            <w:pPr>
              <w:jc w:val="center"/>
              <w:ind w:left="52"/>
              <w:spacing w:after="0"/>
              <w:rPr>
                <w:sz w:val="20"/>
                <w:szCs w:val="20"/>
                <w:color w:val="auto"/>
              </w:rPr>
            </w:pPr>
            <w:r>
              <w:rPr>
                <w:rFonts w:ascii="Arial" w:cs="Arial" w:eastAsia="Arial" w:hAnsi="Arial"/>
                <w:sz w:val="10"/>
                <w:szCs w:val="10"/>
                <w:color w:val="auto"/>
                <w:w w:val="91"/>
              </w:rPr>
              <w:t>Chair</w:t>
            </w:r>
          </w:p>
        </w:tc>
      </w:tr>
      <w:tr>
        <w:trPr>
          <w:trHeight w:val="145"/>
        </w:trPr>
        <w:tc>
          <w:tcPr>
            <w:tcW w:w="3020" w:type="dxa"/>
            <w:vAlign w:val="bottom"/>
            <w:tcBorders>
              <w:left w:val="single" w:sz="8" w:color="009AD9"/>
            </w:tcBorders>
          </w:tcPr>
          <w:p>
            <w:pPr>
              <w:ind w:left="120"/>
              <w:spacing w:after="0"/>
              <w:rPr>
                <w:sz w:val="20"/>
                <w:szCs w:val="20"/>
                <w:color w:val="auto"/>
              </w:rPr>
            </w:pPr>
            <w:r>
              <w:rPr>
                <w:rFonts w:ascii="Arial" w:cs="Arial" w:eastAsia="Arial" w:hAnsi="Arial"/>
                <w:sz w:val="10"/>
                <w:szCs w:val="10"/>
                <w:color w:val="auto"/>
              </w:rPr>
              <w:t>Christopher H. Franklin*</w:t>
            </w:r>
          </w:p>
        </w:tc>
        <w:tc>
          <w:tcPr>
            <w:tcW w:w="1320" w:type="dxa"/>
            <w:vAlign w:val="bottom"/>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c>
          <w:tcPr>
            <w:tcW w:w="920" w:type="dxa"/>
            <w:vAlign w:val="bottom"/>
          </w:tcPr>
          <w:p>
            <w:pPr>
              <w:spacing w:after="0"/>
              <w:rPr>
                <w:sz w:val="12"/>
                <w:szCs w:val="12"/>
                <w:color w:val="auto"/>
              </w:rPr>
            </w:pPr>
          </w:p>
        </w:tc>
        <w:tc>
          <w:tcPr>
            <w:tcW w:w="1000" w:type="dxa"/>
            <w:vAlign w:val="bottom"/>
            <w:tcBorders>
              <w:right w:val="single" w:sz="8" w:color="009AD9"/>
            </w:tcBorders>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5"/>
        </w:trPr>
        <w:tc>
          <w:tcPr>
            <w:tcW w:w="3020" w:type="dxa"/>
            <w:vAlign w:val="bottom"/>
            <w:tcBorders>
              <w:left w:val="single" w:sz="8" w:color="009AD9"/>
            </w:tcBorders>
            <w:shd w:val="clear" w:color="auto" w:fill="D8EFF9"/>
          </w:tcPr>
          <w:p>
            <w:pPr>
              <w:ind w:left="120"/>
              <w:spacing w:after="0"/>
              <w:rPr>
                <w:sz w:val="20"/>
                <w:szCs w:val="20"/>
                <w:color w:val="auto"/>
              </w:rPr>
            </w:pPr>
            <w:r>
              <w:rPr>
                <w:rFonts w:ascii="Arial" w:cs="Arial" w:eastAsia="Arial" w:hAnsi="Arial"/>
                <w:sz w:val="10"/>
                <w:szCs w:val="10"/>
                <w:color w:val="auto"/>
              </w:rPr>
              <w:t>Raquelle W. Lewis</w:t>
            </w:r>
          </w:p>
        </w:tc>
        <w:tc>
          <w:tcPr>
            <w:tcW w:w="1320" w:type="dxa"/>
            <w:vAlign w:val="bottom"/>
            <w:shd w:val="clear" w:color="auto" w:fill="D8EFF9"/>
          </w:tcPr>
          <w:p>
            <w:pPr>
              <w:spacing w:after="0"/>
              <w:rPr>
                <w:sz w:val="12"/>
                <w:szCs w:val="12"/>
                <w:color w:val="auto"/>
              </w:rPr>
            </w:pPr>
          </w:p>
        </w:tc>
        <w:tc>
          <w:tcPr>
            <w:tcW w:w="920" w:type="dxa"/>
            <w:vAlign w:val="bottom"/>
            <w:shd w:val="clear" w:color="auto" w:fill="D8EFF9"/>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00" w:type="dxa"/>
            <w:vAlign w:val="bottom"/>
            <w:tcBorders>
              <w:right w:val="single" w:sz="8" w:color="009AD9"/>
            </w:tcBorders>
            <w:shd w:val="clear" w:color="auto" w:fill="D8EFF9"/>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5"/>
        </w:trPr>
        <w:tc>
          <w:tcPr>
            <w:tcW w:w="3020" w:type="dxa"/>
            <w:vAlign w:val="bottom"/>
            <w:tcBorders>
              <w:left w:val="single" w:sz="8" w:color="009AD9"/>
            </w:tcBorders>
          </w:tcPr>
          <w:p>
            <w:pPr>
              <w:ind w:left="120"/>
              <w:spacing w:after="0"/>
              <w:rPr>
                <w:sz w:val="20"/>
                <w:szCs w:val="20"/>
                <w:color w:val="auto"/>
              </w:rPr>
            </w:pPr>
            <w:r>
              <w:rPr>
                <w:rFonts w:ascii="Arial" w:cs="Arial" w:eastAsia="Arial" w:hAnsi="Arial"/>
                <w:sz w:val="10"/>
                <w:szCs w:val="10"/>
                <w:color w:val="auto"/>
              </w:rPr>
              <w:t>Theodore F. Pound</w:t>
            </w:r>
          </w:p>
        </w:tc>
        <w:tc>
          <w:tcPr>
            <w:tcW w:w="1320" w:type="dxa"/>
            <w:vAlign w:val="bottom"/>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c>
          <w:tcPr>
            <w:tcW w:w="920" w:type="dxa"/>
            <w:vAlign w:val="bottom"/>
          </w:tcPr>
          <w:p>
            <w:pPr>
              <w:jc w:val="center"/>
              <w:spacing w:after="0"/>
              <w:rPr>
                <w:sz w:val="20"/>
                <w:szCs w:val="20"/>
                <w:color w:val="auto"/>
              </w:rPr>
            </w:pPr>
            <w:r>
              <w:rPr>
                <w:rFonts w:ascii="Arial" w:cs="Arial" w:eastAsia="Arial" w:hAnsi="Arial"/>
                <w:sz w:val="10"/>
                <w:szCs w:val="10"/>
                <w:color w:val="auto"/>
                <w:w w:val="91"/>
              </w:rPr>
              <w:t>Chair</w:t>
            </w:r>
          </w:p>
        </w:tc>
        <w:tc>
          <w:tcPr>
            <w:tcW w:w="1000" w:type="dxa"/>
            <w:vAlign w:val="bottom"/>
            <w:tcBorders>
              <w:right w:val="single" w:sz="8" w:color="009AD9"/>
            </w:tcBorders>
          </w:tcPr>
          <w:p>
            <w:pPr>
              <w:spacing w:after="0"/>
              <w:rPr>
                <w:sz w:val="12"/>
                <w:szCs w:val="12"/>
                <w:color w:val="auto"/>
              </w:rPr>
            </w:pPr>
          </w:p>
        </w:tc>
      </w:tr>
      <w:tr>
        <w:trPr>
          <w:trHeight w:val="145"/>
        </w:trPr>
        <w:tc>
          <w:tcPr>
            <w:tcW w:w="3020" w:type="dxa"/>
            <w:vAlign w:val="bottom"/>
            <w:tcBorders>
              <w:left w:val="single" w:sz="8" w:color="009AD9"/>
            </w:tcBorders>
            <w:shd w:val="clear" w:color="auto" w:fill="D8EFF9"/>
          </w:tcPr>
          <w:p>
            <w:pPr>
              <w:ind w:left="120"/>
              <w:spacing w:after="0"/>
              <w:rPr>
                <w:sz w:val="20"/>
                <w:szCs w:val="20"/>
                <w:color w:val="auto"/>
              </w:rPr>
            </w:pPr>
            <w:r>
              <w:rPr>
                <w:rFonts w:ascii="Arial" w:cs="Arial" w:eastAsia="Arial" w:hAnsi="Arial"/>
                <w:sz w:val="10"/>
                <w:szCs w:val="10"/>
                <w:color w:val="auto"/>
              </w:rPr>
              <w:t>Phillip R. Smith</w:t>
            </w:r>
          </w:p>
        </w:tc>
        <w:tc>
          <w:tcPr>
            <w:tcW w:w="1320" w:type="dxa"/>
            <w:vAlign w:val="bottom"/>
            <w:shd w:val="clear" w:color="auto" w:fill="D8EFF9"/>
          </w:tcPr>
          <w:p>
            <w:pPr>
              <w:jc w:val="center"/>
              <w:ind w:left="52"/>
              <w:spacing w:after="0"/>
              <w:rPr>
                <w:sz w:val="20"/>
                <w:szCs w:val="20"/>
                <w:color w:val="auto"/>
              </w:rPr>
            </w:pPr>
            <w:r>
              <w:rPr>
                <w:rFonts w:ascii="Arial" w:cs="Arial" w:eastAsia="Arial" w:hAnsi="Arial"/>
                <w:sz w:val="10"/>
                <w:szCs w:val="10"/>
                <w:color w:val="auto"/>
                <w:w w:val="96"/>
              </w:rPr>
              <w:t>Chair; Financial Expert</w:t>
            </w:r>
          </w:p>
        </w:tc>
        <w:tc>
          <w:tcPr>
            <w:tcW w:w="920" w:type="dxa"/>
            <w:vAlign w:val="bottom"/>
            <w:shd w:val="clear" w:color="auto" w:fill="D8EFF9"/>
          </w:tcPr>
          <w:p>
            <w:pPr>
              <w:spacing w:after="0"/>
              <w:rPr>
                <w:sz w:val="12"/>
                <w:szCs w:val="12"/>
                <w:color w:val="auto"/>
              </w:rPr>
            </w:pPr>
          </w:p>
        </w:tc>
        <w:tc>
          <w:tcPr>
            <w:tcW w:w="1000" w:type="dxa"/>
            <w:vAlign w:val="bottom"/>
            <w:tcBorders>
              <w:right w:val="single" w:sz="8" w:color="009AD9"/>
            </w:tcBorders>
            <w:shd w:val="clear" w:color="auto" w:fill="D8EFF9"/>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5"/>
        </w:trPr>
        <w:tc>
          <w:tcPr>
            <w:tcW w:w="3020" w:type="dxa"/>
            <w:vAlign w:val="bottom"/>
            <w:tcBorders>
              <w:left w:val="single" w:sz="8" w:color="009AD9"/>
            </w:tcBorders>
          </w:tcPr>
          <w:p>
            <w:pPr>
              <w:ind w:left="120"/>
              <w:spacing w:after="0"/>
              <w:rPr>
                <w:sz w:val="20"/>
                <w:szCs w:val="20"/>
                <w:color w:val="auto"/>
              </w:rPr>
            </w:pPr>
            <w:r>
              <w:rPr>
                <w:rFonts w:ascii="Arial" w:cs="Arial" w:eastAsia="Arial" w:hAnsi="Arial"/>
                <w:sz w:val="10"/>
                <w:szCs w:val="10"/>
                <w:color w:val="auto"/>
              </w:rPr>
              <w:t>Barry T. Smitherman</w:t>
            </w:r>
          </w:p>
        </w:tc>
        <w:tc>
          <w:tcPr>
            <w:tcW w:w="1320" w:type="dxa"/>
            <w:vAlign w:val="bottom"/>
          </w:tcPr>
          <w:p>
            <w:pPr>
              <w:jc w:val="center"/>
              <w:ind w:left="72"/>
              <w:spacing w:after="0" w:line="101" w:lineRule="exact"/>
              <w:rPr>
                <w:sz w:val="20"/>
                <w:szCs w:val="20"/>
                <w:color w:val="auto"/>
              </w:rPr>
            </w:pPr>
            <w:r>
              <w:rPr>
                <w:rFonts w:ascii="MS PGothic" w:cs="MS PGothic" w:eastAsia="MS PGothic" w:hAnsi="MS PGothic"/>
                <w:sz w:val="10"/>
                <w:szCs w:val="10"/>
                <w:color w:val="auto"/>
                <w:w w:val="79"/>
              </w:rPr>
              <w:t>✓</w:t>
            </w:r>
          </w:p>
        </w:tc>
        <w:tc>
          <w:tcPr>
            <w:tcW w:w="92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00" w:type="dxa"/>
            <w:vAlign w:val="bottom"/>
            <w:tcBorders>
              <w:right w:val="single" w:sz="8" w:color="009AD9"/>
            </w:tcBorders>
          </w:tcPr>
          <w:p>
            <w:pPr>
              <w:spacing w:after="0"/>
              <w:rPr>
                <w:sz w:val="12"/>
                <w:szCs w:val="12"/>
                <w:color w:val="auto"/>
              </w:rPr>
            </w:pPr>
          </w:p>
        </w:tc>
      </w:tr>
      <w:tr>
        <w:trPr>
          <w:trHeight w:val="136"/>
        </w:trPr>
        <w:tc>
          <w:tcPr>
            <w:tcW w:w="3020" w:type="dxa"/>
            <w:vAlign w:val="bottom"/>
            <w:tcBorders>
              <w:left w:val="single" w:sz="8" w:color="009AD9"/>
              <w:bottom w:val="single" w:sz="8" w:color="009AD9"/>
            </w:tcBorders>
            <w:shd w:val="clear" w:color="auto" w:fill="D8EFF9"/>
          </w:tcPr>
          <w:p>
            <w:pPr>
              <w:ind w:left="120"/>
              <w:spacing w:after="0"/>
              <w:rPr>
                <w:sz w:val="20"/>
                <w:szCs w:val="20"/>
                <w:color w:val="auto"/>
              </w:rPr>
            </w:pPr>
            <w:r>
              <w:rPr>
                <w:rFonts w:ascii="Arial" w:cs="Arial" w:eastAsia="Arial" w:hAnsi="Arial"/>
                <w:sz w:val="10"/>
                <w:szCs w:val="10"/>
                <w:b w:val="1"/>
                <w:bCs w:val="1"/>
                <w:color w:val="auto"/>
              </w:rPr>
              <w:t>Number of Meetings Held in 2022</w:t>
            </w:r>
          </w:p>
        </w:tc>
        <w:tc>
          <w:tcPr>
            <w:tcW w:w="1320" w:type="dxa"/>
            <w:vAlign w:val="bottom"/>
            <w:tcBorders>
              <w:bottom w:val="single" w:sz="8" w:color="009AD9"/>
            </w:tcBorders>
            <w:shd w:val="clear" w:color="auto" w:fill="D8EFF9"/>
          </w:tcPr>
          <w:p>
            <w:pPr>
              <w:jc w:val="center"/>
              <w:ind w:left="72"/>
              <w:spacing w:after="0"/>
              <w:rPr>
                <w:sz w:val="20"/>
                <w:szCs w:val="20"/>
                <w:color w:val="auto"/>
              </w:rPr>
            </w:pPr>
            <w:r>
              <w:rPr>
                <w:rFonts w:ascii="Arial" w:cs="Arial" w:eastAsia="Arial" w:hAnsi="Arial"/>
                <w:sz w:val="10"/>
                <w:szCs w:val="10"/>
                <w:color w:val="auto"/>
                <w:w w:val="71"/>
              </w:rPr>
              <w:t>7</w:t>
            </w:r>
          </w:p>
        </w:tc>
        <w:tc>
          <w:tcPr>
            <w:tcW w:w="920" w:type="dxa"/>
            <w:vAlign w:val="bottom"/>
            <w:tcBorders>
              <w:bottom w:val="single" w:sz="8" w:color="009AD9"/>
            </w:tcBorders>
            <w:shd w:val="clear" w:color="auto" w:fill="D8EFF9"/>
          </w:tcPr>
          <w:p>
            <w:pPr>
              <w:jc w:val="center"/>
              <w:spacing w:after="0"/>
              <w:rPr>
                <w:sz w:val="20"/>
                <w:szCs w:val="20"/>
                <w:color w:val="auto"/>
              </w:rPr>
            </w:pPr>
            <w:r>
              <w:rPr>
                <w:rFonts w:ascii="Arial" w:cs="Arial" w:eastAsia="Arial" w:hAnsi="Arial"/>
                <w:sz w:val="10"/>
                <w:szCs w:val="10"/>
                <w:color w:val="auto"/>
              </w:rPr>
              <w:t>4</w:t>
            </w:r>
          </w:p>
        </w:tc>
        <w:tc>
          <w:tcPr>
            <w:tcW w:w="1000" w:type="dxa"/>
            <w:vAlign w:val="bottom"/>
            <w:tcBorders>
              <w:bottom w:val="single" w:sz="8" w:color="009AD9"/>
              <w:right w:val="single" w:sz="8" w:color="009AD9"/>
            </w:tcBorders>
            <w:shd w:val="clear" w:color="auto" w:fill="D8EFF9"/>
          </w:tcPr>
          <w:p>
            <w:pPr>
              <w:jc w:val="center"/>
              <w:ind w:left="52"/>
              <w:spacing w:after="0"/>
              <w:rPr>
                <w:sz w:val="20"/>
                <w:szCs w:val="20"/>
                <w:color w:val="auto"/>
              </w:rPr>
            </w:pPr>
            <w:r>
              <w:rPr>
                <w:rFonts w:ascii="Arial" w:cs="Arial" w:eastAsia="Arial" w:hAnsi="Arial"/>
                <w:sz w:val="10"/>
                <w:szCs w:val="10"/>
                <w:color w:val="auto"/>
              </w:rPr>
              <w:t>5</w:t>
            </w:r>
          </w:p>
        </w:tc>
      </w:tr>
    </w:tbl>
    <w:p>
      <w:pPr>
        <w:spacing w:after="0" w:line="167" w:lineRule="exact"/>
        <w:rPr>
          <w:sz w:val="20"/>
          <w:szCs w:val="20"/>
          <w:color w:val="auto"/>
        </w:rPr>
      </w:pPr>
    </w:p>
    <w:p>
      <w:pPr>
        <w:ind w:left="2740" w:hanging="215"/>
        <w:spacing w:after="0"/>
        <w:tabs>
          <w:tab w:leader="none" w:pos="2740" w:val="left"/>
        </w:tabs>
        <w:numPr>
          <w:ilvl w:val="0"/>
          <w:numId w:val="40"/>
        </w:numPr>
        <w:rPr>
          <w:rFonts w:ascii="Arial" w:cs="Arial" w:eastAsia="Arial" w:hAnsi="Arial"/>
          <w:sz w:val="10"/>
          <w:szCs w:val="10"/>
          <w:color w:val="auto"/>
        </w:rPr>
      </w:pPr>
      <w:r>
        <w:rPr>
          <w:rFonts w:ascii="Arial" w:cs="Arial" w:eastAsia="Arial" w:hAnsi="Arial"/>
          <w:sz w:val="10"/>
          <w:szCs w:val="10"/>
          <w:color w:val="auto"/>
        </w:rPr>
        <w:t>Mr. Franklin was elected to the Board of Directors on 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98425</wp:posOffset>
            </wp:positionV>
            <wp:extent cx="4711700" cy="1547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11700" cy="154749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2420"/>
        <w:spacing w:after="0"/>
        <w:rPr>
          <w:sz w:val="20"/>
          <w:szCs w:val="20"/>
          <w:color w:val="auto"/>
        </w:rPr>
      </w:pPr>
      <w:r>
        <w:rPr>
          <w:rFonts w:ascii="Arial" w:cs="Arial" w:eastAsia="Arial" w:hAnsi="Arial"/>
          <w:sz w:val="12"/>
          <w:szCs w:val="12"/>
          <w:b w:val="1"/>
          <w:bCs w:val="1"/>
          <w:color w:val="FFFFFF"/>
        </w:rPr>
        <w:t>AUDIT</w:t>
      </w:r>
    </w:p>
    <w:p>
      <w:pPr>
        <w:spacing w:after="0" w:line="12" w:lineRule="exact"/>
        <w:rPr>
          <w:sz w:val="20"/>
          <w:szCs w:val="20"/>
          <w:color w:val="auto"/>
        </w:rPr>
      </w:pPr>
    </w:p>
    <w:p>
      <w:pPr>
        <w:jc w:val="center"/>
        <w:ind w:left="2420"/>
        <w:spacing w:after="0"/>
        <w:rPr>
          <w:sz w:val="20"/>
          <w:szCs w:val="20"/>
          <w:color w:val="auto"/>
        </w:rPr>
      </w:pPr>
      <w:r>
        <w:rPr>
          <w:rFonts w:ascii="Arial" w:cs="Arial" w:eastAsia="Arial" w:hAnsi="Arial"/>
          <w:sz w:val="12"/>
          <w:szCs w:val="12"/>
          <w:b w:val="1"/>
          <w:bCs w:val="1"/>
          <w:color w:val="FFFFFF"/>
        </w:rPr>
        <w:t>COMMITTEE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939"/>
        <w:spacing w:after="0" w:line="250" w:lineRule="auto"/>
        <w:rPr>
          <w:sz w:val="20"/>
          <w:szCs w:val="20"/>
          <w:color w:val="auto"/>
        </w:rPr>
      </w:pPr>
      <w:r>
        <w:rPr>
          <w:rFonts w:ascii="Arial" w:cs="Arial" w:eastAsia="Arial" w:hAnsi="Arial"/>
          <w:sz w:val="12"/>
          <w:szCs w:val="12"/>
          <w:color w:val="auto"/>
        </w:rPr>
        <w:t>The primary responsibilities of the Audit Committee are to assist the Board in fulfilling its oversight responsibility for:</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integrity of our financial statements;</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qualifications, independence and performance of our independent registered public accounting</w:t>
      </w:r>
      <w:r>
        <w:rPr>
          <w:rFonts w:ascii="Arial" w:cs="Arial" w:eastAsia="Arial" w:hAnsi="Arial"/>
          <w:sz w:val="12"/>
          <w:szCs w:val="12"/>
          <w:color w:val="009AD9"/>
        </w:rPr>
        <w:t xml:space="preserve"> </w:t>
      </w:r>
      <w:r>
        <w:rPr>
          <w:rFonts w:ascii="Arial" w:cs="Arial" w:eastAsia="Arial" w:hAnsi="Arial"/>
          <w:sz w:val="12"/>
          <w:szCs w:val="12"/>
          <w:color w:val="000000"/>
        </w:rPr>
        <w:t>firm;</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performance of our internal audit function;</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 compliance with legal and regulatory requirements and our systems of disclosure controls and</w:t>
      </w:r>
      <w:r>
        <w:rPr>
          <w:rFonts w:ascii="Arial" w:cs="Arial" w:eastAsia="Arial" w:hAnsi="Arial"/>
          <w:sz w:val="12"/>
          <w:szCs w:val="12"/>
          <w:color w:val="009AD9"/>
        </w:rPr>
        <w:t xml:space="preserve"> </w:t>
      </w:r>
      <w:r>
        <w:rPr>
          <w:rFonts w:ascii="Arial" w:cs="Arial" w:eastAsia="Arial" w:hAnsi="Arial"/>
          <w:sz w:val="12"/>
          <w:szCs w:val="12"/>
          <w:color w:val="000000"/>
        </w:rPr>
        <w:t>internal controls; and</w:t>
      </w:r>
    </w:p>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 our enterprise risk management process.</w:t>
      </w:r>
    </w:p>
    <w:p>
      <w:pPr>
        <w:spacing w:after="0" w:line="80" w:lineRule="exact"/>
        <w:rPr>
          <w:sz w:val="20"/>
          <w:szCs w:val="20"/>
          <w:color w:val="auto"/>
        </w:rPr>
      </w:pPr>
    </w:p>
    <w:p>
      <w:pPr>
        <w:jc w:val="both"/>
        <w:ind w:right="879"/>
        <w:spacing w:after="0" w:line="243" w:lineRule="auto"/>
        <w:rPr>
          <w:sz w:val="20"/>
          <w:szCs w:val="20"/>
          <w:color w:val="auto"/>
        </w:rPr>
      </w:pPr>
      <w:r>
        <w:rPr>
          <w:rFonts w:ascii="Arial" w:cs="Arial" w:eastAsia="Arial" w:hAnsi="Arial"/>
          <w:sz w:val="12"/>
          <w:szCs w:val="12"/>
          <w:color w:val="auto"/>
        </w:rPr>
        <w:t>The Audit Committee has sole responsibility to appoint and, where appropriate, replace our independent registered public accounting firm and to approve all audit engagement fees and terms. Please refer to “Report of the Audit Committee” for further details.</w:t>
      </w:r>
    </w:p>
    <w:p>
      <w:pPr>
        <w:spacing w:after="0" w:line="72" w:lineRule="exact"/>
        <w:rPr>
          <w:sz w:val="20"/>
          <w:szCs w:val="20"/>
          <w:color w:val="auto"/>
        </w:rPr>
      </w:pPr>
    </w:p>
    <w:p>
      <w:pPr>
        <w:jc w:val="both"/>
        <w:ind w:right="879"/>
        <w:spacing w:after="0" w:line="243" w:lineRule="auto"/>
        <w:rPr>
          <w:sz w:val="20"/>
          <w:szCs w:val="20"/>
          <w:color w:val="auto"/>
        </w:rPr>
      </w:pPr>
      <w:r>
        <w:rPr>
          <w:rFonts w:ascii="Arial" w:cs="Arial" w:eastAsia="Arial" w:hAnsi="Arial"/>
          <w:sz w:val="12"/>
          <w:szCs w:val="12"/>
          <w:color w:val="auto"/>
        </w:rPr>
        <w:t>The Board of Directors has determined that Mr. Smith, the Chair of our Audit Committee, is an audit committee financial expert within the meaning of the regulations of the Securities and Exchange Commission.</w:t>
      </w:r>
    </w:p>
    <w:p>
      <w:pPr>
        <w:spacing w:after="0" w:line="200" w:lineRule="exact"/>
        <w:rPr>
          <w:sz w:val="20"/>
          <w:szCs w:val="20"/>
          <w:color w:val="auto"/>
        </w:rPr>
      </w:pPr>
    </w:p>
    <w:p>
      <w:pPr>
        <w:sectPr>
          <w:pgSz w:w="11900" w:h="16838" w:orient="portrait"/>
          <w:cols w:equalWidth="0" w:num="2">
            <w:col w:w="3140" w:space="580"/>
            <w:col w:w="6439"/>
          </w:cols>
          <w:pgMar w:left="300" w:top="373" w:right="1440" w:bottom="1440" w:gutter="0" w:footer="0" w:header="0"/>
          <w:type w:val="continuous"/>
        </w:sectPr>
      </w:pPr>
    </w:p>
    <w:p>
      <w:pPr>
        <w:spacing w:after="0" w:line="187"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jc w:val="right"/>
        <w:ind w:right="651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64135</wp:posOffset>
            </wp:positionV>
            <wp:extent cx="4711700" cy="12357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1700" cy="123571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2060"/>
        <w:spacing w:after="0"/>
        <w:rPr>
          <w:sz w:val="20"/>
          <w:szCs w:val="20"/>
          <w:color w:val="auto"/>
        </w:rPr>
      </w:pPr>
      <w:r>
        <w:rPr>
          <w:rFonts w:ascii="Arial" w:cs="Arial" w:eastAsia="Arial" w:hAnsi="Arial"/>
          <w:sz w:val="12"/>
          <w:szCs w:val="12"/>
          <w:b w:val="1"/>
          <w:bCs w:val="1"/>
          <w:color w:val="FFFFFF"/>
        </w:rPr>
        <w:t>COMPENSATION</w:t>
      </w:r>
    </w:p>
    <w:p>
      <w:pPr>
        <w:spacing w:after="0" w:line="12" w:lineRule="exact"/>
        <w:rPr>
          <w:sz w:val="20"/>
          <w:szCs w:val="20"/>
          <w:color w:val="auto"/>
        </w:rPr>
      </w:pPr>
    </w:p>
    <w:p>
      <w:pPr>
        <w:jc w:val="center"/>
        <w:ind w:left="2060"/>
        <w:spacing w:after="0"/>
        <w:rPr>
          <w:sz w:val="20"/>
          <w:szCs w:val="20"/>
          <w:color w:val="auto"/>
        </w:rPr>
      </w:pPr>
      <w:r>
        <w:rPr>
          <w:rFonts w:ascii="Arial" w:cs="Arial" w:eastAsia="Arial" w:hAnsi="Arial"/>
          <w:sz w:val="12"/>
          <w:szCs w:val="12"/>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622935</wp:posOffset>
            </wp:positionV>
            <wp:extent cx="1079500" cy="2101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79500" cy="210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FFFFFF"/>
        </w:rPr>
        <w:t>GOVERNANCE,</w:t>
      </w:r>
    </w:p>
    <w:p>
      <w:pPr>
        <w:spacing w:after="0" w:line="12" w:lineRule="exact"/>
        <w:rPr>
          <w:sz w:val="20"/>
          <w:szCs w:val="20"/>
          <w:color w:val="auto"/>
        </w:rPr>
      </w:pPr>
    </w:p>
    <w:p>
      <w:pPr>
        <w:ind w:left="2180"/>
        <w:spacing w:after="0"/>
        <w:rPr>
          <w:sz w:val="20"/>
          <w:szCs w:val="20"/>
          <w:color w:val="auto"/>
        </w:rPr>
      </w:pPr>
      <w:r>
        <w:rPr>
          <w:rFonts w:ascii="Arial" w:cs="Arial" w:eastAsia="Arial" w:hAnsi="Arial"/>
          <w:sz w:val="11"/>
          <w:szCs w:val="11"/>
          <w:b w:val="1"/>
          <w:bCs w:val="1"/>
          <w:color w:val="FFFFFF"/>
        </w:rPr>
        <w:t>ENVIRONMENTAL AND</w:t>
      </w:r>
    </w:p>
    <w:p>
      <w:pPr>
        <w:spacing w:after="0" w:line="8"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FFFFFF"/>
        </w:rPr>
        <w:t>SUSTAINABILITY</w:t>
      </w:r>
    </w:p>
    <w:p>
      <w:pPr>
        <w:ind w:left="2420"/>
        <w:spacing w:after="0"/>
        <w:rPr>
          <w:sz w:val="20"/>
          <w:szCs w:val="20"/>
          <w:color w:val="auto"/>
        </w:rPr>
      </w:pPr>
      <w:r>
        <w:rPr>
          <w:rFonts w:ascii="Arial" w:cs="Arial" w:eastAsia="Arial" w:hAnsi="Arial"/>
          <w:sz w:val="12"/>
          <w:szCs w:val="12"/>
          <w:b w:val="1"/>
          <w:bCs w:val="1"/>
          <w:color w:val="FFFFFF"/>
        </w:rPr>
        <w:t>COMMITTEE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primary responsibilities of the Compensation Committee are to:</w:t>
      </w:r>
    </w:p>
    <w:p>
      <w:pPr>
        <w:spacing w:after="0" w:line="80" w:lineRule="exact"/>
        <w:rPr>
          <w:sz w:val="20"/>
          <w:szCs w:val="20"/>
          <w:color w:val="auto"/>
        </w:rPr>
      </w:pP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 oversee compensation for our named executive officers, including salary and short-term and long-term incentive awards;</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 administer incentive compensation plans;</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 evaluate our Chief Executive Officer’s performance;</w:t>
      </w:r>
    </w:p>
    <w:p>
      <w:pPr>
        <w:ind w:left="60"/>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management succession planning and development;</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and monitor the Company’s diversity, equity and inclusion practices; and</w:t>
      </w:r>
    </w:p>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 select, retain and oversee the Company’s compensation consultant.</w:t>
      </w:r>
    </w:p>
    <w:p>
      <w:pPr>
        <w:spacing w:after="0" w:line="80" w:lineRule="exact"/>
        <w:rPr>
          <w:sz w:val="20"/>
          <w:szCs w:val="20"/>
          <w:color w:val="auto"/>
        </w:rPr>
      </w:pPr>
    </w:p>
    <w:p>
      <w:pPr>
        <w:jc w:val="both"/>
        <w:ind w:right="879"/>
        <w:spacing w:after="0" w:line="241" w:lineRule="auto"/>
        <w:rPr>
          <w:sz w:val="20"/>
          <w:szCs w:val="20"/>
          <w:color w:val="auto"/>
        </w:rPr>
      </w:pPr>
      <w:r>
        <w:rPr>
          <w:rFonts w:ascii="Arial" w:cs="Arial" w:eastAsia="Arial" w:hAnsi="Arial"/>
          <w:sz w:val="12"/>
          <w:szCs w:val="12"/>
          <w:color w:val="auto"/>
        </w:rPr>
        <w:t>For information concerning policies and procedures relating to the consideration and determination of executive compensation, including the role of the Compensation Committee and its report concerning Compensation Discussion and Analysis, see “Compensation Discussion and Analysis” and “Report of the Compensation Committee,”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139065</wp:posOffset>
            </wp:positionV>
            <wp:extent cx="3631565" cy="2101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31565" cy="210185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The primary responsibilities of the Governance, Environmental and Sustainability Committee are to:</w:t>
      </w:r>
    </w:p>
    <w:p>
      <w:pPr>
        <w:spacing w:after="0" w:line="80" w:lineRule="exact"/>
        <w:rPr>
          <w:sz w:val="20"/>
          <w:szCs w:val="20"/>
          <w:color w:val="auto"/>
        </w:rPr>
      </w:pP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 identify, evaluate and recommend, for the approval of the entire Board of Directors, potential</w:t>
      </w:r>
      <w:r>
        <w:rPr>
          <w:rFonts w:ascii="Arial" w:cs="Arial" w:eastAsia="Arial" w:hAnsi="Arial"/>
          <w:sz w:val="12"/>
          <w:szCs w:val="12"/>
          <w:color w:val="009AD9"/>
        </w:rPr>
        <w:t xml:space="preserve"> </w:t>
      </w:r>
      <w:r>
        <w:rPr>
          <w:rFonts w:ascii="Arial" w:cs="Arial" w:eastAsia="Arial" w:hAnsi="Arial"/>
          <w:sz w:val="12"/>
          <w:szCs w:val="12"/>
          <w:color w:val="000000"/>
        </w:rPr>
        <w:t>nominees for election to the Board;</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 recommend membership on standing committees of the Board;</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 address and resolve any issues with respect to related-party transactions and conflicts of interest</w:t>
      </w:r>
      <w:r>
        <w:rPr>
          <w:rFonts w:ascii="Arial" w:cs="Arial" w:eastAsia="Arial" w:hAnsi="Arial"/>
          <w:sz w:val="12"/>
          <w:szCs w:val="12"/>
          <w:color w:val="009AD9"/>
        </w:rPr>
        <w:t xml:space="preserve"> </w:t>
      </w:r>
      <w:r>
        <w:rPr>
          <w:rFonts w:ascii="Arial" w:cs="Arial" w:eastAsia="Arial" w:hAnsi="Arial"/>
          <w:sz w:val="12"/>
          <w:szCs w:val="12"/>
          <w:color w:val="000000"/>
        </w:rPr>
        <w:t>involving our executive officers, directors or other “related persons”;</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the independence of each Board member and make recommendations to the Board</w:t>
      </w:r>
      <w:r>
        <w:rPr>
          <w:rFonts w:ascii="Arial" w:cs="Arial" w:eastAsia="Arial" w:hAnsi="Arial"/>
          <w:sz w:val="12"/>
          <w:szCs w:val="12"/>
          <w:color w:val="009AD9"/>
        </w:rPr>
        <w:t xml:space="preserve"> </w:t>
      </w:r>
      <w:r>
        <w:rPr>
          <w:rFonts w:ascii="Arial" w:cs="Arial" w:eastAsia="Arial" w:hAnsi="Arial"/>
          <w:sz w:val="12"/>
          <w:szCs w:val="12"/>
          <w:color w:val="000000"/>
        </w:rPr>
        <w:t>regarding director independence;</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 oversee annual evaluations of the Board and its standing committees, including individual director</w:t>
      </w:r>
      <w:r>
        <w:rPr>
          <w:rFonts w:ascii="Arial" w:cs="Arial" w:eastAsia="Arial" w:hAnsi="Arial"/>
          <w:sz w:val="12"/>
          <w:szCs w:val="12"/>
          <w:color w:val="009AD9"/>
        </w:rPr>
        <w:t xml:space="preserve"> </w:t>
      </w:r>
      <w:r>
        <w:rPr>
          <w:rFonts w:ascii="Arial" w:cs="Arial" w:eastAsia="Arial" w:hAnsi="Arial"/>
          <w:sz w:val="12"/>
          <w:szCs w:val="12"/>
          <w:color w:val="000000"/>
        </w:rPr>
        <w:t>evaluations;</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any shareholder proposals submitted for inclusion in our proxy statement and make</w:t>
      </w:r>
      <w:r>
        <w:rPr>
          <w:rFonts w:ascii="Arial" w:cs="Arial" w:eastAsia="Arial" w:hAnsi="Arial"/>
          <w:sz w:val="12"/>
          <w:szCs w:val="12"/>
          <w:color w:val="009AD9"/>
        </w:rPr>
        <w:t xml:space="preserve"> </w:t>
      </w:r>
      <w:r>
        <w:rPr>
          <w:rFonts w:ascii="Arial" w:cs="Arial" w:eastAsia="Arial" w:hAnsi="Arial"/>
          <w:sz w:val="12"/>
          <w:szCs w:val="12"/>
          <w:color w:val="000000"/>
        </w:rPr>
        <w:t>recommendations to the Board regarding the Company’s response;</w:t>
      </w:r>
    </w:p>
    <w:p>
      <w:pPr>
        <w:ind w:left="60"/>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and recommend fee levels and other elements of compensation for non-employee directors;</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 evaluate whether to accept a conditional resignation of an incumbent director who does not receive</w:t>
      </w:r>
      <w:r>
        <w:rPr>
          <w:rFonts w:ascii="Arial" w:cs="Arial" w:eastAsia="Arial" w:hAnsi="Arial"/>
          <w:sz w:val="12"/>
          <w:szCs w:val="12"/>
          <w:color w:val="009AD9"/>
        </w:rPr>
        <w:t xml:space="preserve"> </w:t>
      </w:r>
      <w:r>
        <w:rPr>
          <w:rFonts w:ascii="Arial" w:cs="Arial" w:eastAsia="Arial" w:hAnsi="Arial"/>
          <w:sz w:val="12"/>
          <w:szCs w:val="12"/>
          <w:color w:val="000000"/>
        </w:rPr>
        <w:t>a majority vote in favor of election in an uncontested election;</w:t>
      </w:r>
    </w:p>
    <w:p>
      <w:pPr>
        <w:ind w:left="240" w:right="879" w:hanging="181"/>
        <w:spacing w:after="0" w:line="237"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 review the Company’s programs, practices, initiatives and strategies relating to environmental,</w:t>
      </w:r>
      <w:r>
        <w:rPr>
          <w:rFonts w:ascii="Arial" w:cs="Arial" w:eastAsia="Arial" w:hAnsi="Arial"/>
          <w:sz w:val="12"/>
          <w:szCs w:val="12"/>
          <w:color w:val="009AD9"/>
        </w:rPr>
        <w:t xml:space="preserve"> </w:t>
      </w:r>
      <w:r>
        <w:rPr>
          <w:rFonts w:ascii="Arial" w:cs="Arial" w:eastAsia="Arial" w:hAnsi="Arial"/>
          <w:sz w:val="12"/>
          <w:szCs w:val="12"/>
          <w:color w:val="000000"/>
        </w:rPr>
        <w:t>including climate change, sustainability matters, and cybersecurity; and</w:t>
      </w:r>
    </w:p>
    <w:p>
      <w:pPr>
        <w:ind w:left="240" w:right="87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 establish, periodically review and recommend to the Board any changes to our Corporate</w:t>
      </w:r>
      <w:r>
        <w:rPr>
          <w:rFonts w:ascii="Arial" w:cs="Arial" w:eastAsia="Arial" w:hAnsi="Arial"/>
          <w:sz w:val="12"/>
          <w:szCs w:val="12"/>
          <w:color w:val="009AD9"/>
        </w:rPr>
        <w:t xml:space="preserve"> </w:t>
      </w:r>
      <w:r>
        <w:rPr>
          <w:rFonts w:ascii="Arial" w:cs="Arial" w:eastAsia="Arial" w:hAnsi="Arial"/>
          <w:sz w:val="12"/>
          <w:szCs w:val="12"/>
          <w:color w:val="000000"/>
        </w:rPr>
        <w:t>Governance Guidelines.</w:t>
      </w:r>
    </w:p>
    <w:p>
      <w:pPr>
        <w:spacing w:after="0" w:line="67" w:lineRule="exact"/>
        <w:rPr>
          <w:sz w:val="20"/>
          <w:szCs w:val="20"/>
          <w:color w:val="auto"/>
        </w:rPr>
      </w:pPr>
    </w:p>
    <w:p>
      <w:pPr>
        <w:jc w:val="both"/>
        <w:ind w:right="879"/>
        <w:spacing w:after="0" w:line="243" w:lineRule="auto"/>
        <w:rPr>
          <w:sz w:val="20"/>
          <w:szCs w:val="20"/>
          <w:color w:val="auto"/>
        </w:rPr>
      </w:pPr>
      <w:r>
        <w:rPr>
          <w:rFonts w:ascii="Arial" w:cs="Arial" w:eastAsia="Arial" w:hAnsi="Arial"/>
          <w:sz w:val="12"/>
          <w:szCs w:val="12"/>
          <w:color w:val="auto"/>
        </w:rPr>
        <w:t>For information concerning policies and procedures relating to the consideration and determination of compensation of our directors, including the role of the Governance, Environmental and Sustainability Committee, see “Compensation of Directors.”</w:t>
      </w:r>
    </w:p>
    <w:p>
      <w:pPr>
        <w:spacing w:after="0" w:line="200" w:lineRule="exact"/>
        <w:rPr>
          <w:sz w:val="20"/>
          <w:szCs w:val="20"/>
          <w:color w:val="auto"/>
        </w:rPr>
      </w:pPr>
    </w:p>
    <w:p>
      <w:pPr>
        <w:sectPr>
          <w:pgSz w:w="11900" w:h="16838" w:orient="portrait"/>
          <w:cols w:equalWidth="0" w:num="2">
            <w:col w:w="3520" w:space="200"/>
            <w:col w:w="6439"/>
          </w:cols>
          <w:pgMar w:left="300" w:top="373" w:right="1440" w:bottom="1440" w:gutter="0" w:footer="0" w:header="0"/>
          <w:type w:val="continuous"/>
        </w:sectPr>
      </w:pPr>
    </w:p>
    <w:p>
      <w:pPr>
        <w:spacing w:after="0" w:line="12"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Executive Sessions of the Board</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Our Corporate Governance Guidelines provide that the members of the Board of Directors who are not officers of CenterPoint Energy will hold regular executive sessions without management participation. If at any time the non-management directors include one or more directors who do not meet the listing standards of the New York Stock Exchange for general independence, the Board must hold an executive session at least once each year including</w:t>
      </w:r>
    </w:p>
    <w:p>
      <w:pPr>
        <w:spacing w:after="0" w:line="132" w:lineRule="exact"/>
        <w:rPr>
          <w:sz w:val="20"/>
          <w:szCs w:val="20"/>
          <w:color w:val="auto"/>
        </w:rPr>
      </w:pPr>
    </w:p>
    <w:p>
      <w:pPr>
        <w:ind w:left="2220" w:hanging="230"/>
        <w:spacing w:after="0"/>
        <w:tabs>
          <w:tab w:leader="none" w:pos="2220" w:val="left"/>
        </w:tabs>
        <w:numPr>
          <w:ilvl w:val="0"/>
          <w:numId w:val="4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ind w:left="7660"/>
        <w:spacing w:after="0"/>
        <w:rPr>
          <w:sz w:val="20"/>
          <w:szCs w:val="20"/>
          <w:color w:val="auto"/>
        </w:rPr>
      </w:pPr>
      <w:r>
        <w:rPr>
          <w:rFonts w:ascii="Arial" w:cs="Arial" w:eastAsia="Arial" w:hAnsi="Arial"/>
          <w:sz w:val="8"/>
          <w:szCs w:val="8"/>
          <w:i w:val="1"/>
          <w:iCs w:val="1"/>
          <w:color w:val="auto"/>
        </w:rPr>
        <w:t>Item 1: Election of Directors (continued)</w:t>
      </w:r>
    </w:p>
    <w:p>
      <w:pPr>
        <w:spacing w:after="0" w:line="18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only the non-management directors who are also independent. An executive session of independent directors is currently scheduled in conjunction with each regular meeting of the Board of Directors. Currently, the Independent Chair of the Board (Mr. Nesbitt) presides at these sessions.</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Company believes that good governance practices include maintaining a consistent and transparent dialogue throughout the year with our shareholders and that understanding the perspectives and interests of shareholders helps contribute to the Company’s long-term success. Each year, we engage in shareholder outreach through various engagement channels and solicit feedback on a number of topics. The below chart outlines our annual engagement program and highlights recent shareholder engagement efforts. For further information on shareholder feedback we received, including with respect to our 2022 “say-on-pay” vote and our responses thereto, please refer to “Compensation Discussion and Analysis—Executive Summary—Shareholder Outreach and Say-On-Pay.”</w:t>
      </w:r>
    </w:p>
    <w:p>
      <w:pPr>
        <w:spacing w:after="0" w:line="158" w:lineRule="exact"/>
        <w:rPr>
          <w:sz w:val="20"/>
          <w:szCs w:val="20"/>
          <w:color w:val="auto"/>
        </w:rPr>
      </w:pPr>
    </w:p>
    <w:tbl>
      <w:tblPr>
        <w:tblLayout w:type="fixed"/>
        <w:tblInd w:w="1950" w:type="dxa"/>
        <w:tblCellMar>
          <w:top w:w="0" w:type="dxa"/>
          <w:left w:w="0" w:type="dxa"/>
          <w:bottom w:w="0" w:type="dxa"/>
          <w:right w:w="0" w:type="dxa"/>
        </w:tblCellMar>
      </w:tblPr>
      <w:tr>
        <w:trPr>
          <w:trHeight w:val="164"/>
        </w:trPr>
        <w:tc>
          <w:tcPr>
            <w:tcW w:w="2540" w:type="dxa"/>
            <w:vAlign w:val="bottom"/>
            <w:tcBorders>
              <w:left w:val="single" w:sz="8" w:color="009AD9"/>
              <w:right w:val="single" w:sz="8" w:color="009AD9"/>
            </w:tcBorders>
            <w:shd w:val="clear" w:color="auto" w:fill="009AD9"/>
          </w:tcPr>
          <w:p>
            <w:pPr>
              <w:spacing w:after="0"/>
              <w:rPr>
                <w:sz w:val="14"/>
                <w:szCs w:val="14"/>
                <w:color w:val="auto"/>
              </w:rPr>
            </w:pPr>
          </w:p>
        </w:tc>
        <w:tc>
          <w:tcPr>
            <w:tcW w:w="2440" w:type="dxa"/>
            <w:vAlign w:val="bottom"/>
            <w:tcBorders>
              <w:right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w w:val="98"/>
              </w:rPr>
              <w:t>CenterPoint Energy Annual Engagement Program</w:t>
            </w:r>
          </w:p>
        </w:tc>
        <w:tc>
          <w:tcPr>
            <w:tcW w:w="2180" w:type="dxa"/>
            <w:vAlign w:val="bottom"/>
            <w:shd w:val="clear" w:color="auto" w:fill="009AD9"/>
          </w:tcPr>
          <w:p>
            <w:pPr>
              <w:spacing w:after="0"/>
              <w:rPr>
                <w:sz w:val="14"/>
                <w:szCs w:val="14"/>
                <w:color w:val="auto"/>
              </w:rPr>
            </w:pPr>
          </w:p>
        </w:tc>
        <w:tc>
          <w:tcPr>
            <w:tcW w:w="260" w:type="dxa"/>
            <w:vAlign w:val="bottom"/>
            <w:tcBorders>
              <w:right w:val="single" w:sz="8" w:color="009AD9"/>
            </w:tcBorders>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40" w:type="dxa"/>
            <w:vAlign w:val="bottom"/>
            <w:tcBorders>
              <w:left w:val="single" w:sz="8" w:color="009AD9"/>
              <w:right w:val="single" w:sz="8" w:color="009AD9"/>
            </w:tcBorders>
          </w:tcPr>
          <w:p>
            <w:pPr>
              <w:ind w:left="120"/>
              <w:spacing w:after="0"/>
              <w:rPr>
                <w:sz w:val="20"/>
                <w:szCs w:val="20"/>
                <w:color w:val="auto"/>
              </w:rPr>
            </w:pPr>
            <w:r>
              <w:rPr>
                <w:rFonts w:ascii="Arial" w:cs="Arial" w:eastAsia="Arial" w:hAnsi="Arial"/>
                <w:sz w:val="12"/>
                <w:szCs w:val="12"/>
                <w:i w:val="1"/>
                <w:iCs w:val="1"/>
                <w:color w:val="auto"/>
              </w:rPr>
              <w:t>Engagement Objectives</w:t>
            </w:r>
          </w:p>
        </w:tc>
        <w:tc>
          <w:tcPr>
            <w:tcW w:w="2440" w:type="dxa"/>
            <w:vAlign w:val="bottom"/>
            <w:tcBorders>
              <w:right w:val="single" w:sz="8" w:color="009AD9"/>
            </w:tcBorders>
          </w:tcPr>
          <w:p>
            <w:pPr>
              <w:ind w:left="60"/>
              <w:spacing w:after="0"/>
              <w:rPr>
                <w:sz w:val="20"/>
                <w:szCs w:val="20"/>
                <w:color w:val="auto"/>
              </w:rPr>
            </w:pPr>
            <w:r>
              <w:rPr>
                <w:rFonts w:ascii="Arial" w:cs="Arial" w:eastAsia="Arial" w:hAnsi="Arial"/>
                <w:sz w:val="12"/>
                <w:szCs w:val="12"/>
                <w:i w:val="1"/>
                <w:iCs w:val="1"/>
                <w:color w:val="auto"/>
              </w:rPr>
              <w:t>Company Participants</w:t>
            </w:r>
          </w:p>
        </w:tc>
        <w:tc>
          <w:tcPr>
            <w:tcW w:w="2180" w:type="dxa"/>
            <w:vAlign w:val="bottom"/>
          </w:tcPr>
          <w:p>
            <w:pPr>
              <w:ind w:left="60"/>
              <w:spacing w:after="0"/>
              <w:rPr>
                <w:sz w:val="20"/>
                <w:szCs w:val="20"/>
                <w:color w:val="auto"/>
              </w:rPr>
            </w:pPr>
            <w:r>
              <w:rPr>
                <w:rFonts w:ascii="Arial" w:cs="Arial" w:eastAsia="Arial" w:hAnsi="Arial"/>
                <w:sz w:val="12"/>
                <w:szCs w:val="12"/>
                <w:i w:val="1"/>
                <w:iCs w:val="1"/>
                <w:color w:val="auto"/>
              </w:rPr>
              <w:t>Topics Discussed</w:t>
            </w:r>
          </w:p>
        </w:tc>
        <w:tc>
          <w:tcPr>
            <w:tcW w:w="260" w:type="dxa"/>
            <w:vAlign w:val="bottom"/>
            <w:tcBorders>
              <w:right w:val="single" w:sz="8" w:color="009AD9"/>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009AD9"/>
              <w:right w:val="single" w:sz="8" w:color="009AD9"/>
            </w:tcBorders>
          </w:tcPr>
          <w:p>
            <w:pPr>
              <w:ind w:left="12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Use multiple engagement channels</w:t>
            </w:r>
          </w:p>
        </w:tc>
        <w:tc>
          <w:tcPr>
            <w:tcW w:w="2440" w:type="dxa"/>
            <w:vAlign w:val="bottom"/>
            <w:tcBorders>
              <w:right w:val="single" w:sz="8" w:color="009AD9"/>
            </w:tcBorders>
          </w:tcPr>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Team of individuals who may meet with</w:t>
            </w:r>
          </w:p>
        </w:tc>
        <w:tc>
          <w:tcPr>
            <w:tcW w:w="2180" w:type="dxa"/>
            <w:vAlign w:val="bottom"/>
          </w:tcPr>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In addition to any topics raised by a</w:t>
            </w:r>
          </w:p>
        </w:tc>
        <w:tc>
          <w:tcPr>
            <w:tcW w:w="260" w:type="dxa"/>
            <w:vAlign w:val="bottom"/>
            <w:tcBorders>
              <w:right w:val="single" w:sz="8" w:color="009AD9"/>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540" w:type="dxa"/>
            <w:vAlign w:val="bottom"/>
            <w:tcBorders>
              <w:left w:val="single" w:sz="8" w:color="009AD9"/>
              <w:right w:val="single" w:sz="8" w:color="009AD9"/>
            </w:tcBorders>
          </w:tcPr>
          <w:p>
            <w:pPr>
              <w:ind w:left="240"/>
              <w:spacing w:after="0" w:line="137" w:lineRule="exact"/>
              <w:rPr>
                <w:sz w:val="20"/>
                <w:szCs w:val="20"/>
                <w:color w:val="auto"/>
              </w:rPr>
            </w:pPr>
            <w:r>
              <w:rPr>
                <w:rFonts w:ascii="Arial" w:cs="Arial" w:eastAsia="Arial" w:hAnsi="Arial"/>
                <w:sz w:val="12"/>
                <w:szCs w:val="12"/>
                <w:color w:val="auto"/>
              </w:rPr>
              <w:t>throughout the year:</w:t>
            </w:r>
          </w:p>
        </w:tc>
        <w:tc>
          <w:tcPr>
            <w:tcW w:w="2440" w:type="dxa"/>
            <w:vAlign w:val="bottom"/>
            <w:tcBorders>
              <w:right w:val="single" w:sz="8" w:color="009AD9"/>
            </w:tcBorders>
          </w:tcPr>
          <w:p>
            <w:pPr>
              <w:ind w:left="180"/>
              <w:spacing w:after="0" w:line="137" w:lineRule="exact"/>
              <w:rPr>
                <w:sz w:val="20"/>
                <w:szCs w:val="20"/>
                <w:color w:val="auto"/>
              </w:rPr>
            </w:pPr>
            <w:r>
              <w:rPr>
                <w:rFonts w:ascii="Arial" w:cs="Arial" w:eastAsia="Arial" w:hAnsi="Arial"/>
                <w:sz w:val="12"/>
                <w:szCs w:val="12"/>
                <w:color w:val="auto"/>
              </w:rPr>
              <w:t>shareholders, including representatives</w:t>
            </w:r>
          </w:p>
        </w:tc>
        <w:tc>
          <w:tcPr>
            <w:tcW w:w="2180" w:type="dxa"/>
            <w:vAlign w:val="bottom"/>
          </w:tcPr>
          <w:p>
            <w:pPr>
              <w:ind w:left="180"/>
              <w:spacing w:after="0" w:line="137" w:lineRule="exact"/>
              <w:rPr>
                <w:sz w:val="20"/>
                <w:szCs w:val="20"/>
                <w:color w:val="auto"/>
              </w:rPr>
            </w:pPr>
            <w:r>
              <w:rPr>
                <w:rFonts w:ascii="Arial" w:cs="Arial" w:eastAsia="Arial" w:hAnsi="Arial"/>
                <w:sz w:val="12"/>
                <w:szCs w:val="12"/>
                <w:color w:val="auto"/>
              </w:rPr>
              <w:t>shareholder, solicit feedback on a</w:t>
            </w:r>
          </w:p>
        </w:tc>
        <w:tc>
          <w:tcPr>
            <w:tcW w:w="260" w:type="dxa"/>
            <w:vAlign w:val="bottom"/>
            <w:tcBorders>
              <w:right w:val="single" w:sz="8" w:color="009AD9"/>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40" w:type="dxa"/>
            <w:vAlign w:val="bottom"/>
            <w:tcBorders>
              <w:left w:val="single" w:sz="8" w:color="009AD9"/>
              <w:right w:val="single" w:sz="8" w:color="009AD9"/>
            </w:tcBorders>
            <w:vMerge w:val="restart"/>
          </w:tcPr>
          <w:p>
            <w:pPr>
              <w:ind w:left="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Conduct direct meetings with</w:t>
            </w:r>
          </w:p>
        </w:tc>
        <w:tc>
          <w:tcPr>
            <w:tcW w:w="2440" w:type="dxa"/>
            <w:vAlign w:val="bottom"/>
            <w:tcBorders>
              <w:right w:val="single" w:sz="8" w:color="009AD9"/>
            </w:tcBorders>
          </w:tcPr>
          <w:p>
            <w:pPr>
              <w:ind w:left="180"/>
              <w:spacing w:after="0"/>
              <w:rPr>
                <w:sz w:val="20"/>
                <w:szCs w:val="20"/>
                <w:color w:val="auto"/>
              </w:rPr>
            </w:pPr>
            <w:r>
              <w:rPr>
                <w:rFonts w:ascii="Arial" w:cs="Arial" w:eastAsia="Arial" w:hAnsi="Arial"/>
                <w:sz w:val="12"/>
                <w:szCs w:val="12"/>
                <w:color w:val="auto"/>
              </w:rPr>
              <w:t>from:</w:t>
            </w:r>
          </w:p>
        </w:tc>
        <w:tc>
          <w:tcPr>
            <w:tcW w:w="2180" w:type="dxa"/>
            <w:vAlign w:val="bottom"/>
          </w:tcPr>
          <w:p>
            <w:pPr>
              <w:ind w:left="180"/>
              <w:spacing w:after="0"/>
              <w:rPr>
                <w:sz w:val="20"/>
                <w:szCs w:val="20"/>
                <w:color w:val="auto"/>
              </w:rPr>
            </w:pPr>
            <w:r>
              <w:rPr>
                <w:rFonts w:ascii="Arial" w:cs="Arial" w:eastAsia="Arial" w:hAnsi="Arial"/>
                <w:sz w:val="12"/>
                <w:szCs w:val="12"/>
                <w:color w:val="auto"/>
              </w:rPr>
              <w:t>range of topics, including:</w:t>
            </w:r>
          </w:p>
        </w:tc>
        <w:tc>
          <w:tcPr>
            <w:tcW w:w="260" w:type="dxa"/>
            <w:vAlign w:val="bottom"/>
            <w:tcBorders>
              <w:right w:val="single" w:sz="8" w:color="009AD9"/>
            </w:tcBorders>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540" w:type="dxa"/>
            <w:vAlign w:val="bottom"/>
            <w:tcBorders>
              <w:left w:val="single" w:sz="8" w:color="009AD9"/>
              <w:right w:val="single" w:sz="8" w:color="009AD9"/>
            </w:tcBorders>
            <w:vMerge w:val="continue"/>
          </w:tcPr>
          <w:p>
            <w:pPr>
              <w:spacing w:after="0"/>
              <w:rPr>
                <w:sz w:val="6"/>
                <w:szCs w:val="6"/>
                <w:color w:val="auto"/>
              </w:rPr>
            </w:pPr>
          </w:p>
        </w:tc>
        <w:tc>
          <w:tcPr>
            <w:tcW w:w="2440" w:type="dxa"/>
            <w:vAlign w:val="bottom"/>
            <w:tcBorders>
              <w:right w:val="single" w:sz="8" w:color="009AD9"/>
            </w:tcBorders>
          </w:tcPr>
          <w:p>
            <w:pPr>
              <w:spacing w:after="0"/>
              <w:rPr>
                <w:sz w:val="6"/>
                <w:szCs w:val="6"/>
                <w:color w:val="auto"/>
              </w:rPr>
            </w:pPr>
          </w:p>
        </w:tc>
        <w:tc>
          <w:tcPr>
            <w:tcW w:w="2180" w:type="dxa"/>
            <w:vAlign w:val="bottom"/>
          </w:tcPr>
          <w:p>
            <w:pPr>
              <w:spacing w:after="0"/>
              <w:rPr>
                <w:sz w:val="6"/>
                <w:szCs w:val="6"/>
                <w:color w:val="auto"/>
              </w:rPr>
            </w:pPr>
          </w:p>
        </w:tc>
        <w:tc>
          <w:tcPr>
            <w:tcW w:w="260" w:type="dxa"/>
            <w:vAlign w:val="bottom"/>
            <w:tcBorders>
              <w:right w:val="single" w:sz="8" w:color="009AD9"/>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540" w:type="dxa"/>
            <w:vAlign w:val="bottom"/>
            <w:tcBorders>
              <w:left w:val="single" w:sz="8" w:color="009AD9"/>
              <w:right w:val="single" w:sz="8" w:color="009AD9"/>
            </w:tcBorders>
          </w:tcPr>
          <w:p>
            <w:pPr>
              <w:ind w:left="360"/>
              <w:spacing w:after="0" w:line="137" w:lineRule="exact"/>
              <w:rPr>
                <w:sz w:val="20"/>
                <w:szCs w:val="20"/>
                <w:color w:val="auto"/>
              </w:rPr>
            </w:pPr>
            <w:r>
              <w:rPr>
                <w:rFonts w:ascii="Arial" w:cs="Arial" w:eastAsia="Arial" w:hAnsi="Arial"/>
                <w:sz w:val="12"/>
                <w:szCs w:val="12"/>
                <w:color w:val="auto"/>
              </w:rPr>
              <w:t>shareholders</w:t>
            </w:r>
          </w:p>
        </w:tc>
        <w:tc>
          <w:tcPr>
            <w:tcW w:w="2440" w:type="dxa"/>
            <w:vAlign w:val="bottom"/>
            <w:tcBorders>
              <w:right w:val="single" w:sz="8" w:color="009AD9"/>
            </w:tcBorders>
          </w:tcPr>
          <w:p>
            <w:pPr>
              <w:ind w:left="18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Senior Leadership (executive officers</w:t>
            </w:r>
          </w:p>
        </w:tc>
        <w:tc>
          <w:tcPr>
            <w:tcW w:w="2180" w:type="dxa"/>
            <w:vAlign w:val="bottom"/>
          </w:tcPr>
          <w:p>
            <w:pPr>
              <w:ind w:left="18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Executive compensation program</w:t>
            </w:r>
          </w:p>
        </w:tc>
        <w:tc>
          <w:tcPr>
            <w:tcW w:w="260" w:type="dxa"/>
            <w:vAlign w:val="bottom"/>
            <w:tcBorders>
              <w:right w:val="single" w:sz="8" w:color="009AD9"/>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40" w:type="dxa"/>
            <w:vAlign w:val="bottom"/>
            <w:tcBorders>
              <w:left w:val="single" w:sz="8" w:color="009AD9"/>
              <w:right w:val="single" w:sz="8" w:color="009AD9"/>
            </w:tcBorders>
            <w:vMerge w:val="restart"/>
          </w:tcPr>
          <w:p>
            <w:pPr>
              <w:ind w:left="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Engage with proxy governance teams</w:t>
            </w:r>
          </w:p>
        </w:tc>
        <w:tc>
          <w:tcPr>
            <w:tcW w:w="2440" w:type="dxa"/>
            <w:vAlign w:val="bottom"/>
            <w:tcBorders>
              <w:right w:val="single" w:sz="8" w:color="009AD9"/>
            </w:tcBorders>
          </w:tcPr>
          <w:p>
            <w:pPr>
              <w:ind w:left="320"/>
              <w:spacing w:after="0"/>
              <w:rPr>
                <w:sz w:val="20"/>
                <w:szCs w:val="20"/>
                <w:color w:val="auto"/>
              </w:rPr>
            </w:pPr>
            <w:r>
              <w:rPr>
                <w:rFonts w:ascii="Arial" w:cs="Arial" w:eastAsia="Arial" w:hAnsi="Arial"/>
                <w:sz w:val="12"/>
                <w:szCs w:val="12"/>
                <w:color w:val="auto"/>
              </w:rPr>
              <w:t>and future leaders of the Company)</w:t>
            </w:r>
          </w:p>
        </w:tc>
        <w:tc>
          <w:tcPr>
            <w:tcW w:w="2180" w:type="dxa"/>
            <w:vAlign w:val="bottom"/>
          </w:tcPr>
          <w:p>
            <w:pPr>
              <w:ind w:left="300"/>
              <w:spacing w:after="0"/>
              <w:rPr>
                <w:sz w:val="20"/>
                <w:szCs w:val="20"/>
                <w:color w:val="auto"/>
              </w:rPr>
            </w:pPr>
            <w:r>
              <w:rPr>
                <w:rFonts w:ascii="Arial" w:cs="Arial" w:eastAsia="Arial" w:hAnsi="Arial"/>
                <w:sz w:val="12"/>
                <w:szCs w:val="12"/>
                <w:color w:val="auto"/>
              </w:rPr>
              <w:t>and practices</w:t>
            </w:r>
          </w:p>
        </w:tc>
        <w:tc>
          <w:tcPr>
            <w:tcW w:w="260" w:type="dxa"/>
            <w:vAlign w:val="bottom"/>
            <w:tcBorders>
              <w:right w:val="single" w:sz="8" w:color="009AD9"/>
            </w:tcBorders>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540" w:type="dxa"/>
            <w:vAlign w:val="bottom"/>
            <w:tcBorders>
              <w:left w:val="single" w:sz="8" w:color="009AD9"/>
              <w:right w:val="single" w:sz="8" w:color="009AD9"/>
            </w:tcBorders>
            <w:vMerge w:val="continue"/>
          </w:tcPr>
          <w:p>
            <w:pPr>
              <w:spacing w:after="0"/>
              <w:rPr>
                <w:sz w:val="6"/>
                <w:szCs w:val="6"/>
                <w:color w:val="auto"/>
              </w:rPr>
            </w:pPr>
          </w:p>
        </w:tc>
        <w:tc>
          <w:tcPr>
            <w:tcW w:w="2440" w:type="dxa"/>
            <w:vAlign w:val="bottom"/>
            <w:tcBorders>
              <w:right w:val="single" w:sz="8" w:color="009AD9"/>
            </w:tcBorders>
          </w:tcPr>
          <w:p>
            <w:pPr>
              <w:spacing w:after="0"/>
              <w:rPr>
                <w:sz w:val="6"/>
                <w:szCs w:val="6"/>
                <w:color w:val="auto"/>
              </w:rPr>
            </w:pPr>
          </w:p>
        </w:tc>
        <w:tc>
          <w:tcPr>
            <w:tcW w:w="2180" w:type="dxa"/>
            <w:vAlign w:val="bottom"/>
          </w:tcPr>
          <w:p>
            <w:pPr>
              <w:spacing w:after="0"/>
              <w:rPr>
                <w:sz w:val="6"/>
                <w:szCs w:val="6"/>
                <w:color w:val="auto"/>
              </w:rPr>
            </w:pPr>
          </w:p>
        </w:tc>
        <w:tc>
          <w:tcPr>
            <w:tcW w:w="260" w:type="dxa"/>
            <w:vAlign w:val="bottom"/>
            <w:tcBorders>
              <w:right w:val="single" w:sz="8" w:color="009AD9"/>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540" w:type="dxa"/>
            <w:vAlign w:val="bottom"/>
            <w:tcBorders>
              <w:left w:val="single" w:sz="8" w:color="009AD9"/>
              <w:right w:val="single" w:sz="8" w:color="009AD9"/>
            </w:tcBorders>
          </w:tcPr>
          <w:p>
            <w:pPr>
              <w:ind w:left="360"/>
              <w:spacing w:after="0" w:line="137" w:lineRule="exact"/>
              <w:rPr>
                <w:sz w:val="20"/>
                <w:szCs w:val="20"/>
                <w:color w:val="auto"/>
              </w:rPr>
            </w:pPr>
            <w:r>
              <w:rPr>
                <w:rFonts w:ascii="Arial" w:cs="Arial" w:eastAsia="Arial" w:hAnsi="Arial"/>
                <w:sz w:val="12"/>
                <w:szCs w:val="12"/>
                <w:color w:val="auto"/>
              </w:rPr>
              <w:t>of institutional investors</w:t>
            </w:r>
          </w:p>
        </w:tc>
        <w:tc>
          <w:tcPr>
            <w:tcW w:w="2440" w:type="dxa"/>
            <w:vAlign w:val="bottom"/>
            <w:tcBorders>
              <w:right w:val="single" w:sz="8" w:color="009AD9"/>
            </w:tcBorders>
          </w:tcPr>
          <w:p>
            <w:pPr>
              <w:ind w:left="18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Investor Relations</w:t>
            </w:r>
          </w:p>
        </w:tc>
        <w:tc>
          <w:tcPr>
            <w:tcW w:w="2180" w:type="dxa"/>
            <w:vAlign w:val="bottom"/>
          </w:tcPr>
          <w:p>
            <w:pPr>
              <w:ind w:left="18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Corporate governance matters,</w:t>
            </w:r>
          </w:p>
        </w:tc>
        <w:tc>
          <w:tcPr>
            <w:tcW w:w="260" w:type="dxa"/>
            <w:vAlign w:val="bottom"/>
            <w:tcBorders>
              <w:right w:val="single" w:sz="8" w:color="009AD9"/>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40" w:type="dxa"/>
            <w:vAlign w:val="bottom"/>
            <w:tcBorders>
              <w:left w:val="single" w:sz="8" w:color="009AD9"/>
              <w:right w:val="single" w:sz="8" w:color="009AD9"/>
            </w:tcBorders>
            <w:vMerge w:val="restart"/>
          </w:tcPr>
          <w:p>
            <w:pPr>
              <w:ind w:left="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Attend analyst conferences and road</w:t>
            </w:r>
          </w:p>
        </w:tc>
        <w:tc>
          <w:tcPr>
            <w:tcW w:w="2440" w:type="dxa"/>
            <w:vAlign w:val="bottom"/>
            <w:tcBorders>
              <w:right w:val="single" w:sz="8" w:color="009AD9"/>
            </w:tcBorders>
            <w:vMerge w:val="restart"/>
          </w:tcPr>
          <w:p>
            <w:pPr>
              <w:ind w:left="18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Corporate Governance</w:t>
            </w:r>
          </w:p>
        </w:tc>
        <w:tc>
          <w:tcPr>
            <w:tcW w:w="2180" w:type="dxa"/>
            <w:vAlign w:val="bottom"/>
          </w:tcPr>
          <w:p>
            <w:pPr>
              <w:ind w:left="300"/>
              <w:spacing w:after="0" w:line="137" w:lineRule="exact"/>
              <w:rPr>
                <w:sz w:val="20"/>
                <w:szCs w:val="20"/>
                <w:color w:val="auto"/>
              </w:rPr>
            </w:pPr>
            <w:r>
              <w:rPr>
                <w:rFonts w:ascii="Arial" w:cs="Arial" w:eastAsia="Arial" w:hAnsi="Arial"/>
                <w:sz w:val="12"/>
                <w:szCs w:val="12"/>
                <w:color w:val="auto"/>
              </w:rPr>
              <w:t>including succession planning and</w:t>
            </w:r>
          </w:p>
        </w:tc>
        <w:tc>
          <w:tcPr>
            <w:tcW w:w="260" w:type="dxa"/>
            <w:vAlign w:val="bottom"/>
            <w:tcBorders>
              <w:right w:val="single" w:sz="8" w:color="009AD9"/>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540" w:type="dxa"/>
            <w:vAlign w:val="bottom"/>
            <w:tcBorders>
              <w:left w:val="single" w:sz="8" w:color="009AD9"/>
              <w:right w:val="single" w:sz="8" w:color="009AD9"/>
            </w:tcBorders>
            <w:vMerge w:val="continue"/>
          </w:tcPr>
          <w:p>
            <w:pPr>
              <w:spacing w:after="0"/>
              <w:rPr>
                <w:sz w:val="7"/>
                <w:szCs w:val="7"/>
                <w:color w:val="auto"/>
              </w:rPr>
            </w:pPr>
          </w:p>
        </w:tc>
        <w:tc>
          <w:tcPr>
            <w:tcW w:w="2440" w:type="dxa"/>
            <w:vAlign w:val="bottom"/>
            <w:tcBorders>
              <w:right w:val="single" w:sz="8" w:color="009AD9"/>
            </w:tcBorders>
            <w:vMerge w:val="continue"/>
          </w:tcPr>
          <w:p>
            <w:pPr>
              <w:spacing w:after="0"/>
              <w:rPr>
                <w:sz w:val="7"/>
                <w:szCs w:val="7"/>
                <w:color w:val="auto"/>
              </w:rPr>
            </w:pPr>
          </w:p>
        </w:tc>
        <w:tc>
          <w:tcPr>
            <w:tcW w:w="2180" w:type="dxa"/>
            <w:vAlign w:val="bottom"/>
            <w:vMerge w:val="restart"/>
          </w:tcPr>
          <w:p>
            <w:pPr>
              <w:ind w:left="300"/>
              <w:spacing w:after="0"/>
              <w:rPr>
                <w:sz w:val="20"/>
                <w:szCs w:val="20"/>
                <w:color w:val="auto"/>
              </w:rPr>
            </w:pPr>
            <w:r>
              <w:rPr>
                <w:rFonts w:ascii="Arial" w:cs="Arial" w:eastAsia="Arial" w:hAnsi="Arial"/>
                <w:sz w:val="12"/>
                <w:szCs w:val="12"/>
                <w:color w:val="auto"/>
              </w:rPr>
              <w:t>Board refreshment</w:t>
            </w:r>
          </w:p>
        </w:tc>
        <w:tc>
          <w:tcPr>
            <w:tcW w:w="260" w:type="dxa"/>
            <w:vAlign w:val="bottom"/>
            <w:tcBorders>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40" w:type="dxa"/>
            <w:vAlign w:val="bottom"/>
            <w:tcBorders>
              <w:left w:val="single" w:sz="8" w:color="009AD9"/>
              <w:right w:val="single" w:sz="8" w:color="009AD9"/>
            </w:tcBorders>
            <w:vMerge w:val="restart"/>
          </w:tcPr>
          <w:p>
            <w:pPr>
              <w:ind w:left="360"/>
              <w:spacing w:after="0"/>
              <w:rPr>
                <w:sz w:val="20"/>
                <w:szCs w:val="20"/>
                <w:color w:val="auto"/>
              </w:rPr>
            </w:pPr>
            <w:r>
              <w:rPr>
                <w:rFonts w:ascii="Arial" w:cs="Arial" w:eastAsia="Arial" w:hAnsi="Arial"/>
                <w:sz w:val="12"/>
                <w:szCs w:val="12"/>
                <w:color w:val="auto"/>
              </w:rPr>
              <w:t>shows</w:t>
            </w:r>
          </w:p>
        </w:tc>
        <w:tc>
          <w:tcPr>
            <w:tcW w:w="2440" w:type="dxa"/>
            <w:vAlign w:val="bottom"/>
            <w:tcBorders>
              <w:right w:val="single" w:sz="8" w:color="009AD9"/>
            </w:tcBorders>
          </w:tcPr>
          <w:p>
            <w:pPr>
              <w:spacing w:after="0"/>
              <w:rPr>
                <w:sz w:val="5"/>
                <w:szCs w:val="5"/>
                <w:color w:val="auto"/>
              </w:rPr>
            </w:pPr>
          </w:p>
        </w:tc>
        <w:tc>
          <w:tcPr>
            <w:tcW w:w="2180" w:type="dxa"/>
            <w:vAlign w:val="bottom"/>
            <w:vMerge w:val="continue"/>
          </w:tcPr>
          <w:p>
            <w:pPr>
              <w:spacing w:after="0"/>
              <w:rPr>
                <w:sz w:val="5"/>
                <w:szCs w:val="5"/>
                <w:color w:val="auto"/>
              </w:rPr>
            </w:pPr>
          </w:p>
        </w:tc>
        <w:tc>
          <w:tcPr>
            <w:tcW w:w="260" w:type="dxa"/>
            <w:vAlign w:val="bottom"/>
            <w:tcBorders>
              <w:right w:val="single" w:sz="8" w:color="009AD9"/>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540" w:type="dxa"/>
            <w:vAlign w:val="bottom"/>
            <w:tcBorders>
              <w:left w:val="single" w:sz="8" w:color="009AD9"/>
              <w:right w:val="single" w:sz="8" w:color="009AD9"/>
            </w:tcBorders>
            <w:vMerge w:val="continue"/>
          </w:tcPr>
          <w:p>
            <w:pPr>
              <w:spacing w:after="0"/>
              <w:rPr>
                <w:sz w:val="7"/>
                <w:szCs w:val="7"/>
                <w:color w:val="auto"/>
              </w:rPr>
            </w:pPr>
          </w:p>
        </w:tc>
        <w:tc>
          <w:tcPr>
            <w:tcW w:w="2440" w:type="dxa"/>
            <w:vAlign w:val="bottom"/>
            <w:tcBorders>
              <w:right w:val="single" w:sz="8" w:color="009AD9"/>
            </w:tcBorders>
            <w:vMerge w:val="restart"/>
          </w:tcPr>
          <w:p>
            <w:pPr>
              <w:ind w:left="18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HR/Compensation</w:t>
            </w:r>
          </w:p>
        </w:tc>
        <w:tc>
          <w:tcPr>
            <w:tcW w:w="2440" w:type="dxa"/>
            <w:vAlign w:val="bottom"/>
            <w:tcBorders>
              <w:right w:val="single" w:sz="8" w:color="009AD9"/>
            </w:tcBorders>
            <w:gridSpan w:val="2"/>
            <w:vMerge w:val="restart"/>
          </w:tcPr>
          <w:p>
            <w:pPr>
              <w:ind w:left="18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ESG/Sustainability matters, including</w:t>
            </w:r>
          </w:p>
        </w:tc>
        <w:tc>
          <w:tcPr>
            <w:tcW w:w="0" w:type="dxa"/>
            <w:vAlign w:val="bottom"/>
          </w:tcPr>
          <w:p>
            <w:pPr>
              <w:spacing w:after="0"/>
              <w:rPr>
                <w:sz w:val="1"/>
                <w:szCs w:val="1"/>
                <w:color w:val="auto"/>
              </w:rPr>
            </w:pPr>
          </w:p>
        </w:tc>
      </w:tr>
      <w:tr>
        <w:trPr>
          <w:trHeight w:val="82"/>
        </w:trPr>
        <w:tc>
          <w:tcPr>
            <w:tcW w:w="2540" w:type="dxa"/>
            <w:vAlign w:val="bottom"/>
            <w:tcBorders>
              <w:left w:val="single" w:sz="8" w:color="009AD9"/>
              <w:right w:val="single" w:sz="8" w:color="009AD9"/>
            </w:tcBorders>
            <w:vMerge w:val="restart"/>
          </w:tcPr>
          <w:p>
            <w:pPr>
              <w:ind w:left="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Host investor days from time to time</w:t>
            </w:r>
          </w:p>
        </w:tc>
        <w:tc>
          <w:tcPr>
            <w:tcW w:w="2440" w:type="dxa"/>
            <w:vAlign w:val="bottom"/>
            <w:tcBorders>
              <w:right w:val="single" w:sz="8" w:color="009AD9"/>
            </w:tcBorders>
            <w:vMerge w:val="continue"/>
          </w:tcPr>
          <w:p>
            <w:pPr>
              <w:spacing w:after="0"/>
              <w:rPr>
                <w:sz w:val="7"/>
                <w:szCs w:val="7"/>
                <w:color w:val="auto"/>
              </w:rPr>
            </w:pPr>
          </w:p>
        </w:tc>
        <w:tc>
          <w:tcPr>
            <w:tcW w:w="2440" w:type="dxa"/>
            <w:vAlign w:val="bottom"/>
            <w:tcBorders>
              <w:right w:val="single" w:sz="8" w:color="009AD9"/>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540" w:type="dxa"/>
            <w:vAlign w:val="bottom"/>
            <w:tcBorders>
              <w:left w:val="single" w:sz="8" w:color="009AD9"/>
              <w:right w:val="single" w:sz="8" w:color="009AD9"/>
            </w:tcBorders>
            <w:vMerge w:val="continue"/>
          </w:tcPr>
          <w:p>
            <w:pPr>
              <w:spacing w:after="0"/>
              <w:rPr>
                <w:sz w:val="3"/>
                <w:szCs w:val="3"/>
                <w:color w:val="auto"/>
              </w:rPr>
            </w:pPr>
          </w:p>
        </w:tc>
        <w:tc>
          <w:tcPr>
            <w:tcW w:w="2440" w:type="dxa"/>
            <w:vAlign w:val="bottom"/>
            <w:tcBorders>
              <w:right w:val="single" w:sz="8" w:color="009AD9"/>
            </w:tcBorders>
          </w:tcPr>
          <w:p>
            <w:pPr>
              <w:spacing w:after="0"/>
              <w:rPr>
                <w:sz w:val="3"/>
                <w:szCs w:val="3"/>
                <w:color w:val="auto"/>
              </w:rPr>
            </w:pPr>
          </w:p>
        </w:tc>
        <w:tc>
          <w:tcPr>
            <w:tcW w:w="2440" w:type="dxa"/>
            <w:vAlign w:val="bottom"/>
            <w:tcBorders>
              <w:right w:val="single" w:sz="8" w:color="009AD9"/>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2540" w:type="dxa"/>
            <w:vAlign w:val="bottom"/>
            <w:tcBorders>
              <w:left w:val="single" w:sz="8" w:color="009AD9"/>
              <w:right w:val="single" w:sz="8" w:color="009AD9"/>
            </w:tcBorders>
            <w:vMerge w:val="continue"/>
          </w:tcPr>
          <w:p>
            <w:pPr>
              <w:spacing w:after="0"/>
              <w:rPr>
                <w:sz w:val="7"/>
                <w:szCs w:val="7"/>
                <w:color w:val="auto"/>
              </w:rPr>
            </w:pPr>
          </w:p>
        </w:tc>
        <w:tc>
          <w:tcPr>
            <w:tcW w:w="2440" w:type="dxa"/>
            <w:vAlign w:val="bottom"/>
            <w:tcBorders>
              <w:right w:val="single" w:sz="8" w:color="009AD9"/>
            </w:tcBorders>
            <w:vMerge w:val="restart"/>
          </w:tcPr>
          <w:p>
            <w:pPr>
              <w:ind w:left="180"/>
              <w:spacing w:after="0" w:line="137" w:lineRule="exact"/>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ESG/Sustainability</w:t>
            </w:r>
          </w:p>
        </w:tc>
        <w:tc>
          <w:tcPr>
            <w:tcW w:w="2180" w:type="dxa"/>
            <w:vAlign w:val="bottom"/>
            <w:vMerge w:val="restart"/>
          </w:tcPr>
          <w:p>
            <w:pPr>
              <w:ind w:left="300"/>
              <w:spacing w:after="0" w:line="137" w:lineRule="exact"/>
              <w:rPr>
                <w:sz w:val="20"/>
                <w:szCs w:val="20"/>
                <w:color w:val="auto"/>
              </w:rPr>
            </w:pPr>
            <w:r>
              <w:rPr>
                <w:rFonts w:ascii="Arial" w:cs="Arial" w:eastAsia="Arial" w:hAnsi="Arial"/>
                <w:sz w:val="12"/>
                <w:szCs w:val="12"/>
                <w:color w:val="auto"/>
              </w:rPr>
              <w:t>our carbon emissions reduction</w:t>
            </w:r>
          </w:p>
        </w:tc>
        <w:tc>
          <w:tcPr>
            <w:tcW w:w="260" w:type="dxa"/>
            <w:vAlign w:val="bottom"/>
            <w:tcBorders>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540" w:type="dxa"/>
            <w:vAlign w:val="bottom"/>
            <w:tcBorders>
              <w:left w:val="single" w:sz="8" w:color="009AD9"/>
              <w:right w:val="single" w:sz="8" w:color="009AD9"/>
            </w:tcBorders>
          </w:tcPr>
          <w:p>
            <w:pPr>
              <w:spacing w:after="0"/>
              <w:rPr>
                <w:sz w:val="3"/>
                <w:szCs w:val="3"/>
                <w:color w:val="auto"/>
              </w:rPr>
            </w:pPr>
          </w:p>
        </w:tc>
        <w:tc>
          <w:tcPr>
            <w:tcW w:w="2440" w:type="dxa"/>
            <w:vAlign w:val="bottom"/>
            <w:tcBorders>
              <w:right w:val="single" w:sz="8" w:color="009AD9"/>
            </w:tcBorders>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260" w:type="dxa"/>
            <w:vAlign w:val="bottom"/>
            <w:tcBorders>
              <w:right w:val="single" w:sz="8" w:color="009AD9"/>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540" w:type="dxa"/>
            <w:vAlign w:val="bottom"/>
            <w:tcBorders>
              <w:left w:val="single" w:sz="8" w:color="009AD9"/>
              <w:right w:val="single" w:sz="8" w:color="009AD9"/>
            </w:tcBorders>
          </w:tcPr>
          <w:p>
            <w:pPr>
              <w:ind w:left="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Attend industry specific conferences</w:t>
            </w:r>
          </w:p>
        </w:tc>
        <w:tc>
          <w:tcPr>
            <w:tcW w:w="2440" w:type="dxa"/>
            <w:vAlign w:val="bottom"/>
            <w:tcBorders>
              <w:right w:val="single" w:sz="8" w:color="009AD9"/>
            </w:tcBorders>
            <w:vMerge w:val="restart"/>
          </w:tcPr>
          <w:p>
            <w:pPr>
              <w:ind w:left="18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Compensation Committee</w:t>
            </w:r>
          </w:p>
        </w:tc>
        <w:tc>
          <w:tcPr>
            <w:tcW w:w="2180" w:type="dxa"/>
            <w:vAlign w:val="bottom"/>
          </w:tcPr>
          <w:p>
            <w:pPr>
              <w:ind w:left="300"/>
              <w:spacing w:after="0"/>
              <w:rPr>
                <w:sz w:val="20"/>
                <w:szCs w:val="20"/>
                <w:color w:val="auto"/>
              </w:rPr>
            </w:pPr>
            <w:r>
              <w:rPr>
                <w:rFonts w:ascii="Arial" w:cs="Arial" w:eastAsia="Arial" w:hAnsi="Arial"/>
                <w:sz w:val="12"/>
                <w:szCs w:val="12"/>
                <w:color w:val="auto"/>
              </w:rPr>
              <w:t>disclosures and goals</w:t>
            </w:r>
          </w:p>
        </w:tc>
        <w:tc>
          <w:tcPr>
            <w:tcW w:w="260" w:type="dxa"/>
            <w:vAlign w:val="bottom"/>
            <w:tcBorders>
              <w:right w:val="single" w:sz="8" w:color="009AD9"/>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540" w:type="dxa"/>
            <w:vAlign w:val="bottom"/>
            <w:tcBorders>
              <w:left w:val="single" w:sz="8" w:color="009AD9"/>
              <w:right w:val="single" w:sz="8" w:color="009AD9"/>
            </w:tcBorders>
          </w:tcPr>
          <w:p>
            <w:pPr>
              <w:spacing w:after="0"/>
              <w:rPr>
                <w:sz w:val="7"/>
                <w:szCs w:val="7"/>
                <w:color w:val="auto"/>
              </w:rPr>
            </w:pPr>
          </w:p>
        </w:tc>
        <w:tc>
          <w:tcPr>
            <w:tcW w:w="2440" w:type="dxa"/>
            <w:vAlign w:val="bottom"/>
            <w:tcBorders>
              <w:right w:val="single" w:sz="8" w:color="009AD9"/>
            </w:tcBorders>
            <w:vMerge w:val="continue"/>
          </w:tcPr>
          <w:p>
            <w:pPr>
              <w:spacing w:after="0"/>
              <w:rPr>
                <w:sz w:val="7"/>
                <w:szCs w:val="7"/>
                <w:color w:val="auto"/>
              </w:rPr>
            </w:pPr>
          </w:p>
        </w:tc>
        <w:tc>
          <w:tcPr>
            <w:tcW w:w="2180" w:type="dxa"/>
            <w:vAlign w:val="bottom"/>
          </w:tcPr>
          <w:p>
            <w:pPr>
              <w:spacing w:after="0"/>
              <w:rPr>
                <w:sz w:val="7"/>
                <w:szCs w:val="7"/>
                <w:color w:val="auto"/>
              </w:rPr>
            </w:pPr>
          </w:p>
        </w:tc>
        <w:tc>
          <w:tcPr>
            <w:tcW w:w="260" w:type="dxa"/>
            <w:vAlign w:val="bottom"/>
            <w:tcBorders>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540" w:type="dxa"/>
            <w:vAlign w:val="bottom"/>
            <w:tcBorders>
              <w:left w:val="single" w:sz="8" w:color="009AD9"/>
              <w:bottom w:val="single" w:sz="8" w:color="009AD9"/>
              <w:right w:val="single" w:sz="8" w:color="009AD9"/>
            </w:tcBorders>
          </w:tcPr>
          <w:p>
            <w:pPr>
              <w:spacing w:after="0"/>
              <w:rPr>
                <w:sz w:val="7"/>
                <w:szCs w:val="7"/>
                <w:color w:val="auto"/>
              </w:rPr>
            </w:pPr>
          </w:p>
        </w:tc>
        <w:tc>
          <w:tcPr>
            <w:tcW w:w="2440" w:type="dxa"/>
            <w:vAlign w:val="bottom"/>
            <w:tcBorders>
              <w:bottom w:val="single" w:sz="8" w:color="009AD9"/>
              <w:right w:val="single" w:sz="8" w:color="009AD9"/>
            </w:tcBorders>
          </w:tcPr>
          <w:p>
            <w:pPr>
              <w:spacing w:after="0"/>
              <w:rPr>
                <w:sz w:val="7"/>
                <w:szCs w:val="7"/>
                <w:color w:val="auto"/>
              </w:rPr>
            </w:pPr>
          </w:p>
        </w:tc>
        <w:tc>
          <w:tcPr>
            <w:tcW w:w="2180" w:type="dxa"/>
            <w:vAlign w:val="bottom"/>
            <w:tcBorders>
              <w:bottom w:val="single" w:sz="8" w:color="009AD9"/>
            </w:tcBorders>
          </w:tcPr>
          <w:p>
            <w:pPr>
              <w:spacing w:after="0"/>
              <w:rPr>
                <w:sz w:val="7"/>
                <w:szCs w:val="7"/>
                <w:color w:val="auto"/>
              </w:rPr>
            </w:pPr>
          </w:p>
        </w:tc>
        <w:tc>
          <w:tcPr>
            <w:tcW w:w="260" w:type="dxa"/>
            <w:vAlign w:val="bottom"/>
            <w:tcBorders>
              <w:bottom w:val="single" w:sz="8" w:color="009AD9"/>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009AD9"/>
            </w:tcBorders>
          </w:tcPr>
          <w:p>
            <w:pPr>
              <w:spacing w:after="0"/>
              <w:rPr>
                <w:sz w:val="14"/>
                <w:szCs w:val="14"/>
                <w:color w:val="auto"/>
              </w:rPr>
            </w:pPr>
          </w:p>
        </w:tc>
        <w:tc>
          <w:tcPr>
            <w:tcW w:w="2440" w:type="dxa"/>
            <w:vAlign w:val="bottom"/>
            <w:tcBorders>
              <w:bottom w:val="single" w:sz="8" w:color="009AD9"/>
            </w:tcBorders>
          </w:tcPr>
          <w:p>
            <w:pPr>
              <w:spacing w:after="0"/>
              <w:rPr>
                <w:sz w:val="14"/>
                <w:szCs w:val="14"/>
                <w:color w:val="auto"/>
              </w:rPr>
            </w:pPr>
          </w:p>
        </w:tc>
        <w:tc>
          <w:tcPr>
            <w:tcW w:w="2180" w:type="dxa"/>
            <w:vAlign w:val="bottom"/>
            <w:tcBorders>
              <w:bottom w:val="single" w:sz="8" w:color="009AD9"/>
            </w:tcBorders>
          </w:tcPr>
          <w:p>
            <w:pPr>
              <w:spacing w:after="0"/>
              <w:rPr>
                <w:sz w:val="14"/>
                <w:szCs w:val="14"/>
                <w:color w:val="auto"/>
              </w:rPr>
            </w:pPr>
          </w:p>
        </w:tc>
        <w:tc>
          <w:tcPr>
            <w:tcW w:w="260" w:type="dxa"/>
            <w:vAlign w:val="bottom"/>
            <w:tcBorders>
              <w:bottom w:val="single" w:sz="8" w:color="009AD9"/>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180" w:type="dxa"/>
            <w:vAlign w:val="bottom"/>
          </w:tcPr>
          <w:p>
            <w:pPr>
              <w:ind w:left="1180"/>
              <w:spacing w:after="0"/>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009AD9"/>
              </w:rPr>
              <w:t>33</w:t>
            </w:r>
          </w:p>
        </w:tc>
        <w:tc>
          <w:tcPr>
            <w:tcW w:w="0" w:type="dxa"/>
            <w:vAlign w:val="bottom"/>
          </w:tcPr>
          <w:p>
            <w:pPr>
              <w:spacing w:after="0"/>
              <w:rPr>
                <w:sz w:val="1"/>
                <w:szCs w:val="1"/>
                <w:color w:val="auto"/>
              </w:rPr>
            </w:pPr>
          </w:p>
        </w:tc>
      </w:tr>
    </w:tbl>
    <w:p>
      <w:pPr>
        <w:sectPr>
          <w:pgSz w:w="11900" w:h="16838" w:orient="portrait"/>
          <w:cols w:equalWidth="0" w:num="1">
            <w:col w:w="10159"/>
          </w:cols>
          <w:pgMar w:left="300" w:top="373" w:right="1440"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64135</wp:posOffset>
            </wp:positionV>
            <wp:extent cx="4688205" cy="3054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688205" cy="3054350"/>
                    </a:xfrm>
                    <a:prstGeom prst="rect">
                      <a:avLst/>
                    </a:prstGeom>
                    <a:noFill/>
                  </pic:spPr>
                </pic:pic>
              </a:graphicData>
            </a:graphic>
          </wp:anchor>
        </w:drawing>
      </w:r>
    </w:p>
    <w:p>
      <w:pPr>
        <w:spacing w:after="0" w:line="90" w:lineRule="exact"/>
        <w:rPr>
          <w:sz w:val="20"/>
          <w:szCs w:val="20"/>
          <w:color w:val="auto"/>
        </w:rPr>
      </w:pPr>
    </w:p>
    <w:p>
      <w:pPr>
        <w:jc w:val="right"/>
        <w:ind w:right="3679"/>
        <w:spacing w:after="0"/>
        <w:rPr>
          <w:sz w:val="20"/>
          <w:szCs w:val="20"/>
          <w:color w:val="auto"/>
        </w:rPr>
      </w:pPr>
      <w:r>
        <w:rPr>
          <w:rFonts w:ascii="Arial" w:cs="Arial" w:eastAsia="Arial" w:hAnsi="Arial"/>
          <w:sz w:val="10"/>
          <w:szCs w:val="10"/>
          <w:b w:val="1"/>
          <w:bCs w:val="1"/>
          <w:color w:val="FFFFFF"/>
        </w:rPr>
        <w:t>Recent Shareholder Engagements</w:t>
      </w:r>
    </w:p>
    <w:p>
      <w:pPr>
        <w:sectPr>
          <w:pgSz w:w="11900" w:h="16838" w:orient="portrait"/>
          <w:cols w:equalWidth="0" w:num="1">
            <w:col w:w="10159"/>
          </w:cols>
          <w:pgMar w:left="300" w:top="373" w:right="1440" w:bottom="1440" w:gutter="0" w:footer="0" w:header="0"/>
        </w:sectPr>
      </w:pPr>
    </w:p>
    <w:p>
      <w:pPr>
        <w:spacing w:after="0" w:line="72" w:lineRule="exact"/>
        <w:rPr>
          <w:sz w:val="20"/>
          <w:szCs w:val="20"/>
          <w:color w:val="auto"/>
        </w:rPr>
      </w:pPr>
    </w:p>
    <w:p>
      <w:pPr>
        <w:ind w:left="2060"/>
        <w:spacing w:after="0"/>
        <w:rPr>
          <w:sz w:val="20"/>
          <w:szCs w:val="20"/>
          <w:color w:val="auto"/>
        </w:rPr>
      </w:pPr>
      <w:r>
        <w:rPr>
          <w:rFonts w:ascii="Arial" w:cs="Arial" w:eastAsia="Arial" w:hAnsi="Arial"/>
          <w:sz w:val="12"/>
          <w:szCs w:val="12"/>
          <w:i w:val="1"/>
          <w:iCs w:val="1"/>
          <w:color w:val="auto"/>
        </w:rPr>
        <w:t>Engagement Objectives</w:t>
      </w:r>
    </w:p>
    <w:p>
      <w:pPr>
        <w:spacing w:after="0" w:line="91" w:lineRule="exact"/>
        <w:rPr>
          <w:sz w:val="20"/>
          <w:szCs w:val="20"/>
          <w:color w:val="auto"/>
        </w:rPr>
      </w:pPr>
    </w:p>
    <w:p>
      <w:pPr>
        <w:ind w:left="20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Following the 2022 Say-on-Pay vote,</w:t>
      </w:r>
    </w:p>
    <w:p>
      <w:pPr>
        <w:ind w:left="2240"/>
        <w:spacing w:after="0" w:line="237" w:lineRule="auto"/>
        <w:rPr>
          <w:sz w:val="20"/>
          <w:szCs w:val="20"/>
          <w:color w:val="auto"/>
        </w:rPr>
      </w:pPr>
      <w:r>
        <w:rPr>
          <w:rFonts w:ascii="Arial" w:cs="Arial" w:eastAsia="Arial" w:hAnsi="Arial"/>
          <w:sz w:val="12"/>
          <w:szCs w:val="12"/>
          <w:color w:val="auto"/>
        </w:rPr>
        <w:t>we contacted shareholders</w:t>
      </w:r>
    </w:p>
    <w:p>
      <w:pPr>
        <w:ind w:left="2240"/>
        <w:spacing w:after="0" w:line="237" w:lineRule="auto"/>
        <w:rPr>
          <w:sz w:val="20"/>
          <w:szCs w:val="20"/>
          <w:color w:val="auto"/>
        </w:rPr>
      </w:pPr>
      <w:r>
        <w:rPr>
          <w:rFonts w:ascii="Arial" w:cs="Arial" w:eastAsia="Arial" w:hAnsi="Arial"/>
          <w:sz w:val="12"/>
          <w:szCs w:val="12"/>
          <w:color w:val="auto"/>
        </w:rPr>
        <w:t xml:space="preserve">representing </w:t>
      </w:r>
      <w:r>
        <w:rPr>
          <w:rFonts w:ascii="Arial" w:cs="Arial" w:eastAsia="Arial" w:hAnsi="Arial"/>
          <w:sz w:val="12"/>
          <w:szCs w:val="12"/>
          <w:b w:val="1"/>
          <w:bCs w:val="1"/>
          <w:color w:val="auto"/>
        </w:rPr>
        <w:t>63.2%</w:t>
      </w:r>
      <w:r>
        <w:rPr>
          <w:rFonts w:ascii="Arial" w:cs="Arial" w:eastAsia="Arial" w:hAnsi="Arial"/>
          <w:sz w:val="12"/>
          <w:szCs w:val="12"/>
          <w:color w:val="auto"/>
        </w:rPr>
        <w:t xml:space="preserve"> of our outstanding</w:t>
      </w:r>
    </w:p>
    <w:p>
      <w:pPr>
        <w:ind w:left="2240"/>
        <w:spacing w:after="0" w:line="237" w:lineRule="auto"/>
        <w:rPr>
          <w:sz w:val="20"/>
          <w:szCs w:val="20"/>
          <w:color w:val="auto"/>
        </w:rPr>
      </w:pPr>
      <w:r>
        <w:rPr>
          <w:rFonts w:ascii="Arial" w:cs="Arial" w:eastAsia="Arial" w:hAnsi="Arial"/>
          <w:sz w:val="12"/>
          <w:szCs w:val="12"/>
          <w:color w:val="auto"/>
        </w:rPr>
        <w:t>shares of common stock to date and</w:t>
      </w:r>
    </w:p>
    <w:p>
      <w:pPr>
        <w:ind w:left="2240"/>
        <w:spacing w:after="0" w:line="237" w:lineRule="auto"/>
        <w:rPr>
          <w:sz w:val="20"/>
          <w:szCs w:val="20"/>
          <w:color w:val="auto"/>
        </w:rPr>
      </w:pPr>
      <w:r>
        <w:rPr>
          <w:rFonts w:ascii="Arial" w:cs="Arial" w:eastAsia="Arial" w:hAnsi="Arial"/>
          <w:sz w:val="12"/>
          <w:szCs w:val="12"/>
          <w:color w:val="auto"/>
        </w:rPr>
        <w:t>engaged with shareholders</w:t>
      </w:r>
    </w:p>
    <w:p>
      <w:pPr>
        <w:ind w:left="2240"/>
        <w:spacing w:after="0" w:line="238" w:lineRule="auto"/>
        <w:rPr>
          <w:sz w:val="20"/>
          <w:szCs w:val="20"/>
          <w:color w:val="auto"/>
        </w:rPr>
      </w:pPr>
      <w:r>
        <w:rPr>
          <w:rFonts w:ascii="Arial" w:cs="Arial" w:eastAsia="Arial" w:hAnsi="Arial"/>
          <w:sz w:val="12"/>
          <w:szCs w:val="12"/>
          <w:color w:val="auto"/>
        </w:rPr>
        <w:t xml:space="preserve">representing </w:t>
      </w:r>
      <w:r>
        <w:rPr>
          <w:rFonts w:ascii="Arial" w:cs="Arial" w:eastAsia="Arial" w:hAnsi="Arial"/>
          <w:sz w:val="12"/>
          <w:szCs w:val="12"/>
          <w:b w:val="1"/>
          <w:bCs w:val="1"/>
          <w:color w:val="auto"/>
        </w:rPr>
        <w:t>39%</w:t>
      </w:r>
      <w:r>
        <w:rPr>
          <w:rFonts w:ascii="Arial" w:cs="Arial" w:eastAsia="Arial" w:hAnsi="Arial"/>
          <w:sz w:val="12"/>
          <w:szCs w:val="12"/>
          <w:color w:val="auto"/>
        </w:rPr>
        <w:t xml:space="preserve"> of our outstanding</w:t>
      </w:r>
    </w:p>
    <w:p>
      <w:pPr>
        <w:ind w:left="2240"/>
        <w:spacing w:after="0"/>
        <w:rPr>
          <w:sz w:val="20"/>
          <w:szCs w:val="20"/>
          <w:color w:val="auto"/>
        </w:rPr>
      </w:pPr>
      <w:r>
        <w:rPr>
          <w:rFonts w:ascii="Arial" w:cs="Arial" w:eastAsia="Arial" w:hAnsi="Arial"/>
          <w:sz w:val="12"/>
          <w:szCs w:val="12"/>
          <w:color w:val="auto"/>
        </w:rPr>
        <w:t>shares</w:t>
      </w:r>
    </w:p>
    <w:p>
      <w:pPr>
        <w:spacing w:after="0" w:line="79" w:lineRule="exact"/>
        <w:rPr>
          <w:sz w:val="20"/>
          <w:szCs w:val="20"/>
          <w:color w:val="auto"/>
        </w:rPr>
      </w:pPr>
    </w:p>
    <w:p>
      <w:pPr>
        <w:ind w:left="2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Met with shareholders in fourth</w:t>
      </w:r>
    </w:p>
    <w:p>
      <w:pPr>
        <w:ind w:left="2420"/>
        <w:spacing w:after="0" w:line="237" w:lineRule="auto"/>
        <w:rPr>
          <w:sz w:val="20"/>
          <w:szCs w:val="20"/>
          <w:color w:val="auto"/>
        </w:rPr>
      </w:pPr>
      <w:r>
        <w:rPr>
          <w:rFonts w:ascii="Arial" w:cs="Arial" w:eastAsia="Arial" w:hAnsi="Arial"/>
          <w:sz w:val="12"/>
          <w:szCs w:val="12"/>
          <w:color w:val="auto"/>
        </w:rPr>
        <w:t>quarter 2022 to discuss 2022</w:t>
      </w:r>
    </w:p>
    <w:p>
      <w:pPr>
        <w:ind w:left="2420"/>
        <w:spacing w:after="0" w:line="237" w:lineRule="auto"/>
        <w:rPr>
          <w:sz w:val="20"/>
          <w:szCs w:val="20"/>
          <w:color w:val="auto"/>
        </w:rPr>
      </w:pPr>
      <w:r>
        <w:rPr>
          <w:rFonts w:ascii="Arial" w:cs="Arial" w:eastAsia="Arial" w:hAnsi="Arial"/>
          <w:sz w:val="12"/>
          <w:szCs w:val="12"/>
          <w:color w:val="auto"/>
        </w:rPr>
        <w:t>say-on-pay vote, including</w:t>
      </w:r>
    </w:p>
    <w:p>
      <w:pPr>
        <w:ind w:left="2420"/>
        <w:spacing w:after="0" w:line="237" w:lineRule="auto"/>
        <w:rPr>
          <w:sz w:val="20"/>
          <w:szCs w:val="20"/>
          <w:color w:val="auto"/>
        </w:rPr>
      </w:pPr>
      <w:r>
        <w:rPr>
          <w:rFonts w:ascii="Arial" w:cs="Arial" w:eastAsia="Arial" w:hAnsi="Arial"/>
          <w:sz w:val="12"/>
          <w:szCs w:val="12"/>
          <w:color w:val="auto"/>
        </w:rPr>
        <w:t>shareholder concerns and actions</w:t>
      </w:r>
    </w:p>
    <w:p>
      <w:pPr>
        <w:ind w:left="2420"/>
        <w:spacing w:after="0" w:line="237" w:lineRule="auto"/>
        <w:rPr>
          <w:sz w:val="20"/>
          <w:szCs w:val="20"/>
          <w:color w:val="auto"/>
        </w:rPr>
      </w:pPr>
      <w:r>
        <w:rPr>
          <w:rFonts w:ascii="Arial" w:cs="Arial" w:eastAsia="Arial" w:hAnsi="Arial"/>
          <w:sz w:val="12"/>
          <w:szCs w:val="12"/>
          <w:color w:val="auto"/>
        </w:rPr>
        <w:t>they would like to see from the</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2"/>
          <w:szCs w:val="12"/>
          <w:color w:val="auto"/>
        </w:rPr>
        <w:t>Company</w:t>
      </w:r>
    </w:p>
    <w:p>
      <w:pPr>
        <w:spacing w:after="0" w:line="79" w:lineRule="exact"/>
        <w:rPr>
          <w:sz w:val="20"/>
          <w:szCs w:val="20"/>
          <w:color w:val="auto"/>
        </w:rPr>
      </w:pPr>
    </w:p>
    <w:p>
      <w:pPr>
        <w:ind w:left="2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Followed up with shareholders</w:t>
      </w:r>
    </w:p>
    <w:p>
      <w:pPr>
        <w:ind w:left="2420"/>
        <w:spacing w:after="0" w:line="237" w:lineRule="auto"/>
        <w:rPr>
          <w:sz w:val="20"/>
          <w:szCs w:val="20"/>
          <w:color w:val="auto"/>
        </w:rPr>
      </w:pPr>
      <w:r>
        <w:rPr>
          <w:rFonts w:ascii="Arial" w:cs="Arial" w:eastAsia="Arial" w:hAnsi="Arial"/>
          <w:sz w:val="12"/>
          <w:szCs w:val="12"/>
          <w:color w:val="auto"/>
        </w:rPr>
        <w:t>previously engaged in February</w:t>
      </w:r>
    </w:p>
    <w:p>
      <w:pPr>
        <w:ind w:left="2420"/>
        <w:spacing w:after="0" w:line="237" w:lineRule="auto"/>
        <w:rPr>
          <w:sz w:val="20"/>
          <w:szCs w:val="20"/>
          <w:color w:val="auto"/>
        </w:rPr>
      </w:pPr>
      <w:r>
        <w:rPr>
          <w:rFonts w:ascii="Arial" w:cs="Arial" w:eastAsia="Arial" w:hAnsi="Arial"/>
          <w:sz w:val="12"/>
          <w:szCs w:val="12"/>
          <w:color w:val="auto"/>
        </w:rPr>
        <w:t>2023 to discuss proposed Company</w:t>
      </w:r>
    </w:p>
    <w:p>
      <w:pPr>
        <w:ind w:left="2420"/>
        <w:spacing w:after="0" w:line="237" w:lineRule="auto"/>
        <w:rPr>
          <w:sz w:val="20"/>
          <w:szCs w:val="20"/>
          <w:color w:val="auto"/>
        </w:rPr>
      </w:pPr>
      <w:r>
        <w:rPr>
          <w:rFonts w:ascii="Arial" w:cs="Arial" w:eastAsia="Arial" w:hAnsi="Arial"/>
          <w:sz w:val="12"/>
          <w:szCs w:val="12"/>
          <w:color w:val="auto"/>
        </w:rPr>
        <w:t>responses to shareholder concerns</w:t>
      </w:r>
    </w:p>
    <w:p>
      <w:pPr>
        <w:ind w:left="2420"/>
        <w:spacing w:after="0"/>
        <w:rPr>
          <w:sz w:val="20"/>
          <w:szCs w:val="20"/>
          <w:color w:val="auto"/>
        </w:rPr>
      </w:pPr>
      <w:r>
        <w:rPr>
          <w:rFonts w:ascii="Arial" w:cs="Arial" w:eastAsia="Arial" w:hAnsi="Arial"/>
          <w:sz w:val="12"/>
          <w:szCs w:val="12"/>
          <w:color w:val="auto"/>
        </w:rPr>
        <w:t>and receive shareholder feedback</w:t>
      </w:r>
    </w:p>
    <w:p>
      <w:pPr>
        <w:spacing w:after="0" w:line="79" w:lineRule="exact"/>
        <w:rPr>
          <w:sz w:val="20"/>
          <w:szCs w:val="20"/>
          <w:color w:val="auto"/>
        </w:rPr>
      </w:pPr>
    </w:p>
    <w:p>
      <w:pPr>
        <w:ind w:left="22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will continue to</w:t>
      </w:r>
    </w:p>
    <w:p>
      <w:pPr>
        <w:ind w:left="2420"/>
        <w:spacing w:after="0" w:line="237" w:lineRule="auto"/>
        <w:rPr>
          <w:sz w:val="20"/>
          <w:szCs w:val="20"/>
          <w:color w:val="auto"/>
        </w:rPr>
      </w:pPr>
      <w:r>
        <w:rPr>
          <w:rFonts w:ascii="Arial" w:cs="Arial" w:eastAsia="Arial" w:hAnsi="Arial"/>
          <w:sz w:val="12"/>
          <w:szCs w:val="12"/>
          <w:color w:val="auto"/>
        </w:rPr>
        <w:t>actively seek feedback from</w:t>
      </w:r>
    </w:p>
    <w:p>
      <w:pPr>
        <w:ind w:left="2420"/>
        <w:spacing w:after="0" w:line="237" w:lineRule="auto"/>
        <w:rPr>
          <w:sz w:val="20"/>
          <w:szCs w:val="20"/>
          <w:color w:val="auto"/>
        </w:rPr>
      </w:pPr>
      <w:r>
        <w:rPr>
          <w:rFonts w:ascii="Arial" w:cs="Arial" w:eastAsia="Arial" w:hAnsi="Arial"/>
          <w:sz w:val="12"/>
          <w:szCs w:val="12"/>
          <w:color w:val="auto"/>
        </w:rPr>
        <w:t>shareholders following the filing of</w:t>
      </w:r>
    </w:p>
    <w:p>
      <w:pPr>
        <w:ind w:left="2420"/>
        <w:spacing w:after="0"/>
        <w:rPr>
          <w:sz w:val="20"/>
          <w:szCs w:val="20"/>
          <w:color w:val="auto"/>
        </w:rPr>
      </w:pPr>
      <w:r>
        <w:rPr>
          <w:rFonts w:ascii="Arial" w:cs="Arial" w:eastAsia="Arial" w:hAnsi="Arial"/>
          <w:sz w:val="12"/>
          <w:szCs w:val="12"/>
          <w:color w:val="auto"/>
        </w:rPr>
        <w:t>this proxy statement</w:t>
      </w:r>
    </w:p>
    <w:p>
      <w:pPr>
        <w:spacing w:after="0" w:line="79" w:lineRule="exact"/>
        <w:rPr>
          <w:sz w:val="20"/>
          <w:szCs w:val="20"/>
          <w:color w:val="auto"/>
        </w:rPr>
      </w:pPr>
    </w:p>
    <w:p>
      <w:pPr>
        <w:ind w:left="20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In advance of our 2022 Annual</w:t>
      </w:r>
    </w:p>
    <w:p>
      <w:pPr>
        <w:ind w:left="2240"/>
        <w:spacing w:after="0" w:line="237" w:lineRule="auto"/>
        <w:rPr>
          <w:sz w:val="20"/>
          <w:szCs w:val="20"/>
          <w:color w:val="auto"/>
        </w:rPr>
      </w:pPr>
      <w:r>
        <w:rPr>
          <w:rFonts w:ascii="Arial" w:cs="Arial" w:eastAsia="Arial" w:hAnsi="Arial"/>
          <w:sz w:val="12"/>
          <w:szCs w:val="12"/>
          <w:color w:val="auto"/>
        </w:rPr>
        <w:t>Meeting, we contacted shareholders</w:t>
      </w:r>
    </w:p>
    <w:p>
      <w:pPr>
        <w:ind w:left="2240"/>
        <w:spacing w:after="0" w:line="237" w:lineRule="auto"/>
        <w:rPr>
          <w:sz w:val="20"/>
          <w:szCs w:val="20"/>
          <w:color w:val="auto"/>
        </w:rPr>
      </w:pPr>
      <w:r>
        <w:rPr>
          <w:rFonts w:ascii="Arial" w:cs="Arial" w:eastAsia="Arial" w:hAnsi="Arial"/>
          <w:sz w:val="12"/>
          <w:szCs w:val="12"/>
          <w:color w:val="auto"/>
        </w:rPr>
        <w:t xml:space="preserve">representing </w:t>
      </w:r>
      <w:r>
        <w:rPr>
          <w:rFonts w:ascii="Arial" w:cs="Arial" w:eastAsia="Arial" w:hAnsi="Arial"/>
          <w:sz w:val="12"/>
          <w:szCs w:val="12"/>
          <w:b w:val="1"/>
          <w:bCs w:val="1"/>
          <w:color w:val="auto"/>
        </w:rPr>
        <w:t>68.3%</w:t>
      </w:r>
      <w:r>
        <w:rPr>
          <w:rFonts w:ascii="Arial" w:cs="Arial" w:eastAsia="Arial" w:hAnsi="Arial"/>
          <w:sz w:val="12"/>
          <w:szCs w:val="12"/>
          <w:color w:val="auto"/>
        </w:rPr>
        <w:t xml:space="preserve"> of our outstanding</w:t>
      </w:r>
    </w:p>
    <w:p>
      <w:pPr>
        <w:ind w:left="2240"/>
        <w:spacing w:after="0" w:line="237" w:lineRule="auto"/>
        <w:rPr>
          <w:sz w:val="20"/>
          <w:szCs w:val="20"/>
          <w:color w:val="auto"/>
        </w:rPr>
      </w:pPr>
      <w:r>
        <w:rPr>
          <w:rFonts w:ascii="Arial" w:cs="Arial" w:eastAsia="Arial" w:hAnsi="Arial"/>
          <w:sz w:val="12"/>
          <w:szCs w:val="12"/>
          <w:color w:val="auto"/>
        </w:rPr>
        <w:t>shares of common stock during 2021</w:t>
      </w:r>
    </w:p>
    <w:p>
      <w:pPr>
        <w:ind w:left="2240"/>
        <w:spacing w:after="0" w:line="237" w:lineRule="auto"/>
        <w:rPr>
          <w:sz w:val="20"/>
          <w:szCs w:val="20"/>
          <w:color w:val="auto"/>
        </w:rPr>
      </w:pPr>
      <w:r>
        <w:rPr>
          <w:rFonts w:ascii="Arial" w:cs="Arial" w:eastAsia="Arial" w:hAnsi="Arial"/>
          <w:sz w:val="12"/>
          <w:szCs w:val="12"/>
          <w:color w:val="auto"/>
        </w:rPr>
        <w:t>and engaged with shareholders</w:t>
      </w:r>
    </w:p>
    <w:p>
      <w:pPr>
        <w:ind w:left="2240"/>
        <w:spacing w:after="0" w:line="238" w:lineRule="auto"/>
        <w:rPr>
          <w:sz w:val="20"/>
          <w:szCs w:val="20"/>
          <w:color w:val="auto"/>
        </w:rPr>
      </w:pPr>
      <w:r>
        <w:rPr>
          <w:rFonts w:ascii="Arial" w:cs="Arial" w:eastAsia="Arial" w:hAnsi="Arial"/>
          <w:sz w:val="12"/>
          <w:szCs w:val="12"/>
          <w:color w:val="auto"/>
        </w:rPr>
        <w:t xml:space="preserve">representing </w:t>
      </w:r>
      <w:r>
        <w:rPr>
          <w:rFonts w:ascii="Arial" w:cs="Arial" w:eastAsia="Arial" w:hAnsi="Arial"/>
          <w:sz w:val="12"/>
          <w:szCs w:val="12"/>
          <w:b w:val="1"/>
          <w:bCs w:val="1"/>
          <w:color w:val="auto"/>
        </w:rPr>
        <w:t>18.8%</w:t>
      </w:r>
      <w:r>
        <w:rPr>
          <w:rFonts w:ascii="Arial" w:cs="Arial" w:eastAsia="Arial" w:hAnsi="Arial"/>
          <w:sz w:val="12"/>
          <w:szCs w:val="12"/>
          <w:color w:val="auto"/>
        </w:rPr>
        <w:t xml:space="preserve"> of our outstanding</w:t>
      </w:r>
    </w:p>
    <w:p>
      <w:pPr>
        <w:ind w:left="2240"/>
        <w:spacing w:after="0"/>
        <w:rPr>
          <w:sz w:val="20"/>
          <w:szCs w:val="20"/>
          <w:color w:val="auto"/>
        </w:rPr>
      </w:pPr>
      <w:r>
        <w:rPr>
          <w:rFonts w:ascii="Arial" w:cs="Arial" w:eastAsia="Arial" w:hAnsi="Arial"/>
          <w:sz w:val="12"/>
          <w:szCs w:val="12"/>
          <w:color w:val="auto"/>
        </w:rPr>
        <w:t>shares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Company Participants</w:t>
      </w:r>
    </w:p>
    <w:p>
      <w:pPr>
        <w:spacing w:after="0" w:line="92" w:lineRule="exact"/>
        <w:rPr>
          <w:sz w:val="20"/>
          <w:szCs w:val="20"/>
          <w:color w:val="auto"/>
        </w:rPr>
      </w:pPr>
    </w:p>
    <w:p>
      <w:pPr>
        <w:jc w:val="both"/>
        <w:ind w:left="200" w:hanging="181"/>
        <w:spacing w:after="0" w:line="241"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Shareholders met with key members of</w:t>
      </w:r>
      <w:r>
        <w:rPr>
          <w:rFonts w:ascii="Arial" w:cs="Arial" w:eastAsia="Arial" w:hAnsi="Arial"/>
          <w:sz w:val="12"/>
          <w:szCs w:val="12"/>
          <w:color w:val="009AD9"/>
        </w:rPr>
        <w:t xml:space="preserve"> </w:t>
      </w:r>
      <w:r>
        <w:rPr>
          <w:rFonts w:ascii="Arial" w:cs="Arial" w:eastAsia="Arial" w:hAnsi="Arial"/>
          <w:sz w:val="12"/>
          <w:szCs w:val="12"/>
          <w:color w:val="000000"/>
        </w:rPr>
        <w:t>our executive leadership representing Human Resources, Investor Relations, and Corporate Governance</w:t>
      </w:r>
    </w:p>
    <w:p>
      <w:pPr>
        <w:spacing w:after="0" w:line="73" w:lineRule="exact"/>
        <w:rPr>
          <w:sz w:val="20"/>
          <w:szCs w:val="20"/>
          <w:color w:val="auto"/>
        </w:rPr>
      </w:pPr>
    </w:p>
    <w:p>
      <w:pPr>
        <w:ind w:left="200" w:right="20" w:hanging="181"/>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For our engagement after our 2022</w:t>
      </w:r>
      <w:r>
        <w:rPr>
          <w:rFonts w:ascii="Arial" w:cs="Arial" w:eastAsia="Arial" w:hAnsi="Arial"/>
          <w:sz w:val="12"/>
          <w:szCs w:val="12"/>
          <w:color w:val="009AD9"/>
        </w:rPr>
        <w:t xml:space="preserve"> </w:t>
      </w:r>
      <w:r>
        <w:rPr>
          <w:rFonts w:ascii="Arial" w:cs="Arial" w:eastAsia="Arial" w:hAnsi="Arial"/>
          <w:sz w:val="12"/>
          <w:szCs w:val="12"/>
          <w:color w:val="000000"/>
        </w:rPr>
        <w:t xml:space="preserve">Annual Meeting, the Chair of the Compensation Committee met with </w:t>
      </w:r>
      <w:r>
        <w:rPr>
          <w:rFonts w:ascii="Arial" w:cs="Arial" w:eastAsia="Arial" w:hAnsi="Arial"/>
          <w:sz w:val="12"/>
          <w:szCs w:val="12"/>
          <w:b w:val="1"/>
          <w:bCs w:val="1"/>
          <w:color w:val="000000"/>
        </w:rPr>
        <w:t>11</w:t>
      </w:r>
      <w:r>
        <w:rPr>
          <w:rFonts w:ascii="Arial" w:cs="Arial" w:eastAsia="Arial" w:hAnsi="Arial"/>
          <w:sz w:val="12"/>
          <w:szCs w:val="12"/>
          <w:color w:val="000000"/>
        </w:rPr>
        <w:t xml:space="preserve"> </w:t>
      </w:r>
      <w:r>
        <w:rPr>
          <w:rFonts w:ascii="Arial" w:cs="Arial" w:eastAsia="Arial" w:hAnsi="Arial"/>
          <w:sz w:val="12"/>
          <w:szCs w:val="12"/>
          <w:b w:val="1"/>
          <w:bCs w:val="1"/>
          <w:color w:val="000000"/>
        </w:rPr>
        <w:t xml:space="preserve">out of the 13 </w:t>
      </w:r>
      <w:r>
        <w:rPr>
          <w:rFonts w:ascii="Arial" w:cs="Arial" w:eastAsia="Arial" w:hAnsi="Arial"/>
          <w:sz w:val="12"/>
          <w:szCs w:val="12"/>
          <w:color w:val="000000"/>
        </w:rPr>
        <w:t>shareholders we</w:t>
      </w:r>
      <w:r>
        <w:rPr>
          <w:rFonts w:ascii="Arial" w:cs="Arial" w:eastAsia="Arial" w:hAnsi="Arial"/>
          <w:sz w:val="12"/>
          <w:szCs w:val="12"/>
          <w:b w:val="1"/>
          <w:bCs w:val="1"/>
          <w:color w:val="000000"/>
        </w:rPr>
        <w:t xml:space="preserve"> </w:t>
      </w:r>
      <w:r>
        <w:rPr>
          <w:rFonts w:ascii="Arial" w:cs="Arial" w:eastAsia="Arial" w:hAnsi="Arial"/>
          <w:sz w:val="12"/>
          <w:szCs w:val="12"/>
          <w:color w:val="000000"/>
        </w:rPr>
        <w:t>engaged.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Topics Discussed</w:t>
      </w:r>
    </w:p>
    <w:p>
      <w:pPr>
        <w:spacing w:after="0" w:line="92" w:lineRule="exact"/>
        <w:rPr>
          <w:sz w:val="20"/>
          <w:szCs w:val="20"/>
          <w:color w:val="auto"/>
        </w:rPr>
      </w:pPr>
    </w:p>
    <w:p>
      <w:pPr>
        <w:ind w:left="180" w:right="1119" w:hanging="181"/>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For our engagement after our 2022</w:t>
      </w:r>
      <w:r>
        <w:rPr>
          <w:rFonts w:ascii="Arial" w:cs="Arial" w:eastAsia="Arial" w:hAnsi="Arial"/>
          <w:sz w:val="12"/>
          <w:szCs w:val="12"/>
          <w:color w:val="009AD9"/>
        </w:rPr>
        <w:t xml:space="preserve"> </w:t>
      </w:r>
      <w:r>
        <w:rPr>
          <w:rFonts w:ascii="Arial" w:cs="Arial" w:eastAsia="Arial" w:hAnsi="Arial"/>
          <w:sz w:val="12"/>
          <w:szCs w:val="12"/>
          <w:color w:val="000000"/>
        </w:rPr>
        <w:t>Annual Meeting, we solicited feedback regarding the 2022 Say-on-Pay vote in addition to feedback on our executive compensation program, corporate governance and ESG/sustainability matters</w:t>
      </w:r>
    </w:p>
    <w:p>
      <w:pPr>
        <w:spacing w:after="0" w:line="207" w:lineRule="exact"/>
        <w:rPr>
          <w:sz w:val="20"/>
          <w:szCs w:val="20"/>
          <w:color w:val="auto"/>
        </w:rPr>
      </w:pPr>
    </w:p>
    <w:p>
      <w:pPr>
        <w:ind w:left="180" w:right="959" w:hanging="181"/>
        <w:spacing w:after="0" w:line="238"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For our engagement prior to our 2022</w:t>
      </w:r>
      <w:r>
        <w:rPr>
          <w:rFonts w:ascii="Arial" w:cs="Arial" w:eastAsia="Arial" w:hAnsi="Arial"/>
          <w:sz w:val="12"/>
          <w:szCs w:val="12"/>
          <w:color w:val="009AD9"/>
        </w:rPr>
        <w:t xml:space="preserve"> </w:t>
      </w:r>
      <w:r>
        <w:rPr>
          <w:rFonts w:ascii="Arial" w:cs="Arial" w:eastAsia="Arial" w:hAnsi="Arial"/>
          <w:sz w:val="12"/>
          <w:szCs w:val="12"/>
          <w:color w:val="000000"/>
        </w:rPr>
        <w:t>Annual Meeting, we solicited feedback regarding our compensation program, including the retention award to Mr. Lesar and the severance arrangement to Mr. Milton Carroll, our former Executive Chairman, as well as feedback on our corporate governance and ESG/sustainability matters</w:t>
      </w:r>
    </w:p>
    <w:p>
      <w:pPr>
        <w:spacing w:after="0" w:line="1942" w:lineRule="exact"/>
        <w:rPr>
          <w:sz w:val="20"/>
          <w:szCs w:val="20"/>
          <w:color w:val="auto"/>
        </w:rPr>
      </w:pPr>
    </w:p>
    <w:p>
      <w:pPr>
        <w:sectPr>
          <w:pgSz w:w="11900" w:h="16838" w:orient="portrait"/>
          <w:cols w:equalWidth="0" w:num="3">
            <w:col w:w="4360" w:space="180"/>
            <w:col w:w="2260" w:space="180"/>
            <w:col w:w="3179"/>
          </w:cols>
          <w:pgMar w:left="300" w:top="373" w:right="1440" w:bottom="1440" w:gutter="0" w:footer="0" w:header="0"/>
          <w:type w:val="continuous"/>
        </w:sectPr>
      </w:pPr>
    </w:p>
    <w:p>
      <w:pPr>
        <w:spacing w:after="0" w:line="4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Interested parties who wish to make concerns known to the non-management directors may communicate directly with the non-management directors by making a submission in writing to “Board of Directors (independent members)” in care of our Corporate Secretary at the address indicated on page 7 of this proxy statement. Aside from this procedure for communications with the non-management directors, the entire Board of Directors will receive communications in writing from shareholders. Any such communications should be addressed to the Board of Directors in care of the Corporate Secretary at the same address.</w:t>
      </w:r>
    </w:p>
    <w:p>
      <w:pPr>
        <w:spacing w:after="0" w:line="133" w:lineRule="exact"/>
        <w:rPr>
          <w:sz w:val="20"/>
          <w:szCs w:val="20"/>
          <w:color w:val="auto"/>
        </w:rPr>
      </w:pPr>
    </w:p>
    <w:p>
      <w:pPr>
        <w:ind w:left="2220" w:hanging="230"/>
        <w:spacing w:after="0"/>
        <w:tabs>
          <w:tab w:leader="none" w:pos="2220" w:val="left"/>
        </w:tabs>
        <w:numPr>
          <w:ilvl w:val="0"/>
          <w:numId w:val="4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Website Availability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 xml:space="preserve">CenterPoint Energy’s Annual Report on Form 10-K, Corporate Governance Guidelines, the charters of the Audit Committee, Compensation Committee, and Governance, Environmental and Sustainability Committee, the Code of Ethics for Chief Executive Officer and Senior Financial Officers, and the Ethics and Compliance Code can be found on its website at </w:t>
      </w:r>
      <w:r>
        <w:rPr>
          <w:rFonts w:ascii="Arial" w:cs="Arial" w:eastAsia="Arial" w:hAnsi="Arial"/>
          <w:sz w:val="12"/>
          <w:szCs w:val="12"/>
          <w:i w:val="1"/>
          <w:iCs w:val="1"/>
          <w:color w:val="auto"/>
        </w:rPr>
        <w:t>https://investors.centerpointenergy.com/governance</w:t>
      </w:r>
      <w:r>
        <w:rPr>
          <w:rFonts w:ascii="Arial" w:cs="Arial" w:eastAsia="Arial" w:hAnsi="Arial"/>
          <w:sz w:val="12"/>
          <w:szCs w:val="12"/>
          <w:color w:val="auto"/>
        </w:rPr>
        <w:t>. Additionally, CenterPoint Energy’s Corporate Sustainability Report, TCFD report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related disclosure can be found on its website at </w:t>
      </w:r>
      <w:r>
        <w:rPr>
          <w:rFonts w:ascii="Arial" w:cs="Arial" w:eastAsia="Arial" w:hAnsi="Arial"/>
          <w:sz w:val="12"/>
          <w:szCs w:val="12"/>
          <w:i w:val="1"/>
          <w:iCs w:val="1"/>
          <w:color w:val="auto"/>
        </w:rPr>
        <w:t>www.sustainability.centerpointenergy.com.</w:t>
      </w:r>
      <w:r>
        <w:rPr>
          <w:rFonts w:ascii="Arial" w:cs="Arial" w:eastAsia="Arial" w:hAnsi="Arial"/>
          <w:sz w:val="12"/>
          <w:szCs w:val="12"/>
          <w:color w:val="auto"/>
        </w:rPr>
        <w:t xml:space="preserve"> Unless specifically stated herein, documents and information on CenterPoint Energy’s website are not incorporated by reference in this proxy statement.</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Governance, Environmental and Sustainability Committee of the Board oversees fee levels and other elements of compensation for CenterPoint Energy’s non-employee directors. The Governance, Environmental and Sustainability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Environmental and Sustainability Committee’s independent compensation consultant annually benchmarks and evaluates the competitiveness of CenterPoint Energy’s non-employee directors’ compensation program, including a comparison of the compensation components to that of peer companies. Based on the Governance, Environmental and Sustainability Committee’s recommendations, the Board of Directors then determines the final compensation for all non-employee directors each year.</w:t>
      </w:r>
    </w:p>
    <w:p>
      <w:pPr>
        <w:spacing w:after="0" w:line="136"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Directors receive a cash retainer and are eligible to receive annual grants of our common stock under the CenterPoint Energy, Inc. Stock Plan for Outside Directors, as amended. Directors no longer receive meeting fees.</w:t>
      </w:r>
    </w:p>
    <w:p>
      <w:pPr>
        <w:spacing w:after="0" w:line="13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p>
    <w:p>
      <w:pPr>
        <w:spacing w:after="0" w:line="261"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Retainer Fees</w:t>
      </w:r>
    </w:p>
    <w:p>
      <w:pPr>
        <w:spacing w:after="0" w:line="85"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Retainers are paid to our non-employee directors on a quarterly basis in arrears. Our non-employee directors receive an annual retainer of $115,000. The Chairs of the Audit, Compensation, and Governance, Environmental and Sustainability Committees each receive a supplemental annual retainer for service as committee chair. In addition to the annual retainer, our Independent Chair of the Board receives a supplemental retainer for his services to the Board. Our current non-employee annual and supplemental retainer fees are as follows:</w:t>
      </w:r>
    </w:p>
    <w:p>
      <w:pPr>
        <w:spacing w:after="0" w:line="294" w:lineRule="exact"/>
        <w:rPr>
          <w:sz w:val="20"/>
          <w:szCs w:val="20"/>
          <w:color w:val="auto"/>
        </w:rPr>
      </w:pPr>
    </w:p>
    <w:tbl>
      <w:tblPr>
        <w:tblLayout w:type="fixed"/>
        <w:tblInd w:w="2250" w:type="dxa"/>
        <w:tblCellMar>
          <w:top w:w="0" w:type="dxa"/>
          <w:left w:w="0" w:type="dxa"/>
          <w:bottom w:w="0" w:type="dxa"/>
          <w:right w:w="0" w:type="dxa"/>
        </w:tblCellMar>
      </w:tblPr>
      <w:tr>
        <w:trPr>
          <w:trHeight w:val="145"/>
        </w:trPr>
        <w:tc>
          <w:tcPr>
            <w:tcW w:w="4980" w:type="dxa"/>
            <w:vAlign w:val="bottom"/>
            <w:tcBorders>
              <w:left w:val="single" w:sz="8" w:color="009AD9"/>
            </w:tcBorders>
            <w:shd w:val="clear" w:color="auto" w:fill="009AD9"/>
          </w:tcPr>
          <w:p>
            <w:pPr>
              <w:ind w:left="2060"/>
              <w:spacing w:after="0"/>
              <w:rPr>
                <w:sz w:val="20"/>
                <w:szCs w:val="20"/>
                <w:color w:val="auto"/>
              </w:rPr>
            </w:pPr>
            <w:r>
              <w:rPr>
                <w:rFonts w:ascii="Arial" w:cs="Arial" w:eastAsia="Arial" w:hAnsi="Arial"/>
                <w:sz w:val="10"/>
                <w:szCs w:val="10"/>
                <w:b w:val="1"/>
                <w:bCs w:val="1"/>
                <w:color w:val="FFFFFF"/>
              </w:rPr>
              <w:t>Type of Retainer Fee</w:t>
            </w:r>
          </w:p>
        </w:tc>
        <w:tc>
          <w:tcPr>
            <w:tcW w:w="1860" w:type="dxa"/>
            <w:vAlign w:val="bottom"/>
            <w:tcBorders>
              <w:right w:val="single" w:sz="8" w:color="009AD9"/>
            </w:tcBorders>
            <w:gridSpan w:val="2"/>
            <w:shd w:val="clear" w:color="auto" w:fill="009AD9"/>
          </w:tcPr>
          <w:p>
            <w:pPr>
              <w:jc w:val="right"/>
              <w:ind w:right="52"/>
              <w:spacing w:after="0"/>
              <w:rPr>
                <w:sz w:val="20"/>
                <w:szCs w:val="20"/>
                <w:color w:val="auto"/>
              </w:rPr>
            </w:pPr>
            <w:r>
              <w:rPr>
                <w:rFonts w:ascii="Arial" w:cs="Arial" w:eastAsia="Arial" w:hAnsi="Arial"/>
                <w:sz w:val="10"/>
                <w:szCs w:val="10"/>
                <w:b w:val="1"/>
                <w:bCs w:val="1"/>
                <w:color w:val="FFFFFF"/>
              </w:rPr>
              <w:t>Current Retainer Fee</w:t>
            </w:r>
          </w:p>
        </w:tc>
      </w:tr>
      <w:tr>
        <w:trPr>
          <w:trHeight w:val="187"/>
        </w:trPr>
        <w:tc>
          <w:tcPr>
            <w:tcW w:w="4980" w:type="dxa"/>
            <w:vAlign w:val="bottom"/>
            <w:tcBorders>
              <w:left w:val="single" w:sz="8" w:color="009AD9"/>
              <w:bottom w:val="single" w:sz="8" w:color="D8EFF9"/>
            </w:tcBorders>
            <w:shd w:val="clear" w:color="auto" w:fill="D8EFF9"/>
          </w:tcPr>
          <w:p>
            <w:pPr>
              <w:ind w:left="100"/>
              <w:spacing w:after="0"/>
              <w:rPr>
                <w:sz w:val="20"/>
                <w:szCs w:val="20"/>
                <w:color w:val="auto"/>
              </w:rPr>
            </w:pPr>
            <w:r>
              <w:rPr>
                <w:rFonts w:ascii="Arial" w:cs="Arial" w:eastAsia="Arial" w:hAnsi="Arial"/>
                <w:sz w:val="10"/>
                <w:szCs w:val="10"/>
                <w:b w:val="1"/>
                <w:bCs w:val="1"/>
                <w:color w:val="auto"/>
              </w:rPr>
              <w:t>Annual Cash Retainer for Non-Employee Directors</w:t>
            </w:r>
          </w:p>
        </w:tc>
        <w:tc>
          <w:tcPr>
            <w:tcW w:w="1860" w:type="dxa"/>
            <w:vAlign w:val="bottom"/>
            <w:tcBorders>
              <w:bottom w:val="single" w:sz="8" w:color="D8EFF9"/>
              <w:right w:val="single" w:sz="8" w:color="009AD9"/>
            </w:tcBorders>
            <w:gridSpan w:val="2"/>
            <w:shd w:val="clear" w:color="auto" w:fill="D8EFF9"/>
          </w:tcPr>
          <w:p>
            <w:pPr>
              <w:jc w:val="right"/>
              <w:ind w:right="292"/>
              <w:spacing w:after="0"/>
              <w:rPr>
                <w:sz w:val="20"/>
                <w:szCs w:val="20"/>
                <w:color w:val="auto"/>
              </w:rPr>
            </w:pPr>
            <w:r>
              <w:rPr>
                <w:rFonts w:ascii="Arial" w:cs="Arial" w:eastAsia="Arial" w:hAnsi="Arial"/>
                <w:sz w:val="10"/>
                <w:szCs w:val="10"/>
                <w:color w:val="auto"/>
              </w:rPr>
              <w:t>$115,000</w:t>
            </w:r>
          </w:p>
        </w:tc>
      </w:tr>
      <w:tr>
        <w:trPr>
          <w:trHeight w:val="135"/>
        </w:trPr>
        <w:tc>
          <w:tcPr>
            <w:tcW w:w="4980" w:type="dxa"/>
            <w:vAlign w:val="bottom"/>
            <w:tcBorders>
              <w:top w:val="single" w:sz="8" w:color="009AD9"/>
              <w:left w:val="single" w:sz="8" w:color="009AD9"/>
            </w:tcBorders>
          </w:tcPr>
          <w:p>
            <w:pPr>
              <w:ind w:left="100"/>
              <w:spacing w:after="0"/>
              <w:rPr>
                <w:sz w:val="20"/>
                <w:szCs w:val="20"/>
                <w:color w:val="auto"/>
              </w:rPr>
            </w:pPr>
            <w:r>
              <w:rPr>
                <w:rFonts w:ascii="Arial" w:cs="Arial" w:eastAsia="Arial" w:hAnsi="Arial"/>
                <w:sz w:val="10"/>
                <w:szCs w:val="10"/>
                <w:b w:val="1"/>
                <w:bCs w:val="1"/>
                <w:color w:val="auto"/>
              </w:rPr>
              <w:t>Annual Standing Committee Chair Supplemental Retainers</w:t>
            </w:r>
          </w:p>
        </w:tc>
        <w:tc>
          <w:tcPr>
            <w:tcW w:w="1200" w:type="dxa"/>
            <w:vAlign w:val="bottom"/>
            <w:tcBorders>
              <w:top w:val="single" w:sz="8" w:color="009AD9"/>
            </w:tcBorders>
          </w:tcPr>
          <w:p>
            <w:pPr>
              <w:spacing w:after="0"/>
              <w:rPr>
                <w:sz w:val="11"/>
                <w:szCs w:val="11"/>
                <w:color w:val="auto"/>
              </w:rPr>
            </w:pPr>
          </w:p>
        </w:tc>
        <w:tc>
          <w:tcPr>
            <w:tcW w:w="660" w:type="dxa"/>
            <w:vAlign w:val="bottom"/>
            <w:tcBorders>
              <w:top w:val="single" w:sz="8" w:color="009AD9"/>
              <w:right w:val="single" w:sz="8" w:color="009AD9"/>
            </w:tcBorders>
          </w:tcPr>
          <w:p>
            <w:pPr>
              <w:spacing w:after="0"/>
              <w:rPr>
                <w:sz w:val="11"/>
                <w:szCs w:val="11"/>
                <w:color w:val="auto"/>
              </w:rPr>
            </w:pPr>
          </w:p>
        </w:tc>
      </w:tr>
      <w:tr>
        <w:trPr>
          <w:trHeight w:val="27"/>
        </w:trPr>
        <w:tc>
          <w:tcPr>
            <w:tcW w:w="4980" w:type="dxa"/>
            <w:vAlign w:val="bottom"/>
            <w:tcBorders>
              <w:left w:val="single" w:sz="8" w:color="009AD9"/>
              <w:bottom w:val="single" w:sz="8" w:color="009AD9"/>
            </w:tcBorders>
          </w:tcPr>
          <w:p>
            <w:pPr>
              <w:spacing w:after="0"/>
              <w:rPr>
                <w:sz w:val="2"/>
                <w:szCs w:val="2"/>
                <w:color w:val="auto"/>
              </w:rPr>
            </w:pPr>
          </w:p>
        </w:tc>
        <w:tc>
          <w:tcPr>
            <w:tcW w:w="1200" w:type="dxa"/>
            <w:vAlign w:val="bottom"/>
            <w:tcBorders>
              <w:bottom w:val="single" w:sz="8" w:color="009AD9"/>
            </w:tcBorders>
          </w:tcPr>
          <w:p>
            <w:pPr>
              <w:spacing w:after="0"/>
              <w:rPr>
                <w:sz w:val="2"/>
                <w:szCs w:val="2"/>
                <w:color w:val="auto"/>
              </w:rPr>
            </w:pPr>
          </w:p>
        </w:tc>
        <w:tc>
          <w:tcPr>
            <w:tcW w:w="660" w:type="dxa"/>
            <w:vAlign w:val="bottom"/>
            <w:tcBorders>
              <w:bottom w:val="single" w:sz="8" w:color="009AD9"/>
              <w:right w:val="single" w:sz="8" w:color="009AD9"/>
            </w:tcBorders>
          </w:tcPr>
          <w:p>
            <w:pPr>
              <w:spacing w:after="0"/>
              <w:rPr>
                <w:sz w:val="2"/>
                <w:szCs w:val="2"/>
                <w:color w:val="auto"/>
              </w:rPr>
            </w:pPr>
          </w:p>
        </w:tc>
      </w:tr>
      <w:tr>
        <w:trPr>
          <w:trHeight w:val="167"/>
        </w:trPr>
        <w:tc>
          <w:tcPr>
            <w:tcW w:w="498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Audit Committee Chair</w:t>
            </w:r>
          </w:p>
        </w:tc>
        <w:tc>
          <w:tcPr>
            <w:tcW w:w="12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8EFF9"/>
              <w:right w:val="single" w:sz="8" w:color="009AD9"/>
            </w:tcBorders>
            <w:shd w:val="clear" w:color="auto" w:fill="D8EFF9"/>
          </w:tcPr>
          <w:p>
            <w:pPr>
              <w:jc w:val="right"/>
              <w:ind w:right="292"/>
              <w:spacing w:after="0"/>
              <w:rPr>
                <w:sz w:val="20"/>
                <w:szCs w:val="20"/>
                <w:color w:val="auto"/>
              </w:rPr>
            </w:pPr>
            <w:r>
              <w:rPr>
                <w:rFonts w:ascii="Arial" w:cs="Arial" w:eastAsia="Arial" w:hAnsi="Arial"/>
                <w:sz w:val="10"/>
                <w:szCs w:val="10"/>
                <w:color w:val="auto"/>
                <w:w w:val="97"/>
              </w:rPr>
              <w:t>20,000</w:t>
            </w:r>
          </w:p>
        </w:tc>
      </w:tr>
      <w:tr>
        <w:trPr>
          <w:trHeight w:val="135"/>
        </w:trPr>
        <w:tc>
          <w:tcPr>
            <w:tcW w:w="4980" w:type="dxa"/>
            <w:vAlign w:val="bottom"/>
            <w:tcBorders>
              <w:top w:val="single" w:sz="8" w:color="009AD9"/>
              <w:left w:val="single" w:sz="8" w:color="009AD9"/>
            </w:tcBorders>
          </w:tcPr>
          <w:p>
            <w:pPr>
              <w:ind w:left="200"/>
              <w:spacing w:after="0"/>
              <w:rPr>
                <w:sz w:val="20"/>
                <w:szCs w:val="20"/>
                <w:color w:val="auto"/>
              </w:rPr>
            </w:pPr>
            <w:r>
              <w:rPr>
                <w:rFonts w:ascii="Arial" w:cs="Arial" w:eastAsia="Arial" w:hAnsi="Arial"/>
                <w:sz w:val="10"/>
                <w:szCs w:val="10"/>
                <w:i w:val="1"/>
                <w:iCs w:val="1"/>
                <w:color w:val="auto"/>
              </w:rPr>
              <w:t>Compensation Committee Chair</w:t>
            </w:r>
          </w:p>
        </w:tc>
        <w:tc>
          <w:tcPr>
            <w:tcW w:w="1200" w:type="dxa"/>
            <w:vAlign w:val="bottom"/>
            <w:tcBorders>
              <w:top w:val="single" w:sz="8" w:color="009AD9"/>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009AD9"/>
              <w:right w:val="single" w:sz="8" w:color="009AD9"/>
            </w:tcBorders>
          </w:tcPr>
          <w:p>
            <w:pPr>
              <w:jc w:val="right"/>
              <w:ind w:right="292"/>
              <w:spacing w:after="0"/>
              <w:rPr>
                <w:sz w:val="20"/>
                <w:szCs w:val="20"/>
                <w:color w:val="auto"/>
              </w:rPr>
            </w:pPr>
            <w:r>
              <w:rPr>
                <w:rFonts w:ascii="Arial" w:cs="Arial" w:eastAsia="Arial" w:hAnsi="Arial"/>
                <w:sz w:val="10"/>
                <w:szCs w:val="10"/>
                <w:color w:val="auto"/>
                <w:w w:val="97"/>
              </w:rPr>
              <w:t>20,000</w:t>
            </w:r>
          </w:p>
        </w:tc>
      </w:tr>
      <w:tr>
        <w:trPr>
          <w:trHeight w:val="27"/>
        </w:trPr>
        <w:tc>
          <w:tcPr>
            <w:tcW w:w="4980" w:type="dxa"/>
            <w:vAlign w:val="bottom"/>
            <w:tcBorders>
              <w:left w:val="single" w:sz="8" w:color="009AD9"/>
              <w:bottom w:val="single" w:sz="8" w:color="009AD9"/>
            </w:tcBorders>
          </w:tcPr>
          <w:p>
            <w:pPr>
              <w:spacing w:after="0"/>
              <w:rPr>
                <w:sz w:val="2"/>
                <w:szCs w:val="2"/>
                <w:color w:val="auto"/>
              </w:rPr>
            </w:pPr>
          </w:p>
        </w:tc>
        <w:tc>
          <w:tcPr>
            <w:tcW w:w="1200" w:type="dxa"/>
            <w:vAlign w:val="bottom"/>
            <w:tcBorders>
              <w:bottom w:val="single" w:sz="8" w:color="009AD9"/>
            </w:tcBorders>
          </w:tcPr>
          <w:p>
            <w:pPr>
              <w:spacing w:after="0"/>
              <w:rPr>
                <w:sz w:val="2"/>
                <w:szCs w:val="2"/>
                <w:color w:val="auto"/>
              </w:rPr>
            </w:pPr>
          </w:p>
        </w:tc>
        <w:tc>
          <w:tcPr>
            <w:tcW w:w="660" w:type="dxa"/>
            <w:vAlign w:val="bottom"/>
            <w:tcBorders>
              <w:bottom w:val="single" w:sz="8" w:color="009AD9"/>
              <w:right w:val="single" w:sz="8" w:color="009AD9"/>
            </w:tcBorders>
          </w:tcPr>
          <w:p>
            <w:pPr>
              <w:spacing w:after="0"/>
              <w:rPr>
                <w:sz w:val="2"/>
                <w:szCs w:val="2"/>
                <w:color w:val="auto"/>
              </w:rPr>
            </w:pPr>
          </w:p>
        </w:tc>
      </w:tr>
      <w:tr>
        <w:trPr>
          <w:trHeight w:val="167"/>
        </w:trPr>
        <w:tc>
          <w:tcPr>
            <w:tcW w:w="4980" w:type="dxa"/>
            <w:vAlign w:val="bottom"/>
            <w:tcBorders>
              <w:left w:val="single" w:sz="8" w:color="009AD9"/>
              <w:bottom w:val="single" w:sz="8" w:color="D8EFF9"/>
            </w:tcBorders>
            <w:shd w:val="clear" w:color="auto" w:fill="D8EFF9"/>
          </w:tcPr>
          <w:p>
            <w:pPr>
              <w:ind w:left="200"/>
              <w:spacing w:after="0"/>
              <w:rPr>
                <w:sz w:val="20"/>
                <w:szCs w:val="20"/>
                <w:color w:val="auto"/>
              </w:rPr>
            </w:pPr>
            <w:r>
              <w:rPr>
                <w:rFonts w:ascii="Arial" w:cs="Arial" w:eastAsia="Arial" w:hAnsi="Arial"/>
                <w:sz w:val="10"/>
                <w:szCs w:val="10"/>
                <w:i w:val="1"/>
                <w:iCs w:val="1"/>
                <w:color w:val="auto"/>
              </w:rPr>
              <w:t>Governance, Environmental and Sustainability Committee Chair</w:t>
            </w:r>
          </w:p>
        </w:tc>
        <w:tc>
          <w:tcPr>
            <w:tcW w:w="12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8EFF9"/>
              <w:right w:val="single" w:sz="8" w:color="009AD9"/>
            </w:tcBorders>
            <w:shd w:val="clear" w:color="auto" w:fill="D8EFF9"/>
          </w:tcPr>
          <w:p>
            <w:pPr>
              <w:jc w:val="right"/>
              <w:ind w:right="292"/>
              <w:spacing w:after="0"/>
              <w:rPr>
                <w:sz w:val="20"/>
                <w:szCs w:val="20"/>
                <w:color w:val="auto"/>
              </w:rPr>
            </w:pPr>
            <w:r>
              <w:rPr>
                <w:rFonts w:ascii="Arial" w:cs="Arial" w:eastAsia="Arial" w:hAnsi="Arial"/>
                <w:sz w:val="10"/>
                <w:szCs w:val="10"/>
                <w:color w:val="auto"/>
                <w:w w:val="97"/>
              </w:rPr>
              <w:t>15,000</w:t>
            </w:r>
          </w:p>
        </w:tc>
      </w:tr>
      <w:tr>
        <w:trPr>
          <w:trHeight w:val="135"/>
        </w:trPr>
        <w:tc>
          <w:tcPr>
            <w:tcW w:w="4980" w:type="dxa"/>
            <w:vAlign w:val="bottom"/>
            <w:tcBorders>
              <w:top w:val="single" w:sz="8" w:color="009AD9"/>
              <w:left w:val="single" w:sz="8" w:color="009AD9"/>
            </w:tcBorders>
          </w:tcPr>
          <w:p>
            <w:pPr>
              <w:ind w:left="100"/>
              <w:spacing w:after="0"/>
              <w:rPr>
                <w:sz w:val="20"/>
                <w:szCs w:val="20"/>
                <w:color w:val="auto"/>
              </w:rPr>
            </w:pPr>
            <w:r>
              <w:rPr>
                <w:rFonts w:ascii="Arial" w:cs="Arial" w:eastAsia="Arial" w:hAnsi="Arial"/>
                <w:sz w:val="10"/>
                <w:szCs w:val="10"/>
                <w:b w:val="1"/>
                <w:bCs w:val="1"/>
                <w:color w:val="auto"/>
              </w:rPr>
              <w:t>Annual Independent Chair of the Board Retainer</w:t>
            </w:r>
          </w:p>
        </w:tc>
        <w:tc>
          <w:tcPr>
            <w:tcW w:w="1860" w:type="dxa"/>
            <w:vAlign w:val="bottom"/>
            <w:tcBorders>
              <w:top w:val="single" w:sz="8" w:color="009AD9"/>
              <w:right w:val="single" w:sz="8" w:color="009AD9"/>
            </w:tcBorders>
            <w:gridSpan w:val="2"/>
          </w:tcPr>
          <w:p>
            <w:pPr>
              <w:jc w:val="right"/>
              <w:ind w:right="292"/>
              <w:spacing w:after="0"/>
              <w:rPr>
                <w:sz w:val="20"/>
                <w:szCs w:val="20"/>
                <w:color w:val="auto"/>
              </w:rPr>
            </w:pPr>
            <w:r>
              <w:rPr>
                <w:rFonts w:ascii="Arial" w:cs="Arial" w:eastAsia="Arial" w:hAnsi="Arial"/>
                <w:sz w:val="10"/>
                <w:szCs w:val="10"/>
                <w:color w:val="auto"/>
              </w:rPr>
              <w:t>$185,000</w:t>
            </w:r>
          </w:p>
        </w:tc>
      </w:tr>
      <w:tr>
        <w:trPr>
          <w:trHeight w:val="27"/>
        </w:trPr>
        <w:tc>
          <w:tcPr>
            <w:tcW w:w="4980" w:type="dxa"/>
            <w:vAlign w:val="bottom"/>
            <w:tcBorders>
              <w:left w:val="single" w:sz="8" w:color="009AD9"/>
              <w:bottom w:val="single" w:sz="8" w:color="009AD9"/>
            </w:tcBorders>
          </w:tcPr>
          <w:p>
            <w:pPr>
              <w:spacing w:after="0"/>
              <w:rPr>
                <w:sz w:val="2"/>
                <w:szCs w:val="2"/>
                <w:color w:val="auto"/>
              </w:rPr>
            </w:pPr>
          </w:p>
        </w:tc>
        <w:tc>
          <w:tcPr>
            <w:tcW w:w="1200" w:type="dxa"/>
            <w:vAlign w:val="bottom"/>
            <w:tcBorders>
              <w:bottom w:val="single" w:sz="8" w:color="009AD9"/>
            </w:tcBorders>
          </w:tcPr>
          <w:p>
            <w:pPr>
              <w:spacing w:after="0"/>
              <w:rPr>
                <w:sz w:val="2"/>
                <w:szCs w:val="2"/>
                <w:color w:val="auto"/>
              </w:rPr>
            </w:pPr>
          </w:p>
        </w:tc>
        <w:tc>
          <w:tcPr>
            <w:tcW w:w="660" w:type="dxa"/>
            <w:vAlign w:val="bottom"/>
            <w:tcBorders>
              <w:bottom w:val="single" w:sz="8" w:color="009AD9"/>
              <w:right w:val="single" w:sz="8" w:color="009AD9"/>
            </w:tcBorders>
          </w:tcPr>
          <w:p>
            <w:pPr>
              <w:spacing w:after="0"/>
              <w:rPr>
                <w:sz w:val="2"/>
                <w:szCs w:val="2"/>
                <w:color w:val="auto"/>
              </w:rPr>
            </w:pPr>
          </w:p>
        </w:tc>
      </w:tr>
    </w:tbl>
    <w:p>
      <w:pPr>
        <w:spacing w:after="0" w:line="14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Fees earned or paid in 2022 are set forth in the Fees Earned or Paid in Cash column of the Director Compensation Table.</w:t>
      </w:r>
    </w:p>
    <w:p>
      <w:pPr>
        <w:spacing w:after="0" w:line="168"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Reduction of Independent Chair Retainer</w:t>
      </w:r>
    </w:p>
    <w:p>
      <w:pPr>
        <w:spacing w:after="0" w:line="85"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At the request of the Independent Chair and with the full support of the entire Board, the independent chair retainer was reduced from $500,000 to $185,000, representing a 63% reduction, beginning on January 1, 2023 (the Independent Chair Retainer) to better align total compensation of the Independent Chair with the median total compensation of non-executive chairs at other large public companies. The initial Independent Chair Retainer was awarded in 2021 in light of the significant role of Mr. Nesbitt in the implementation and facilitation of a smooth transition to a new independent Board structure in response to shareholder feedback, which allowed the Company to maintain strong financial and operating performance during this transition. Further, the initial Independent Chair Retainer amount was in recognition of Mr. Nesbitt’s unique qualifications and business strengths, including his tenure on several other S&amp;P 500 companies’ boards of directors and his experience as a CEO, all of which was essential to the successful transition of the Board to an independent leadership structure. Mr. Nesbitt’s skills and experience, including in founding and transforming the Parking Spot into a nationally recognized company, was important to the Board as he would also play a key role in the development of the Company’s near- and long-term strategic plan and its transition to a premium utility during a critical time for the Company. Mr. Nesbitt has also taken an active role in aiding in recruiting director candidates and onboarding and mentoring newly appointed directors as the Board continues its refreshment efforts to ensure the necessary skills and perspectives are represented on the Board. The Board’s ability to continue its refreshment process and attract qualified director candidates is critical in light of a highly competitive director market. As Independent Chair, Mr. Nesbitt continues to provide strong leadership and strategic support as the Company executes on its near- and long-term growth plan.</w:t>
      </w:r>
    </w:p>
    <w:p>
      <w:pPr>
        <w:spacing w:after="0" w:line="139"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The Board believes that, given the important role of Independent Chair as leader of the Board, a retainer for the Independent Chair continues to be warranted and is generally consistent with the practice at other large public companies who have an Independent Chair. For example, the Independent Chair serves as a trusted advisor to the Chief Executive Officer and a qualified and experienced Independent Chair supports the Company’s performance as it continues to execute on its near- and long-term strategic plan. In addition, the Independent Chair takes on additional responsibilities as discussed above in “Board Leadership.”</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Stock Plan for Outside Directors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Each non-employee director serving as of May 2, 2022 was granted an annual stock award under our Stock Plan for Outside Directors in 2022. The cash value of these awards, as of the grant date, is set annually by the Board. The number of shares awarded is then determined by dividing the cash value by the fair market value of the common stock on the grant date. In 2022, for each non-employee director serving as of May 2, 2022, the Board determined a cash value for the stock award, as of the grant date, of $155,000, resulting in a stock award to each non-employee director of 5,129 shares of common stock. The annual stock awards granted under our Stock Plan for Outside Directors are immediately fully vested upon grant.</w:t>
      </w:r>
    </w:p>
    <w:p>
      <w:pPr>
        <w:spacing w:after="0" w:line="139"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No such one-time, initial grants were made under the Stock Plan for Outside Directors in 2022.</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Deferred Compensation Plan</w:t>
      </w:r>
    </w:p>
    <w:p>
      <w:pPr>
        <w:spacing w:after="0" w:line="85"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We maintain a deferred compensation plan that, prior to 2023, permitted directors to elect each year to defer all or part of their annual retainer and supplemental annual retainer for committee chairmanship or independent chairmanship. The plan was frozen as of January 1, 2023 such that no further compensation may be deferred under the plan after that date. However, interest continues to accrue on prior deferrals at a rate, adjusted annually, equal to the average yield during the year of the Moody’s Long-Term Corporate Bond Index plus two percent.</w:t>
      </w:r>
    </w:p>
    <w:p>
      <w:pPr>
        <w:spacing w:after="0" w:line="133" w:lineRule="exact"/>
        <w:rPr>
          <w:sz w:val="20"/>
          <w:szCs w:val="20"/>
          <w:color w:val="auto"/>
        </w:rPr>
      </w:pPr>
    </w:p>
    <w:p>
      <w:pPr>
        <w:ind w:left="2220" w:hanging="230"/>
        <w:spacing w:after="0"/>
        <w:tabs>
          <w:tab w:leader="none" w:pos="2220" w:val="left"/>
        </w:tabs>
        <w:numPr>
          <w:ilvl w:val="0"/>
          <w:numId w:val="4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64"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Directors who participated in this plan prior to 2023 could elect at the time of their deferral election to receive distributions of their deferred compensation and interest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95250</wp:posOffset>
            </wp:positionV>
            <wp:extent cx="4665345" cy="7505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665345" cy="750570"/>
                    </a:xfrm>
                    <a:prstGeom prst="rect">
                      <a:avLst/>
                    </a:prstGeom>
                    <a:noFill/>
                  </pic:spPr>
                </pic:pic>
              </a:graphicData>
            </a:graphic>
          </wp:anchor>
        </w:drawing>
      </w:r>
    </w:p>
    <w:p>
      <w:pPr>
        <w:spacing w:after="0" w:line="165" w:lineRule="exact"/>
        <w:rPr>
          <w:sz w:val="20"/>
          <w:szCs w:val="20"/>
          <w:color w:val="auto"/>
        </w:rPr>
      </w:pPr>
    </w:p>
    <w:p>
      <w:pPr>
        <w:jc w:val="both"/>
        <w:ind w:left="2280" w:right="919" w:hanging="181"/>
        <w:spacing w:after="0" w:line="243"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An early distribution of either 50% or 100% of their deferrals for the year in any year that is at least four years from the year of</w:t>
      </w:r>
      <w:r>
        <w:rPr>
          <w:rFonts w:ascii="Arial" w:cs="Arial" w:eastAsia="Arial" w:hAnsi="Arial"/>
          <w:sz w:val="12"/>
          <w:szCs w:val="12"/>
          <w:color w:val="009AD9"/>
        </w:rPr>
        <w:t xml:space="preserve"> </w:t>
      </w:r>
      <w:r>
        <w:rPr>
          <w:rFonts w:ascii="Arial" w:cs="Arial" w:eastAsia="Arial" w:hAnsi="Arial"/>
          <w:sz w:val="12"/>
          <w:szCs w:val="12"/>
          <w:color w:val="000000"/>
        </w:rPr>
        <w:t>deferral or, if earlier, the year in which they attain their normal retirement date under the plan (the first day of the month coincident with or next following attainment of age 70);</w:t>
      </w:r>
    </w:p>
    <w:p>
      <w:pPr>
        <w:spacing w:after="0" w:line="63"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 lump sum distribution payable in the year after the year in which they reach their normal retirement date or leave the Board of</w:t>
      </w:r>
      <w:r>
        <w:rPr>
          <w:rFonts w:ascii="Arial" w:cs="Arial" w:eastAsia="Arial" w:hAnsi="Arial"/>
          <w:sz w:val="12"/>
          <w:szCs w:val="12"/>
          <w:color w:val="009AD9"/>
        </w:rPr>
        <w:t xml:space="preserve"> </w:t>
      </w:r>
      <w:r>
        <w:rPr>
          <w:rFonts w:ascii="Arial" w:cs="Arial" w:eastAsia="Arial" w:hAnsi="Arial"/>
          <w:sz w:val="12"/>
          <w:szCs w:val="12"/>
          <w:color w:val="000000"/>
        </w:rPr>
        <w:t>Directors, whichever is later; or</w:t>
      </w:r>
    </w:p>
    <w:p>
      <w:pPr>
        <w:spacing w:after="0" w:line="58" w:lineRule="exact"/>
        <w:rPr>
          <w:sz w:val="20"/>
          <w:szCs w:val="20"/>
          <w:color w:val="auto"/>
        </w:rPr>
      </w:pPr>
    </w:p>
    <w:p>
      <w:pPr>
        <w:jc w:val="both"/>
        <w:ind w:left="2280" w:right="91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In 15 annual installments beginning on the first of the month coincident with or next following their normal retirement date or upon</w:t>
      </w:r>
      <w:r>
        <w:rPr>
          <w:rFonts w:ascii="Arial" w:cs="Arial" w:eastAsia="Arial" w:hAnsi="Arial"/>
          <w:sz w:val="12"/>
          <w:szCs w:val="12"/>
          <w:color w:val="009AD9"/>
        </w:rPr>
        <w:t xml:space="preserve"> </w:t>
      </w:r>
      <w:r>
        <w:rPr>
          <w:rFonts w:ascii="Arial" w:cs="Arial" w:eastAsia="Arial" w:hAnsi="Arial"/>
          <w:sz w:val="12"/>
          <w:szCs w:val="12"/>
          <w:color w:val="000000"/>
        </w:rPr>
        <w:t>leaving the Board of Directors, whichever is later.</w:t>
      </w:r>
    </w:p>
    <w:p>
      <w:pPr>
        <w:spacing w:after="0" w:line="17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Other Compensation</w:t>
      </w:r>
    </w:p>
    <w:p>
      <w:pPr>
        <w:spacing w:after="0" w:line="85"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As of December 2021, each director may participate in CenterPoint Energy Foundation, Inc.’s Easy Match Program (the Easy Match Program). The Easy Match Program matches dollar-for-dollar contributions made by directors and employees of CenterPoint Energy to qualified charitable contributions up to a certain amount each year. Directors may have their qualifying charitable contributions up to $50,000 per year matched under the Easy Match Program.</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table below and the narrative in the footnotes provide compensation amounts for our non-employee directors for 2022, as well as additional material information in connection with such amounts. For summary information on the provision of the plans and programs, refer to the “Compensation of Directors” discussion immediately preceding this table.</w:t>
      </w: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119"/>
        </w:trPr>
        <w:tc>
          <w:tcPr>
            <w:tcW w:w="1400" w:type="dxa"/>
            <w:vAlign w:val="bottom"/>
            <w:shd w:val="clear" w:color="auto" w:fill="009AD9"/>
          </w:tcPr>
          <w:p>
            <w:pPr>
              <w:spacing w:after="0"/>
              <w:rPr>
                <w:sz w:val="10"/>
                <w:szCs w:val="10"/>
                <w:color w:val="auto"/>
              </w:rPr>
            </w:pPr>
          </w:p>
        </w:tc>
        <w:tc>
          <w:tcPr>
            <w:tcW w:w="1360" w:type="dxa"/>
            <w:vAlign w:val="bottom"/>
            <w:shd w:val="clear" w:color="auto" w:fill="009AD9"/>
          </w:tcPr>
          <w:p>
            <w:pPr>
              <w:spacing w:after="0"/>
              <w:rPr>
                <w:sz w:val="10"/>
                <w:szCs w:val="10"/>
                <w:color w:val="auto"/>
              </w:rPr>
            </w:pPr>
          </w:p>
        </w:tc>
        <w:tc>
          <w:tcPr>
            <w:tcW w:w="1100" w:type="dxa"/>
            <w:vAlign w:val="bottom"/>
            <w:shd w:val="clear" w:color="auto" w:fill="009AD9"/>
          </w:tcPr>
          <w:p>
            <w:pPr>
              <w:spacing w:after="0"/>
              <w:rPr>
                <w:sz w:val="10"/>
                <w:szCs w:val="10"/>
                <w:color w:val="auto"/>
              </w:rPr>
            </w:pPr>
          </w:p>
        </w:tc>
        <w:tc>
          <w:tcPr>
            <w:tcW w:w="14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9"/>
              </w:rPr>
              <w:t>Change in</w:t>
            </w:r>
          </w:p>
        </w:tc>
        <w:tc>
          <w:tcPr>
            <w:tcW w:w="1360" w:type="dxa"/>
            <w:vAlign w:val="bottom"/>
            <w:shd w:val="clear" w:color="auto" w:fill="009AD9"/>
          </w:tcPr>
          <w:p>
            <w:pPr>
              <w:spacing w:after="0"/>
              <w:rPr>
                <w:sz w:val="10"/>
                <w:szCs w:val="10"/>
                <w:color w:val="auto"/>
              </w:rPr>
            </w:pPr>
          </w:p>
        </w:tc>
        <w:tc>
          <w:tcPr>
            <w:tcW w:w="80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00" w:type="dxa"/>
            <w:vAlign w:val="bottom"/>
            <w:shd w:val="clear" w:color="auto" w:fill="009AD9"/>
          </w:tcPr>
          <w:p>
            <w:pPr>
              <w:spacing w:after="0"/>
              <w:rPr>
                <w:sz w:val="9"/>
                <w:szCs w:val="9"/>
                <w:color w:val="auto"/>
              </w:rPr>
            </w:pPr>
          </w:p>
        </w:tc>
        <w:tc>
          <w:tcPr>
            <w:tcW w:w="1360" w:type="dxa"/>
            <w:vAlign w:val="bottom"/>
            <w:shd w:val="clear" w:color="auto" w:fill="009AD9"/>
          </w:tcPr>
          <w:p>
            <w:pPr>
              <w:spacing w:after="0"/>
              <w:rPr>
                <w:sz w:val="9"/>
                <w:szCs w:val="9"/>
                <w:color w:val="auto"/>
              </w:rPr>
            </w:pPr>
          </w:p>
        </w:tc>
        <w:tc>
          <w:tcPr>
            <w:tcW w:w="1100" w:type="dxa"/>
            <w:vAlign w:val="bottom"/>
            <w:shd w:val="clear" w:color="auto" w:fill="009AD9"/>
          </w:tcPr>
          <w:p>
            <w:pPr>
              <w:spacing w:after="0"/>
              <w:rPr>
                <w:sz w:val="9"/>
                <w:szCs w:val="9"/>
                <w:color w:val="auto"/>
              </w:rPr>
            </w:pPr>
          </w:p>
        </w:tc>
        <w:tc>
          <w:tcPr>
            <w:tcW w:w="14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Pension Value</w:t>
            </w:r>
          </w:p>
        </w:tc>
        <w:tc>
          <w:tcPr>
            <w:tcW w:w="136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00" w:type="dxa"/>
            <w:vAlign w:val="bottom"/>
            <w:shd w:val="clear" w:color="auto" w:fill="009AD9"/>
          </w:tcPr>
          <w:p>
            <w:pPr>
              <w:spacing w:after="0"/>
              <w:rPr>
                <w:sz w:val="9"/>
                <w:szCs w:val="9"/>
                <w:color w:val="auto"/>
              </w:rPr>
            </w:pPr>
          </w:p>
        </w:tc>
        <w:tc>
          <w:tcPr>
            <w:tcW w:w="1360" w:type="dxa"/>
            <w:vAlign w:val="bottom"/>
            <w:shd w:val="clear" w:color="auto" w:fill="009AD9"/>
          </w:tcPr>
          <w:p>
            <w:pPr>
              <w:spacing w:after="0"/>
              <w:rPr>
                <w:sz w:val="9"/>
                <w:szCs w:val="9"/>
                <w:color w:val="auto"/>
              </w:rPr>
            </w:pPr>
          </w:p>
        </w:tc>
        <w:tc>
          <w:tcPr>
            <w:tcW w:w="1100" w:type="dxa"/>
            <w:vAlign w:val="bottom"/>
            <w:shd w:val="clear" w:color="auto" w:fill="009AD9"/>
          </w:tcPr>
          <w:p>
            <w:pPr>
              <w:spacing w:after="0"/>
              <w:rPr>
                <w:sz w:val="9"/>
                <w:szCs w:val="9"/>
                <w:color w:val="auto"/>
              </w:rPr>
            </w:pPr>
          </w:p>
        </w:tc>
        <w:tc>
          <w:tcPr>
            <w:tcW w:w="14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and Nonqualified</w:t>
            </w:r>
          </w:p>
        </w:tc>
        <w:tc>
          <w:tcPr>
            <w:tcW w:w="136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00" w:type="dxa"/>
            <w:vAlign w:val="bottom"/>
            <w:shd w:val="clear" w:color="auto" w:fill="009AD9"/>
          </w:tcPr>
          <w:p>
            <w:pPr>
              <w:spacing w:after="0"/>
              <w:rPr>
                <w:sz w:val="9"/>
                <w:szCs w:val="9"/>
                <w:color w:val="auto"/>
              </w:rPr>
            </w:pPr>
          </w:p>
        </w:tc>
        <w:tc>
          <w:tcPr>
            <w:tcW w:w="136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7"/>
              </w:rPr>
              <w:t>Fees Earned</w:t>
            </w:r>
          </w:p>
        </w:tc>
        <w:tc>
          <w:tcPr>
            <w:tcW w:w="1100" w:type="dxa"/>
            <w:vAlign w:val="bottom"/>
            <w:shd w:val="clear" w:color="auto" w:fill="009AD9"/>
          </w:tcPr>
          <w:p>
            <w:pPr>
              <w:spacing w:after="0"/>
              <w:rPr>
                <w:sz w:val="9"/>
                <w:szCs w:val="9"/>
                <w:color w:val="auto"/>
              </w:rPr>
            </w:pPr>
          </w:p>
        </w:tc>
        <w:tc>
          <w:tcPr>
            <w:tcW w:w="14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Deferred</w:t>
            </w:r>
          </w:p>
        </w:tc>
        <w:tc>
          <w:tcPr>
            <w:tcW w:w="1360" w:type="dxa"/>
            <w:vAlign w:val="bottom"/>
            <w:vMerge w:val="restart"/>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Other</w:t>
            </w:r>
          </w:p>
        </w:tc>
        <w:tc>
          <w:tcPr>
            <w:tcW w:w="80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00" w:type="dxa"/>
            <w:vAlign w:val="bottom"/>
            <w:shd w:val="clear" w:color="auto" w:fill="009AD9"/>
          </w:tcPr>
          <w:p>
            <w:pPr>
              <w:spacing w:after="0"/>
              <w:rPr>
                <w:sz w:val="8"/>
                <w:szCs w:val="8"/>
                <w:color w:val="auto"/>
              </w:rPr>
            </w:pPr>
          </w:p>
        </w:tc>
        <w:tc>
          <w:tcPr>
            <w:tcW w:w="1360" w:type="dxa"/>
            <w:vAlign w:val="bottom"/>
            <w:shd w:val="clear" w:color="auto" w:fill="009AD9"/>
          </w:tcPr>
          <w:p>
            <w:pPr>
              <w:jc w:val="center"/>
              <w:ind w:left="52"/>
              <w:spacing w:after="0" w:line="100" w:lineRule="exact"/>
              <w:rPr>
                <w:sz w:val="20"/>
                <w:szCs w:val="20"/>
                <w:color w:val="auto"/>
              </w:rPr>
            </w:pPr>
            <w:r>
              <w:rPr>
                <w:rFonts w:ascii="Arial" w:cs="Arial" w:eastAsia="Arial" w:hAnsi="Arial"/>
                <w:sz w:val="10"/>
                <w:szCs w:val="10"/>
                <w:b w:val="1"/>
                <w:bCs w:val="1"/>
                <w:color w:val="FFFFFF"/>
              </w:rPr>
              <w:t>or Paid</w:t>
            </w:r>
          </w:p>
        </w:tc>
        <w:tc>
          <w:tcPr>
            <w:tcW w:w="1100" w:type="dxa"/>
            <w:vAlign w:val="bottom"/>
            <w:shd w:val="clear" w:color="auto" w:fill="009AD9"/>
          </w:tcPr>
          <w:p>
            <w:pPr>
              <w:jc w:val="center"/>
              <w:spacing w:after="0" w:line="100" w:lineRule="exact"/>
              <w:rPr>
                <w:sz w:val="20"/>
                <w:szCs w:val="20"/>
                <w:color w:val="auto"/>
              </w:rPr>
            </w:pPr>
            <w:r>
              <w:rPr>
                <w:rFonts w:ascii="Arial" w:cs="Arial" w:eastAsia="Arial" w:hAnsi="Arial"/>
                <w:sz w:val="10"/>
                <w:szCs w:val="10"/>
                <w:b w:val="1"/>
                <w:bCs w:val="1"/>
                <w:color w:val="FFFFFF"/>
                <w:w w:val="95"/>
              </w:rPr>
              <w:t>Stock</w:t>
            </w:r>
          </w:p>
        </w:tc>
        <w:tc>
          <w:tcPr>
            <w:tcW w:w="1400" w:type="dxa"/>
            <w:vAlign w:val="bottom"/>
            <w:shd w:val="clear" w:color="auto" w:fill="009AD9"/>
          </w:tcPr>
          <w:p>
            <w:pPr>
              <w:jc w:val="center"/>
              <w:spacing w:after="0" w:line="100" w:lineRule="exact"/>
              <w:rPr>
                <w:sz w:val="20"/>
                <w:szCs w:val="20"/>
                <w:color w:val="auto"/>
              </w:rPr>
            </w:pPr>
            <w:r>
              <w:rPr>
                <w:rFonts w:ascii="Arial" w:cs="Arial" w:eastAsia="Arial" w:hAnsi="Arial"/>
                <w:sz w:val="10"/>
                <w:szCs w:val="10"/>
                <w:b w:val="1"/>
                <w:bCs w:val="1"/>
                <w:color w:val="FFFFFF"/>
                <w:w w:val="97"/>
              </w:rPr>
              <w:t>Compensation</w:t>
            </w:r>
          </w:p>
        </w:tc>
        <w:tc>
          <w:tcPr>
            <w:tcW w:w="1360" w:type="dxa"/>
            <w:vAlign w:val="bottom"/>
            <w:vMerge w:val="continue"/>
            <w:shd w:val="clear" w:color="auto" w:fill="009AD9"/>
          </w:tcPr>
          <w:p>
            <w:pPr>
              <w:spacing w:after="0"/>
              <w:rPr>
                <w:sz w:val="8"/>
                <w:szCs w:val="8"/>
                <w:color w:val="auto"/>
              </w:rPr>
            </w:pPr>
          </w:p>
        </w:tc>
        <w:tc>
          <w:tcPr>
            <w:tcW w:w="80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00" w:type="dxa"/>
            <w:vAlign w:val="bottom"/>
            <w:shd w:val="clear" w:color="auto" w:fill="009AD9"/>
          </w:tcPr>
          <w:p>
            <w:pPr>
              <w:spacing w:after="0"/>
              <w:rPr>
                <w:sz w:val="9"/>
                <w:szCs w:val="9"/>
                <w:color w:val="auto"/>
              </w:rPr>
            </w:pPr>
          </w:p>
        </w:tc>
        <w:tc>
          <w:tcPr>
            <w:tcW w:w="1360" w:type="dxa"/>
            <w:vAlign w:val="bottom"/>
            <w:shd w:val="clear" w:color="auto" w:fill="009AD9"/>
          </w:tcPr>
          <w:p>
            <w:pPr>
              <w:jc w:val="center"/>
              <w:ind w:left="72"/>
              <w:spacing w:after="0" w:line="110" w:lineRule="exact"/>
              <w:rPr>
                <w:sz w:val="20"/>
                <w:szCs w:val="20"/>
                <w:color w:val="auto"/>
              </w:rPr>
            </w:pPr>
            <w:r>
              <w:rPr>
                <w:rFonts w:ascii="Arial" w:cs="Arial" w:eastAsia="Arial" w:hAnsi="Arial"/>
                <w:sz w:val="8"/>
                <w:szCs w:val="8"/>
                <w:b w:val="1"/>
                <w:bCs w:val="1"/>
                <w:color w:val="FFFFFF"/>
              </w:rPr>
              <w:t>in Cash</w:t>
            </w:r>
            <w:r>
              <w:rPr>
                <w:rFonts w:ascii="Arial" w:cs="Arial" w:eastAsia="Arial" w:hAnsi="Arial"/>
                <w:sz w:val="12"/>
                <w:szCs w:val="12"/>
                <w:b w:val="1"/>
                <w:bCs w:val="1"/>
                <w:color w:val="FFFFFF"/>
                <w:vertAlign w:val="superscript"/>
              </w:rPr>
              <w:t>(1)</w:t>
            </w:r>
          </w:p>
        </w:tc>
        <w:tc>
          <w:tcPr>
            <w:tcW w:w="1100" w:type="dxa"/>
            <w:vAlign w:val="bottom"/>
            <w:shd w:val="clear" w:color="auto" w:fill="009AD9"/>
          </w:tcPr>
          <w:p>
            <w:pPr>
              <w:jc w:val="center"/>
              <w:spacing w:after="0" w:line="110" w:lineRule="exact"/>
              <w:rPr>
                <w:sz w:val="20"/>
                <w:szCs w:val="20"/>
                <w:color w:val="auto"/>
              </w:rPr>
            </w:pPr>
            <w:r>
              <w:rPr>
                <w:rFonts w:ascii="Arial" w:cs="Arial" w:eastAsia="Arial" w:hAnsi="Arial"/>
                <w:sz w:val="8"/>
                <w:szCs w:val="8"/>
                <w:b w:val="1"/>
                <w:bCs w:val="1"/>
                <w:color w:val="FFFFFF"/>
              </w:rPr>
              <w:t>Awards</w:t>
            </w:r>
            <w:r>
              <w:rPr>
                <w:rFonts w:ascii="Arial" w:cs="Arial" w:eastAsia="Arial" w:hAnsi="Arial"/>
                <w:sz w:val="12"/>
                <w:szCs w:val="12"/>
                <w:b w:val="1"/>
                <w:bCs w:val="1"/>
                <w:color w:val="FFFFFF"/>
                <w:vertAlign w:val="superscript"/>
              </w:rPr>
              <w:t>(2)</w:t>
            </w:r>
          </w:p>
        </w:tc>
        <w:tc>
          <w:tcPr>
            <w:tcW w:w="1400" w:type="dxa"/>
            <w:vAlign w:val="bottom"/>
            <w:shd w:val="clear" w:color="auto" w:fill="009AD9"/>
          </w:tcPr>
          <w:p>
            <w:pPr>
              <w:jc w:val="center"/>
              <w:spacing w:after="0" w:line="110" w:lineRule="exact"/>
              <w:rPr>
                <w:sz w:val="20"/>
                <w:szCs w:val="20"/>
                <w:color w:val="auto"/>
              </w:rPr>
            </w:pPr>
            <w:r>
              <w:rPr>
                <w:rFonts w:ascii="Arial" w:cs="Arial" w:eastAsia="Arial" w:hAnsi="Arial"/>
                <w:sz w:val="8"/>
                <w:szCs w:val="8"/>
                <w:b w:val="1"/>
                <w:bCs w:val="1"/>
                <w:color w:val="FFFFFF"/>
              </w:rPr>
              <w:t>Earnings</w:t>
            </w:r>
            <w:r>
              <w:rPr>
                <w:rFonts w:ascii="Arial" w:cs="Arial" w:eastAsia="Arial" w:hAnsi="Arial"/>
                <w:sz w:val="12"/>
                <w:szCs w:val="12"/>
                <w:b w:val="1"/>
                <w:bCs w:val="1"/>
                <w:color w:val="FFFFFF"/>
                <w:vertAlign w:val="superscript"/>
              </w:rPr>
              <w:t>(3)</w:t>
            </w:r>
          </w:p>
        </w:tc>
        <w:tc>
          <w:tcPr>
            <w:tcW w:w="1360" w:type="dxa"/>
            <w:vAlign w:val="bottom"/>
            <w:shd w:val="clear" w:color="auto" w:fill="009AD9"/>
          </w:tcPr>
          <w:p>
            <w:pPr>
              <w:jc w:val="center"/>
              <w:spacing w:after="0" w:line="110" w:lineRule="exact"/>
              <w:rPr>
                <w:sz w:val="20"/>
                <w:szCs w:val="20"/>
                <w:color w:val="auto"/>
              </w:rPr>
            </w:pPr>
            <w:r>
              <w:rPr>
                <w:rFonts w:ascii="Arial" w:cs="Arial" w:eastAsia="Arial" w:hAnsi="Arial"/>
                <w:sz w:val="8"/>
                <w:szCs w:val="8"/>
                <w:b w:val="1"/>
                <w:bCs w:val="1"/>
                <w:color w:val="FFFFFF"/>
              </w:rPr>
              <w:t>Compensation</w:t>
            </w:r>
            <w:r>
              <w:rPr>
                <w:rFonts w:ascii="Arial" w:cs="Arial" w:eastAsia="Arial" w:hAnsi="Arial"/>
                <w:sz w:val="12"/>
                <w:szCs w:val="12"/>
                <w:b w:val="1"/>
                <w:bCs w:val="1"/>
                <w:color w:val="FFFFFF"/>
                <w:vertAlign w:val="superscript"/>
              </w:rPr>
              <w:t>(4)</w:t>
            </w:r>
          </w:p>
        </w:tc>
        <w:tc>
          <w:tcPr>
            <w:tcW w:w="800" w:type="dxa"/>
            <w:vAlign w:val="bottom"/>
            <w:shd w:val="clear" w:color="auto" w:fill="009AD9"/>
          </w:tcPr>
          <w:p>
            <w:pPr>
              <w:jc w:val="right"/>
              <w:ind w:right="212"/>
              <w:spacing w:after="0" w:line="110" w:lineRule="exact"/>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45"/>
        </w:trPr>
        <w:tc>
          <w:tcPr>
            <w:tcW w:w="1400" w:type="dxa"/>
            <w:vAlign w:val="bottom"/>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1360" w:type="dxa"/>
            <w:vAlign w:val="bottom"/>
            <w:shd w:val="clear" w:color="auto" w:fill="009AD9"/>
          </w:tcPr>
          <w:p>
            <w:pPr>
              <w:jc w:val="center"/>
              <w:ind w:left="72"/>
              <w:spacing w:after="0"/>
              <w:rPr>
                <w:sz w:val="20"/>
                <w:szCs w:val="20"/>
                <w:color w:val="auto"/>
              </w:rPr>
            </w:pPr>
            <w:r>
              <w:rPr>
                <w:rFonts w:ascii="Arial" w:cs="Arial" w:eastAsia="Arial" w:hAnsi="Arial"/>
                <w:sz w:val="10"/>
                <w:szCs w:val="10"/>
                <w:b w:val="1"/>
                <w:bCs w:val="1"/>
                <w:color w:val="FFFFFF"/>
                <w:w w:val="97"/>
              </w:rPr>
              <w:t>($)</w:t>
            </w:r>
          </w:p>
        </w:tc>
        <w:tc>
          <w:tcPr>
            <w:tcW w:w="11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4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36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81"/>
              </w:rPr>
              <w:t>($)</w:t>
            </w:r>
          </w:p>
        </w:tc>
        <w:tc>
          <w:tcPr>
            <w:tcW w:w="800" w:type="dxa"/>
            <w:vAlign w:val="bottom"/>
            <w:shd w:val="clear" w:color="auto" w:fill="009AD9"/>
          </w:tcPr>
          <w:p>
            <w:pPr>
              <w:jc w:val="right"/>
              <w:ind w:right="272"/>
              <w:spacing w:after="0"/>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82"/>
        </w:trPr>
        <w:tc>
          <w:tcPr>
            <w:tcW w:w="1400" w:type="dxa"/>
            <w:vAlign w:val="bottom"/>
            <w:shd w:val="clear" w:color="auto" w:fill="D8EFF9"/>
          </w:tcPr>
          <w:p>
            <w:pPr>
              <w:ind w:left="40"/>
              <w:spacing w:after="0"/>
              <w:rPr>
                <w:sz w:val="20"/>
                <w:szCs w:val="20"/>
                <w:color w:val="auto"/>
              </w:rPr>
            </w:pPr>
            <w:r>
              <w:rPr>
                <w:rFonts w:ascii="Arial" w:cs="Arial" w:eastAsia="Arial" w:hAnsi="Arial"/>
                <w:sz w:val="10"/>
                <w:szCs w:val="10"/>
                <w:color w:val="auto"/>
              </w:rPr>
              <w:t>Leslie D. Biddle</w:t>
            </w:r>
            <w:r>
              <w:rPr>
                <w:rFonts w:ascii="Arial" w:cs="Arial" w:eastAsia="Arial" w:hAnsi="Arial"/>
                <w:sz w:val="14"/>
                <w:szCs w:val="14"/>
                <w:color w:val="auto"/>
                <w:vertAlign w:val="superscript"/>
              </w:rPr>
              <w:t>(5)</w:t>
            </w:r>
          </w:p>
        </w:tc>
        <w:tc>
          <w:tcPr>
            <w:tcW w:w="1360" w:type="dxa"/>
            <w:vAlign w:val="bottom"/>
            <w:shd w:val="clear" w:color="auto" w:fill="D8EFF9"/>
          </w:tcPr>
          <w:p>
            <w:pPr>
              <w:jc w:val="right"/>
              <w:ind w:right="392"/>
              <w:spacing w:after="0"/>
              <w:rPr>
                <w:sz w:val="20"/>
                <w:szCs w:val="20"/>
                <w:color w:val="auto"/>
              </w:rPr>
            </w:pPr>
            <w:r>
              <w:rPr>
                <w:rFonts w:ascii="Arial" w:cs="Arial" w:eastAsia="Arial" w:hAnsi="Arial"/>
                <w:sz w:val="10"/>
                <w:szCs w:val="10"/>
                <w:color w:val="auto"/>
              </w:rPr>
              <w:t>35,385</w:t>
            </w:r>
          </w:p>
        </w:tc>
        <w:tc>
          <w:tcPr>
            <w:tcW w:w="1100" w:type="dxa"/>
            <w:vAlign w:val="bottom"/>
            <w:shd w:val="clear" w:color="auto" w:fill="D8EFF9"/>
          </w:tcPr>
          <w:p>
            <w:pPr>
              <w:jc w:val="right"/>
              <w:ind w:right="292"/>
              <w:spacing w:after="0"/>
              <w:rPr>
                <w:sz w:val="20"/>
                <w:szCs w:val="20"/>
                <w:color w:val="auto"/>
              </w:rPr>
            </w:pPr>
            <w:r>
              <w:rPr>
                <w:rFonts w:ascii="Arial" w:cs="Arial" w:eastAsia="Arial" w:hAnsi="Arial"/>
                <w:sz w:val="10"/>
                <w:szCs w:val="10"/>
                <w:color w:val="auto"/>
              </w:rPr>
              <w:t>—</w:t>
            </w:r>
          </w:p>
        </w:tc>
        <w:tc>
          <w:tcPr>
            <w:tcW w:w="1400" w:type="dxa"/>
            <w:vAlign w:val="bottom"/>
            <w:shd w:val="clear" w:color="auto" w:fill="D8EFF9"/>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shd w:val="clear" w:color="auto" w:fill="D8EFF9"/>
          </w:tcPr>
          <w:p>
            <w:pPr>
              <w:jc w:val="right"/>
              <w:ind w:right="452"/>
              <w:spacing w:after="0"/>
              <w:rPr>
                <w:sz w:val="20"/>
                <w:szCs w:val="20"/>
                <w:color w:val="auto"/>
              </w:rPr>
            </w:pPr>
            <w:r>
              <w:rPr>
                <w:rFonts w:ascii="Arial" w:cs="Arial" w:eastAsia="Arial" w:hAnsi="Arial"/>
                <w:sz w:val="10"/>
                <w:szCs w:val="10"/>
                <w:color w:val="auto"/>
              </w:rPr>
              <w:t>50,000</w:t>
            </w:r>
          </w:p>
        </w:tc>
        <w:tc>
          <w:tcPr>
            <w:tcW w:w="80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85,385</w:t>
            </w:r>
          </w:p>
        </w:tc>
        <w:tc>
          <w:tcPr>
            <w:tcW w:w="0" w:type="dxa"/>
            <w:vAlign w:val="bottom"/>
          </w:tcPr>
          <w:p>
            <w:pPr>
              <w:spacing w:after="0"/>
              <w:rPr>
                <w:sz w:val="1"/>
                <w:szCs w:val="1"/>
                <w:color w:val="auto"/>
              </w:rPr>
            </w:pPr>
          </w:p>
        </w:tc>
      </w:tr>
      <w:tr>
        <w:trPr>
          <w:trHeight w:val="155"/>
        </w:trPr>
        <w:tc>
          <w:tcPr>
            <w:tcW w:w="1400" w:type="dxa"/>
            <w:vAlign w:val="bottom"/>
          </w:tcPr>
          <w:p>
            <w:pPr>
              <w:ind w:left="40"/>
              <w:spacing w:after="0"/>
              <w:rPr>
                <w:sz w:val="20"/>
                <w:szCs w:val="20"/>
                <w:color w:val="auto"/>
              </w:rPr>
            </w:pPr>
            <w:r>
              <w:rPr>
                <w:rFonts w:ascii="Arial" w:cs="Arial" w:eastAsia="Arial" w:hAnsi="Arial"/>
                <w:sz w:val="10"/>
                <w:szCs w:val="10"/>
                <w:color w:val="auto"/>
              </w:rPr>
              <w:t>Wendy Montoya Cloonan</w:t>
            </w:r>
          </w:p>
        </w:tc>
        <w:tc>
          <w:tcPr>
            <w:tcW w:w="1360" w:type="dxa"/>
            <w:vAlign w:val="bottom"/>
          </w:tcPr>
          <w:p>
            <w:pPr>
              <w:jc w:val="right"/>
              <w:ind w:right="392"/>
              <w:spacing w:after="0"/>
              <w:rPr>
                <w:sz w:val="20"/>
                <w:szCs w:val="20"/>
                <w:color w:val="auto"/>
              </w:rPr>
            </w:pPr>
            <w:r>
              <w:rPr>
                <w:rFonts w:ascii="Arial" w:cs="Arial" w:eastAsia="Arial" w:hAnsi="Arial"/>
                <w:sz w:val="10"/>
                <w:szCs w:val="10"/>
                <w:color w:val="auto"/>
              </w:rPr>
              <w:t>115,000</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52"/>
              <w:spacing w:after="0"/>
              <w:rPr>
                <w:sz w:val="20"/>
                <w:szCs w:val="20"/>
                <w:color w:val="auto"/>
              </w:rPr>
            </w:pPr>
            <w:r>
              <w:rPr>
                <w:rFonts w:ascii="Arial" w:cs="Arial" w:eastAsia="Arial" w:hAnsi="Arial"/>
                <w:sz w:val="10"/>
                <w:szCs w:val="10"/>
                <w:color w:val="auto"/>
              </w:rPr>
              <w:t>28,500</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298,500</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Earl M. Cummings</w:t>
            </w:r>
          </w:p>
        </w:tc>
        <w:tc>
          <w:tcPr>
            <w:tcW w:w="1360" w:type="dxa"/>
            <w:vAlign w:val="bottom"/>
            <w:tcBorders>
              <w:bottom w:val="single" w:sz="8" w:color="D8EFF9"/>
            </w:tcBorders>
            <w:shd w:val="clear" w:color="auto" w:fill="D8EFF9"/>
          </w:tcPr>
          <w:p>
            <w:pPr>
              <w:jc w:val="right"/>
              <w:ind w:right="392"/>
              <w:spacing w:after="0"/>
              <w:rPr>
                <w:sz w:val="20"/>
                <w:szCs w:val="20"/>
                <w:color w:val="auto"/>
              </w:rPr>
            </w:pPr>
            <w:r>
              <w:rPr>
                <w:rFonts w:ascii="Arial" w:cs="Arial" w:eastAsia="Arial" w:hAnsi="Arial"/>
                <w:sz w:val="10"/>
                <w:szCs w:val="10"/>
                <w:color w:val="auto"/>
              </w:rPr>
              <w:t>130,000</w:t>
            </w:r>
          </w:p>
        </w:tc>
        <w:tc>
          <w:tcPr>
            <w:tcW w:w="1100" w:type="dxa"/>
            <w:vAlign w:val="bottom"/>
            <w:tcBorders>
              <w:bottom w:val="single" w:sz="8" w:color="D8EFF9"/>
            </w:tcBorders>
            <w:shd w:val="clear" w:color="auto" w:fill="D8EFF9"/>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Borders>
              <w:bottom w:val="single" w:sz="8" w:color="D8EFF9"/>
            </w:tcBorders>
            <w:shd w:val="clear" w:color="auto" w:fill="D8EFF9"/>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D8EFF9"/>
            </w:tcBorders>
            <w:shd w:val="clear" w:color="auto" w:fill="D8EFF9"/>
          </w:tcPr>
          <w:p>
            <w:pPr>
              <w:jc w:val="right"/>
              <w:ind w:right="4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285,000</w:t>
            </w:r>
          </w:p>
        </w:tc>
        <w:tc>
          <w:tcPr>
            <w:tcW w:w="0" w:type="dxa"/>
            <w:vAlign w:val="bottom"/>
          </w:tcPr>
          <w:p>
            <w:pPr>
              <w:spacing w:after="0"/>
              <w:rPr>
                <w:sz w:val="1"/>
                <w:szCs w:val="1"/>
                <w:color w:val="auto"/>
              </w:rPr>
            </w:pPr>
          </w:p>
        </w:tc>
      </w:tr>
      <w:tr>
        <w:trPr>
          <w:trHeight w:val="182"/>
        </w:trPr>
        <w:tc>
          <w:tcPr>
            <w:tcW w:w="1400" w:type="dxa"/>
            <w:vAlign w:val="bottom"/>
          </w:tcPr>
          <w:p>
            <w:pPr>
              <w:ind w:left="40"/>
              <w:spacing w:after="0"/>
              <w:rPr>
                <w:sz w:val="20"/>
                <w:szCs w:val="20"/>
                <w:color w:val="auto"/>
              </w:rPr>
            </w:pPr>
            <w:r>
              <w:rPr>
                <w:rFonts w:ascii="Arial" w:cs="Arial" w:eastAsia="Arial" w:hAnsi="Arial"/>
                <w:sz w:val="10"/>
                <w:szCs w:val="10"/>
                <w:color w:val="auto"/>
              </w:rPr>
              <w:t>Christopher H. Franklin</w:t>
            </w:r>
            <w:r>
              <w:rPr>
                <w:rFonts w:ascii="Arial" w:cs="Arial" w:eastAsia="Arial" w:hAnsi="Arial"/>
                <w:sz w:val="14"/>
                <w:szCs w:val="14"/>
                <w:color w:val="auto"/>
                <w:vertAlign w:val="superscript"/>
              </w:rPr>
              <w:t>(6)</w:t>
            </w:r>
          </w:p>
        </w:tc>
        <w:tc>
          <w:tcPr>
            <w:tcW w:w="1360" w:type="dxa"/>
            <w:vAlign w:val="bottom"/>
          </w:tcPr>
          <w:p>
            <w:pPr>
              <w:jc w:val="right"/>
              <w:ind w:right="392"/>
              <w:spacing w:after="0"/>
              <w:rPr>
                <w:sz w:val="20"/>
                <w:szCs w:val="20"/>
                <w:color w:val="auto"/>
              </w:rPr>
            </w:pPr>
            <w:r>
              <w:rPr>
                <w:rFonts w:ascii="Arial" w:cs="Arial" w:eastAsia="Arial" w:hAnsi="Arial"/>
                <w:sz w:val="10"/>
                <w:szCs w:val="10"/>
                <w:color w:val="auto"/>
              </w:rPr>
              <w:t>79,615</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234,615</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Raquelle W. Lewis</w:t>
            </w:r>
          </w:p>
        </w:tc>
        <w:tc>
          <w:tcPr>
            <w:tcW w:w="1360" w:type="dxa"/>
            <w:vAlign w:val="bottom"/>
            <w:tcBorders>
              <w:bottom w:val="single" w:sz="8" w:color="D8EFF9"/>
            </w:tcBorders>
            <w:shd w:val="clear" w:color="auto" w:fill="D8EFF9"/>
          </w:tcPr>
          <w:p>
            <w:pPr>
              <w:jc w:val="right"/>
              <w:ind w:right="392"/>
              <w:spacing w:after="0"/>
              <w:rPr>
                <w:sz w:val="20"/>
                <w:szCs w:val="20"/>
                <w:color w:val="auto"/>
              </w:rPr>
            </w:pPr>
            <w:r>
              <w:rPr>
                <w:rFonts w:ascii="Arial" w:cs="Arial" w:eastAsia="Arial" w:hAnsi="Arial"/>
                <w:sz w:val="10"/>
                <w:szCs w:val="10"/>
                <w:color w:val="auto"/>
              </w:rPr>
              <w:t>115,000</w:t>
            </w:r>
          </w:p>
        </w:tc>
        <w:tc>
          <w:tcPr>
            <w:tcW w:w="1100" w:type="dxa"/>
            <w:vAlign w:val="bottom"/>
            <w:tcBorders>
              <w:bottom w:val="single" w:sz="8" w:color="D8EFF9"/>
            </w:tcBorders>
            <w:shd w:val="clear" w:color="auto" w:fill="D8EFF9"/>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Borders>
              <w:bottom w:val="single" w:sz="8" w:color="D8EFF9"/>
            </w:tcBorders>
            <w:shd w:val="clear" w:color="auto" w:fill="D8EFF9"/>
          </w:tcPr>
          <w:p>
            <w:pPr>
              <w:jc w:val="right"/>
              <w:ind w:right="492"/>
              <w:spacing w:after="0"/>
              <w:rPr>
                <w:sz w:val="20"/>
                <w:szCs w:val="20"/>
                <w:color w:val="auto"/>
              </w:rPr>
            </w:pPr>
            <w:r>
              <w:rPr>
                <w:rFonts w:ascii="Arial" w:cs="Arial" w:eastAsia="Arial" w:hAnsi="Arial"/>
                <w:sz w:val="10"/>
                <w:szCs w:val="10"/>
                <w:color w:val="auto"/>
              </w:rPr>
              <w:t>1,901</w:t>
            </w:r>
          </w:p>
        </w:tc>
        <w:tc>
          <w:tcPr>
            <w:tcW w:w="1360" w:type="dxa"/>
            <w:vAlign w:val="bottom"/>
            <w:tcBorders>
              <w:bottom w:val="single" w:sz="8" w:color="D8EFF9"/>
            </w:tcBorders>
            <w:shd w:val="clear" w:color="auto" w:fill="D8EFF9"/>
          </w:tcPr>
          <w:p>
            <w:pPr>
              <w:jc w:val="right"/>
              <w:ind w:right="4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271,901</w:t>
            </w:r>
          </w:p>
        </w:tc>
        <w:tc>
          <w:tcPr>
            <w:tcW w:w="0" w:type="dxa"/>
            <w:vAlign w:val="bottom"/>
          </w:tcPr>
          <w:p>
            <w:pPr>
              <w:spacing w:after="0"/>
              <w:rPr>
                <w:sz w:val="1"/>
                <w:szCs w:val="1"/>
                <w:color w:val="auto"/>
              </w:rPr>
            </w:pPr>
          </w:p>
        </w:tc>
      </w:tr>
      <w:tr>
        <w:trPr>
          <w:trHeight w:val="182"/>
        </w:trPr>
        <w:tc>
          <w:tcPr>
            <w:tcW w:w="1400" w:type="dxa"/>
            <w:vAlign w:val="bottom"/>
          </w:tcPr>
          <w:p>
            <w:pPr>
              <w:ind w:left="40"/>
              <w:spacing w:after="0"/>
              <w:rPr>
                <w:sz w:val="20"/>
                <w:szCs w:val="20"/>
                <w:color w:val="auto"/>
              </w:rPr>
            </w:pPr>
            <w:r>
              <w:rPr>
                <w:rFonts w:ascii="Arial" w:cs="Arial" w:eastAsia="Arial" w:hAnsi="Arial"/>
                <w:sz w:val="10"/>
                <w:szCs w:val="10"/>
                <w:color w:val="auto"/>
              </w:rPr>
              <w:t>Martin H. Nesbitt</w:t>
            </w:r>
            <w:r>
              <w:rPr>
                <w:rFonts w:ascii="Arial" w:cs="Arial" w:eastAsia="Arial" w:hAnsi="Arial"/>
                <w:sz w:val="14"/>
                <w:szCs w:val="14"/>
                <w:color w:val="auto"/>
                <w:vertAlign w:val="superscript"/>
              </w:rPr>
              <w:t>(7)</w:t>
            </w:r>
          </w:p>
        </w:tc>
        <w:tc>
          <w:tcPr>
            <w:tcW w:w="1360" w:type="dxa"/>
            <w:vAlign w:val="bottom"/>
          </w:tcPr>
          <w:p>
            <w:pPr>
              <w:jc w:val="right"/>
              <w:ind w:right="392"/>
              <w:spacing w:after="0"/>
              <w:rPr>
                <w:sz w:val="20"/>
                <w:szCs w:val="20"/>
                <w:color w:val="auto"/>
              </w:rPr>
            </w:pPr>
            <w:r>
              <w:rPr>
                <w:rFonts w:ascii="Arial" w:cs="Arial" w:eastAsia="Arial" w:hAnsi="Arial"/>
                <w:sz w:val="10"/>
                <w:szCs w:val="10"/>
                <w:color w:val="auto"/>
              </w:rPr>
              <w:t>615,000</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52"/>
              <w:spacing w:after="0"/>
              <w:rPr>
                <w:sz w:val="20"/>
                <w:szCs w:val="20"/>
                <w:color w:val="auto"/>
              </w:rPr>
            </w:pPr>
            <w:r>
              <w:rPr>
                <w:rFonts w:ascii="Arial" w:cs="Arial" w:eastAsia="Arial" w:hAnsi="Arial"/>
                <w:sz w:val="10"/>
                <w:szCs w:val="10"/>
                <w:color w:val="auto"/>
              </w:rPr>
              <w:t>50,000</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820,000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Theodore F. Pound</w:t>
            </w:r>
          </w:p>
        </w:tc>
        <w:tc>
          <w:tcPr>
            <w:tcW w:w="1360" w:type="dxa"/>
            <w:vAlign w:val="bottom"/>
            <w:tcBorders>
              <w:bottom w:val="single" w:sz="8" w:color="D8EFF9"/>
            </w:tcBorders>
            <w:shd w:val="clear" w:color="auto" w:fill="D8EFF9"/>
          </w:tcPr>
          <w:p>
            <w:pPr>
              <w:jc w:val="right"/>
              <w:ind w:right="392"/>
              <w:spacing w:after="0"/>
              <w:rPr>
                <w:sz w:val="20"/>
                <w:szCs w:val="20"/>
                <w:color w:val="auto"/>
              </w:rPr>
            </w:pPr>
            <w:r>
              <w:rPr>
                <w:rFonts w:ascii="Arial" w:cs="Arial" w:eastAsia="Arial" w:hAnsi="Arial"/>
                <w:sz w:val="10"/>
                <w:szCs w:val="10"/>
                <w:color w:val="auto"/>
              </w:rPr>
              <w:t>135,000</w:t>
            </w:r>
          </w:p>
        </w:tc>
        <w:tc>
          <w:tcPr>
            <w:tcW w:w="1100" w:type="dxa"/>
            <w:vAlign w:val="bottom"/>
            <w:tcBorders>
              <w:bottom w:val="single" w:sz="8" w:color="D8EFF9"/>
            </w:tcBorders>
            <w:shd w:val="clear" w:color="auto" w:fill="D8EFF9"/>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Borders>
              <w:bottom w:val="single" w:sz="8" w:color="D8EFF9"/>
            </w:tcBorders>
            <w:shd w:val="clear" w:color="auto" w:fill="D8EFF9"/>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D8EFF9"/>
            </w:tcBorders>
            <w:shd w:val="clear" w:color="auto" w:fill="D8EFF9"/>
          </w:tcPr>
          <w:p>
            <w:pPr>
              <w:jc w:val="right"/>
              <w:ind w:right="4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290,000</w:t>
            </w:r>
          </w:p>
        </w:tc>
        <w:tc>
          <w:tcPr>
            <w:tcW w:w="0" w:type="dxa"/>
            <w:vAlign w:val="bottom"/>
          </w:tcPr>
          <w:p>
            <w:pPr>
              <w:spacing w:after="0"/>
              <w:rPr>
                <w:sz w:val="1"/>
                <w:szCs w:val="1"/>
                <w:color w:val="auto"/>
              </w:rPr>
            </w:pPr>
          </w:p>
        </w:tc>
      </w:tr>
      <w:tr>
        <w:trPr>
          <w:trHeight w:val="155"/>
        </w:trPr>
        <w:tc>
          <w:tcPr>
            <w:tcW w:w="1400" w:type="dxa"/>
            <w:vAlign w:val="bottom"/>
          </w:tcPr>
          <w:p>
            <w:pPr>
              <w:ind w:left="40"/>
              <w:spacing w:after="0"/>
              <w:rPr>
                <w:sz w:val="20"/>
                <w:szCs w:val="20"/>
                <w:color w:val="auto"/>
              </w:rPr>
            </w:pPr>
            <w:r>
              <w:rPr>
                <w:rFonts w:ascii="Arial" w:cs="Arial" w:eastAsia="Arial" w:hAnsi="Arial"/>
                <w:sz w:val="10"/>
                <w:szCs w:val="10"/>
                <w:color w:val="auto"/>
              </w:rPr>
              <w:t>Phillip R. Smith</w:t>
            </w:r>
          </w:p>
        </w:tc>
        <w:tc>
          <w:tcPr>
            <w:tcW w:w="1360" w:type="dxa"/>
            <w:vAlign w:val="bottom"/>
          </w:tcPr>
          <w:p>
            <w:pPr>
              <w:jc w:val="right"/>
              <w:ind w:right="392"/>
              <w:spacing w:after="0"/>
              <w:rPr>
                <w:sz w:val="20"/>
                <w:szCs w:val="20"/>
                <w:color w:val="auto"/>
              </w:rPr>
            </w:pPr>
            <w:r>
              <w:rPr>
                <w:rFonts w:ascii="Arial" w:cs="Arial" w:eastAsia="Arial" w:hAnsi="Arial"/>
                <w:sz w:val="10"/>
                <w:szCs w:val="10"/>
                <w:color w:val="auto"/>
              </w:rPr>
              <w:t>135,000</w:t>
            </w:r>
          </w:p>
        </w:tc>
        <w:tc>
          <w:tcPr>
            <w:tcW w:w="1100" w:type="dxa"/>
            <w:vAlign w:val="bottom"/>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452"/>
              <w:spacing w:after="0"/>
              <w:rPr>
                <w:sz w:val="20"/>
                <w:szCs w:val="20"/>
                <w:color w:val="auto"/>
              </w:rPr>
            </w:pPr>
            <w:r>
              <w:rPr>
                <w:rFonts w:ascii="Arial" w:cs="Arial" w:eastAsia="Arial" w:hAnsi="Arial"/>
                <w:sz w:val="10"/>
                <w:szCs w:val="10"/>
                <w:color w:val="auto"/>
              </w:rPr>
              <w:t>1,000</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291,000</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400" w:type="dxa"/>
            <w:vAlign w:val="bottom"/>
            <w:shd w:val="clear" w:color="auto" w:fill="D8EFF9"/>
          </w:tcPr>
          <w:p>
            <w:pPr>
              <w:ind w:left="40"/>
              <w:spacing w:after="0"/>
              <w:rPr>
                <w:sz w:val="20"/>
                <w:szCs w:val="20"/>
                <w:color w:val="auto"/>
              </w:rPr>
            </w:pPr>
            <w:r>
              <w:rPr>
                <w:rFonts w:ascii="Arial" w:cs="Arial" w:eastAsia="Arial" w:hAnsi="Arial"/>
                <w:sz w:val="10"/>
                <w:szCs w:val="10"/>
                <w:color w:val="auto"/>
              </w:rPr>
              <w:t>Barry T. Smitherman</w:t>
            </w:r>
          </w:p>
        </w:tc>
        <w:tc>
          <w:tcPr>
            <w:tcW w:w="1360" w:type="dxa"/>
            <w:vAlign w:val="bottom"/>
            <w:shd w:val="clear" w:color="auto" w:fill="D8EFF9"/>
          </w:tcPr>
          <w:p>
            <w:pPr>
              <w:jc w:val="right"/>
              <w:ind w:right="392"/>
              <w:spacing w:after="0"/>
              <w:rPr>
                <w:sz w:val="20"/>
                <w:szCs w:val="20"/>
                <w:color w:val="auto"/>
              </w:rPr>
            </w:pPr>
            <w:r>
              <w:rPr>
                <w:rFonts w:ascii="Arial" w:cs="Arial" w:eastAsia="Arial" w:hAnsi="Arial"/>
                <w:sz w:val="10"/>
                <w:szCs w:val="10"/>
                <w:color w:val="auto"/>
              </w:rPr>
              <w:t>115,000</w:t>
            </w:r>
          </w:p>
        </w:tc>
        <w:tc>
          <w:tcPr>
            <w:tcW w:w="1100" w:type="dxa"/>
            <w:vAlign w:val="bottom"/>
            <w:shd w:val="clear" w:color="auto" w:fill="D8EFF9"/>
          </w:tcPr>
          <w:p>
            <w:pPr>
              <w:jc w:val="right"/>
              <w:ind w:right="292"/>
              <w:spacing w:after="0"/>
              <w:rPr>
                <w:sz w:val="20"/>
                <w:szCs w:val="20"/>
                <w:color w:val="auto"/>
              </w:rPr>
            </w:pPr>
            <w:r>
              <w:rPr>
                <w:rFonts w:ascii="Arial" w:cs="Arial" w:eastAsia="Arial" w:hAnsi="Arial"/>
                <w:sz w:val="10"/>
                <w:szCs w:val="10"/>
                <w:color w:val="auto"/>
              </w:rPr>
              <w:t>155,000</w:t>
            </w:r>
          </w:p>
        </w:tc>
        <w:tc>
          <w:tcPr>
            <w:tcW w:w="1400" w:type="dxa"/>
            <w:vAlign w:val="bottom"/>
            <w:shd w:val="clear" w:color="auto" w:fill="D8EFF9"/>
          </w:tcPr>
          <w:p>
            <w:pPr>
              <w:jc w:val="right"/>
              <w:ind w:right="492"/>
              <w:spacing w:after="0"/>
              <w:rPr>
                <w:sz w:val="20"/>
                <w:szCs w:val="20"/>
                <w:color w:val="auto"/>
              </w:rPr>
            </w:pPr>
            <w:r>
              <w:rPr>
                <w:rFonts w:ascii="Arial" w:cs="Arial" w:eastAsia="Arial" w:hAnsi="Arial"/>
                <w:sz w:val="10"/>
                <w:szCs w:val="10"/>
                <w:color w:val="auto"/>
              </w:rPr>
              <w:t>—</w:t>
            </w:r>
          </w:p>
        </w:tc>
        <w:tc>
          <w:tcPr>
            <w:tcW w:w="1360" w:type="dxa"/>
            <w:vAlign w:val="bottom"/>
            <w:shd w:val="clear" w:color="auto" w:fill="D8EFF9"/>
          </w:tcPr>
          <w:p>
            <w:pPr>
              <w:jc w:val="right"/>
              <w:ind w:right="452"/>
              <w:spacing w:after="0"/>
              <w:rPr>
                <w:sz w:val="20"/>
                <w:szCs w:val="20"/>
                <w:color w:val="auto"/>
              </w:rPr>
            </w:pPr>
            <w:r>
              <w:rPr>
                <w:rFonts w:ascii="Arial" w:cs="Arial" w:eastAsia="Arial" w:hAnsi="Arial"/>
                <w:sz w:val="10"/>
                <w:szCs w:val="10"/>
                <w:color w:val="auto"/>
              </w:rPr>
              <w:t>23,250</w:t>
            </w:r>
          </w:p>
        </w:tc>
        <w:tc>
          <w:tcPr>
            <w:tcW w:w="80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293,250</w:t>
            </w:r>
          </w:p>
        </w:tc>
        <w:tc>
          <w:tcPr>
            <w:tcW w:w="0" w:type="dxa"/>
            <w:vAlign w:val="bottom"/>
          </w:tcPr>
          <w:p>
            <w:pPr>
              <w:spacing w:after="0"/>
              <w:rPr>
                <w:sz w:val="1"/>
                <w:szCs w:val="1"/>
                <w:color w:val="auto"/>
              </w:rPr>
            </w:pPr>
          </w:p>
        </w:tc>
      </w:tr>
      <w:tr>
        <w:trPr>
          <w:trHeight w:val="27"/>
        </w:trPr>
        <w:tc>
          <w:tcPr>
            <w:tcW w:w="1400" w:type="dxa"/>
            <w:vAlign w:val="bottom"/>
            <w:shd w:val="clear" w:color="auto" w:fill="D8EFF9"/>
          </w:tcPr>
          <w:p>
            <w:pPr>
              <w:spacing w:after="0"/>
              <w:rPr>
                <w:sz w:val="2"/>
                <w:szCs w:val="2"/>
                <w:color w:val="auto"/>
              </w:rPr>
            </w:pPr>
          </w:p>
        </w:tc>
        <w:tc>
          <w:tcPr>
            <w:tcW w:w="1360" w:type="dxa"/>
            <w:vAlign w:val="bottom"/>
            <w:shd w:val="clear" w:color="auto" w:fill="D8EFF9"/>
          </w:tcPr>
          <w:p>
            <w:pPr>
              <w:spacing w:after="0"/>
              <w:rPr>
                <w:sz w:val="2"/>
                <w:szCs w:val="2"/>
                <w:color w:val="auto"/>
              </w:rPr>
            </w:pPr>
          </w:p>
        </w:tc>
        <w:tc>
          <w:tcPr>
            <w:tcW w:w="1100" w:type="dxa"/>
            <w:vAlign w:val="bottom"/>
            <w:shd w:val="clear" w:color="auto" w:fill="D8EFF9"/>
          </w:tcPr>
          <w:p>
            <w:pPr>
              <w:spacing w:after="0"/>
              <w:rPr>
                <w:sz w:val="2"/>
                <w:szCs w:val="2"/>
                <w:color w:val="auto"/>
              </w:rPr>
            </w:pPr>
          </w:p>
        </w:tc>
        <w:tc>
          <w:tcPr>
            <w:tcW w:w="1400" w:type="dxa"/>
            <w:vAlign w:val="bottom"/>
            <w:shd w:val="clear" w:color="auto" w:fill="D8EFF9"/>
          </w:tcPr>
          <w:p>
            <w:pPr>
              <w:spacing w:after="0"/>
              <w:rPr>
                <w:sz w:val="2"/>
                <w:szCs w:val="2"/>
                <w:color w:val="auto"/>
              </w:rPr>
            </w:pPr>
          </w:p>
        </w:tc>
        <w:tc>
          <w:tcPr>
            <w:tcW w:w="1360" w:type="dxa"/>
            <w:vAlign w:val="bottom"/>
            <w:shd w:val="clear" w:color="auto" w:fill="D8EFF9"/>
          </w:tcPr>
          <w:p>
            <w:pPr>
              <w:spacing w:after="0"/>
              <w:rPr>
                <w:sz w:val="2"/>
                <w:szCs w:val="2"/>
                <w:color w:val="auto"/>
              </w:rPr>
            </w:pPr>
          </w:p>
        </w:tc>
        <w:tc>
          <w:tcPr>
            <w:tcW w:w="800" w:type="dxa"/>
            <w:vAlign w:val="bottom"/>
            <w:shd w:val="clear" w:color="auto" w:fill="D8EFF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160" w:right="799" w:hanging="226"/>
        <w:spacing w:after="0" w:line="234" w:lineRule="auto"/>
        <w:tabs>
          <w:tab w:leader="none" w:pos="2160" w:val="left"/>
        </w:tabs>
        <w:numPr>
          <w:ilvl w:val="0"/>
          <w:numId w:val="44"/>
        </w:numPr>
        <w:rPr>
          <w:rFonts w:ascii="Arial" w:cs="Arial" w:eastAsia="Arial" w:hAnsi="Arial"/>
          <w:sz w:val="10"/>
          <w:szCs w:val="10"/>
          <w:color w:val="auto"/>
        </w:rPr>
      </w:pPr>
      <w:r>
        <w:rPr>
          <w:rFonts w:ascii="Arial" w:cs="Arial" w:eastAsia="Arial" w:hAnsi="Arial"/>
          <w:sz w:val="10"/>
          <w:szCs w:val="10"/>
          <w:color w:val="auto"/>
        </w:rPr>
        <w:t>Includes annual retainer and committee chair retainers for each director as more fully explained under “—Compensation of Directors—Retainer Fees.” Ms. Lewis elected to defer part of her annual retainer fee during 2022 under the deferred compensation plan.</w:t>
      </w:r>
    </w:p>
    <w:p>
      <w:pPr>
        <w:spacing w:after="0" w:line="39" w:lineRule="exact"/>
        <w:rPr>
          <w:rFonts w:ascii="Arial" w:cs="Arial" w:eastAsia="Arial" w:hAnsi="Arial"/>
          <w:sz w:val="10"/>
          <w:szCs w:val="10"/>
          <w:color w:val="auto"/>
        </w:rPr>
      </w:pPr>
    </w:p>
    <w:p>
      <w:pPr>
        <w:jc w:val="both"/>
        <w:ind w:left="2160" w:right="799" w:hanging="226"/>
        <w:spacing w:after="0" w:line="232" w:lineRule="auto"/>
        <w:tabs>
          <w:tab w:leader="none" w:pos="2160" w:val="left"/>
        </w:tabs>
        <w:numPr>
          <w:ilvl w:val="0"/>
          <w:numId w:val="44"/>
        </w:numPr>
        <w:rPr>
          <w:rFonts w:ascii="Arial" w:cs="Arial" w:eastAsia="Arial" w:hAnsi="Arial"/>
          <w:sz w:val="10"/>
          <w:szCs w:val="10"/>
          <w:color w:val="auto"/>
        </w:rPr>
      </w:pPr>
      <w:r>
        <w:rPr>
          <w:rFonts w:ascii="Arial" w:cs="Arial" w:eastAsia="Arial" w:hAnsi="Arial"/>
          <w:sz w:val="10"/>
          <w:szCs w:val="10"/>
          <w:color w:val="auto"/>
        </w:rPr>
        <w:t>Reported amounts in the table represent the aggregate grant date fair value of awards computed in accordance with Financial Accounting Standards Board Accounting Standards Codification Topic 718: Compensation—Stock Compensation (FASB ASC Topic 718). For purposes of the table above, the effects of estimated forfeitures are excluded.</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jc w:val="center"/>
        <w:ind w:right="4679"/>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1: Election of Directors (continued)</w:t>
      </w:r>
    </w:p>
    <w:p>
      <w:pPr>
        <w:spacing w:after="0" w:line="104" w:lineRule="exact"/>
        <w:rPr>
          <w:sz w:val="20"/>
          <w:szCs w:val="20"/>
          <w:color w:val="auto"/>
        </w:rPr>
      </w:pPr>
    </w:p>
    <w:p>
      <w:pPr>
        <w:jc w:val="both"/>
        <w:ind w:left="2160" w:right="799"/>
        <w:spacing w:after="0" w:line="230" w:lineRule="auto"/>
        <w:rPr>
          <w:sz w:val="20"/>
          <w:szCs w:val="20"/>
          <w:color w:val="auto"/>
        </w:rPr>
      </w:pPr>
      <w:r>
        <w:rPr>
          <w:rFonts w:ascii="Arial" w:cs="Arial" w:eastAsia="Arial" w:hAnsi="Arial"/>
          <w:sz w:val="10"/>
          <w:szCs w:val="10"/>
          <w:color w:val="auto"/>
        </w:rPr>
        <w:t>Each non-employee director then in office as of May 2, 2022 received an annual value-based stock award under our Stock Plan for Outside Directors in 2022. Upon the recommendation of the Governance, Environmental and Sustainability Committee, the Board determined a cash value for each award, as of the grant date, of $155,000, resulting in a stock award of 5,129 shares of common stock for each non-employee director then in office as of May 2, 2022. The grant date fair value of the awards, based on the market price of our common stock on the New York Stock Exchange Composite Tape on that date, was $30.22 per share. No stock awards under our Stock Plan for Outside Directors were outstanding at December 31, 2022.</w:t>
      </w:r>
    </w:p>
    <w:p>
      <w:pPr>
        <w:spacing w:after="0" w:line="40" w:lineRule="exact"/>
        <w:rPr>
          <w:sz w:val="20"/>
          <w:szCs w:val="20"/>
          <w:color w:val="auto"/>
        </w:rPr>
      </w:pPr>
    </w:p>
    <w:p>
      <w:pPr>
        <w:ind w:left="2160" w:hanging="226"/>
        <w:spacing w:after="0"/>
        <w:tabs>
          <w:tab w:leader="none" w:pos="21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In 2022, Ms. Lewis accrued above-marked earnings on her deferred compensation account balance of $1,901.</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Other Compensation represents matching contributions made under the Easy Match Program. See “—Compensation of Directors—Other Compensation.”</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Ms. Biddle served on the Board until the 2022 Annual Meeting.</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Mr. Franklin was elected to the Board effective April 22, 2022. The fees earned or paid in cash reflect a partial year of service.</w:t>
      </w:r>
    </w:p>
    <w:p>
      <w:pPr>
        <w:spacing w:after="0" w:line="39" w:lineRule="exact"/>
        <w:rPr>
          <w:rFonts w:ascii="Arial" w:cs="Arial" w:eastAsia="Arial" w:hAnsi="Arial"/>
          <w:sz w:val="10"/>
          <w:szCs w:val="10"/>
          <w:color w:val="auto"/>
        </w:rPr>
      </w:pPr>
    </w:p>
    <w:p>
      <w:pPr>
        <w:jc w:val="both"/>
        <w:ind w:left="2160" w:right="819" w:hanging="226"/>
        <w:spacing w:after="0" w:line="232" w:lineRule="auto"/>
        <w:tabs>
          <w:tab w:leader="none" w:pos="21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fees earned or paid in cash for Mr. Nesbitt include the Independent Chair Retainer. Effective January 1, 2023, at the request of Mr. Nesbitt and with the full support of the entire Board, the Independent Chair Retainer was reduced from $500,000 to $185,000. For more information see “—Compensation of Directors—Reduction of Independent Chair Retainer.”</w:t>
      </w:r>
    </w:p>
    <w:p>
      <w:pPr>
        <w:spacing w:after="0" w:line="131" w:lineRule="exact"/>
        <w:rPr>
          <w:sz w:val="20"/>
          <w:szCs w:val="20"/>
          <w:color w:val="auto"/>
        </w:rPr>
      </w:pPr>
    </w:p>
    <w:p>
      <w:pPr>
        <w:ind w:left="2220" w:hanging="230"/>
        <w:spacing w:after="0"/>
        <w:tabs>
          <w:tab w:leader="none" w:pos="2220" w:val="left"/>
        </w:tabs>
        <w:numPr>
          <w:ilvl w:val="0"/>
          <w:numId w:val="4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STOCK OWNERSHIP</w:t>
      </w:r>
    </w:p>
    <w:p>
      <w:pPr>
        <w:spacing w:after="0" w:line="243"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following table shows stock ownership of known beneficial owners of more than 5% of CenterPoint Energy’s common stock, each director or nominee for director, the Chief Executive Officer, the President, Chief Operating Officer and Chief Financial Officer, the other executive officers for whom we are providing detailed compensation information under “Executive Compensation Tables” and our current executive officers, directors and director nominees as a group. Information for the executive officers and directors is given as of March 1, 2023 except as otherwise indicated. The directors and officers, individually and as a group, beneficially own less than 1% of CenterPoint Energy’s outstanding common stock. Beneficial ownership is determined in accordance with Rule 13d-3 under the Exchange Act and, except as otherwise indicated, the respective holders have sole voting and investment powers over such shares.</w:t>
      </w:r>
    </w:p>
    <w:p>
      <w:pPr>
        <w:spacing w:after="0" w:line="157" w:lineRule="exact"/>
        <w:rPr>
          <w:sz w:val="20"/>
          <w:szCs w:val="20"/>
          <w:color w:val="auto"/>
        </w:rPr>
      </w:pPr>
    </w:p>
    <w:tbl>
      <w:tblPr>
        <w:tblLayout w:type="fixed"/>
        <w:tblInd w:w="1940" w:type="dxa"/>
        <w:tblCellMar>
          <w:top w:w="0" w:type="dxa"/>
          <w:left w:w="0" w:type="dxa"/>
          <w:bottom w:w="0" w:type="dxa"/>
          <w:right w:w="0" w:type="dxa"/>
        </w:tblCellMar>
      </w:tblPr>
      <w:tr>
        <w:trPr>
          <w:trHeight w:val="119"/>
        </w:trPr>
        <w:tc>
          <w:tcPr>
            <w:tcW w:w="5300" w:type="dxa"/>
            <w:vAlign w:val="bottom"/>
            <w:shd w:val="clear" w:color="auto" w:fill="009AD9"/>
          </w:tcPr>
          <w:p>
            <w:pPr>
              <w:spacing w:after="0"/>
              <w:rPr>
                <w:sz w:val="10"/>
                <w:szCs w:val="10"/>
                <w:color w:val="auto"/>
              </w:rPr>
            </w:pPr>
          </w:p>
        </w:tc>
        <w:tc>
          <w:tcPr>
            <w:tcW w:w="2120" w:type="dxa"/>
            <w:vAlign w:val="bottom"/>
            <w:shd w:val="clear" w:color="auto" w:fill="009AD9"/>
          </w:tcPr>
          <w:p>
            <w:pPr>
              <w:jc w:val="center"/>
              <w:ind w:left="712"/>
              <w:spacing w:after="0"/>
              <w:rPr>
                <w:sz w:val="20"/>
                <w:szCs w:val="20"/>
                <w:color w:val="auto"/>
              </w:rPr>
            </w:pPr>
            <w:r>
              <w:rPr>
                <w:rFonts w:ascii="Arial" w:cs="Arial" w:eastAsia="Arial" w:hAnsi="Arial"/>
                <w:sz w:val="10"/>
                <w:szCs w:val="10"/>
                <w:b w:val="1"/>
                <w:bCs w:val="1"/>
                <w:color w:val="FFFFFF"/>
                <w:w w:val="97"/>
              </w:rPr>
              <w:t>Number of Shares of</w:t>
            </w:r>
          </w:p>
        </w:tc>
        <w:tc>
          <w:tcPr>
            <w:tcW w:w="0" w:type="dxa"/>
            <w:vAlign w:val="bottom"/>
          </w:tcPr>
          <w:p>
            <w:pPr>
              <w:spacing w:after="0"/>
              <w:rPr>
                <w:sz w:val="1"/>
                <w:szCs w:val="1"/>
                <w:color w:val="auto"/>
              </w:rPr>
            </w:pPr>
          </w:p>
        </w:tc>
      </w:tr>
      <w:tr>
        <w:trPr>
          <w:trHeight w:val="109"/>
        </w:trPr>
        <w:tc>
          <w:tcPr>
            <w:tcW w:w="5300" w:type="dxa"/>
            <w:vAlign w:val="bottom"/>
            <w:vMerge w:val="restart"/>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r>
              <w:rPr>
                <w:rFonts w:ascii="Arial" w:cs="Arial" w:eastAsia="Arial" w:hAnsi="Arial"/>
                <w:sz w:val="14"/>
                <w:szCs w:val="14"/>
                <w:b w:val="1"/>
                <w:bCs w:val="1"/>
                <w:color w:val="FFFFFF"/>
                <w:vertAlign w:val="superscript"/>
              </w:rPr>
              <w:t>(1)</w:t>
            </w:r>
          </w:p>
        </w:tc>
        <w:tc>
          <w:tcPr>
            <w:tcW w:w="2120" w:type="dxa"/>
            <w:vAlign w:val="bottom"/>
            <w:shd w:val="clear" w:color="auto" w:fill="009AD9"/>
          </w:tcPr>
          <w:p>
            <w:pPr>
              <w:jc w:val="center"/>
              <w:ind w:left="732"/>
              <w:spacing w:after="0" w:line="109" w:lineRule="exact"/>
              <w:rPr>
                <w:sz w:val="20"/>
                <w:szCs w:val="20"/>
                <w:color w:val="auto"/>
              </w:rPr>
            </w:pPr>
            <w:r>
              <w:rPr>
                <w:rFonts w:ascii="Arial" w:cs="Arial" w:eastAsia="Arial" w:hAnsi="Arial"/>
                <w:sz w:val="10"/>
                <w:szCs w:val="10"/>
                <w:b w:val="1"/>
                <w:bCs w:val="1"/>
                <w:color w:val="FFFFFF"/>
                <w:w w:val="96"/>
              </w:rPr>
              <w:t>CenterPoint Energy</w:t>
            </w:r>
          </w:p>
        </w:tc>
        <w:tc>
          <w:tcPr>
            <w:tcW w:w="0" w:type="dxa"/>
            <w:vAlign w:val="bottom"/>
          </w:tcPr>
          <w:p>
            <w:pPr>
              <w:spacing w:after="0"/>
              <w:rPr>
                <w:sz w:val="1"/>
                <w:szCs w:val="1"/>
                <w:color w:val="auto"/>
              </w:rPr>
            </w:pPr>
          </w:p>
        </w:tc>
      </w:tr>
      <w:tr>
        <w:trPr>
          <w:trHeight w:val="136"/>
        </w:trPr>
        <w:tc>
          <w:tcPr>
            <w:tcW w:w="5300" w:type="dxa"/>
            <w:vAlign w:val="bottom"/>
            <w:vMerge w:val="continue"/>
            <w:shd w:val="clear" w:color="auto" w:fill="009AD9"/>
          </w:tcPr>
          <w:p>
            <w:pPr>
              <w:spacing w:after="0"/>
              <w:rPr>
                <w:sz w:val="11"/>
                <w:szCs w:val="11"/>
                <w:color w:val="auto"/>
              </w:rPr>
            </w:pPr>
          </w:p>
        </w:tc>
        <w:tc>
          <w:tcPr>
            <w:tcW w:w="2120" w:type="dxa"/>
            <w:vAlign w:val="bottom"/>
            <w:shd w:val="clear" w:color="auto" w:fill="009AD9"/>
          </w:tcPr>
          <w:p>
            <w:pPr>
              <w:jc w:val="center"/>
              <w:ind w:left="732"/>
              <w:spacing w:after="0"/>
              <w:rPr>
                <w:sz w:val="20"/>
                <w:szCs w:val="20"/>
                <w:color w:val="auto"/>
              </w:rPr>
            </w:pPr>
            <w:r>
              <w:rPr>
                <w:rFonts w:ascii="Arial" w:cs="Arial" w:eastAsia="Arial" w:hAnsi="Arial"/>
                <w:sz w:val="10"/>
                <w:szCs w:val="10"/>
                <w:b w:val="1"/>
                <w:bCs w:val="1"/>
                <w:color w:val="FFFFFF"/>
                <w:w w:val="95"/>
              </w:rPr>
              <w:t>Common Stock</w:t>
            </w:r>
          </w:p>
        </w:tc>
        <w:tc>
          <w:tcPr>
            <w:tcW w:w="0" w:type="dxa"/>
            <w:vAlign w:val="bottom"/>
          </w:tcPr>
          <w:p>
            <w:pPr>
              <w:spacing w:after="0"/>
              <w:rPr>
                <w:sz w:val="1"/>
                <w:szCs w:val="1"/>
                <w:color w:val="auto"/>
              </w:rPr>
            </w:pPr>
          </w:p>
        </w:tc>
      </w:tr>
      <w:tr>
        <w:trPr>
          <w:trHeight w:val="149"/>
        </w:trPr>
        <w:tc>
          <w:tcPr>
            <w:tcW w:w="5300" w:type="dxa"/>
            <w:vAlign w:val="bottom"/>
          </w:tcPr>
          <w:p>
            <w:pPr>
              <w:ind w:left="100"/>
              <w:spacing w:after="0"/>
              <w:rPr>
                <w:sz w:val="20"/>
                <w:szCs w:val="20"/>
                <w:color w:val="auto"/>
              </w:rPr>
            </w:pPr>
            <w:r>
              <w:rPr>
                <w:rFonts w:ascii="Arial" w:cs="Arial" w:eastAsia="Arial" w:hAnsi="Arial"/>
                <w:sz w:val="10"/>
                <w:szCs w:val="10"/>
                <w:color w:val="auto"/>
              </w:rPr>
              <w:t>Capital International Investors</w:t>
            </w:r>
          </w:p>
        </w:tc>
        <w:tc>
          <w:tcPr>
            <w:tcW w:w="2120" w:type="dxa"/>
            <w:vAlign w:val="bottom"/>
          </w:tcPr>
          <w:p>
            <w:pPr>
              <w:jc w:val="right"/>
              <w:ind w:right="272"/>
              <w:spacing w:after="0" w:line="149" w:lineRule="exact"/>
              <w:rPr>
                <w:sz w:val="20"/>
                <w:szCs w:val="20"/>
                <w:color w:val="auto"/>
              </w:rPr>
            </w:pPr>
            <w:r>
              <w:rPr>
                <w:rFonts w:ascii="Arial" w:cs="Arial" w:eastAsia="Arial" w:hAnsi="Arial"/>
                <w:sz w:val="10"/>
                <w:szCs w:val="10"/>
                <w:color w:val="auto"/>
              </w:rPr>
              <w:t>81,461,773</w:t>
            </w:r>
            <w:r>
              <w:rPr>
                <w:rFonts w:ascii="Arial" w:cs="Arial" w:eastAsia="Arial" w:hAnsi="Arial"/>
                <w:sz w:val="14"/>
                <w:szCs w:val="14"/>
                <w:color w:val="auto"/>
                <w:vertAlign w:val="superscript"/>
              </w:rPr>
              <w:t>(2)</w:t>
            </w:r>
          </w:p>
        </w:tc>
        <w:tc>
          <w:tcPr>
            <w:tcW w:w="0" w:type="dxa"/>
            <w:vAlign w:val="bottom"/>
          </w:tcPr>
          <w:p>
            <w:pPr>
              <w:spacing w:after="0"/>
              <w:rPr>
                <w:sz w:val="1"/>
                <w:szCs w:val="1"/>
                <w:color w:val="auto"/>
              </w:rPr>
            </w:pPr>
          </w:p>
        </w:tc>
      </w:tr>
      <w:tr>
        <w:trPr>
          <w:trHeight w:val="116"/>
        </w:trPr>
        <w:tc>
          <w:tcPr>
            <w:tcW w:w="5300" w:type="dxa"/>
            <w:vAlign w:val="bottom"/>
          </w:tcPr>
          <w:p>
            <w:pPr>
              <w:ind w:left="100"/>
              <w:spacing w:after="0"/>
              <w:rPr>
                <w:sz w:val="20"/>
                <w:szCs w:val="20"/>
                <w:color w:val="auto"/>
              </w:rPr>
            </w:pPr>
            <w:r>
              <w:rPr>
                <w:rFonts w:ascii="Arial" w:cs="Arial" w:eastAsia="Arial" w:hAnsi="Arial"/>
                <w:sz w:val="10"/>
                <w:szCs w:val="10"/>
                <w:color w:val="auto"/>
              </w:rPr>
              <w:t>333 South Hope Street, 55th Floor</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300" w:type="dxa"/>
            <w:vAlign w:val="bottom"/>
          </w:tcPr>
          <w:p>
            <w:pPr>
              <w:ind w:left="100"/>
              <w:spacing w:after="0"/>
              <w:rPr>
                <w:sz w:val="20"/>
                <w:szCs w:val="20"/>
                <w:color w:val="auto"/>
              </w:rPr>
            </w:pPr>
            <w:r>
              <w:rPr>
                <w:rFonts w:ascii="Arial" w:cs="Arial" w:eastAsia="Arial" w:hAnsi="Arial"/>
                <w:sz w:val="10"/>
                <w:szCs w:val="10"/>
                <w:color w:val="auto"/>
              </w:rPr>
              <w:t>Los Angeles, CA 90071</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The Vanguard Group, Inc.</w:t>
            </w:r>
          </w:p>
        </w:tc>
        <w:tc>
          <w:tcPr>
            <w:tcW w:w="2120" w:type="dxa"/>
            <w:vAlign w:val="bottom"/>
            <w:shd w:val="clear" w:color="auto" w:fill="D8EFF9"/>
          </w:tcPr>
          <w:p>
            <w:pPr>
              <w:jc w:val="right"/>
              <w:ind w:right="272"/>
              <w:spacing w:after="0" w:line="149" w:lineRule="exact"/>
              <w:rPr>
                <w:sz w:val="20"/>
                <w:szCs w:val="20"/>
                <w:color w:val="auto"/>
              </w:rPr>
            </w:pPr>
            <w:r>
              <w:rPr>
                <w:rFonts w:ascii="Arial" w:cs="Arial" w:eastAsia="Arial" w:hAnsi="Arial"/>
                <w:sz w:val="10"/>
                <w:szCs w:val="10"/>
                <w:color w:val="auto"/>
              </w:rPr>
              <w:t>76,579,412</w:t>
            </w:r>
            <w:r>
              <w:rPr>
                <w:rFonts w:ascii="Arial" w:cs="Arial" w:eastAsia="Arial" w:hAnsi="Arial"/>
                <w:sz w:val="14"/>
                <w:szCs w:val="14"/>
                <w:color w:val="auto"/>
                <w:vertAlign w:val="superscript"/>
              </w:rPr>
              <w:t>(3)</w:t>
            </w:r>
          </w:p>
        </w:tc>
        <w:tc>
          <w:tcPr>
            <w:tcW w:w="0" w:type="dxa"/>
            <w:vAlign w:val="bottom"/>
          </w:tcPr>
          <w:p>
            <w:pPr>
              <w:spacing w:after="0"/>
              <w:rPr>
                <w:sz w:val="1"/>
                <w:szCs w:val="1"/>
                <w:color w:val="auto"/>
              </w:rPr>
            </w:pPr>
          </w:p>
        </w:tc>
      </w:tr>
      <w:tr>
        <w:trPr>
          <w:trHeight w:val="116"/>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100 Vanguard Blvd.</w:t>
            </w:r>
          </w:p>
        </w:tc>
        <w:tc>
          <w:tcPr>
            <w:tcW w:w="2120" w:type="dxa"/>
            <w:vAlign w:val="bottom"/>
            <w:shd w:val="clear" w:color="auto" w:fill="D8EFF9"/>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Malvern, Pennsylvania 19355</w:t>
            </w:r>
          </w:p>
        </w:tc>
        <w:tc>
          <w:tcPr>
            <w:tcW w:w="2120" w:type="dxa"/>
            <w:vAlign w:val="bottom"/>
            <w:tcBorders>
              <w:bottom w:val="single" w:sz="8" w:color="D8EFF9"/>
            </w:tcBorders>
            <w:shd w:val="clear" w:color="auto" w:fill="D8EFF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00" w:type="dxa"/>
            <w:vAlign w:val="bottom"/>
          </w:tcPr>
          <w:p>
            <w:pPr>
              <w:ind w:left="100"/>
              <w:spacing w:after="0"/>
              <w:rPr>
                <w:sz w:val="20"/>
                <w:szCs w:val="20"/>
                <w:color w:val="auto"/>
              </w:rPr>
            </w:pPr>
            <w:r>
              <w:rPr>
                <w:rFonts w:ascii="Arial" w:cs="Arial" w:eastAsia="Arial" w:hAnsi="Arial"/>
                <w:sz w:val="10"/>
                <w:szCs w:val="10"/>
                <w:color w:val="auto"/>
              </w:rPr>
              <w:t>BlackRock, Inc.</w:t>
            </w:r>
          </w:p>
        </w:tc>
        <w:tc>
          <w:tcPr>
            <w:tcW w:w="2120" w:type="dxa"/>
            <w:vAlign w:val="bottom"/>
          </w:tcPr>
          <w:p>
            <w:pPr>
              <w:jc w:val="right"/>
              <w:ind w:right="272"/>
              <w:spacing w:after="0" w:line="149" w:lineRule="exact"/>
              <w:rPr>
                <w:sz w:val="20"/>
                <w:szCs w:val="20"/>
                <w:color w:val="auto"/>
              </w:rPr>
            </w:pPr>
            <w:r>
              <w:rPr>
                <w:rFonts w:ascii="Arial" w:cs="Arial" w:eastAsia="Arial" w:hAnsi="Arial"/>
                <w:sz w:val="10"/>
                <w:szCs w:val="10"/>
                <w:color w:val="auto"/>
              </w:rPr>
              <w:t>52,206,040</w:t>
            </w:r>
            <w:r>
              <w:rPr>
                <w:rFonts w:ascii="Arial" w:cs="Arial" w:eastAsia="Arial" w:hAnsi="Arial"/>
                <w:sz w:val="14"/>
                <w:szCs w:val="14"/>
                <w:color w:val="auto"/>
                <w:vertAlign w:val="superscript"/>
              </w:rPr>
              <w:t>(4)</w:t>
            </w:r>
          </w:p>
        </w:tc>
        <w:tc>
          <w:tcPr>
            <w:tcW w:w="0" w:type="dxa"/>
            <w:vAlign w:val="bottom"/>
          </w:tcPr>
          <w:p>
            <w:pPr>
              <w:spacing w:after="0"/>
              <w:rPr>
                <w:sz w:val="1"/>
                <w:szCs w:val="1"/>
                <w:color w:val="auto"/>
              </w:rPr>
            </w:pPr>
          </w:p>
        </w:tc>
      </w:tr>
      <w:tr>
        <w:trPr>
          <w:trHeight w:val="116"/>
        </w:trPr>
        <w:tc>
          <w:tcPr>
            <w:tcW w:w="5300" w:type="dxa"/>
            <w:vAlign w:val="bottom"/>
          </w:tcPr>
          <w:p>
            <w:pPr>
              <w:ind w:left="100"/>
              <w:spacing w:after="0"/>
              <w:rPr>
                <w:sz w:val="20"/>
                <w:szCs w:val="20"/>
                <w:color w:val="auto"/>
              </w:rPr>
            </w:pPr>
            <w:r>
              <w:rPr>
                <w:rFonts w:ascii="Arial" w:cs="Arial" w:eastAsia="Arial" w:hAnsi="Arial"/>
                <w:sz w:val="10"/>
                <w:szCs w:val="10"/>
                <w:color w:val="auto"/>
              </w:rPr>
              <w:t>55 East 52nd Street</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300" w:type="dxa"/>
            <w:vAlign w:val="bottom"/>
          </w:tcPr>
          <w:p>
            <w:pPr>
              <w:ind w:left="100"/>
              <w:spacing w:after="0"/>
              <w:rPr>
                <w:sz w:val="20"/>
                <w:szCs w:val="20"/>
                <w:color w:val="auto"/>
              </w:rPr>
            </w:pPr>
            <w:r>
              <w:rPr>
                <w:rFonts w:ascii="Arial" w:cs="Arial" w:eastAsia="Arial" w:hAnsi="Arial"/>
                <w:sz w:val="10"/>
                <w:szCs w:val="10"/>
                <w:color w:val="auto"/>
              </w:rPr>
              <w:t>New York, New York 10055</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State Street Corporation</w:t>
            </w:r>
          </w:p>
        </w:tc>
        <w:tc>
          <w:tcPr>
            <w:tcW w:w="2120" w:type="dxa"/>
            <w:vAlign w:val="bottom"/>
            <w:shd w:val="clear" w:color="auto" w:fill="D8EFF9"/>
          </w:tcPr>
          <w:p>
            <w:pPr>
              <w:jc w:val="right"/>
              <w:ind w:right="272"/>
              <w:spacing w:after="0" w:line="149" w:lineRule="exact"/>
              <w:rPr>
                <w:sz w:val="20"/>
                <w:szCs w:val="20"/>
                <w:color w:val="auto"/>
              </w:rPr>
            </w:pPr>
            <w:r>
              <w:rPr>
                <w:rFonts w:ascii="Arial" w:cs="Arial" w:eastAsia="Arial" w:hAnsi="Arial"/>
                <w:sz w:val="10"/>
                <w:szCs w:val="10"/>
                <w:color w:val="auto"/>
              </w:rPr>
              <w:t>34,099,231</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116"/>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One Lincoln Street</w:t>
            </w:r>
          </w:p>
        </w:tc>
        <w:tc>
          <w:tcPr>
            <w:tcW w:w="2120" w:type="dxa"/>
            <w:vAlign w:val="bottom"/>
            <w:shd w:val="clear" w:color="auto" w:fill="D8EFF9"/>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Boston, Massachusetts 02111</w:t>
            </w:r>
          </w:p>
        </w:tc>
        <w:tc>
          <w:tcPr>
            <w:tcW w:w="2120" w:type="dxa"/>
            <w:vAlign w:val="bottom"/>
            <w:tcBorders>
              <w:bottom w:val="single" w:sz="8" w:color="D8EFF9"/>
            </w:tcBorders>
            <w:shd w:val="clear" w:color="auto" w:fill="D8EFF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Wendy Montoya Cloonan</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11,476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Earl M. Cummings</w:t>
            </w:r>
          </w:p>
        </w:tc>
        <w:tc>
          <w:tcPr>
            <w:tcW w:w="2120" w:type="dxa"/>
            <w:vAlign w:val="bottom"/>
            <w:tcBorders>
              <w:bottom w:val="single" w:sz="8" w:color="D8EFF9"/>
            </w:tcBorders>
            <w:shd w:val="clear" w:color="auto" w:fill="D8EFF9"/>
          </w:tcPr>
          <w:p>
            <w:pPr>
              <w:jc w:val="right"/>
              <w:ind w:right="372"/>
              <w:spacing w:after="0"/>
              <w:rPr>
                <w:sz w:val="20"/>
                <w:szCs w:val="20"/>
                <w:color w:val="auto"/>
              </w:rPr>
            </w:pPr>
            <w:r>
              <w:rPr>
                <w:rFonts w:ascii="Arial" w:cs="Arial" w:eastAsia="Arial" w:hAnsi="Arial"/>
                <w:sz w:val="10"/>
                <w:szCs w:val="10"/>
                <w:color w:val="auto"/>
              </w:rPr>
              <w:t>19,463</w:t>
            </w:r>
          </w:p>
        </w:tc>
        <w:tc>
          <w:tcPr>
            <w:tcW w:w="0" w:type="dxa"/>
            <w:vAlign w:val="bottom"/>
          </w:tcPr>
          <w:p>
            <w:pPr>
              <w:spacing w:after="0"/>
              <w:rPr>
                <w:sz w:val="1"/>
                <w:szCs w:val="1"/>
                <w:color w:val="auto"/>
              </w:rPr>
            </w:pPr>
          </w:p>
        </w:tc>
      </w:tr>
      <w:tr>
        <w:trPr>
          <w:trHeight w:val="164"/>
        </w:trPr>
        <w:tc>
          <w:tcPr>
            <w:tcW w:w="5300" w:type="dxa"/>
            <w:vAlign w:val="bottom"/>
          </w:tcPr>
          <w:p>
            <w:pPr>
              <w:ind w:left="100"/>
              <w:spacing w:after="0"/>
              <w:rPr>
                <w:sz w:val="20"/>
                <w:szCs w:val="20"/>
                <w:color w:val="auto"/>
              </w:rPr>
            </w:pPr>
            <w:r>
              <w:rPr>
                <w:rFonts w:ascii="Arial" w:cs="Arial" w:eastAsia="Arial" w:hAnsi="Arial"/>
                <w:sz w:val="10"/>
                <w:szCs w:val="10"/>
                <w:color w:val="auto"/>
              </w:rPr>
              <w:t>Scott E. Doyle</w:t>
            </w:r>
          </w:p>
        </w:tc>
        <w:tc>
          <w:tcPr>
            <w:tcW w:w="2120" w:type="dxa"/>
            <w:vAlign w:val="bottom"/>
          </w:tcPr>
          <w:p>
            <w:pPr>
              <w:jc w:val="right"/>
              <w:ind w:right="272"/>
              <w:spacing w:after="0"/>
              <w:rPr>
                <w:sz w:val="20"/>
                <w:szCs w:val="20"/>
                <w:color w:val="auto"/>
              </w:rPr>
            </w:pPr>
            <w:r>
              <w:rPr>
                <w:rFonts w:ascii="Arial" w:cs="Arial" w:eastAsia="Arial" w:hAnsi="Arial"/>
                <w:sz w:val="10"/>
                <w:szCs w:val="10"/>
                <w:color w:val="auto"/>
              </w:rPr>
              <w:t>94,588</w:t>
            </w:r>
            <w:r>
              <w:rPr>
                <w:rFonts w:ascii="Arial" w:cs="Arial" w:eastAsia="Arial" w:hAnsi="Arial"/>
                <w:sz w:val="14"/>
                <w:szCs w:val="14"/>
                <w:color w:val="auto"/>
                <w:vertAlign w:val="superscript"/>
              </w:rPr>
              <w:t>(6)</w:t>
            </w:r>
          </w:p>
        </w:tc>
        <w:tc>
          <w:tcPr>
            <w:tcW w:w="0" w:type="dxa"/>
            <w:vAlign w:val="bottom"/>
          </w:tcPr>
          <w:p>
            <w:pPr>
              <w:spacing w:after="0"/>
              <w:rPr>
                <w:sz w:val="1"/>
                <w:szCs w:val="1"/>
                <w:color w:val="auto"/>
              </w:rPr>
            </w:pPr>
          </w:p>
        </w:tc>
      </w:tr>
      <w:tr>
        <w:trPr>
          <w:trHeight w:val="14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Christopher H. Franklin</w:t>
            </w:r>
          </w:p>
        </w:tc>
        <w:tc>
          <w:tcPr>
            <w:tcW w:w="2120" w:type="dxa"/>
            <w:vAlign w:val="bottom"/>
            <w:tcBorders>
              <w:bottom w:val="single" w:sz="8" w:color="D8EFF9"/>
            </w:tcBorders>
            <w:shd w:val="clear" w:color="auto" w:fill="D8EFF9"/>
          </w:tcPr>
          <w:p>
            <w:pPr>
              <w:jc w:val="right"/>
              <w:ind w:right="372"/>
              <w:spacing w:after="0"/>
              <w:rPr>
                <w:sz w:val="20"/>
                <w:szCs w:val="20"/>
                <w:color w:val="auto"/>
              </w:rPr>
            </w:pPr>
            <w:r>
              <w:rPr>
                <w:rFonts w:ascii="Arial" w:cs="Arial" w:eastAsia="Arial" w:hAnsi="Arial"/>
                <w:sz w:val="10"/>
                <w:szCs w:val="10"/>
                <w:color w:val="auto"/>
              </w:rPr>
              <w:t>5,129</w:t>
            </w: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Monica Karuturi</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43,416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Gregory E. Knight</w:t>
            </w:r>
          </w:p>
        </w:tc>
        <w:tc>
          <w:tcPr>
            <w:tcW w:w="2120" w:type="dxa"/>
            <w:vAlign w:val="bottom"/>
            <w:shd w:val="clear" w:color="auto" w:fill="D8EFF9"/>
          </w:tcPr>
          <w:p>
            <w:pPr>
              <w:jc w:val="right"/>
              <w:ind w:right="272"/>
              <w:spacing w:after="0"/>
              <w:rPr>
                <w:sz w:val="20"/>
                <w:szCs w:val="20"/>
                <w:color w:val="auto"/>
              </w:rPr>
            </w:pPr>
            <w:r>
              <w:rPr>
                <w:rFonts w:ascii="Arial" w:cs="Arial" w:eastAsia="Arial" w:hAnsi="Arial"/>
                <w:sz w:val="10"/>
                <w:szCs w:val="10"/>
                <w:color w:val="auto"/>
              </w:rPr>
              <w:t>66,162</w:t>
            </w:r>
            <w:r>
              <w:rPr>
                <w:rFonts w:ascii="Arial" w:cs="Arial" w:eastAsia="Arial" w:hAnsi="Arial"/>
                <w:sz w:val="14"/>
                <w:szCs w:val="14"/>
                <w:color w:val="auto"/>
                <w:vertAlign w:val="superscript"/>
              </w:rPr>
              <w:t>(6)</w:t>
            </w: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David J. Lesar</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653,226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Raquelle W. Lewis</w:t>
            </w:r>
          </w:p>
        </w:tc>
        <w:tc>
          <w:tcPr>
            <w:tcW w:w="2120" w:type="dxa"/>
            <w:vAlign w:val="bottom"/>
            <w:tcBorders>
              <w:bottom w:val="single" w:sz="8" w:color="D8EFF9"/>
            </w:tcBorders>
            <w:shd w:val="clear" w:color="auto" w:fill="D8EFF9"/>
          </w:tcPr>
          <w:p>
            <w:pPr>
              <w:jc w:val="right"/>
              <w:ind w:right="372"/>
              <w:spacing w:after="0"/>
              <w:rPr>
                <w:sz w:val="20"/>
                <w:szCs w:val="20"/>
                <w:color w:val="auto"/>
              </w:rPr>
            </w:pPr>
            <w:r>
              <w:rPr>
                <w:rFonts w:ascii="Arial" w:cs="Arial" w:eastAsia="Arial" w:hAnsi="Arial"/>
                <w:sz w:val="10"/>
                <w:szCs w:val="10"/>
                <w:color w:val="auto"/>
              </w:rPr>
              <w:t>8,748</w:t>
            </w: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Martin H. Nesbitt</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30,572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Theodore F. Pound</w:t>
            </w:r>
          </w:p>
        </w:tc>
        <w:tc>
          <w:tcPr>
            <w:tcW w:w="2120" w:type="dxa"/>
            <w:vAlign w:val="bottom"/>
            <w:tcBorders>
              <w:bottom w:val="single" w:sz="8" w:color="D8EFF9"/>
            </w:tcBorders>
            <w:shd w:val="clear" w:color="auto" w:fill="D8EFF9"/>
          </w:tcPr>
          <w:p>
            <w:pPr>
              <w:jc w:val="right"/>
              <w:ind w:right="372"/>
              <w:spacing w:after="0"/>
              <w:rPr>
                <w:sz w:val="20"/>
                <w:szCs w:val="20"/>
                <w:color w:val="auto"/>
              </w:rPr>
            </w:pPr>
            <w:r>
              <w:rPr>
                <w:rFonts w:ascii="Arial" w:cs="Arial" w:eastAsia="Arial" w:hAnsi="Arial"/>
                <w:sz w:val="10"/>
                <w:szCs w:val="10"/>
                <w:color w:val="auto"/>
              </w:rPr>
              <w:t>43,770</w:t>
            </w: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Phillip R. Smith</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55,904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30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Barry T. Smitherman</w:t>
            </w:r>
          </w:p>
        </w:tc>
        <w:tc>
          <w:tcPr>
            <w:tcW w:w="2120" w:type="dxa"/>
            <w:vAlign w:val="bottom"/>
            <w:tcBorders>
              <w:bottom w:val="single" w:sz="8" w:color="D8EFF9"/>
            </w:tcBorders>
            <w:shd w:val="clear" w:color="auto" w:fill="D8EFF9"/>
          </w:tcPr>
          <w:p>
            <w:pPr>
              <w:jc w:val="right"/>
              <w:ind w:right="372"/>
              <w:spacing w:after="0"/>
              <w:rPr>
                <w:sz w:val="20"/>
                <w:szCs w:val="20"/>
                <w:color w:val="auto"/>
              </w:rPr>
            </w:pPr>
            <w:r>
              <w:rPr>
                <w:rFonts w:ascii="Arial" w:cs="Arial" w:eastAsia="Arial" w:hAnsi="Arial"/>
                <w:sz w:val="10"/>
                <w:szCs w:val="10"/>
                <w:color w:val="auto"/>
              </w:rPr>
              <w:t>20,534</w:t>
            </w:r>
          </w:p>
        </w:tc>
        <w:tc>
          <w:tcPr>
            <w:tcW w:w="0" w:type="dxa"/>
            <w:vAlign w:val="bottom"/>
          </w:tcPr>
          <w:p>
            <w:pPr>
              <w:spacing w:after="0"/>
              <w:rPr>
                <w:sz w:val="1"/>
                <w:szCs w:val="1"/>
                <w:color w:val="auto"/>
              </w:rPr>
            </w:pPr>
          </w:p>
        </w:tc>
      </w:tr>
      <w:tr>
        <w:trPr>
          <w:trHeight w:val="137"/>
        </w:trPr>
        <w:tc>
          <w:tcPr>
            <w:tcW w:w="5300" w:type="dxa"/>
            <w:vAlign w:val="bottom"/>
          </w:tcPr>
          <w:p>
            <w:pPr>
              <w:ind w:left="100"/>
              <w:spacing w:after="0"/>
              <w:rPr>
                <w:sz w:val="20"/>
                <w:szCs w:val="20"/>
                <w:color w:val="auto"/>
              </w:rPr>
            </w:pPr>
            <w:r>
              <w:rPr>
                <w:rFonts w:ascii="Arial" w:cs="Arial" w:eastAsia="Arial" w:hAnsi="Arial"/>
                <w:sz w:val="10"/>
                <w:szCs w:val="10"/>
                <w:color w:val="auto"/>
              </w:rPr>
              <w:t>Jason P. Wells</w:t>
            </w:r>
          </w:p>
        </w:tc>
        <w:tc>
          <w:tcPr>
            <w:tcW w:w="2120" w:type="dxa"/>
            <w:vAlign w:val="bottom"/>
          </w:tcPr>
          <w:p>
            <w:pPr>
              <w:jc w:val="right"/>
              <w:ind w:right="372"/>
              <w:spacing w:after="0"/>
              <w:rPr>
                <w:sz w:val="20"/>
                <w:szCs w:val="20"/>
                <w:color w:val="auto"/>
              </w:rPr>
            </w:pPr>
            <w:r>
              <w:rPr>
                <w:rFonts w:ascii="Arial" w:cs="Arial" w:eastAsia="Arial" w:hAnsi="Arial"/>
                <w:sz w:val="10"/>
                <w:szCs w:val="10"/>
                <w:color w:val="auto"/>
              </w:rPr>
              <w:t>123,205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300" w:type="dxa"/>
            <w:vAlign w:val="bottom"/>
            <w:shd w:val="clear" w:color="auto" w:fill="D8EFF9"/>
          </w:tcPr>
          <w:p>
            <w:pPr>
              <w:ind w:left="100"/>
              <w:spacing w:after="0"/>
              <w:rPr>
                <w:sz w:val="20"/>
                <w:szCs w:val="20"/>
                <w:color w:val="auto"/>
              </w:rPr>
            </w:pPr>
            <w:r>
              <w:rPr>
                <w:rFonts w:ascii="Arial" w:cs="Arial" w:eastAsia="Arial" w:hAnsi="Arial"/>
                <w:sz w:val="10"/>
                <w:szCs w:val="10"/>
                <w:color w:val="auto"/>
              </w:rPr>
              <w:t>All current executive officers and directors as a group (13 persons)</w:t>
            </w:r>
          </w:p>
        </w:tc>
        <w:tc>
          <w:tcPr>
            <w:tcW w:w="2120" w:type="dxa"/>
            <w:vAlign w:val="bottom"/>
            <w:shd w:val="clear" w:color="auto" w:fill="D8EFF9"/>
          </w:tcPr>
          <w:p>
            <w:pPr>
              <w:jc w:val="right"/>
              <w:ind w:right="192"/>
              <w:spacing w:after="0"/>
              <w:rPr>
                <w:sz w:val="20"/>
                <w:szCs w:val="20"/>
                <w:color w:val="auto"/>
              </w:rPr>
            </w:pPr>
            <w:r>
              <w:rPr>
                <w:rFonts w:ascii="Arial" w:cs="Arial" w:eastAsia="Arial" w:hAnsi="Arial"/>
                <w:sz w:val="10"/>
                <w:szCs w:val="10"/>
                <w:color w:val="auto"/>
              </w:rPr>
              <w:t>1,122,595</w:t>
            </w:r>
            <w:r>
              <w:rPr>
                <w:rFonts w:ascii="Arial" w:cs="Arial" w:eastAsia="Arial" w:hAnsi="Arial"/>
                <w:sz w:val="14"/>
                <w:szCs w:val="14"/>
                <w:color w:val="auto"/>
                <w:vertAlign w:val="superscript"/>
              </w:rPr>
              <w:t>(6)(7)</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160" w:hanging="226"/>
        <w:spacing w:after="0"/>
        <w:tabs>
          <w:tab w:leader="none" w:pos="21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Unless otherwise indicated, the address of each beneficial owner is c/o CenterPoint Energy, Inc., 1111 Louisiana Street, Houston, Texas 77002.</w:t>
      </w:r>
    </w:p>
    <w:p>
      <w:pPr>
        <w:spacing w:after="0" w:line="39" w:lineRule="exact"/>
        <w:rPr>
          <w:rFonts w:ascii="Arial" w:cs="Arial" w:eastAsia="Arial" w:hAnsi="Arial"/>
          <w:sz w:val="10"/>
          <w:szCs w:val="10"/>
          <w:color w:val="auto"/>
        </w:rPr>
      </w:pPr>
    </w:p>
    <w:p>
      <w:pPr>
        <w:jc w:val="both"/>
        <w:ind w:left="2160" w:right="799" w:hanging="226"/>
        <w:spacing w:after="0" w:line="231" w:lineRule="auto"/>
        <w:tabs>
          <w:tab w:leader="none" w:pos="21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This information is as of December 31, 2022 and is based on a Schedule 13G/A filed with the Securities and Exchange Commission on February 13, 2023 by Capital International Investors. This represents 12.9% of the outstanding common stock of CenterPoint Energy. The Schedule 13G reports sole voting power for 80,266,218 shares of common stock, no shared voting power for shares of common stock, sole dispositive power for 81,461,773 shares of common stock and no shared dispositive power for shares of common stock.</w:t>
      </w:r>
    </w:p>
    <w:p>
      <w:pPr>
        <w:spacing w:after="0" w:line="39" w:lineRule="exact"/>
        <w:rPr>
          <w:rFonts w:ascii="Arial" w:cs="Arial" w:eastAsia="Arial" w:hAnsi="Arial"/>
          <w:sz w:val="10"/>
          <w:szCs w:val="10"/>
          <w:color w:val="auto"/>
        </w:rPr>
      </w:pPr>
    </w:p>
    <w:p>
      <w:pPr>
        <w:jc w:val="both"/>
        <w:ind w:left="2160" w:right="799" w:hanging="226"/>
        <w:spacing w:after="0" w:line="231" w:lineRule="auto"/>
        <w:tabs>
          <w:tab w:leader="none" w:pos="21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This information is as of December 31, 2022 and is based on a Schedule 13G/A filed with the Securities and Exchange Commission on February 9, 2023 by The Vanguard Group, Inc. This represents 12.17% of the outstanding common stock of CenterPoint Energy. The Schedule 13G/A reports no sole voting power for shares of common stock, shared voting power for 1,145,986 shares of common stock, sole dispositive power for 73,794,136 shares of common stock and shared dispositive power for 2,785,276 shares of common stock.</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This information is as of December 31, 2022 and is based on a Schedule 13G/A filed with the Securities and Exchange Commission on February 3, 2023 by BlackRock, Inc. This represents 8.5% of the outstanding common stock of CenterPoint Energy. The Schedule 13G/A reports</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Stock Ownership (continued)</w:t>
      </w:r>
    </w:p>
    <w:p>
      <w:pPr>
        <w:spacing w:after="0" w:line="104" w:lineRule="exact"/>
        <w:rPr>
          <w:sz w:val="20"/>
          <w:szCs w:val="20"/>
          <w:color w:val="auto"/>
        </w:rPr>
      </w:pPr>
    </w:p>
    <w:p>
      <w:pPr>
        <w:ind w:left="2160" w:right="819"/>
        <w:spacing w:after="0" w:line="234" w:lineRule="auto"/>
        <w:rPr>
          <w:sz w:val="20"/>
          <w:szCs w:val="20"/>
          <w:color w:val="auto"/>
        </w:rPr>
      </w:pPr>
      <w:r>
        <w:rPr>
          <w:rFonts w:ascii="Arial" w:cs="Arial" w:eastAsia="Arial" w:hAnsi="Arial"/>
          <w:sz w:val="10"/>
          <w:szCs w:val="10"/>
          <w:color w:val="auto"/>
        </w:rPr>
        <w:t>sole voting power for 47,420,007 shares of common stock, no shared voting power for shares of common stock, sole dispositive power for 52,206,040 shares of common stock and no shared dispositive power for shares of common stock.</w:t>
      </w:r>
    </w:p>
    <w:p>
      <w:pPr>
        <w:spacing w:after="0" w:line="39" w:lineRule="exact"/>
        <w:rPr>
          <w:sz w:val="20"/>
          <w:szCs w:val="20"/>
          <w:color w:val="auto"/>
        </w:rPr>
      </w:pPr>
    </w:p>
    <w:p>
      <w:pPr>
        <w:jc w:val="both"/>
        <w:ind w:left="2160" w:right="799" w:hanging="226"/>
        <w:spacing w:after="0" w:line="231" w:lineRule="auto"/>
        <w:tabs>
          <w:tab w:leader="none" w:pos="21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This information is as of December 31, 2022 and is based on a Schedule 13G/A filed with the Securities and Exchange Commission on February 6, 2023 by State Street Corporation. This represents 5.42% of the outstanding common stock of CenterPoint Energy. The Schedule 13G reports no sole voting power for shares of common stock, shared voting power for 28,509,634 shares of common stock, no sole dispositive power for shares of common stock and shared dispositive power for 34,058,140 shares of common stock.</w:t>
      </w:r>
    </w:p>
    <w:p>
      <w:pPr>
        <w:spacing w:after="0" w:line="39" w:lineRule="exact"/>
        <w:rPr>
          <w:rFonts w:ascii="Arial" w:cs="Arial" w:eastAsia="Arial" w:hAnsi="Arial"/>
          <w:sz w:val="10"/>
          <w:szCs w:val="10"/>
          <w:color w:val="auto"/>
        </w:rPr>
      </w:pPr>
    </w:p>
    <w:p>
      <w:pPr>
        <w:jc w:val="both"/>
        <w:ind w:left="2160" w:right="819" w:hanging="226"/>
        <w:spacing w:after="0" w:line="232" w:lineRule="auto"/>
        <w:tabs>
          <w:tab w:leader="none" w:pos="21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Does not include Ms. Biddle (who departed from the Company during 2022) or Messrs. Doyle or Knight (who each departed from the Company on January 3, 2023 due to the elimination of their positions).</w:t>
      </w:r>
    </w:p>
    <w:p>
      <w:pPr>
        <w:spacing w:after="0" w:line="131" w:lineRule="exact"/>
        <w:rPr>
          <w:sz w:val="20"/>
          <w:szCs w:val="20"/>
          <w:color w:val="auto"/>
        </w:rPr>
      </w:pPr>
    </w:p>
    <w:p>
      <w:pPr>
        <w:ind w:left="2220" w:hanging="230"/>
        <w:spacing w:after="0"/>
        <w:tabs>
          <w:tab w:leader="none" w:pos="2220" w:val="left"/>
        </w:tabs>
        <w:numPr>
          <w:ilvl w:val="0"/>
          <w:numId w:val="4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COMPENSATION DISCUSSION AND ANALYSIS</w:t>
      </w:r>
    </w:p>
    <w:p>
      <w:pPr>
        <w:spacing w:after="0" w:line="158" w:lineRule="exact"/>
        <w:rPr>
          <w:sz w:val="20"/>
          <w:szCs w:val="20"/>
          <w:color w:val="auto"/>
        </w:rPr>
      </w:pPr>
    </w:p>
    <w:p>
      <w:pPr>
        <w:jc w:val="both"/>
        <w:ind w:left="1940" w:right="799"/>
        <w:spacing w:after="0" w:line="242" w:lineRule="auto"/>
        <w:rPr>
          <w:sz w:val="20"/>
          <w:szCs w:val="20"/>
          <w:color w:val="auto"/>
        </w:rPr>
      </w:pPr>
      <w:r>
        <w:rPr>
          <w:rFonts w:ascii="Arial" w:cs="Arial" w:eastAsia="Arial" w:hAnsi="Arial"/>
          <w:sz w:val="12"/>
          <w:szCs w:val="12"/>
          <w:i w:val="1"/>
          <w:iCs w:val="1"/>
          <w:color w:val="auto"/>
        </w:rPr>
        <w:t>The following compensation discussion and analysis as well as the information provided under the “Executive Compensation Tables” section contains information regarding measures applicable to performance-based compensation and targets and other achievement levels associated with these measures. CenterPoint Energy cautions investors not to regard this information, to the extent it may relate to future periods or dates, as forecasts, projections or other guidance. The reasons for this caution include the following: The information regarding performance objectives and associated achievement levels was formulated as of earlier dates and does not take into account subsequent developments.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w:t>
      </w: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173"/>
        </w:trPr>
        <w:tc>
          <w:tcPr>
            <w:tcW w:w="60" w:type="dxa"/>
            <w:vAlign w:val="bottom"/>
            <w:shd w:val="clear" w:color="auto" w:fill="009AD9"/>
          </w:tcPr>
          <w:p>
            <w:pPr>
              <w:spacing w:after="0"/>
              <w:rPr>
                <w:sz w:val="15"/>
                <w:szCs w:val="15"/>
                <w:color w:val="auto"/>
              </w:rPr>
            </w:pPr>
          </w:p>
        </w:tc>
        <w:tc>
          <w:tcPr>
            <w:tcW w:w="1080" w:type="dxa"/>
            <w:vAlign w:val="bottom"/>
            <w:shd w:val="clear" w:color="auto" w:fill="009AD9"/>
          </w:tcPr>
          <w:p>
            <w:pPr>
              <w:spacing w:after="0"/>
              <w:rPr>
                <w:sz w:val="15"/>
                <w:szCs w:val="15"/>
                <w:color w:val="auto"/>
              </w:rPr>
            </w:pPr>
          </w:p>
        </w:tc>
        <w:tc>
          <w:tcPr>
            <w:tcW w:w="1060" w:type="dxa"/>
            <w:vAlign w:val="bottom"/>
            <w:shd w:val="clear" w:color="auto" w:fill="009AD9"/>
          </w:tcPr>
          <w:p>
            <w:pPr>
              <w:spacing w:after="0"/>
              <w:rPr>
                <w:sz w:val="15"/>
                <w:szCs w:val="15"/>
                <w:color w:val="auto"/>
              </w:rPr>
            </w:pPr>
          </w:p>
        </w:tc>
        <w:tc>
          <w:tcPr>
            <w:tcW w:w="240" w:type="dxa"/>
            <w:vAlign w:val="bottom"/>
            <w:shd w:val="clear" w:color="auto" w:fill="009AD9"/>
          </w:tcPr>
          <w:p>
            <w:pPr>
              <w:spacing w:after="0"/>
              <w:rPr>
                <w:sz w:val="15"/>
                <w:szCs w:val="15"/>
                <w:color w:val="auto"/>
              </w:rPr>
            </w:pPr>
          </w:p>
        </w:tc>
        <w:tc>
          <w:tcPr>
            <w:tcW w:w="20" w:type="dxa"/>
            <w:vAlign w:val="bottom"/>
            <w:shd w:val="clear" w:color="auto" w:fill="009AD9"/>
          </w:tcPr>
          <w:p>
            <w:pPr>
              <w:spacing w:after="0"/>
              <w:rPr>
                <w:sz w:val="15"/>
                <w:szCs w:val="15"/>
                <w:color w:val="auto"/>
              </w:rPr>
            </w:pPr>
          </w:p>
        </w:tc>
        <w:tc>
          <w:tcPr>
            <w:tcW w:w="60" w:type="dxa"/>
            <w:vAlign w:val="bottom"/>
            <w:shd w:val="clear" w:color="auto" w:fill="009AD9"/>
          </w:tcPr>
          <w:p>
            <w:pPr>
              <w:spacing w:after="0"/>
              <w:rPr>
                <w:sz w:val="15"/>
                <w:szCs w:val="15"/>
                <w:color w:val="auto"/>
              </w:rPr>
            </w:pPr>
          </w:p>
        </w:tc>
        <w:tc>
          <w:tcPr>
            <w:tcW w:w="3200" w:type="dxa"/>
            <w:vAlign w:val="bottom"/>
            <w:gridSpan w:val="2"/>
            <w:shd w:val="clear" w:color="auto" w:fill="009AD9"/>
          </w:tcPr>
          <w:p>
            <w:pPr>
              <w:ind w:left="480"/>
              <w:spacing w:after="0"/>
              <w:rPr>
                <w:sz w:val="20"/>
                <w:szCs w:val="20"/>
                <w:color w:val="auto"/>
              </w:rPr>
            </w:pPr>
            <w:r>
              <w:rPr>
                <w:rFonts w:ascii="Arial" w:cs="Arial" w:eastAsia="Arial" w:hAnsi="Arial"/>
                <w:sz w:val="12"/>
                <w:szCs w:val="12"/>
                <w:b w:val="1"/>
                <w:bCs w:val="1"/>
                <w:color w:val="FFFFFF"/>
              </w:rPr>
              <w:t>CD&amp;A Table of Contents</w:t>
            </w:r>
          </w:p>
        </w:tc>
        <w:tc>
          <w:tcPr>
            <w:tcW w:w="1700" w:type="dxa"/>
            <w:vAlign w:val="bottom"/>
            <w:shd w:val="clear" w:color="auto" w:fill="009AD9"/>
          </w:tcPr>
          <w:p>
            <w:pPr>
              <w:spacing w:after="0"/>
              <w:rPr>
                <w:sz w:val="15"/>
                <w:szCs w:val="15"/>
                <w:color w:val="auto"/>
              </w:rPr>
            </w:pPr>
          </w:p>
        </w:tc>
      </w:tr>
      <w:tr>
        <w:trPr>
          <w:trHeight w:val="127"/>
        </w:trPr>
        <w:tc>
          <w:tcPr>
            <w:tcW w:w="5720" w:type="dxa"/>
            <w:vAlign w:val="bottom"/>
            <w:gridSpan w:val="8"/>
          </w:tcPr>
          <w:p>
            <w:pPr>
              <w:ind w:left="60"/>
              <w:spacing w:after="0" w:line="128" w:lineRule="exact"/>
              <w:rPr>
                <w:sz w:val="20"/>
                <w:szCs w:val="20"/>
                <w:color w:val="auto"/>
              </w:rPr>
            </w:pPr>
            <w:r>
              <w:rPr>
                <w:rFonts w:ascii="Arial" w:cs="Arial" w:eastAsia="Arial" w:hAnsi="Arial"/>
                <w:sz w:val="12"/>
                <w:szCs w:val="12"/>
                <w:color w:val="0000EE"/>
              </w:rPr>
              <w:t>Executive Summary</w:t>
            </w:r>
          </w:p>
        </w:tc>
        <w:tc>
          <w:tcPr>
            <w:tcW w:w="1700" w:type="dxa"/>
            <w:vAlign w:val="bottom"/>
          </w:tcPr>
          <w:p>
            <w:pPr>
              <w:jc w:val="right"/>
              <w:ind w:right="179"/>
              <w:spacing w:after="0" w:line="128" w:lineRule="exact"/>
              <w:rPr>
                <w:sz w:val="20"/>
                <w:szCs w:val="20"/>
                <w:color w:val="auto"/>
              </w:rPr>
            </w:pPr>
            <w:r>
              <w:rPr>
                <w:rFonts w:ascii="Arial" w:cs="Arial" w:eastAsia="Arial" w:hAnsi="Arial"/>
                <w:sz w:val="12"/>
                <w:szCs w:val="12"/>
                <w:color w:val="auto"/>
              </w:rPr>
              <w:t>41</w:t>
            </w:r>
          </w:p>
        </w:tc>
      </w:tr>
      <w:tr>
        <w:trPr>
          <w:trHeight w:val="25"/>
        </w:trPr>
        <w:tc>
          <w:tcPr>
            <w:tcW w:w="60" w:type="dxa"/>
            <w:vAlign w:val="bottom"/>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27"/>
        </w:trPr>
        <w:tc>
          <w:tcPr>
            <w:tcW w:w="60" w:type="dxa"/>
            <w:vAlign w:val="bottom"/>
            <w:shd w:val="clear" w:color="auto" w:fill="D8EFF9"/>
          </w:tcPr>
          <w:p>
            <w:pPr>
              <w:spacing w:after="0"/>
              <w:rPr>
                <w:sz w:val="11"/>
                <w:szCs w:val="11"/>
                <w:color w:val="auto"/>
              </w:rPr>
            </w:pPr>
          </w:p>
        </w:tc>
        <w:tc>
          <w:tcPr>
            <w:tcW w:w="5660" w:type="dxa"/>
            <w:vAlign w:val="bottom"/>
            <w:gridSpan w:val="7"/>
            <w:shd w:val="clear" w:color="auto" w:fill="D8EFF9"/>
          </w:tcPr>
          <w:p>
            <w:pPr>
              <w:spacing w:after="0" w:line="128" w:lineRule="exact"/>
              <w:rPr>
                <w:sz w:val="20"/>
                <w:szCs w:val="20"/>
                <w:color w:val="auto"/>
              </w:rPr>
            </w:pPr>
            <w:r>
              <w:rPr>
                <w:rFonts w:ascii="Arial" w:cs="Arial" w:eastAsia="Arial" w:hAnsi="Arial"/>
                <w:sz w:val="12"/>
                <w:szCs w:val="12"/>
                <w:color w:val="0000EE"/>
              </w:rPr>
              <w:t>Executive Compensation Program Overview</w:t>
            </w:r>
          </w:p>
        </w:tc>
        <w:tc>
          <w:tcPr>
            <w:tcW w:w="1700" w:type="dxa"/>
            <w:vAlign w:val="bottom"/>
            <w:shd w:val="clear" w:color="auto" w:fill="D8EFF9"/>
          </w:tcPr>
          <w:p>
            <w:pPr>
              <w:jc w:val="right"/>
              <w:ind w:right="179"/>
              <w:spacing w:after="0" w:line="128" w:lineRule="exact"/>
              <w:rPr>
                <w:sz w:val="20"/>
                <w:szCs w:val="20"/>
                <w:color w:val="auto"/>
              </w:rPr>
            </w:pPr>
            <w:r>
              <w:rPr>
                <w:rFonts w:ascii="Arial" w:cs="Arial" w:eastAsia="Arial" w:hAnsi="Arial"/>
                <w:sz w:val="12"/>
                <w:szCs w:val="12"/>
                <w:color w:val="auto"/>
              </w:rPr>
              <w:t>50</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1080" w:type="dxa"/>
            <w:vAlign w:val="bottom"/>
            <w:tcBorders>
              <w:top w:val="single" w:sz="8" w:color="0000EE"/>
            </w:tcBorders>
            <w:shd w:val="clear" w:color="auto" w:fill="D8EFF9"/>
          </w:tcPr>
          <w:p>
            <w:pPr>
              <w:spacing w:after="0"/>
              <w:rPr>
                <w:sz w:val="2"/>
                <w:szCs w:val="2"/>
                <w:color w:val="auto"/>
              </w:rPr>
            </w:pPr>
          </w:p>
        </w:tc>
        <w:tc>
          <w:tcPr>
            <w:tcW w:w="1060" w:type="dxa"/>
            <w:vAlign w:val="bottom"/>
            <w:tcBorders>
              <w:top w:val="single" w:sz="8" w:color="0000EE"/>
            </w:tcBorders>
            <w:shd w:val="clear" w:color="auto" w:fill="D8EFF9"/>
          </w:tcPr>
          <w:p>
            <w:pPr>
              <w:spacing w:after="0"/>
              <w:rPr>
                <w:sz w:val="2"/>
                <w:szCs w:val="2"/>
                <w:color w:val="auto"/>
              </w:rPr>
            </w:pPr>
          </w:p>
        </w:tc>
        <w:tc>
          <w:tcPr>
            <w:tcW w:w="24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60" w:type="dxa"/>
            <w:vAlign w:val="bottom"/>
            <w:tcBorders>
              <w:top w:val="single" w:sz="8" w:color="D8EFF9"/>
            </w:tcBorders>
            <w:shd w:val="clear" w:color="auto" w:fill="D8EFF9"/>
          </w:tcPr>
          <w:p>
            <w:pPr>
              <w:spacing w:after="0"/>
              <w:rPr>
                <w:sz w:val="2"/>
                <w:szCs w:val="2"/>
                <w:color w:val="auto"/>
              </w:rPr>
            </w:pPr>
          </w:p>
        </w:tc>
        <w:tc>
          <w:tcPr>
            <w:tcW w:w="520" w:type="dxa"/>
            <w:vAlign w:val="bottom"/>
            <w:tcBorders>
              <w:top w:val="single" w:sz="8" w:color="D8EFF9"/>
            </w:tcBorders>
            <w:shd w:val="clear" w:color="auto" w:fill="D8EFF9"/>
          </w:tcPr>
          <w:p>
            <w:pPr>
              <w:spacing w:after="0"/>
              <w:rPr>
                <w:sz w:val="2"/>
                <w:szCs w:val="2"/>
                <w:color w:val="auto"/>
              </w:rPr>
            </w:pPr>
          </w:p>
        </w:tc>
        <w:tc>
          <w:tcPr>
            <w:tcW w:w="2680" w:type="dxa"/>
            <w:vAlign w:val="bottom"/>
            <w:tcBorders>
              <w:top w:val="single" w:sz="8" w:color="D8EFF9"/>
            </w:tcBorders>
            <w:shd w:val="clear" w:color="auto" w:fill="D8EFF9"/>
          </w:tcPr>
          <w:p>
            <w:pPr>
              <w:spacing w:after="0"/>
              <w:rPr>
                <w:sz w:val="2"/>
                <w:szCs w:val="2"/>
                <w:color w:val="auto"/>
              </w:rPr>
            </w:pPr>
          </w:p>
        </w:tc>
        <w:tc>
          <w:tcPr>
            <w:tcW w:w="1700" w:type="dxa"/>
            <w:vAlign w:val="bottom"/>
            <w:tcBorders>
              <w:top w:val="single" w:sz="8" w:color="D8EFF9"/>
            </w:tcBorders>
            <w:shd w:val="clear" w:color="auto" w:fill="D8EFF9"/>
          </w:tcPr>
          <w:p>
            <w:pPr>
              <w:spacing w:after="0"/>
              <w:rPr>
                <w:sz w:val="2"/>
                <w:szCs w:val="2"/>
                <w:color w:val="auto"/>
              </w:rPr>
            </w:pPr>
          </w:p>
        </w:tc>
      </w:tr>
      <w:tr>
        <w:trPr>
          <w:trHeight w:val="127"/>
        </w:trPr>
        <w:tc>
          <w:tcPr>
            <w:tcW w:w="60" w:type="dxa"/>
            <w:vAlign w:val="bottom"/>
          </w:tcPr>
          <w:p>
            <w:pPr>
              <w:spacing w:after="0"/>
              <w:rPr>
                <w:sz w:val="11"/>
                <w:szCs w:val="11"/>
                <w:color w:val="auto"/>
              </w:rPr>
            </w:pPr>
          </w:p>
        </w:tc>
        <w:tc>
          <w:tcPr>
            <w:tcW w:w="5660" w:type="dxa"/>
            <w:vAlign w:val="bottom"/>
            <w:gridSpan w:val="7"/>
          </w:tcPr>
          <w:p>
            <w:pPr>
              <w:spacing w:after="0" w:line="128" w:lineRule="exact"/>
              <w:rPr>
                <w:sz w:val="20"/>
                <w:szCs w:val="20"/>
                <w:color w:val="auto"/>
              </w:rPr>
            </w:pPr>
            <w:r>
              <w:rPr>
                <w:rFonts w:ascii="Arial" w:cs="Arial" w:eastAsia="Arial" w:hAnsi="Arial"/>
                <w:sz w:val="12"/>
                <w:szCs w:val="12"/>
                <w:color w:val="0000EE"/>
              </w:rPr>
              <w:t>Design of Executive Compensation Program</w:t>
            </w:r>
          </w:p>
        </w:tc>
        <w:tc>
          <w:tcPr>
            <w:tcW w:w="1700" w:type="dxa"/>
            <w:vAlign w:val="bottom"/>
          </w:tcPr>
          <w:p>
            <w:pPr>
              <w:jc w:val="right"/>
              <w:ind w:right="179"/>
              <w:spacing w:after="0" w:line="128" w:lineRule="exact"/>
              <w:rPr>
                <w:sz w:val="20"/>
                <w:szCs w:val="20"/>
                <w:color w:val="auto"/>
              </w:rPr>
            </w:pPr>
            <w:r>
              <w:rPr>
                <w:rFonts w:ascii="Arial" w:cs="Arial" w:eastAsia="Arial" w:hAnsi="Arial"/>
                <w:sz w:val="12"/>
                <w:szCs w:val="12"/>
                <w:color w:val="auto"/>
              </w:rPr>
              <w:t>51</w:t>
            </w:r>
          </w:p>
        </w:tc>
      </w:tr>
      <w:tr>
        <w:trPr>
          <w:trHeight w:val="25"/>
        </w:trPr>
        <w:tc>
          <w:tcPr>
            <w:tcW w:w="60" w:type="dxa"/>
            <w:vAlign w:val="bottom"/>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27"/>
        </w:trPr>
        <w:tc>
          <w:tcPr>
            <w:tcW w:w="60" w:type="dxa"/>
            <w:vAlign w:val="bottom"/>
            <w:shd w:val="clear" w:color="auto" w:fill="D8EFF9"/>
          </w:tcPr>
          <w:p>
            <w:pPr>
              <w:spacing w:after="0"/>
              <w:rPr>
                <w:sz w:val="11"/>
                <w:szCs w:val="11"/>
                <w:color w:val="auto"/>
              </w:rPr>
            </w:pPr>
          </w:p>
        </w:tc>
        <w:tc>
          <w:tcPr>
            <w:tcW w:w="5660" w:type="dxa"/>
            <w:vAlign w:val="bottom"/>
            <w:gridSpan w:val="7"/>
            <w:shd w:val="clear" w:color="auto" w:fill="D8EFF9"/>
          </w:tcPr>
          <w:p>
            <w:pPr>
              <w:spacing w:after="0" w:line="128" w:lineRule="exact"/>
              <w:rPr>
                <w:sz w:val="20"/>
                <w:szCs w:val="20"/>
                <w:color w:val="auto"/>
              </w:rPr>
            </w:pPr>
            <w:r>
              <w:rPr>
                <w:rFonts w:ascii="Arial" w:cs="Arial" w:eastAsia="Arial" w:hAnsi="Arial"/>
                <w:sz w:val="12"/>
                <w:szCs w:val="12"/>
                <w:color w:val="0000EE"/>
              </w:rPr>
              <w:t>2022 Executive Compensation Program</w:t>
            </w:r>
          </w:p>
        </w:tc>
        <w:tc>
          <w:tcPr>
            <w:tcW w:w="1700" w:type="dxa"/>
            <w:vAlign w:val="bottom"/>
            <w:shd w:val="clear" w:color="auto" w:fill="D8EFF9"/>
          </w:tcPr>
          <w:p>
            <w:pPr>
              <w:jc w:val="right"/>
              <w:ind w:right="179"/>
              <w:spacing w:after="0" w:line="128" w:lineRule="exact"/>
              <w:rPr>
                <w:sz w:val="20"/>
                <w:szCs w:val="20"/>
                <w:color w:val="auto"/>
              </w:rPr>
            </w:pPr>
            <w:r>
              <w:rPr>
                <w:rFonts w:ascii="Arial" w:cs="Arial" w:eastAsia="Arial" w:hAnsi="Arial"/>
                <w:sz w:val="12"/>
                <w:szCs w:val="12"/>
                <w:color w:val="auto"/>
              </w:rPr>
              <w:t>54</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1080" w:type="dxa"/>
            <w:vAlign w:val="bottom"/>
            <w:tcBorders>
              <w:top w:val="single" w:sz="8" w:color="0000EE"/>
            </w:tcBorders>
            <w:shd w:val="clear" w:color="auto" w:fill="D8EFF9"/>
          </w:tcPr>
          <w:p>
            <w:pPr>
              <w:spacing w:after="0"/>
              <w:rPr>
                <w:sz w:val="2"/>
                <w:szCs w:val="2"/>
                <w:color w:val="auto"/>
              </w:rPr>
            </w:pPr>
          </w:p>
        </w:tc>
        <w:tc>
          <w:tcPr>
            <w:tcW w:w="1060" w:type="dxa"/>
            <w:vAlign w:val="bottom"/>
            <w:tcBorders>
              <w:top w:val="single" w:sz="8" w:color="0000EE"/>
            </w:tcBorders>
            <w:shd w:val="clear" w:color="auto" w:fill="D8EFF9"/>
          </w:tcPr>
          <w:p>
            <w:pPr>
              <w:spacing w:after="0"/>
              <w:rPr>
                <w:sz w:val="2"/>
                <w:szCs w:val="2"/>
                <w:color w:val="auto"/>
              </w:rPr>
            </w:pPr>
          </w:p>
        </w:tc>
        <w:tc>
          <w:tcPr>
            <w:tcW w:w="240" w:type="dxa"/>
            <w:vAlign w:val="bottom"/>
            <w:tcBorders>
              <w:top w:val="single" w:sz="8" w:color="D8EFF9"/>
            </w:tcBorders>
            <w:shd w:val="clear" w:color="auto" w:fill="D8EFF9"/>
          </w:tcPr>
          <w:p>
            <w:pPr>
              <w:spacing w:after="0"/>
              <w:rPr>
                <w:sz w:val="2"/>
                <w:szCs w:val="2"/>
                <w:color w:val="auto"/>
              </w:rPr>
            </w:pPr>
          </w:p>
        </w:tc>
        <w:tc>
          <w:tcPr>
            <w:tcW w:w="20" w:type="dxa"/>
            <w:vAlign w:val="bottom"/>
            <w:tcBorders>
              <w:top w:val="single" w:sz="8" w:color="D8EFF9"/>
            </w:tcBorders>
            <w:shd w:val="clear" w:color="auto" w:fill="D8EFF9"/>
          </w:tcPr>
          <w:p>
            <w:pPr>
              <w:spacing w:after="0"/>
              <w:rPr>
                <w:sz w:val="2"/>
                <w:szCs w:val="2"/>
                <w:color w:val="auto"/>
              </w:rPr>
            </w:pPr>
          </w:p>
        </w:tc>
        <w:tc>
          <w:tcPr>
            <w:tcW w:w="60" w:type="dxa"/>
            <w:vAlign w:val="bottom"/>
            <w:tcBorders>
              <w:top w:val="single" w:sz="8" w:color="D8EFF9"/>
            </w:tcBorders>
            <w:shd w:val="clear" w:color="auto" w:fill="D8EFF9"/>
          </w:tcPr>
          <w:p>
            <w:pPr>
              <w:spacing w:after="0"/>
              <w:rPr>
                <w:sz w:val="2"/>
                <w:szCs w:val="2"/>
                <w:color w:val="auto"/>
              </w:rPr>
            </w:pPr>
          </w:p>
        </w:tc>
        <w:tc>
          <w:tcPr>
            <w:tcW w:w="520" w:type="dxa"/>
            <w:vAlign w:val="bottom"/>
            <w:tcBorders>
              <w:top w:val="single" w:sz="8" w:color="D8EFF9"/>
            </w:tcBorders>
            <w:shd w:val="clear" w:color="auto" w:fill="D8EFF9"/>
          </w:tcPr>
          <w:p>
            <w:pPr>
              <w:spacing w:after="0"/>
              <w:rPr>
                <w:sz w:val="2"/>
                <w:szCs w:val="2"/>
                <w:color w:val="auto"/>
              </w:rPr>
            </w:pPr>
          </w:p>
        </w:tc>
        <w:tc>
          <w:tcPr>
            <w:tcW w:w="2680" w:type="dxa"/>
            <w:vAlign w:val="bottom"/>
            <w:tcBorders>
              <w:top w:val="single" w:sz="8" w:color="D8EFF9"/>
            </w:tcBorders>
            <w:shd w:val="clear" w:color="auto" w:fill="D8EFF9"/>
          </w:tcPr>
          <w:p>
            <w:pPr>
              <w:spacing w:after="0"/>
              <w:rPr>
                <w:sz w:val="2"/>
                <w:szCs w:val="2"/>
                <w:color w:val="auto"/>
              </w:rPr>
            </w:pPr>
          </w:p>
        </w:tc>
        <w:tc>
          <w:tcPr>
            <w:tcW w:w="1700" w:type="dxa"/>
            <w:vAlign w:val="bottom"/>
            <w:tcBorders>
              <w:top w:val="single" w:sz="8" w:color="D8EFF9"/>
            </w:tcBorders>
            <w:shd w:val="clear" w:color="auto" w:fill="D8EFF9"/>
          </w:tcPr>
          <w:p>
            <w:pPr>
              <w:spacing w:after="0"/>
              <w:rPr>
                <w:sz w:val="2"/>
                <w:szCs w:val="2"/>
                <w:color w:val="auto"/>
              </w:rPr>
            </w:pPr>
          </w:p>
        </w:tc>
      </w:tr>
      <w:tr>
        <w:trPr>
          <w:trHeight w:val="127"/>
        </w:trPr>
        <w:tc>
          <w:tcPr>
            <w:tcW w:w="60" w:type="dxa"/>
            <w:vAlign w:val="bottom"/>
          </w:tcPr>
          <w:p>
            <w:pPr>
              <w:spacing w:after="0"/>
              <w:rPr>
                <w:sz w:val="11"/>
                <w:szCs w:val="11"/>
                <w:color w:val="auto"/>
              </w:rPr>
            </w:pPr>
          </w:p>
        </w:tc>
        <w:tc>
          <w:tcPr>
            <w:tcW w:w="5660" w:type="dxa"/>
            <w:vAlign w:val="bottom"/>
            <w:gridSpan w:val="7"/>
          </w:tcPr>
          <w:p>
            <w:pPr>
              <w:spacing w:after="0" w:line="128" w:lineRule="exact"/>
              <w:rPr>
                <w:sz w:val="20"/>
                <w:szCs w:val="20"/>
                <w:color w:val="auto"/>
              </w:rPr>
            </w:pPr>
            <w:r>
              <w:rPr>
                <w:rFonts w:ascii="Arial" w:cs="Arial" w:eastAsia="Arial" w:hAnsi="Arial"/>
                <w:sz w:val="12"/>
                <w:szCs w:val="12"/>
                <w:color w:val="0000EE"/>
              </w:rPr>
              <w:t>Our Executive Compensation Decision-Making Process</w:t>
            </w:r>
          </w:p>
        </w:tc>
        <w:tc>
          <w:tcPr>
            <w:tcW w:w="1700" w:type="dxa"/>
            <w:vAlign w:val="bottom"/>
          </w:tcPr>
          <w:p>
            <w:pPr>
              <w:jc w:val="right"/>
              <w:ind w:right="179"/>
              <w:spacing w:after="0" w:line="128" w:lineRule="exact"/>
              <w:rPr>
                <w:sz w:val="20"/>
                <w:szCs w:val="20"/>
                <w:color w:val="auto"/>
              </w:rPr>
            </w:pPr>
            <w:r>
              <w:rPr>
                <w:rFonts w:ascii="Arial" w:cs="Arial" w:eastAsia="Arial" w:hAnsi="Arial"/>
                <w:sz w:val="12"/>
                <w:szCs w:val="12"/>
                <w:color w:val="auto"/>
              </w:rPr>
              <w:t>63</w:t>
            </w:r>
          </w:p>
        </w:tc>
      </w:tr>
      <w:tr>
        <w:trPr>
          <w:trHeight w:val="25"/>
        </w:trPr>
        <w:tc>
          <w:tcPr>
            <w:tcW w:w="60" w:type="dxa"/>
            <w:vAlign w:val="bottom"/>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27"/>
        </w:trPr>
        <w:tc>
          <w:tcPr>
            <w:tcW w:w="5720" w:type="dxa"/>
            <w:vAlign w:val="bottom"/>
            <w:gridSpan w:val="8"/>
            <w:shd w:val="clear" w:color="auto" w:fill="D8EFF9"/>
          </w:tcPr>
          <w:p>
            <w:pPr>
              <w:ind w:left="60"/>
              <w:spacing w:after="0" w:line="128" w:lineRule="exact"/>
              <w:rPr>
                <w:sz w:val="20"/>
                <w:szCs w:val="20"/>
                <w:color w:val="auto"/>
              </w:rPr>
            </w:pPr>
            <w:r>
              <w:rPr>
                <w:rFonts w:ascii="Arial" w:cs="Arial" w:eastAsia="Arial" w:hAnsi="Arial"/>
                <w:sz w:val="12"/>
                <w:szCs w:val="12"/>
                <w:color w:val="0000EE"/>
              </w:rPr>
              <w:t>Other Compensation Programs and Practices</w:t>
            </w:r>
          </w:p>
        </w:tc>
        <w:tc>
          <w:tcPr>
            <w:tcW w:w="1700" w:type="dxa"/>
            <w:vAlign w:val="bottom"/>
            <w:shd w:val="clear" w:color="auto" w:fill="D8EFF9"/>
          </w:tcPr>
          <w:p>
            <w:pPr>
              <w:jc w:val="right"/>
              <w:ind w:right="179"/>
              <w:spacing w:after="0" w:line="128" w:lineRule="exact"/>
              <w:rPr>
                <w:sz w:val="20"/>
                <w:szCs w:val="20"/>
                <w:color w:val="auto"/>
              </w:rPr>
            </w:pPr>
            <w:r>
              <w:rPr>
                <w:rFonts w:ascii="Arial" w:cs="Arial" w:eastAsia="Arial" w:hAnsi="Arial"/>
                <w:sz w:val="12"/>
                <w:szCs w:val="12"/>
                <w:color w:val="auto"/>
              </w:rPr>
              <w:t>65</w:t>
            </w:r>
          </w:p>
        </w:tc>
      </w:tr>
      <w:tr>
        <w:trPr>
          <w:trHeight w:val="25"/>
        </w:trPr>
        <w:tc>
          <w:tcPr>
            <w:tcW w:w="60" w:type="dxa"/>
            <w:vAlign w:val="bottom"/>
            <w:tcBorders>
              <w:top w:val="single" w:sz="8" w:color="D8EFF9"/>
            </w:tcBorders>
            <w:shd w:val="clear" w:color="auto" w:fill="D8EFF9"/>
          </w:tcPr>
          <w:p>
            <w:pPr>
              <w:spacing w:after="0"/>
              <w:rPr>
                <w:sz w:val="2"/>
                <w:szCs w:val="2"/>
                <w:color w:val="auto"/>
              </w:rPr>
            </w:pPr>
          </w:p>
        </w:tc>
        <w:tc>
          <w:tcPr>
            <w:tcW w:w="1080" w:type="dxa"/>
            <w:vAlign w:val="bottom"/>
            <w:tcBorders>
              <w:top w:val="single" w:sz="8" w:color="0000EE"/>
            </w:tcBorders>
            <w:shd w:val="clear" w:color="auto" w:fill="D8EFF9"/>
          </w:tcPr>
          <w:p>
            <w:pPr>
              <w:spacing w:after="0"/>
              <w:rPr>
                <w:sz w:val="2"/>
                <w:szCs w:val="2"/>
                <w:color w:val="auto"/>
              </w:rPr>
            </w:pPr>
          </w:p>
        </w:tc>
        <w:tc>
          <w:tcPr>
            <w:tcW w:w="1060" w:type="dxa"/>
            <w:vAlign w:val="bottom"/>
            <w:tcBorders>
              <w:top w:val="single" w:sz="8" w:color="0000EE"/>
            </w:tcBorders>
            <w:shd w:val="clear" w:color="auto" w:fill="D8EFF9"/>
          </w:tcPr>
          <w:p>
            <w:pPr>
              <w:spacing w:after="0"/>
              <w:rPr>
                <w:sz w:val="2"/>
                <w:szCs w:val="2"/>
                <w:color w:val="auto"/>
              </w:rPr>
            </w:pPr>
          </w:p>
        </w:tc>
        <w:tc>
          <w:tcPr>
            <w:tcW w:w="240" w:type="dxa"/>
            <w:vAlign w:val="bottom"/>
            <w:tcBorders>
              <w:top w:val="single" w:sz="8" w:color="0000EE"/>
            </w:tcBorders>
            <w:shd w:val="clear" w:color="auto" w:fill="D8EFF9"/>
          </w:tcPr>
          <w:p>
            <w:pPr>
              <w:spacing w:after="0"/>
              <w:rPr>
                <w:sz w:val="2"/>
                <w:szCs w:val="2"/>
                <w:color w:val="auto"/>
              </w:rPr>
            </w:pPr>
          </w:p>
        </w:tc>
        <w:tc>
          <w:tcPr>
            <w:tcW w:w="20" w:type="dxa"/>
            <w:vAlign w:val="bottom"/>
            <w:tcBorders>
              <w:top w:val="single" w:sz="8" w:color="0000EE"/>
            </w:tcBorders>
            <w:shd w:val="clear" w:color="auto" w:fill="D8EFF9"/>
          </w:tcPr>
          <w:p>
            <w:pPr>
              <w:spacing w:after="0"/>
              <w:rPr>
                <w:sz w:val="2"/>
                <w:szCs w:val="2"/>
                <w:color w:val="auto"/>
              </w:rPr>
            </w:pPr>
          </w:p>
        </w:tc>
        <w:tc>
          <w:tcPr>
            <w:tcW w:w="60" w:type="dxa"/>
            <w:vAlign w:val="bottom"/>
            <w:tcBorders>
              <w:top w:val="single" w:sz="8" w:color="0000EE"/>
            </w:tcBorders>
            <w:shd w:val="clear" w:color="auto" w:fill="D8EFF9"/>
          </w:tcPr>
          <w:p>
            <w:pPr>
              <w:spacing w:after="0"/>
              <w:rPr>
                <w:sz w:val="2"/>
                <w:szCs w:val="2"/>
                <w:color w:val="auto"/>
              </w:rPr>
            </w:pPr>
          </w:p>
        </w:tc>
        <w:tc>
          <w:tcPr>
            <w:tcW w:w="520" w:type="dxa"/>
            <w:vAlign w:val="bottom"/>
            <w:tcBorders>
              <w:top w:val="single" w:sz="8" w:color="D8EFF9"/>
            </w:tcBorders>
            <w:shd w:val="clear" w:color="auto" w:fill="D8EFF9"/>
          </w:tcPr>
          <w:p>
            <w:pPr>
              <w:spacing w:after="0"/>
              <w:rPr>
                <w:sz w:val="2"/>
                <w:szCs w:val="2"/>
                <w:color w:val="auto"/>
              </w:rPr>
            </w:pPr>
          </w:p>
        </w:tc>
        <w:tc>
          <w:tcPr>
            <w:tcW w:w="2680" w:type="dxa"/>
            <w:vAlign w:val="bottom"/>
            <w:tcBorders>
              <w:top w:val="single" w:sz="8" w:color="D8EFF9"/>
            </w:tcBorders>
            <w:shd w:val="clear" w:color="auto" w:fill="D8EFF9"/>
          </w:tcPr>
          <w:p>
            <w:pPr>
              <w:spacing w:after="0"/>
              <w:rPr>
                <w:sz w:val="2"/>
                <w:szCs w:val="2"/>
                <w:color w:val="auto"/>
              </w:rPr>
            </w:pPr>
          </w:p>
        </w:tc>
        <w:tc>
          <w:tcPr>
            <w:tcW w:w="1700" w:type="dxa"/>
            <w:vAlign w:val="bottom"/>
            <w:tcBorders>
              <w:top w:val="single" w:sz="8" w:color="D8EFF9"/>
            </w:tcBorders>
            <w:shd w:val="clear" w:color="auto" w:fill="D8EFF9"/>
          </w:tcPr>
          <w:p>
            <w:pPr>
              <w:spacing w:after="0"/>
              <w:rPr>
                <w:sz w:val="2"/>
                <w:szCs w:val="2"/>
                <w:color w:val="auto"/>
              </w:rPr>
            </w:pPr>
          </w:p>
        </w:tc>
      </w:tr>
    </w:tbl>
    <w:p>
      <w:pPr>
        <w:spacing w:after="0" w:line="145"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The Compensation Committee of the Board of Directors has developed a compensation program that aligns executive compensation with short-term and long-term performance against financial, operational and strategic goals that are key to delivering long-term value for our shareholders. This Compensation Discussion and Analysis (CD&amp;A) describes our executive compensation program, including the objectives and elements of compensation, as well as recommendations and determinations made by the Compensation Committee regarding the compensation of our named executive officers.</w:t>
      </w:r>
    </w:p>
    <w:p>
      <w:pPr>
        <w:spacing w:after="0" w:line="20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Our named executive officers for 2022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103505</wp:posOffset>
            </wp:positionV>
            <wp:extent cx="508000" cy="7099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8000" cy="709930"/>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103505</wp:posOffset>
            </wp:positionV>
            <wp:extent cx="508000" cy="7099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8000" cy="70993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103505</wp:posOffset>
            </wp:positionV>
            <wp:extent cx="508000" cy="7099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8000" cy="70993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103505</wp:posOffset>
            </wp:positionV>
            <wp:extent cx="508000" cy="7099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8000" cy="70993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103505</wp:posOffset>
            </wp:positionV>
            <wp:extent cx="508000" cy="7099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08000" cy="70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1500" w:type="dxa"/>
            <w:vAlign w:val="bottom"/>
            <w:shd w:val="clear" w:color="auto" w:fill="009AD9"/>
          </w:tcPr>
          <w:p>
            <w:pPr>
              <w:jc w:val="center"/>
              <w:spacing w:after="0"/>
              <w:rPr>
                <w:sz w:val="20"/>
                <w:szCs w:val="20"/>
                <w:color w:val="auto"/>
              </w:rPr>
            </w:pPr>
            <w:r>
              <w:rPr>
                <w:rFonts w:ascii="Arial" w:cs="Arial" w:eastAsia="Arial" w:hAnsi="Arial"/>
                <w:sz w:val="12"/>
                <w:szCs w:val="12"/>
                <w:b w:val="1"/>
                <w:bCs w:val="1"/>
                <w:color w:val="FFFFFF"/>
              </w:rPr>
              <w:t>David J. Lesar</w:t>
            </w:r>
          </w:p>
        </w:tc>
        <w:tc>
          <w:tcPr>
            <w:tcW w:w="1580" w:type="dxa"/>
            <w:vAlign w:val="bottom"/>
            <w:shd w:val="clear" w:color="auto" w:fill="009AD9"/>
          </w:tcPr>
          <w:p>
            <w:pPr>
              <w:jc w:val="center"/>
              <w:ind w:left="28"/>
              <w:spacing w:after="0"/>
              <w:rPr>
                <w:sz w:val="20"/>
                <w:szCs w:val="20"/>
                <w:color w:val="auto"/>
              </w:rPr>
            </w:pPr>
            <w:r>
              <w:rPr>
                <w:rFonts w:ascii="Arial" w:cs="Arial" w:eastAsia="Arial" w:hAnsi="Arial"/>
                <w:sz w:val="12"/>
                <w:szCs w:val="12"/>
                <w:b w:val="1"/>
                <w:bCs w:val="1"/>
                <w:color w:val="FFFFFF"/>
                <w:w w:val="97"/>
              </w:rPr>
              <w:t>Jason P. Wells</w:t>
            </w:r>
          </w:p>
        </w:tc>
        <w:tc>
          <w:tcPr>
            <w:tcW w:w="1440" w:type="dxa"/>
            <w:vAlign w:val="bottom"/>
            <w:shd w:val="clear" w:color="auto" w:fill="009AD9"/>
          </w:tcPr>
          <w:p>
            <w:pPr>
              <w:jc w:val="center"/>
              <w:spacing w:after="0"/>
              <w:rPr>
                <w:sz w:val="20"/>
                <w:szCs w:val="20"/>
                <w:color w:val="auto"/>
              </w:rPr>
            </w:pPr>
            <w:r>
              <w:rPr>
                <w:rFonts w:ascii="Arial" w:cs="Arial" w:eastAsia="Arial" w:hAnsi="Arial"/>
                <w:sz w:val="12"/>
                <w:szCs w:val="12"/>
                <w:b w:val="1"/>
                <w:bCs w:val="1"/>
                <w:color w:val="FFFFFF"/>
              </w:rPr>
              <w:t>Scott E. Doyle</w:t>
            </w:r>
          </w:p>
        </w:tc>
        <w:tc>
          <w:tcPr>
            <w:tcW w:w="1520" w:type="dxa"/>
            <w:vAlign w:val="bottom"/>
            <w:shd w:val="clear" w:color="auto" w:fill="009AD9"/>
          </w:tcPr>
          <w:p>
            <w:pPr>
              <w:jc w:val="center"/>
              <w:spacing w:after="0"/>
              <w:rPr>
                <w:sz w:val="20"/>
                <w:szCs w:val="20"/>
                <w:color w:val="auto"/>
              </w:rPr>
            </w:pPr>
            <w:r>
              <w:rPr>
                <w:rFonts w:ascii="Arial" w:cs="Arial" w:eastAsia="Arial" w:hAnsi="Arial"/>
                <w:sz w:val="12"/>
                <w:szCs w:val="12"/>
                <w:b w:val="1"/>
                <w:bCs w:val="1"/>
                <w:color w:val="FFFFFF"/>
              </w:rPr>
              <w:t>Monica Karuturi</w:t>
            </w:r>
          </w:p>
        </w:tc>
        <w:tc>
          <w:tcPr>
            <w:tcW w:w="1380" w:type="dxa"/>
            <w:vAlign w:val="bottom"/>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Gregory E. Knight</w:t>
            </w:r>
          </w:p>
        </w:tc>
      </w:tr>
      <w:tr>
        <w:trPr>
          <w:trHeight w:val="148"/>
        </w:trPr>
        <w:tc>
          <w:tcPr>
            <w:tcW w:w="1500" w:type="dxa"/>
            <w:vAlign w:val="bottom"/>
          </w:tcPr>
          <w:p>
            <w:pPr>
              <w:jc w:val="center"/>
              <w:spacing w:after="0"/>
              <w:rPr>
                <w:sz w:val="20"/>
                <w:szCs w:val="20"/>
                <w:color w:val="auto"/>
              </w:rPr>
            </w:pPr>
            <w:r>
              <w:rPr>
                <w:rFonts w:ascii="Arial" w:cs="Arial" w:eastAsia="Arial" w:hAnsi="Arial"/>
                <w:sz w:val="10"/>
                <w:szCs w:val="10"/>
                <w:i w:val="1"/>
                <w:iCs w:val="1"/>
                <w:color w:val="009AD9"/>
                <w:w w:val="94"/>
              </w:rPr>
              <w:t>Chief</w:t>
            </w:r>
          </w:p>
        </w:tc>
        <w:tc>
          <w:tcPr>
            <w:tcW w:w="1580" w:type="dxa"/>
            <w:vAlign w:val="bottom"/>
          </w:tcPr>
          <w:p>
            <w:pPr>
              <w:jc w:val="center"/>
              <w:ind w:left="28"/>
              <w:spacing w:after="0"/>
              <w:rPr>
                <w:sz w:val="20"/>
                <w:szCs w:val="20"/>
                <w:color w:val="auto"/>
              </w:rPr>
            </w:pPr>
            <w:r>
              <w:rPr>
                <w:rFonts w:ascii="Arial" w:cs="Arial" w:eastAsia="Arial" w:hAnsi="Arial"/>
                <w:sz w:val="10"/>
                <w:szCs w:val="10"/>
                <w:i w:val="1"/>
                <w:iCs w:val="1"/>
                <w:color w:val="009AD9"/>
                <w:w w:val="98"/>
              </w:rPr>
              <w:t>President, Chief</w:t>
            </w:r>
          </w:p>
        </w:tc>
        <w:tc>
          <w:tcPr>
            <w:tcW w:w="1440" w:type="dxa"/>
            <w:vAlign w:val="bottom"/>
          </w:tcPr>
          <w:p>
            <w:pPr>
              <w:jc w:val="center"/>
              <w:spacing w:after="0"/>
              <w:rPr>
                <w:sz w:val="20"/>
                <w:szCs w:val="20"/>
                <w:color w:val="auto"/>
              </w:rPr>
            </w:pPr>
            <w:r>
              <w:rPr>
                <w:rFonts w:ascii="Arial" w:cs="Arial" w:eastAsia="Arial" w:hAnsi="Arial"/>
                <w:sz w:val="10"/>
                <w:szCs w:val="10"/>
                <w:i w:val="1"/>
                <w:iCs w:val="1"/>
                <w:color w:val="009AD9"/>
                <w:w w:val="97"/>
              </w:rPr>
              <w:t>Former Executive Vice</w:t>
            </w:r>
          </w:p>
        </w:tc>
        <w:tc>
          <w:tcPr>
            <w:tcW w:w="1520" w:type="dxa"/>
            <w:vAlign w:val="bottom"/>
          </w:tcPr>
          <w:p>
            <w:pPr>
              <w:jc w:val="center"/>
              <w:spacing w:after="0"/>
              <w:rPr>
                <w:sz w:val="20"/>
                <w:szCs w:val="20"/>
                <w:color w:val="auto"/>
              </w:rPr>
            </w:pPr>
            <w:r>
              <w:rPr>
                <w:rFonts w:ascii="Arial" w:cs="Arial" w:eastAsia="Arial" w:hAnsi="Arial"/>
                <w:sz w:val="10"/>
                <w:szCs w:val="10"/>
                <w:i w:val="1"/>
                <w:iCs w:val="1"/>
                <w:color w:val="009AD9"/>
                <w:w w:val="97"/>
              </w:rPr>
              <w:t>Executive Vice President</w:t>
            </w:r>
          </w:p>
        </w:tc>
        <w:tc>
          <w:tcPr>
            <w:tcW w:w="1380" w:type="dxa"/>
            <w:vAlign w:val="bottom"/>
          </w:tcPr>
          <w:p>
            <w:pPr>
              <w:jc w:val="center"/>
              <w:spacing w:after="0"/>
              <w:rPr>
                <w:sz w:val="20"/>
                <w:szCs w:val="20"/>
                <w:color w:val="auto"/>
              </w:rPr>
            </w:pPr>
            <w:r>
              <w:rPr>
                <w:rFonts w:ascii="Arial" w:cs="Arial" w:eastAsia="Arial" w:hAnsi="Arial"/>
                <w:sz w:val="10"/>
                <w:szCs w:val="10"/>
                <w:i w:val="1"/>
                <w:iCs w:val="1"/>
                <w:color w:val="009AD9"/>
                <w:w w:val="97"/>
              </w:rPr>
              <w:t>Former Executive Vice</w:t>
            </w:r>
          </w:p>
        </w:tc>
      </w:tr>
      <w:tr>
        <w:trPr>
          <w:trHeight w:val="109"/>
        </w:trPr>
        <w:tc>
          <w:tcPr>
            <w:tcW w:w="150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6"/>
              </w:rPr>
              <w:t>Executive Officer &amp;</w:t>
            </w:r>
          </w:p>
        </w:tc>
        <w:tc>
          <w:tcPr>
            <w:tcW w:w="1580" w:type="dxa"/>
            <w:vAlign w:val="bottom"/>
          </w:tcPr>
          <w:p>
            <w:pPr>
              <w:jc w:val="center"/>
              <w:ind w:left="8"/>
              <w:spacing w:after="0" w:line="109" w:lineRule="exact"/>
              <w:rPr>
                <w:sz w:val="20"/>
                <w:szCs w:val="20"/>
                <w:color w:val="auto"/>
              </w:rPr>
            </w:pPr>
            <w:r>
              <w:rPr>
                <w:rFonts w:ascii="Arial" w:cs="Arial" w:eastAsia="Arial" w:hAnsi="Arial"/>
                <w:sz w:val="10"/>
                <w:szCs w:val="10"/>
                <w:i w:val="1"/>
                <w:iCs w:val="1"/>
                <w:color w:val="009AD9"/>
                <w:w w:val="96"/>
              </w:rPr>
              <w:t>Operating Officer and</w:t>
            </w:r>
          </w:p>
        </w:tc>
        <w:tc>
          <w:tcPr>
            <w:tcW w:w="144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6"/>
              </w:rPr>
              <w:t>President, Utility</w:t>
            </w:r>
          </w:p>
        </w:tc>
        <w:tc>
          <w:tcPr>
            <w:tcW w:w="152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7"/>
              </w:rPr>
              <w:t>and General Counsel</w:t>
            </w:r>
          </w:p>
        </w:tc>
        <w:tc>
          <w:tcPr>
            <w:tcW w:w="138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8"/>
              </w:rPr>
              <w:t>President, Customer</w:t>
            </w:r>
          </w:p>
        </w:tc>
      </w:tr>
      <w:tr>
        <w:trPr>
          <w:trHeight w:val="109"/>
        </w:trPr>
        <w:tc>
          <w:tcPr>
            <w:tcW w:w="150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6"/>
              </w:rPr>
              <w:t>Director</w:t>
            </w:r>
          </w:p>
        </w:tc>
        <w:tc>
          <w:tcPr>
            <w:tcW w:w="1580" w:type="dxa"/>
            <w:vAlign w:val="bottom"/>
          </w:tcPr>
          <w:p>
            <w:pPr>
              <w:jc w:val="center"/>
              <w:ind w:left="28"/>
              <w:spacing w:after="0" w:line="109" w:lineRule="exact"/>
              <w:rPr>
                <w:sz w:val="20"/>
                <w:szCs w:val="20"/>
                <w:color w:val="auto"/>
              </w:rPr>
            </w:pPr>
            <w:r>
              <w:rPr>
                <w:rFonts w:ascii="Arial" w:cs="Arial" w:eastAsia="Arial" w:hAnsi="Arial"/>
                <w:sz w:val="10"/>
                <w:szCs w:val="10"/>
                <w:i w:val="1"/>
                <w:iCs w:val="1"/>
                <w:color w:val="009AD9"/>
                <w:w w:val="95"/>
              </w:rPr>
              <w:t>Chief Financial Officer*</w:t>
            </w:r>
          </w:p>
        </w:tc>
        <w:tc>
          <w:tcPr>
            <w:tcW w:w="144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5"/>
              </w:rPr>
              <w:t>Operations**</w:t>
            </w:r>
          </w:p>
        </w:tc>
        <w:tc>
          <w:tcPr>
            <w:tcW w:w="1520" w:type="dxa"/>
            <w:vAlign w:val="bottom"/>
          </w:tcPr>
          <w:p>
            <w:pPr>
              <w:spacing w:after="0"/>
              <w:rPr>
                <w:sz w:val="9"/>
                <w:szCs w:val="9"/>
                <w:color w:val="auto"/>
              </w:rPr>
            </w:pPr>
          </w:p>
        </w:tc>
        <w:tc>
          <w:tcPr>
            <w:tcW w:w="1380" w:type="dxa"/>
            <w:vAlign w:val="bottom"/>
          </w:tcPr>
          <w:p>
            <w:pPr>
              <w:jc w:val="center"/>
              <w:spacing w:after="0" w:line="109" w:lineRule="exact"/>
              <w:rPr>
                <w:sz w:val="20"/>
                <w:szCs w:val="20"/>
                <w:color w:val="auto"/>
              </w:rPr>
            </w:pPr>
            <w:r>
              <w:rPr>
                <w:rFonts w:ascii="Arial" w:cs="Arial" w:eastAsia="Arial" w:hAnsi="Arial"/>
                <w:sz w:val="10"/>
                <w:szCs w:val="10"/>
                <w:i w:val="1"/>
                <w:iCs w:val="1"/>
                <w:color w:val="009AD9"/>
                <w:w w:val="96"/>
              </w:rPr>
              <w:t>Transformation &amp;</w:t>
            </w:r>
          </w:p>
        </w:tc>
      </w:tr>
      <w:tr>
        <w:trPr>
          <w:trHeight w:val="126"/>
        </w:trPr>
        <w:tc>
          <w:tcPr>
            <w:tcW w:w="1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i w:val="1"/>
                <w:iCs w:val="1"/>
                <w:color w:val="009AD9"/>
                <w:w w:val="96"/>
              </w:rPr>
              <w:t>Business Services**</w:t>
            </w:r>
          </w:p>
        </w:tc>
      </w:tr>
    </w:tbl>
    <w:p>
      <w:pPr>
        <w:spacing w:after="0" w:line="121" w:lineRule="exact"/>
        <w:rPr>
          <w:sz w:val="20"/>
          <w:szCs w:val="20"/>
          <w:color w:val="auto"/>
        </w:rPr>
      </w:pPr>
    </w:p>
    <w:p>
      <w:pPr>
        <w:ind w:left="2160" w:hanging="226"/>
        <w:spacing w:after="0"/>
        <w:tabs>
          <w:tab w:leader="none" w:pos="21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Mr. Jason P. Wells continues to serve as Chief Financial Officer of the Company until his successor is appointed.</w:t>
      </w:r>
    </w:p>
    <w:p>
      <w:pPr>
        <w:spacing w:after="0" w:line="40" w:lineRule="exact"/>
        <w:rPr>
          <w:sz w:val="20"/>
          <w:szCs w:val="20"/>
          <w:color w:val="auto"/>
        </w:rPr>
      </w:pPr>
    </w:p>
    <w:p>
      <w:pPr>
        <w:ind w:left="2160" w:hanging="226"/>
        <w:spacing w:after="0"/>
        <w:tabs>
          <w:tab w:leader="none" w:pos="21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Mr. Scott E. Doyle and Mr. Gregory E. Knight were separated from the Company on January 3, 2023 due to the elimination of their positions.</w:t>
      </w:r>
    </w:p>
    <w:p>
      <w:pPr>
        <w:spacing w:after="0" w:line="160"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In this proxy statement, we refer to our “executive officers,” who are the individuals identified by the Company as “executive officers” under Rule 3b-7 of the Exchange Act and include each of our named executive officers during 2022. For the current list of the Company’s executive officers, please see our Annual Report on Form 10-K filed with the Securities and Exchange Commission on February 17, 2023. Our “non-executives” are employees who are not executive officers.</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Shareholder Engagement and Say-on-Pay Vote</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Summary of Executive Compensation Changes</w:t>
      </w:r>
    </w:p>
    <w:p>
      <w:pPr>
        <w:spacing w:after="0" w:line="83"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Our Board and management were disappointed with the results of the 2022 Say-on-Pay vote and, following the 2022 Annual Meeting, we undertook extensive efforts to obtain our shareholders’ views. Following the 2022 Say-on-Pay vote, we reached out to 20 of our top shareholders and met with 13 shareholders, some on multiple occasions, and the Chair of the Compensation Committee met with 11 of these shareholders. As a result of the feedback we received from shareholders, we have made the following changes to our executive compensation:</w:t>
      </w:r>
    </w:p>
    <w:p>
      <w:pPr>
        <w:spacing w:after="0" w:line="74" w:lineRule="exact"/>
        <w:rPr>
          <w:sz w:val="20"/>
          <w:szCs w:val="20"/>
          <w:color w:val="auto"/>
        </w:rPr>
      </w:pPr>
    </w:p>
    <w:p>
      <w:pPr>
        <w:ind w:left="2520" w:right="819" w:hanging="295"/>
        <w:spacing w:after="0" w:line="250" w:lineRule="auto"/>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The Compensation Committee has committed to not make one-time equity awards to executive officers, absent extraordinary circumstances, except in connection with new hires or promotions;</w:t>
      </w:r>
    </w:p>
    <w:p>
      <w:pPr>
        <w:spacing w:after="0" w:line="67" w:lineRule="exact"/>
        <w:rPr>
          <w:rFonts w:ascii="Arial" w:cs="Arial" w:eastAsia="Arial" w:hAnsi="Arial"/>
          <w:sz w:val="12"/>
          <w:szCs w:val="12"/>
          <w:color w:val="009AD9"/>
        </w:rPr>
      </w:pPr>
    </w:p>
    <w:p>
      <w:pPr>
        <w:ind w:left="2520" w:hanging="295"/>
        <w:spacing w:after="0"/>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If a one-time equity award is awarded, it will have at least a three-year vesting period and will be primarily performance based;</w:t>
      </w:r>
    </w:p>
    <w:p>
      <w:pPr>
        <w:spacing w:after="0" w:line="80"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The Compensation Committee has adopted executive severance guidelines that set forth appropriate limits on any severance payments to our named executive officers;</w:t>
      </w:r>
    </w:p>
    <w:p>
      <w:pPr>
        <w:spacing w:after="0" w:line="67" w:lineRule="exact"/>
        <w:rPr>
          <w:rFonts w:ascii="Arial" w:cs="Arial" w:eastAsia="Arial" w:hAnsi="Arial"/>
          <w:sz w:val="12"/>
          <w:szCs w:val="12"/>
          <w:color w:val="009AD9"/>
        </w:rPr>
      </w:pPr>
    </w:p>
    <w:p>
      <w:pPr>
        <w:ind w:left="2520" w:hanging="295"/>
        <w:spacing w:after="0"/>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The Company is committed to continue to disclose severance or separation events for its executive officers;</w:t>
      </w:r>
    </w:p>
    <w:p>
      <w:pPr>
        <w:spacing w:after="0" w:line="80" w:lineRule="exact"/>
        <w:rPr>
          <w:rFonts w:ascii="Arial" w:cs="Arial" w:eastAsia="Arial" w:hAnsi="Arial"/>
          <w:sz w:val="12"/>
          <w:szCs w:val="12"/>
          <w:color w:val="009AD9"/>
        </w:rPr>
      </w:pPr>
    </w:p>
    <w:p>
      <w:pPr>
        <w:jc w:val="both"/>
        <w:ind w:left="2520" w:right="799" w:hanging="295"/>
        <w:spacing w:after="0" w:line="243" w:lineRule="auto"/>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The Compensation Committee, supported by management, intends to continue to use its negative discretion to adjust the short-term incentive awards for executive officers downward, when applicable, and disclose qualitative factors considered in exercising negative discretion; and</w:t>
      </w:r>
    </w:p>
    <w:p>
      <w:pPr>
        <w:spacing w:after="0" w:line="71" w:lineRule="exact"/>
        <w:rPr>
          <w:rFonts w:ascii="Arial" w:cs="Arial" w:eastAsia="Arial" w:hAnsi="Arial"/>
          <w:sz w:val="12"/>
          <w:szCs w:val="12"/>
          <w:color w:val="009AD9"/>
        </w:rPr>
      </w:pPr>
    </w:p>
    <w:p>
      <w:pPr>
        <w:ind w:left="2520" w:hanging="295"/>
        <w:spacing w:after="0"/>
        <w:tabs>
          <w:tab w:leader="none" w:pos="2520" w:val="left"/>
        </w:tabs>
        <w:numPr>
          <w:ilvl w:val="0"/>
          <w:numId w:val="52"/>
        </w:numPr>
        <w:rPr>
          <w:rFonts w:ascii="Arial" w:cs="Arial" w:eastAsia="Arial" w:hAnsi="Arial"/>
          <w:sz w:val="12"/>
          <w:szCs w:val="12"/>
          <w:color w:val="009AD9"/>
        </w:rPr>
      </w:pPr>
      <w:r>
        <w:rPr>
          <w:rFonts w:ascii="Arial" w:cs="Arial" w:eastAsia="Arial" w:hAnsi="Arial"/>
          <w:sz w:val="12"/>
          <w:szCs w:val="12"/>
          <w:color w:val="auto"/>
        </w:rPr>
        <w:t>The Company has enhanced its disclosure of the performance achievement metrics for the Company’s 2023 PSU awards.</w:t>
      </w:r>
    </w:p>
    <w:p>
      <w:pPr>
        <w:spacing w:after="0" w:line="144"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For additional information regarding our shareholder engagement and our responses, see “—Shareholder Engagements and Responsive Actions Taken by the Company.”</w:t>
      </w:r>
    </w:p>
    <w:p>
      <w:pPr>
        <w:spacing w:after="0" w:line="119"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Shareholder Engagements and Responsive Actions Taken by the Company</w:t>
      </w:r>
    </w:p>
    <w:p>
      <w:pPr>
        <w:spacing w:after="0" w:line="83"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Feedback from our shareholders is a critical part of our Company’s and the Compensation Committee’s approach to designing our executive compensation program. Each year, we engage in shareholder outreach through various engagement channels including direct meetings, analyst conferences and road shows, among others, and proactively solicit feedback, as described in “Item 1. Election of Directors—Shareholder Engagement” above.</w:t>
      </w:r>
    </w:p>
    <w:p>
      <w:pPr>
        <w:spacing w:after="0" w:line="137"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The Company has a track record of responding to shareholder feedback. For example, in response to feedback consistently provided throughout the Company’s engagement efforts, in July 2021, the Board announced the implementation of a new independent leadership and governance structure and implemented a substantial refreshment of the Board, resulting in the appointment of Mr. Martin H. Nesbitt as the Independent Chair of the Board. To facilitate this transition, the Compensation Committee approved a retention award for Mr. Lesar and a severance arrangement with Mr. Milton Carroll, former Executive Chairman.</w:t>
      </w:r>
    </w:p>
    <w:p>
      <w:pPr>
        <w:spacing w:after="0" w:line="138"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Following these changes and as part of our commitment to solicit and understand the perspectives of our shareholders, we proactively reached out to 28 of our top shareholders, representing 68.3% of our outstanding shares, to request meetings prior to the 2022 Annual Meeting where we explicitly sought to discuss and receive feedback on the severance arrangement with Mr. Carroll and the retention award to Mr. Lesar, as well as our new</w:t>
      </w:r>
    </w:p>
    <w:p>
      <w:pPr>
        <w:spacing w:after="0" w:line="132" w:lineRule="exact"/>
        <w:rPr>
          <w:sz w:val="20"/>
          <w:szCs w:val="20"/>
          <w:color w:val="auto"/>
        </w:rPr>
      </w:pPr>
    </w:p>
    <w:p>
      <w:pPr>
        <w:ind w:left="2220" w:hanging="230"/>
        <w:spacing w:after="0"/>
        <w:tabs>
          <w:tab w:leader="none" w:pos="2220" w:val="left"/>
        </w:tabs>
        <w:numPr>
          <w:ilvl w:val="0"/>
          <w:numId w:val="5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64"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governance structure and other ESG matters. However, at the 2022 Annual Meeting of Shareholders, we received 22.2% support on our annual advisory vote on executive compensation. Prior to 2020, our executive compensation programs received strong shareholder support, averaging over 90%. Our Board and management were disappointed with the results of the 2022 Say-on-Pay vote and, following the 2022 Annual Meeting, we undertook extensive efforts to obtain our shareholders’ views on our executive compensation program. Specifically, we reached out to 20 of our top shareholders, representing 63.2% of our outstanding shares, to discuss and receive feedback on the 2022 Say-on-Pay vote and potential changes to our compensation program in response to concerns expressed through the 2022 Say-on-Pay vote. While our engagement efforts are ongoing, as of March 1, 2023, 13 shareholders representing 39% of our outstanding shares agreed to engage with us.</w:t>
      </w:r>
    </w:p>
    <w:p>
      <w:pPr>
        <w:spacing w:after="0" w:line="137"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Key members of our executive leadership team representing Human Resources, Investor Relations, and Corporate Governance, along with our Compensation Committee Chair in certain instances, participated in our recent shareholder engagements. We provided an open forum to each shareholder to discuss and comment on any aspects of the Company’s executive compensation program or ESG matters. The Company, after filing this proxy statement, will continue to keep in contact with shareholders the Company has engaged, as well as the other shareholders who chose not to engage with the Company, to continue to receive any additional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99060</wp:posOffset>
            </wp:positionV>
            <wp:extent cx="4711700" cy="13741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11700" cy="137414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2280"/>
        <w:spacing w:after="0"/>
        <w:rPr>
          <w:sz w:val="20"/>
          <w:szCs w:val="20"/>
          <w:color w:val="auto"/>
        </w:rPr>
      </w:pPr>
      <w:r>
        <w:rPr>
          <w:rFonts w:ascii="Arial" w:cs="Arial" w:eastAsia="Arial" w:hAnsi="Arial"/>
          <w:sz w:val="12"/>
          <w:szCs w:val="12"/>
          <w:b w:val="1"/>
          <w:bCs w:val="1"/>
          <w:color w:val="FFFFFF"/>
        </w:rPr>
        <w:t>SHAREHOLDER</w:t>
      </w:r>
    </w:p>
    <w:p>
      <w:pPr>
        <w:spacing w:after="0" w:line="12" w:lineRule="exact"/>
        <w:rPr>
          <w:sz w:val="20"/>
          <w:szCs w:val="20"/>
          <w:color w:val="auto"/>
        </w:rPr>
      </w:pPr>
    </w:p>
    <w:p>
      <w:pPr>
        <w:jc w:val="center"/>
        <w:ind w:left="2280"/>
        <w:spacing w:after="0"/>
        <w:rPr>
          <w:sz w:val="20"/>
          <w:szCs w:val="20"/>
          <w:color w:val="auto"/>
        </w:rPr>
      </w:pPr>
      <w:r>
        <w:rPr>
          <w:rFonts w:ascii="Arial" w:cs="Arial" w:eastAsia="Arial" w:hAnsi="Arial"/>
          <w:sz w:val="11"/>
          <w:szCs w:val="11"/>
          <w:b w:val="1"/>
          <w:bCs w:val="1"/>
          <w:color w:val="FFFFFF"/>
        </w:rPr>
        <w:t>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280"/>
        <w:spacing w:after="0"/>
        <w:rPr>
          <w:sz w:val="20"/>
          <w:szCs w:val="20"/>
          <w:color w:val="auto"/>
        </w:rPr>
      </w:pPr>
      <w:r>
        <w:rPr>
          <w:rFonts w:ascii="Arial" w:cs="Arial" w:eastAsia="Arial" w:hAnsi="Arial"/>
          <w:sz w:val="12"/>
          <w:szCs w:val="12"/>
          <w:b w:val="1"/>
          <w:bCs w:val="1"/>
          <w:color w:val="FFFFFF"/>
        </w:rPr>
        <w:t>MEETING</w:t>
      </w:r>
    </w:p>
    <w:p>
      <w:pPr>
        <w:spacing w:after="0" w:line="12" w:lineRule="exact"/>
        <w:rPr>
          <w:sz w:val="20"/>
          <w:szCs w:val="20"/>
          <w:color w:val="auto"/>
        </w:rPr>
      </w:pPr>
    </w:p>
    <w:p>
      <w:pPr>
        <w:jc w:val="center"/>
        <w:ind w:left="2280"/>
        <w:spacing w:after="0"/>
        <w:rPr>
          <w:sz w:val="20"/>
          <w:szCs w:val="20"/>
          <w:color w:val="auto"/>
        </w:rPr>
      </w:pPr>
      <w:r>
        <w:rPr>
          <w:rFonts w:ascii="Arial" w:cs="Arial" w:eastAsia="Arial" w:hAnsi="Arial"/>
          <w:sz w:val="12"/>
          <w:szCs w:val="12"/>
          <w:b w:val="1"/>
          <w:bCs w:val="1"/>
          <w:color w:val="FFFFFF"/>
        </w:rPr>
        <w:t>PARTICIPATION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859"/>
        <w:spacing w:after="0" w:line="256" w:lineRule="auto"/>
        <w:rPr>
          <w:sz w:val="20"/>
          <w:szCs w:val="20"/>
          <w:color w:val="auto"/>
        </w:rPr>
      </w:pPr>
      <w:r>
        <w:rPr>
          <w:rFonts w:ascii="Arial" w:cs="Arial" w:eastAsia="Arial" w:hAnsi="Arial"/>
          <w:sz w:val="12"/>
          <w:szCs w:val="12"/>
          <w:color w:val="auto"/>
        </w:rPr>
        <w:t xml:space="preserve">Prior to the 2022 Annual Meeting, we </w:t>
      </w:r>
      <w:r>
        <w:rPr>
          <w:rFonts w:ascii="Arial" w:cs="Arial" w:eastAsia="Arial" w:hAnsi="Arial"/>
          <w:sz w:val="12"/>
          <w:szCs w:val="12"/>
          <w:b w:val="1"/>
          <w:bCs w:val="1"/>
          <w:color w:val="auto"/>
        </w:rPr>
        <w:t>reached out to 28 of our top shareholders</w:t>
      </w:r>
      <w:r>
        <w:rPr>
          <w:rFonts w:ascii="Arial" w:cs="Arial" w:eastAsia="Arial" w:hAnsi="Arial"/>
          <w:sz w:val="12"/>
          <w:szCs w:val="12"/>
          <w:color w:val="auto"/>
        </w:rPr>
        <w:t xml:space="preserve">, representing </w:t>
      </w:r>
      <w:r>
        <w:rPr>
          <w:rFonts w:ascii="Arial" w:cs="Arial" w:eastAsia="Arial" w:hAnsi="Arial"/>
          <w:sz w:val="12"/>
          <w:szCs w:val="12"/>
          <w:b w:val="1"/>
          <w:bCs w:val="1"/>
          <w:color w:val="auto"/>
        </w:rPr>
        <w:t xml:space="preserve">68.3% </w:t>
      </w:r>
      <w:r>
        <w:rPr>
          <w:rFonts w:ascii="Arial" w:cs="Arial" w:eastAsia="Arial" w:hAnsi="Arial"/>
          <w:sz w:val="12"/>
          <w:szCs w:val="12"/>
          <w:color w:val="auto"/>
        </w:rPr>
        <w:t>of our outstanding shares, and</w:t>
      </w:r>
      <w:r>
        <w:rPr>
          <w:rFonts w:ascii="Arial" w:cs="Arial" w:eastAsia="Arial" w:hAnsi="Arial"/>
          <w:sz w:val="12"/>
          <w:szCs w:val="12"/>
          <w:b w:val="1"/>
          <w:bCs w:val="1"/>
          <w:color w:val="auto"/>
        </w:rPr>
        <w:t xml:space="preserve"> met with 11 shareholders</w:t>
      </w:r>
      <w:r>
        <w:rPr>
          <w:rFonts w:ascii="Arial" w:cs="Arial" w:eastAsia="Arial" w:hAnsi="Arial"/>
          <w:sz w:val="12"/>
          <w:szCs w:val="12"/>
          <w:color w:val="auto"/>
        </w:rPr>
        <w:t>, representing</w:t>
      </w:r>
      <w:r>
        <w:rPr>
          <w:rFonts w:ascii="Arial" w:cs="Arial" w:eastAsia="Arial" w:hAnsi="Arial"/>
          <w:sz w:val="12"/>
          <w:szCs w:val="12"/>
          <w:b w:val="1"/>
          <w:bCs w:val="1"/>
          <w:color w:val="auto"/>
        </w:rPr>
        <w:t xml:space="preserve"> 18.8% </w:t>
      </w:r>
      <w:r>
        <w:rPr>
          <w:rFonts w:ascii="Arial" w:cs="Arial" w:eastAsia="Arial" w:hAnsi="Arial"/>
          <w:sz w:val="12"/>
          <w:szCs w:val="12"/>
          <w:color w:val="auto"/>
        </w:rPr>
        <w:t>of our</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shares.</w:t>
      </w:r>
    </w:p>
    <w:p>
      <w:pPr>
        <w:spacing w:after="0" w:line="49" w:lineRule="exact"/>
        <w:rPr>
          <w:sz w:val="20"/>
          <w:szCs w:val="20"/>
          <w:color w:val="auto"/>
        </w:rPr>
      </w:pPr>
    </w:p>
    <w:p>
      <w:pPr>
        <w:jc w:val="both"/>
        <w:ind w:right="859"/>
        <w:spacing w:after="0" w:line="256" w:lineRule="auto"/>
        <w:rPr>
          <w:sz w:val="20"/>
          <w:szCs w:val="20"/>
          <w:color w:val="auto"/>
        </w:rPr>
      </w:pPr>
      <w:r>
        <w:rPr>
          <w:rFonts w:ascii="Arial" w:cs="Arial" w:eastAsia="Arial" w:hAnsi="Arial"/>
          <w:sz w:val="12"/>
          <w:szCs w:val="12"/>
          <w:color w:val="auto"/>
        </w:rPr>
        <w:t xml:space="preserve">Following the 2022 Say-on-Pay vote, we </w:t>
      </w:r>
      <w:r>
        <w:rPr>
          <w:rFonts w:ascii="Arial" w:cs="Arial" w:eastAsia="Arial" w:hAnsi="Arial"/>
          <w:sz w:val="12"/>
          <w:szCs w:val="12"/>
          <w:b w:val="1"/>
          <w:bCs w:val="1"/>
          <w:color w:val="auto"/>
        </w:rPr>
        <w:t>reached out to 20 of our top shareholders</w:t>
      </w:r>
      <w:r>
        <w:rPr>
          <w:rFonts w:ascii="Arial" w:cs="Arial" w:eastAsia="Arial" w:hAnsi="Arial"/>
          <w:sz w:val="12"/>
          <w:szCs w:val="12"/>
          <w:color w:val="auto"/>
        </w:rPr>
        <w:t xml:space="preserve">, representing </w:t>
      </w:r>
      <w:r>
        <w:rPr>
          <w:rFonts w:ascii="Arial" w:cs="Arial" w:eastAsia="Arial" w:hAnsi="Arial"/>
          <w:sz w:val="12"/>
          <w:szCs w:val="12"/>
          <w:b w:val="1"/>
          <w:bCs w:val="1"/>
          <w:color w:val="auto"/>
        </w:rPr>
        <w:t xml:space="preserve">63.2% </w:t>
      </w:r>
      <w:r>
        <w:rPr>
          <w:rFonts w:ascii="Arial" w:cs="Arial" w:eastAsia="Arial" w:hAnsi="Arial"/>
          <w:sz w:val="12"/>
          <w:szCs w:val="12"/>
          <w:color w:val="auto"/>
        </w:rPr>
        <w:t>of our outstanding shares, and</w:t>
      </w:r>
      <w:r>
        <w:rPr>
          <w:rFonts w:ascii="Arial" w:cs="Arial" w:eastAsia="Arial" w:hAnsi="Arial"/>
          <w:sz w:val="12"/>
          <w:szCs w:val="12"/>
          <w:b w:val="1"/>
          <w:bCs w:val="1"/>
          <w:color w:val="auto"/>
        </w:rPr>
        <w:t xml:space="preserve"> met with 13 shareholders</w:t>
      </w:r>
      <w:r>
        <w:rPr>
          <w:rFonts w:ascii="Arial" w:cs="Arial" w:eastAsia="Arial" w:hAnsi="Arial"/>
          <w:sz w:val="12"/>
          <w:szCs w:val="12"/>
          <w:color w:val="auto"/>
        </w:rPr>
        <w:t>, some on multiple occasions,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representing </w:t>
      </w:r>
      <w:r>
        <w:rPr>
          <w:rFonts w:ascii="Arial" w:cs="Arial" w:eastAsia="Arial" w:hAnsi="Arial"/>
          <w:sz w:val="12"/>
          <w:szCs w:val="12"/>
          <w:b w:val="1"/>
          <w:bCs w:val="1"/>
          <w:color w:val="auto"/>
        </w:rPr>
        <w:t>39%</w:t>
      </w:r>
      <w:r>
        <w:rPr>
          <w:rFonts w:ascii="Arial" w:cs="Arial" w:eastAsia="Arial" w:hAnsi="Arial"/>
          <w:sz w:val="12"/>
          <w:szCs w:val="12"/>
          <w:color w:val="auto"/>
        </w:rPr>
        <w:t xml:space="preserve"> of our outstanding shares.</w:t>
      </w:r>
    </w:p>
    <w:p>
      <w:pPr>
        <w:spacing w:after="0" w:line="63" w:lineRule="exact"/>
        <w:rPr>
          <w:sz w:val="20"/>
          <w:szCs w:val="20"/>
          <w:color w:val="auto"/>
        </w:rPr>
      </w:pPr>
    </w:p>
    <w:p>
      <w:pPr>
        <w:ind w:left="240" w:right="87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 Met with shareholders in fourth quarter 2022 to discuss 2022 say-on-pay vote, including</w:t>
      </w:r>
      <w:r>
        <w:rPr>
          <w:rFonts w:ascii="Arial" w:cs="Arial" w:eastAsia="Arial" w:hAnsi="Arial"/>
          <w:sz w:val="12"/>
          <w:szCs w:val="12"/>
          <w:color w:val="009AD9"/>
        </w:rPr>
        <w:t xml:space="preserve"> </w:t>
      </w:r>
      <w:r>
        <w:rPr>
          <w:rFonts w:ascii="Arial" w:cs="Arial" w:eastAsia="Arial" w:hAnsi="Arial"/>
          <w:sz w:val="12"/>
          <w:szCs w:val="12"/>
          <w:color w:val="000000"/>
        </w:rPr>
        <w:t>shareholder concerns and actions they would like to see from the Company</w:t>
      </w:r>
    </w:p>
    <w:p>
      <w:pPr>
        <w:spacing w:after="0" w:line="67" w:lineRule="exact"/>
        <w:rPr>
          <w:sz w:val="20"/>
          <w:szCs w:val="20"/>
          <w:color w:val="auto"/>
        </w:rPr>
      </w:pPr>
    </w:p>
    <w:p>
      <w:pPr>
        <w:ind w:left="240" w:right="87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 Followed up with shareholders previously engaged in February 2023 to discuss proposed</w:t>
      </w:r>
      <w:r>
        <w:rPr>
          <w:rFonts w:ascii="Arial" w:cs="Arial" w:eastAsia="Arial" w:hAnsi="Arial"/>
          <w:sz w:val="12"/>
          <w:szCs w:val="12"/>
          <w:color w:val="009AD9"/>
        </w:rPr>
        <w:t xml:space="preserve"> </w:t>
      </w:r>
      <w:r>
        <w:rPr>
          <w:rFonts w:ascii="Arial" w:cs="Arial" w:eastAsia="Arial" w:hAnsi="Arial"/>
          <w:sz w:val="12"/>
          <w:szCs w:val="12"/>
          <w:color w:val="000000"/>
        </w:rPr>
        <w:t>Company responses and receive shareholder feedback</w:t>
      </w:r>
    </w:p>
    <w:p>
      <w:pPr>
        <w:spacing w:after="0" w:line="67" w:lineRule="exact"/>
        <w:rPr>
          <w:sz w:val="20"/>
          <w:szCs w:val="20"/>
          <w:color w:val="auto"/>
        </w:rPr>
      </w:pPr>
    </w:p>
    <w:p>
      <w:pPr>
        <w:ind w:left="240" w:right="859" w:hanging="181"/>
        <w:spacing w:after="0" w:line="250"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will continue to actively seek feedback from shareholders following the filing of this</w:t>
      </w:r>
      <w:r>
        <w:rPr>
          <w:rFonts w:ascii="Arial" w:cs="Arial" w:eastAsia="Arial" w:hAnsi="Arial"/>
          <w:sz w:val="12"/>
          <w:szCs w:val="12"/>
          <w:color w:val="009AD9"/>
        </w:rPr>
        <w:t xml:space="preserve"> </w:t>
      </w:r>
      <w:r>
        <w:rPr>
          <w:rFonts w:ascii="Arial" w:cs="Arial" w:eastAsia="Arial" w:hAnsi="Arial"/>
          <w:sz w:val="12"/>
          <w:szCs w:val="12"/>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152400</wp:posOffset>
            </wp:positionV>
            <wp:extent cx="4711700" cy="6121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11700" cy="612140"/>
                    </a:xfrm>
                    <a:prstGeom prst="rect">
                      <a:avLst/>
                    </a:prstGeom>
                    <a:noFill/>
                  </pic:spPr>
                </pic:pic>
              </a:graphicData>
            </a:graphic>
          </wp:anchor>
        </w:drawing>
      </w:r>
    </w:p>
    <w:p>
      <w:pPr>
        <w:spacing w:after="0" w:line="288" w:lineRule="exact"/>
        <w:rPr>
          <w:sz w:val="20"/>
          <w:szCs w:val="20"/>
          <w:color w:val="auto"/>
        </w:rPr>
      </w:pPr>
    </w:p>
    <w:p>
      <w:pPr>
        <w:jc w:val="both"/>
        <w:ind w:right="859"/>
        <w:spacing w:after="0" w:line="256" w:lineRule="auto"/>
        <w:rPr>
          <w:sz w:val="20"/>
          <w:szCs w:val="20"/>
          <w:color w:val="auto"/>
        </w:rPr>
      </w:pPr>
      <w:r>
        <w:rPr>
          <w:rFonts w:ascii="Arial" w:cs="Arial" w:eastAsia="Arial" w:hAnsi="Arial"/>
          <w:sz w:val="12"/>
          <w:szCs w:val="12"/>
          <w:color w:val="auto"/>
        </w:rPr>
        <w:t xml:space="preserve">Key members of our executive leadership team representing </w:t>
      </w:r>
      <w:r>
        <w:rPr>
          <w:rFonts w:ascii="Arial" w:cs="Arial" w:eastAsia="Arial" w:hAnsi="Arial"/>
          <w:sz w:val="12"/>
          <w:szCs w:val="12"/>
          <w:b w:val="1"/>
          <w:bCs w:val="1"/>
          <w:color w:val="auto"/>
        </w:rPr>
        <w:t>Human Resources, Investor</w:t>
      </w:r>
      <w:r>
        <w:rPr>
          <w:rFonts w:ascii="Arial" w:cs="Arial" w:eastAsia="Arial" w:hAnsi="Arial"/>
          <w:sz w:val="12"/>
          <w:szCs w:val="12"/>
          <w:color w:val="auto"/>
        </w:rPr>
        <w:t xml:space="preserve"> </w:t>
      </w:r>
      <w:r>
        <w:rPr>
          <w:rFonts w:ascii="Arial" w:cs="Arial" w:eastAsia="Arial" w:hAnsi="Arial"/>
          <w:sz w:val="12"/>
          <w:szCs w:val="12"/>
          <w:b w:val="1"/>
          <w:bCs w:val="1"/>
          <w:color w:val="auto"/>
        </w:rPr>
        <w:t>Relations, and Corporate Governance</w:t>
      </w:r>
      <w:r>
        <w:rPr>
          <w:rFonts w:ascii="Arial" w:cs="Arial" w:eastAsia="Arial" w:hAnsi="Arial"/>
          <w:sz w:val="12"/>
          <w:szCs w:val="12"/>
          <w:color w:val="auto"/>
        </w:rPr>
        <w:t>, along with our</w:t>
      </w:r>
      <w:r>
        <w:rPr>
          <w:rFonts w:ascii="Arial" w:cs="Arial" w:eastAsia="Arial" w:hAnsi="Arial"/>
          <w:sz w:val="12"/>
          <w:szCs w:val="12"/>
          <w:b w:val="1"/>
          <w:bCs w:val="1"/>
          <w:color w:val="auto"/>
        </w:rPr>
        <w:t xml:space="preserve"> Compensation Committee Chair </w:t>
      </w:r>
      <w:r>
        <w:rPr>
          <w:rFonts w:ascii="Arial" w:cs="Arial" w:eastAsia="Arial" w:hAnsi="Arial"/>
          <w:sz w:val="12"/>
          <w:szCs w:val="12"/>
          <w:color w:val="auto"/>
        </w:rPr>
        <w:t>in certain</w:t>
      </w:r>
      <w:r>
        <w:rPr>
          <w:rFonts w:ascii="Arial" w:cs="Arial" w:eastAsia="Arial" w:hAnsi="Arial"/>
          <w:sz w:val="12"/>
          <w:szCs w:val="12"/>
          <w:b w:val="1"/>
          <w:bCs w:val="1"/>
          <w:color w:val="auto"/>
        </w:rPr>
        <w:t xml:space="preserve"> </w:t>
      </w:r>
      <w:r>
        <w:rPr>
          <w:rFonts w:ascii="Arial" w:cs="Arial" w:eastAsia="Arial" w:hAnsi="Arial"/>
          <w:sz w:val="12"/>
          <w:szCs w:val="12"/>
          <w:color w:val="auto"/>
        </w:rPr>
        <w:t>instances, participated in our shareholder engagement.</w:t>
      </w:r>
    </w:p>
    <w:p>
      <w:pPr>
        <w:spacing w:after="0" w:line="49" w:lineRule="exact"/>
        <w:rPr>
          <w:sz w:val="20"/>
          <w:szCs w:val="20"/>
          <w:color w:val="auto"/>
        </w:rPr>
      </w:pPr>
    </w:p>
    <w:p>
      <w:pPr>
        <w:jc w:val="both"/>
        <w:ind w:right="859"/>
        <w:spacing w:after="0" w:line="274" w:lineRule="auto"/>
        <w:rPr>
          <w:sz w:val="20"/>
          <w:szCs w:val="20"/>
          <w:color w:val="auto"/>
        </w:rPr>
      </w:pPr>
      <w:r>
        <w:rPr>
          <w:rFonts w:ascii="Arial" w:cs="Arial" w:eastAsia="Arial" w:hAnsi="Arial"/>
          <w:sz w:val="12"/>
          <w:szCs w:val="12"/>
          <w:color w:val="auto"/>
        </w:rPr>
        <w:t xml:space="preserve">For our engagement after our 2022 Annual Meeting, the </w:t>
      </w:r>
      <w:r>
        <w:rPr>
          <w:rFonts w:ascii="Arial" w:cs="Arial" w:eastAsia="Arial" w:hAnsi="Arial"/>
          <w:sz w:val="12"/>
          <w:szCs w:val="12"/>
          <w:b w:val="1"/>
          <w:bCs w:val="1"/>
          <w:color w:val="auto"/>
        </w:rPr>
        <w:t>Chair of the Compensation Committee</w:t>
      </w:r>
      <w:r>
        <w:rPr>
          <w:rFonts w:ascii="Arial" w:cs="Arial" w:eastAsia="Arial" w:hAnsi="Arial"/>
          <w:sz w:val="12"/>
          <w:szCs w:val="12"/>
          <w:color w:val="auto"/>
        </w:rPr>
        <w:t xml:space="preserve"> met with </w:t>
      </w:r>
      <w:r>
        <w:rPr>
          <w:rFonts w:ascii="Arial" w:cs="Arial" w:eastAsia="Arial" w:hAnsi="Arial"/>
          <w:sz w:val="12"/>
          <w:szCs w:val="12"/>
          <w:b w:val="1"/>
          <w:bCs w:val="1"/>
          <w:color w:val="auto"/>
        </w:rPr>
        <w:t>11 out of 13</w:t>
      </w:r>
      <w:r>
        <w:rPr>
          <w:rFonts w:ascii="Arial" w:cs="Arial" w:eastAsia="Arial" w:hAnsi="Arial"/>
          <w:sz w:val="12"/>
          <w:szCs w:val="12"/>
          <w:color w:val="auto"/>
        </w:rPr>
        <w:t xml:space="preserve"> shareholders we engaged.</w:t>
      </w:r>
    </w:p>
    <w:p>
      <w:pPr>
        <w:spacing w:after="0" w:line="200" w:lineRule="exact"/>
        <w:rPr>
          <w:sz w:val="20"/>
          <w:szCs w:val="20"/>
          <w:color w:val="auto"/>
        </w:rPr>
      </w:pPr>
    </w:p>
    <w:p>
      <w:pPr>
        <w:sectPr>
          <w:pgSz w:w="11900" w:h="16838" w:orient="portrait"/>
          <w:cols w:equalWidth="0" w:num="2">
            <w:col w:w="3380" w:space="440"/>
            <w:col w:w="6339"/>
          </w:cols>
          <w:pgMar w:left="300" w:top="373" w:right="1440" w:bottom="1440" w:gutter="0" w:footer="0" w:header="0"/>
          <w:type w:val="continuous"/>
        </w:sectPr>
      </w:pPr>
    </w:p>
    <w:p>
      <w:pPr>
        <w:spacing w:after="0" w:line="195"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jc w:val="right"/>
        <w:ind w:right="601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64135</wp:posOffset>
            </wp:positionV>
            <wp:extent cx="4711700" cy="12528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11700" cy="125285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2"/>
          <w:szCs w:val="12"/>
          <w:b w:val="1"/>
          <w:bCs w:val="1"/>
          <w:color w:val="FFFFFF"/>
        </w:rPr>
        <w:t>MEETING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2320"/>
        <w:spacing w:after="0"/>
        <w:rPr>
          <w:sz w:val="20"/>
          <w:szCs w:val="20"/>
          <w:color w:val="auto"/>
        </w:rPr>
      </w:pPr>
      <w:r>
        <w:rPr>
          <w:rFonts w:ascii="Arial" w:cs="Arial" w:eastAsia="Arial" w:hAnsi="Arial"/>
          <w:sz w:val="12"/>
          <w:szCs w:val="12"/>
          <w:b w:val="1"/>
          <w:bCs w:val="1"/>
          <w:color w:val="FFFFFF"/>
        </w:rPr>
        <w:t>SHAREHOLDER</w:t>
      </w:r>
    </w:p>
    <w:p>
      <w:pPr>
        <w:spacing w:after="0" w:line="12" w:lineRule="exact"/>
        <w:rPr>
          <w:sz w:val="20"/>
          <w:szCs w:val="20"/>
          <w:color w:val="auto"/>
        </w:rPr>
      </w:pPr>
    </w:p>
    <w:p>
      <w:pPr>
        <w:jc w:val="center"/>
        <w:ind w:left="2320"/>
        <w:spacing w:after="0"/>
        <w:rPr>
          <w:sz w:val="20"/>
          <w:szCs w:val="20"/>
          <w:color w:val="auto"/>
        </w:rPr>
      </w:pPr>
      <w:r>
        <w:rPr>
          <w:rFonts w:ascii="Arial" w:cs="Arial" w:eastAsia="Arial" w:hAnsi="Arial"/>
          <w:sz w:val="12"/>
          <w:szCs w:val="12"/>
          <w:b w:val="1"/>
          <w:bCs w:val="1"/>
          <w:color w:val="FFFFFF"/>
        </w:rPr>
        <w:t>FEEDBACK</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859"/>
        <w:spacing w:after="0" w:line="250" w:lineRule="auto"/>
        <w:rPr>
          <w:sz w:val="20"/>
          <w:szCs w:val="20"/>
          <w:color w:val="auto"/>
        </w:rPr>
      </w:pPr>
      <w:r>
        <w:rPr>
          <w:rFonts w:ascii="Arial" w:cs="Arial" w:eastAsia="Arial" w:hAnsi="Arial"/>
          <w:sz w:val="12"/>
          <w:szCs w:val="12"/>
          <w:color w:val="auto"/>
        </w:rPr>
        <w:t>In addition to discussing any topics the shareholders brought up, the Company sought to discuss the following topics with its shareholders:</w:t>
      </w:r>
    </w:p>
    <w:p>
      <w:pPr>
        <w:spacing w:after="0" w:line="53" w:lineRule="exact"/>
        <w:rPr>
          <w:sz w:val="20"/>
          <w:szCs w:val="20"/>
          <w:color w:val="auto"/>
        </w:rPr>
      </w:pPr>
    </w:p>
    <w:p>
      <w:pPr>
        <w:ind w:left="240" w:right="879" w:hanging="181"/>
        <w:spacing w:after="0" w:line="274"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2022 Say-on-Pay vote</w:t>
      </w:r>
      <w:r>
        <w:rPr>
          <w:rFonts w:ascii="Arial" w:cs="Arial" w:eastAsia="Arial" w:hAnsi="Arial"/>
          <w:sz w:val="12"/>
          <w:szCs w:val="12"/>
          <w:color w:val="000000"/>
        </w:rPr>
        <w:t>, including the 2021 retention award to the Chief Executive Officer and the</w:t>
      </w:r>
      <w:r>
        <w:rPr>
          <w:rFonts w:ascii="Arial" w:cs="Arial" w:eastAsia="Arial" w:hAnsi="Arial"/>
          <w:sz w:val="12"/>
          <w:szCs w:val="12"/>
          <w:color w:val="009AD9"/>
        </w:rPr>
        <w:t xml:space="preserve"> </w:t>
      </w:r>
      <w:r>
        <w:rPr>
          <w:rFonts w:ascii="Arial" w:cs="Arial" w:eastAsia="Arial" w:hAnsi="Arial"/>
          <w:sz w:val="12"/>
          <w:szCs w:val="12"/>
          <w:color w:val="000000"/>
        </w:rPr>
        <w:t>2021 severance arrangement with the Former Executive Chairman;</w:t>
      </w:r>
    </w:p>
    <w:p>
      <w:pPr>
        <w:spacing w:after="0" w:line="40" w:lineRule="exact"/>
        <w:rPr>
          <w:sz w:val="20"/>
          <w:szCs w:val="20"/>
          <w:color w:val="auto"/>
        </w:rPr>
      </w:pPr>
    </w:p>
    <w:p>
      <w:pPr>
        <w:ind w:left="240" w:right="879" w:hanging="181"/>
        <w:spacing w:after="0" w:line="274"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 Company’s</w:t>
      </w:r>
      <w:r>
        <w:rPr>
          <w:rFonts w:ascii="Arial" w:cs="Arial" w:eastAsia="Arial" w:hAnsi="Arial"/>
          <w:sz w:val="12"/>
          <w:szCs w:val="12"/>
          <w:color w:val="009AD9"/>
        </w:rPr>
        <w:t xml:space="preserve"> </w:t>
      </w:r>
      <w:r>
        <w:rPr>
          <w:rFonts w:ascii="Arial" w:cs="Arial" w:eastAsia="Arial" w:hAnsi="Arial"/>
          <w:sz w:val="12"/>
          <w:szCs w:val="12"/>
          <w:b w:val="1"/>
          <w:bCs w:val="1"/>
          <w:color w:val="000000"/>
        </w:rPr>
        <w:t>executive compensation practices</w:t>
      </w:r>
      <w:r>
        <w:rPr>
          <w:rFonts w:ascii="Arial" w:cs="Arial" w:eastAsia="Arial" w:hAnsi="Arial"/>
          <w:sz w:val="12"/>
          <w:szCs w:val="12"/>
          <w:color w:val="000000"/>
        </w:rPr>
        <w:t>, including the ongoing short- and long-term</w:t>
      </w:r>
      <w:r>
        <w:rPr>
          <w:rFonts w:ascii="Arial" w:cs="Arial" w:eastAsia="Arial" w:hAnsi="Arial"/>
          <w:sz w:val="12"/>
          <w:szCs w:val="12"/>
          <w:color w:val="009AD9"/>
        </w:rPr>
        <w:t xml:space="preserve"> </w:t>
      </w:r>
      <w:r>
        <w:rPr>
          <w:rFonts w:ascii="Arial" w:cs="Arial" w:eastAsia="Arial" w:hAnsi="Arial"/>
          <w:sz w:val="12"/>
          <w:szCs w:val="12"/>
          <w:color w:val="000000"/>
        </w:rPr>
        <w:t>incentive program design;</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 Company’s</w:t>
      </w:r>
      <w:r>
        <w:rPr>
          <w:rFonts w:ascii="Arial" w:cs="Arial" w:eastAsia="Arial" w:hAnsi="Arial"/>
          <w:sz w:val="12"/>
          <w:szCs w:val="12"/>
          <w:color w:val="009AD9"/>
        </w:rPr>
        <w:t xml:space="preserve"> </w:t>
      </w:r>
      <w:r>
        <w:rPr>
          <w:rFonts w:ascii="Arial" w:cs="Arial" w:eastAsia="Arial" w:hAnsi="Arial"/>
          <w:sz w:val="12"/>
          <w:szCs w:val="12"/>
          <w:b w:val="1"/>
          <w:bCs w:val="1"/>
          <w:color w:val="000000"/>
        </w:rPr>
        <w:t>succession planning</w:t>
      </w:r>
      <w:r>
        <w:rPr>
          <w:rFonts w:ascii="Arial" w:cs="Arial" w:eastAsia="Arial" w:hAnsi="Arial"/>
          <w:sz w:val="12"/>
          <w:szCs w:val="12"/>
          <w:color w:val="009AD9"/>
        </w:rPr>
        <w:t xml:space="preserve"> </w:t>
      </w:r>
      <w:r>
        <w:rPr>
          <w:rFonts w:ascii="Arial" w:cs="Arial" w:eastAsia="Arial" w:hAnsi="Arial"/>
          <w:sz w:val="12"/>
          <w:szCs w:val="12"/>
          <w:color w:val="000000"/>
        </w:rPr>
        <w:t>and development of executive management team;</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 Company’s</w:t>
      </w:r>
      <w:r>
        <w:rPr>
          <w:rFonts w:ascii="Arial" w:cs="Arial" w:eastAsia="Arial" w:hAnsi="Arial"/>
          <w:sz w:val="12"/>
          <w:szCs w:val="12"/>
          <w:color w:val="009AD9"/>
        </w:rPr>
        <w:t xml:space="preserve"> </w:t>
      </w:r>
      <w:r>
        <w:rPr>
          <w:rFonts w:ascii="Arial" w:cs="Arial" w:eastAsia="Arial" w:hAnsi="Arial"/>
          <w:sz w:val="12"/>
          <w:szCs w:val="12"/>
          <w:b w:val="1"/>
          <w:bCs w:val="1"/>
          <w:color w:val="000000"/>
        </w:rPr>
        <w:t>ESG/Sustainability practices</w:t>
      </w:r>
      <w:r>
        <w:rPr>
          <w:rFonts w:ascii="Arial" w:cs="Arial" w:eastAsia="Arial" w:hAnsi="Arial"/>
          <w:sz w:val="12"/>
          <w:szCs w:val="12"/>
          <w:color w:val="000000"/>
        </w:rPr>
        <w:t>; and</w:t>
      </w:r>
    </w:p>
    <w:p>
      <w:pPr>
        <w:spacing w:after="0" w:line="80" w:lineRule="exact"/>
        <w:rPr>
          <w:sz w:val="20"/>
          <w:szCs w:val="20"/>
          <w:color w:val="auto"/>
        </w:rPr>
      </w:pPr>
    </w:p>
    <w:p>
      <w:pPr>
        <w:ind w:left="240" w:right="879" w:hanging="181"/>
        <w:spacing w:after="0" w:line="274" w:lineRule="auto"/>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 Company’s</w:t>
      </w:r>
      <w:r>
        <w:rPr>
          <w:rFonts w:ascii="Arial" w:cs="Arial" w:eastAsia="Arial" w:hAnsi="Arial"/>
          <w:sz w:val="12"/>
          <w:szCs w:val="12"/>
          <w:color w:val="009AD9"/>
        </w:rPr>
        <w:t xml:space="preserve"> </w:t>
      </w:r>
      <w:r>
        <w:rPr>
          <w:rFonts w:ascii="Arial" w:cs="Arial" w:eastAsia="Arial" w:hAnsi="Arial"/>
          <w:sz w:val="12"/>
          <w:szCs w:val="12"/>
          <w:b w:val="1"/>
          <w:bCs w:val="1"/>
          <w:color w:val="000000"/>
        </w:rPr>
        <w:t>governance practices</w:t>
      </w:r>
      <w:r>
        <w:rPr>
          <w:rFonts w:ascii="Arial" w:cs="Arial" w:eastAsia="Arial" w:hAnsi="Arial"/>
          <w:sz w:val="12"/>
          <w:szCs w:val="12"/>
          <w:color w:val="000000"/>
        </w:rPr>
        <w:t>, including the transition to an independent governance</w:t>
      </w:r>
      <w:r>
        <w:rPr>
          <w:rFonts w:ascii="Arial" w:cs="Arial" w:eastAsia="Arial" w:hAnsi="Arial"/>
          <w:sz w:val="12"/>
          <w:szCs w:val="12"/>
          <w:color w:val="009AD9"/>
        </w:rPr>
        <w:t xml:space="preserve"> </w:t>
      </w:r>
      <w:r>
        <w:rPr>
          <w:rFonts w:ascii="Arial" w:cs="Arial" w:eastAsia="Arial" w:hAnsi="Arial"/>
          <w:sz w:val="12"/>
          <w:szCs w:val="12"/>
          <w:color w:val="000000"/>
        </w:rPr>
        <w:t>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144145</wp:posOffset>
            </wp:positionV>
            <wp:extent cx="4711700" cy="5600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11700" cy="560070"/>
                    </a:xfrm>
                    <a:prstGeom prst="rect">
                      <a:avLst/>
                    </a:prstGeom>
                    <a:noFill/>
                  </pic:spPr>
                </pic:pic>
              </a:graphicData>
            </a:graphic>
          </wp:anchor>
        </w:drawing>
      </w:r>
    </w:p>
    <w:p>
      <w:pPr>
        <w:spacing w:after="0" w:line="288" w:lineRule="exact"/>
        <w:rPr>
          <w:sz w:val="20"/>
          <w:szCs w:val="20"/>
          <w:color w:val="auto"/>
        </w:rPr>
      </w:pPr>
    </w:p>
    <w:p>
      <w:pPr>
        <w:jc w:val="both"/>
        <w:ind w:right="859"/>
        <w:spacing w:after="0"/>
        <w:rPr>
          <w:sz w:val="20"/>
          <w:szCs w:val="20"/>
          <w:color w:val="auto"/>
        </w:rPr>
      </w:pPr>
      <w:r>
        <w:rPr>
          <w:rFonts w:ascii="Arial" w:cs="Arial" w:eastAsia="Arial" w:hAnsi="Arial"/>
          <w:sz w:val="12"/>
          <w:szCs w:val="12"/>
          <w:color w:val="auto"/>
        </w:rPr>
        <w:t xml:space="preserve">The table below summarizes the topics our shareholders asked us to consider in our most recent engagement efforts, and we </w:t>
      </w:r>
      <w:r>
        <w:rPr>
          <w:rFonts w:ascii="Arial" w:cs="Arial" w:eastAsia="Arial" w:hAnsi="Arial"/>
          <w:sz w:val="12"/>
          <w:szCs w:val="12"/>
          <w:b w:val="1"/>
          <w:bCs w:val="1"/>
          <w:color w:val="auto"/>
        </w:rPr>
        <w:t>shared the shareholder feedback with the Compensation Committee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and Board </w:t>
      </w:r>
      <w:r>
        <w:rPr>
          <w:rFonts w:ascii="Arial" w:cs="Arial" w:eastAsia="Arial" w:hAnsi="Arial"/>
          <w:sz w:val="12"/>
          <w:szCs w:val="12"/>
          <w:color w:val="auto"/>
        </w:rPr>
        <w:t>for their consideration as we continue to evaluate our executive compensation program</w:t>
      </w:r>
      <w:r>
        <w:rPr>
          <w:rFonts w:ascii="Arial" w:cs="Arial" w:eastAsia="Arial" w:hAnsi="Arial"/>
          <w:sz w:val="12"/>
          <w:szCs w:val="12"/>
          <w:b w:val="1"/>
          <w:bCs w:val="1"/>
          <w:color w:val="auto"/>
        </w:rPr>
        <w:t xml:space="preserve"> </w:t>
      </w:r>
      <w:r>
        <w:rPr>
          <w:rFonts w:ascii="Arial" w:cs="Arial" w:eastAsia="Arial" w:hAnsi="Arial"/>
          <w:sz w:val="12"/>
          <w:szCs w:val="12"/>
          <w:color w:val="auto"/>
        </w:rPr>
        <w:t>and ESG practices. Upon consideration of their feedback, we implemented certain changes as summarized in the table below.</w:t>
      </w:r>
    </w:p>
    <w:p>
      <w:pPr>
        <w:spacing w:after="0" w:line="200" w:lineRule="exact"/>
        <w:rPr>
          <w:sz w:val="20"/>
          <w:szCs w:val="20"/>
          <w:color w:val="auto"/>
        </w:rPr>
      </w:pPr>
    </w:p>
    <w:p>
      <w:pPr>
        <w:sectPr>
          <w:pgSz w:w="11900" w:h="16838" w:orient="portrait"/>
          <w:cols w:equalWidth="0" w:num="2">
            <w:col w:w="3360" w:space="460"/>
            <w:col w:w="6339"/>
          </w:cols>
          <w:pgMar w:left="300" w:top="373" w:right="1440" w:bottom="1440" w:gutter="0" w:footer="0" w:header="0"/>
          <w:type w:val="continuous"/>
        </w:sectPr>
      </w:pPr>
    </w:p>
    <w:p>
      <w:pPr>
        <w:spacing w:after="0" w:line="5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These meetings with our shareholders provided the Compensation Committee and the Board with valuable insights into our shareholders’ perspectives on our compensation program and potential improvements to the program, as described further below. Following the shareholder outreach, with input from its independent compensation consultant and management, the Compensation Committee conducted its annual review of our programs, including performance metrics and targets.</w:t>
      </w:r>
    </w:p>
    <w:p>
      <w:pPr>
        <w:spacing w:after="0" w:line="137"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Overall, we received generally positive feedback from the shareholders who engaged with us regarding:</w:t>
      </w:r>
    </w:p>
    <w:p>
      <w:pPr>
        <w:spacing w:after="0" w:line="80" w:lineRule="exact"/>
        <w:rPr>
          <w:sz w:val="20"/>
          <w:szCs w:val="20"/>
          <w:color w:val="auto"/>
        </w:rPr>
      </w:pPr>
    </w:p>
    <w:p>
      <w:pPr>
        <w:ind w:left="2220" w:hanging="213"/>
        <w:spacing w:after="0"/>
        <w:tabs>
          <w:tab w:leader="none" w:pos="2220" w:val="left"/>
        </w:tabs>
        <w:numPr>
          <w:ilvl w:val="0"/>
          <w:numId w:val="54"/>
        </w:numPr>
        <w:rPr>
          <w:rFonts w:ascii="Arial" w:cs="Arial" w:eastAsia="Arial" w:hAnsi="Arial"/>
          <w:sz w:val="12"/>
          <w:szCs w:val="12"/>
          <w:color w:val="009AD9"/>
        </w:rPr>
      </w:pPr>
      <w:r>
        <w:rPr>
          <w:rFonts w:ascii="Arial" w:cs="Arial" w:eastAsia="Arial" w:hAnsi="Arial"/>
          <w:sz w:val="12"/>
          <w:szCs w:val="12"/>
          <w:color w:val="auto"/>
        </w:rPr>
        <w:t>the Company’s regular ongoing compensation program,</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4"/>
        </w:numPr>
        <w:rPr>
          <w:rFonts w:ascii="Arial" w:cs="Arial" w:eastAsia="Arial" w:hAnsi="Arial"/>
          <w:sz w:val="12"/>
          <w:szCs w:val="12"/>
          <w:color w:val="009AD9"/>
        </w:rPr>
      </w:pPr>
      <w:r>
        <w:rPr>
          <w:rFonts w:ascii="Arial" w:cs="Arial" w:eastAsia="Arial" w:hAnsi="Arial"/>
          <w:sz w:val="12"/>
          <w:szCs w:val="12"/>
          <w:color w:val="auto"/>
        </w:rPr>
        <w:t>the Company’s transition to an independent Board governance structure,</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4"/>
        </w:numPr>
        <w:rPr>
          <w:rFonts w:ascii="Arial" w:cs="Arial" w:eastAsia="Arial" w:hAnsi="Arial"/>
          <w:sz w:val="12"/>
          <w:szCs w:val="12"/>
          <w:color w:val="009AD9"/>
        </w:rPr>
      </w:pPr>
      <w:r>
        <w:rPr>
          <w:rFonts w:ascii="Arial" w:cs="Arial" w:eastAsia="Arial" w:hAnsi="Arial"/>
          <w:sz w:val="12"/>
          <w:szCs w:val="12"/>
          <w:color w:val="auto"/>
        </w:rPr>
        <w:t>the departure of the former Executive Chairman,</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4"/>
        </w:numPr>
        <w:rPr>
          <w:rFonts w:ascii="Arial" w:cs="Arial" w:eastAsia="Arial" w:hAnsi="Arial"/>
          <w:sz w:val="12"/>
          <w:szCs w:val="12"/>
          <w:color w:val="009AD9"/>
        </w:rPr>
      </w:pPr>
      <w:r>
        <w:rPr>
          <w:rFonts w:ascii="Arial" w:cs="Arial" w:eastAsia="Arial" w:hAnsi="Arial"/>
          <w:sz w:val="12"/>
          <w:szCs w:val="12"/>
          <w:color w:val="auto"/>
        </w:rPr>
        <w:t>the performance of the senior management team, and</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4"/>
        </w:numPr>
        <w:rPr>
          <w:rFonts w:ascii="Arial" w:cs="Arial" w:eastAsia="Arial" w:hAnsi="Arial"/>
          <w:sz w:val="12"/>
          <w:szCs w:val="12"/>
          <w:color w:val="009AD9"/>
        </w:rPr>
      </w:pPr>
      <w:r>
        <w:rPr>
          <w:rFonts w:ascii="Arial" w:cs="Arial" w:eastAsia="Arial" w:hAnsi="Arial"/>
          <w:sz w:val="12"/>
          <w:szCs w:val="12"/>
          <w:color w:val="auto"/>
        </w:rPr>
        <w:t>the Company’s ESG efforts.</w:t>
      </w:r>
    </w:p>
    <w:p>
      <w:pPr>
        <w:spacing w:after="0" w:line="144"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Most shareholders we engaged who voted against our Say-on-Pay resolution at the 2022 Annual Meeting indicated the retention award granted to our Chief Executive Officer and the severance arrangement with our former Executive Chairman were the primary bases for their voting decisions. These awards were made under a unique set of circumstances, including ensuring a smooth transition to an independent Board structure during a critical time for the Company as management implemented and executed on its strategic plan to become a premium utility, including, among other items, the launch of the Company’s 10-year capital plan, the Company’s exit from its midstream investments in order for the Company to become a pure-play, regulated utility, and the sale of its LDCs in Oklahoma and Arkansas.</w:t>
      </w:r>
    </w:p>
    <w:p>
      <w:pPr>
        <w:spacing w:after="0" w:line="268" w:lineRule="exact"/>
        <w:rPr>
          <w:sz w:val="20"/>
          <w:szCs w:val="20"/>
          <w:color w:val="auto"/>
        </w:rPr>
      </w:pPr>
    </w:p>
    <w:p>
      <w:pPr>
        <w:ind w:left="2220" w:hanging="230"/>
        <w:spacing w:after="0"/>
        <w:tabs>
          <w:tab w:leader="none" w:pos="2220" w:val="left"/>
        </w:tabs>
        <w:numPr>
          <w:ilvl w:val="0"/>
          <w:numId w:val="55"/>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63" w:lineRule="exact"/>
        <w:rPr>
          <w:sz w:val="20"/>
          <w:szCs w:val="20"/>
          <w:color w:val="auto"/>
        </w:rPr>
      </w:pPr>
    </w:p>
    <w:tbl>
      <w:tblPr>
        <w:tblLayout w:type="fixed"/>
        <w:tblInd w:w="1950" w:type="dxa"/>
        <w:tblCellMar>
          <w:top w:w="0" w:type="dxa"/>
          <w:left w:w="0" w:type="dxa"/>
          <w:bottom w:w="0" w:type="dxa"/>
          <w:right w:w="0" w:type="dxa"/>
        </w:tblCellMar>
      </w:tblPr>
      <w:tr>
        <w:trPr>
          <w:trHeight w:val="20"/>
        </w:trPr>
        <w:tc>
          <w:tcPr>
            <w:tcW w:w="2640" w:type="dxa"/>
            <w:vAlign w:val="bottom"/>
            <w:tcBorders>
              <w:left w:val="single" w:sz="8" w:color="009AD9"/>
              <w:right w:val="single" w:sz="8" w:color="009AD9"/>
            </w:tcBorders>
            <w:shd w:val="clear" w:color="auto" w:fill="009AD9"/>
          </w:tcPr>
          <w:p>
            <w:pPr>
              <w:spacing w:after="0" w:line="20" w:lineRule="exact"/>
              <w:rPr>
                <w:sz w:val="1"/>
                <w:szCs w:val="1"/>
                <w:color w:val="auto"/>
              </w:rPr>
            </w:pPr>
          </w:p>
        </w:tc>
        <w:tc>
          <w:tcPr>
            <w:tcW w:w="100" w:type="dxa"/>
            <w:vAlign w:val="bottom"/>
            <w:tcBorders>
              <w:right w:val="single" w:sz="8" w:color="009AD9"/>
            </w:tcBorders>
            <w:shd w:val="clear" w:color="auto" w:fill="009AD9"/>
          </w:tcPr>
          <w:p>
            <w:pPr>
              <w:spacing w:after="0" w:line="20" w:lineRule="exact"/>
              <w:rPr>
                <w:sz w:val="1"/>
                <w:szCs w:val="1"/>
                <w:color w:val="auto"/>
              </w:rPr>
            </w:pPr>
          </w:p>
        </w:tc>
        <w:tc>
          <w:tcPr>
            <w:tcW w:w="980" w:type="dxa"/>
            <w:vAlign w:val="bottom"/>
            <w:shd w:val="clear" w:color="auto" w:fill="009AD9"/>
          </w:tcPr>
          <w:p>
            <w:pPr>
              <w:spacing w:after="0" w:line="20" w:lineRule="exact"/>
              <w:rPr>
                <w:sz w:val="1"/>
                <w:szCs w:val="1"/>
                <w:color w:val="auto"/>
              </w:rPr>
            </w:pPr>
          </w:p>
        </w:tc>
        <w:tc>
          <w:tcPr>
            <w:tcW w:w="300" w:type="dxa"/>
            <w:vAlign w:val="bottom"/>
            <w:shd w:val="clear" w:color="auto" w:fill="009AD9"/>
          </w:tcPr>
          <w:p>
            <w:pPr>
              <w:spacing w:after="0" w:line="20" w:lineRule="exact"/>
              <w:rPr>
                <w:sz w:val="1"/>
                <w:szCs w:val="1"/>
                <w:color w:val="auto"/>
              </w:rPr>
            </w:pPr>
          </w:p>
        </w:tc>
        <w:tc>
          <w:tcPr>
            <w:tcW w:w="1760" w:type="dxa"/>
            <w:vAlign w:val="bottom"/>
            <w:shd w:val="clear" w:color="auto" w:fill="009AD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9AD9"/>
          </w:tcPr>
          <w:p>
            <w:pPr>
              <w:spacing w:after="0" w:line="20" w:lineRule="exact"/>
              <w:rPr>
                <w:sz w:val="1"/>
                <w:szCs w:val="1"/>
                <w:color w:val="auto"/>
              </w:rPr>
            </w:pPr>
          </w:p>
        </w:tc>
        <w:tc>
          <w:tcPr>
            <w:tcW w:w="200" w:type="dxa"/>
            <w:vAlign w:val="bottom"/>
            <w:tcBorders>
              <w:right w:val="single" w:sz="8" w:color="009AD9"/>
            </w:tcBorders>
            <w:shd w:val="clear" w:color="auto" w:fill="009AD9"/>
          </w:tcPr>
          <w:p>
            <w:pPr>
              <w:spacing w:after="0" w:line="20" w:lineRule="exact"/>
              <w:rPr>
                <w:sz w:val="1"/>
                <w:szCs w:val="1"/>
                <w:color w:val="auto"/>
              </w:rPr>
            </w:pPr>
          </w:p>
        </w:tc>
        <w:tc>
          <w:tcPr>
            <w:tcW w:w="2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0" w:type="dxa"/>
            <w:vAlign w:val="bottom"/>
            <w:gridSpan w:val="5"/>
          </w:tcPr>
          <w:p>
            <w:pPr>
              <w:ind w:left="1180"/>
              <w:spacing w:after="0"/>
              <w:rPr>
                <w:sz w:val="20"/>
                <w:szCs w:val="20"/>
                <w:color w:val="auto"/>
              </w:rPr>
            </w:pPr>
            <w:r>
              <w:rPr>
                <w:rFonts w:ascii="Arial" w:cs="Arial" w:eastAsia="Arial" w:hAnsi="Arial"/>
                <w:sz w:val="10"/>
                <w:szCs w:val="10"/>
                <w:i w:val="1"/>
                <w:iCs w:val="1"/>
                <w:color w:val="auto"/>
                <w:w w:val="96"/>
              </w:rPr>
              <w:t>Compensation Discussion and Analysis (continued)</w:t>
            </w:r>
          </w:p>
        </w:tc>
        <w:tc>
          <w:tcPr>
            <w:tcW w:w="0" w:type="dxa"/>
            <w:vAlign w:val="bottom"/>
          </w:tcPr>
          <w:p>
            <w:pPr>
              <w:spacing w:after="0"/>
              <w:rPr>
                <w:sz w:val="1"/>
                <w:szCs w:val="1"/>
                <w:color w:val="auto"/>
              </w:rPr>
            </w:pPr>
          </w:p>
        </w:tc>
      </w:tr>
      <w:tr>
        <w:trPr>
          <w:trHeight w:val="292"/>
        </w:trPr>
        <w:tc>
          <w:tcPr>
            <w:tcW w:w="7200" w:type="dxa"/>
            <w:vAlign w:val="bottom"/>
            <w:gridSpan w:val="7"/>
          </w:tcPr>
          <w:p>
            <w:pPr>
              <w:spacing w:after="0"/>
              <w:rPr>
                <w:sz w:val="20"/>
                <w:szCs w:val="20"/>
                <w:color w:val="auto"/>
              </w:rPr>
            </w:pPr>
            <w:r>
              <w:rPr>
                <w:rFonts w:ascii="Arial" w:cs="Arial" w:eastAsia="Arial" w:hAnsi="Arial"/>
                <w:sz w:val="12"/>
                <w:szCs w:val="12"/>
                <w:color w:val="auto"/>
              </w:rPr>
              <w:t>The table below summarizes topics our shareholders asked us to consider and our response.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8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640" w:type="dxa"/>
            <w:vAlign w:val="bottom"/>
            <w:tcBorders>
              <w:left w:val="single" w:sz="8" w:color="009AD9"/>
              <w:bottom w:val="single" w:sz="8" w:color="009AD9"/>
              <w:right w:val="single" w:sz="8" w:color="009AD9"/>
            </w:tcBorders>
            <w:shd w:val="clear" w:color="auto" w:fill="009AD9"/>
          </w:tcPr>
          <w:p>
            <w:pPr>
              <w:ind w:left="300"/>
              <w:spacing w:after="0"/>
              <w:rPr>
                <w:sz w:val="20"/>
                <w:szCs w:val="20"/>
                <w:color w:val="auto"/>
              </w:rPr>
            </w:pPr>
            <w:r>
              <w:rPr>
                <w:rFonts w:ascii="Arial" w:cs="Arial" w:eastAsia="Arial" w:hAnsi="Arial"/>
                <w:sz w:val="10"/>
                <w:szCs w:val="10"/>
                <w:b w:val="1"/>
                <w:bCs w:val="1"/>
                <w:color w:val="FFFFFF"/>
                <w:w w:val="99"/>
              </w:rPr>
              <w:t>WHAT WE HEARD FROM OUR SHAREHOLDERS</w:t>
            </w:r>
          </w:p>
        </w:tc>
        <w:tc>
          <w:tcPr>
            <w:tcW w:w="100" w:type="dxa"/>
            <w:vAlign w:val="bottom"/>
            <w:tcBorders>
              <w:bottom w:val="single" w:sz="8" w:color="009AD9"/>
              <w:right w:val="single" w:sz="8" w:color="009AD9"/>
            </w:tcBorders>
            <w:shd w:val="clear" w:color="auto" w:fill="009AD9"/>
          </w:tcPr>
          <w:p>
            <w:pPr>
              <w:spacing w:after="0"/>
              <w:rPr>
                <w:sz w:val="21"/>
                <w:szCs w:val="21"/>
                <w:color w:val="auto"/>
              </w:rPr>
            </w:pPr>
          </w:p>
        </w:tc>
        <w:tc>
          <w:tcPr>
            <w:tcW w:w="980" w:type="dxa"/>
            <w:vAlign w:val="bottom"/>
            <w:tcBorders>
              <w:bottom w:val="single" w:sz="8" w:color="009AD9"/>
            </w:tcBorders>
            <w:shd w:val="clear" w:color="auto" w:fill="009AD9"/>
          </w:tcPr>
          <w:p>
            <w:pPr>
              <w:spacing w:after="0"/>
              <w:rPr>
                <w:sz w:val="21"/>
                <w:szCs w:val="21"/>
                <w:color w:val="auto"/>
              </w:rPr>
            </w:pPr>
          </w:p>
        </w:tc>
        <w:tc>
          <w:tcPr>
            <w:tcW w:w="300" w:type="dxa"/>
            <w:vAlign w:val="bottom"/>
            <w:tcBorders>
              <w:bottom w:val="single" w:sz="8" w:color="009AD9"/>
            </w:tcBorders>
            <w:shd w:val="clear" w:color="auto" w:fill="009AD9"/>
          </w:tcPr>
          <w:p>
            <w:pPr>
              <w:spacing w:after="0"/>
              <w:rPr>
                <w:sz w:val="21"/>
                <w:szCs w:val="21"/>
                <w:color w:val="auto"/>
              </w:rPr>
            </w:pPr>
          </w:p>
        </w:tc>
        <w:tc>
          <w:tcPr>
            <w:tcW w:w="3180" w:type="dxa"/>
            <w:vAlign w:val="bottom"/>
            <w:tcBorders>
              <w:bottom w:val="single" w:sz="8" w:color="009AD9"/>
            </w:tcBorders>
            <w:gridSpan w:val="3"/>
            <w:shd w:val="clear" w:color="auto" w:fill="009AD9"/>
          </w:tcPr>
          <w:p>
            <w:pPr>
              <w:ind w:left="420"/>
              <w:spacing w:after="0"/>
              <w:rPr>
                <w:sz w:val="20"/>
                <w:szCs w:val="20"/>
                <w:color w:val="auto"/>
              </w:rPr>
            </w:pPr>
            <w:r>
              <w:rPr>
                <w:rFonts w:ascii="Arial" w:cs="Arial" w:eastAsia="Arial" w:hAnsi="Arial"/>
                <w:sz w:val="10"/>
                <w:szCs w:val="10"/>
                <w:b w:val="1"/>
                <w:bCs w:val="1"/>
                <w:color w:val="FFFFFF"/>
              </w:rPr>
              <w:t>HOW WE RESPONDED</w:t>
            </w:r>
          </w:p>
        </w:tc>
        <w:tc>
          <w:tcPr>
            <w:tcW w:w="200" w:type="dxa"/>
            <w:vAlign w:val="bottom"/>
            <w:tcBorders>
              <w:bottom w:val="single" w:sz="8" w:color="009AD9"/>
              <w:right w:val="single" w:sz="8" w:color="009AD9"/>
            </w:tcBorders>
            <w:shd w:val="clear" w:color="auto" w:fill="009A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640" w:type="dxa"/>
            <w:vAlign w:val="bottom"/>
            <w:tcBorders>
              <w:left w:val="single" w:sz="8" w:color="009AD9"/>
            </w:tcBorders>
          </w:tcPr>
          <w:p>
            <w:pPr>
              <w:ind w:left="100"/>
              <w:spacing w:after="0"/>
              <w:rPr>
                <w:sz w:val="20"/>
                <w:szCs w:val="20"/>
                <w:color w:val="auto"/>
              </w:rPr>
            </w:pPr>
            <w:r>
              <w:rPr>
                <w:rFonts w:ascii="Arial" w:cs="Arial" w:eastAsia="Arial" w:hAnsi="Arial"/>
                <w:sz w:val="12"/>
                <w:szCs w:val="12"/>
                <w:b w:val="1"/>
                <w:bCs w:val="1"/>
                <w:i w:val="1"/>
                <w:iCs w:val="1"/>
                <w:color w:val="auto"/>
              </w:rPr>
              <w:t>Executive Compensation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right w:val="single" w:sz="8" w:color="009AD9"/>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640" w:type="dxa"/>
            <w:vAlign w:val="bottom"/>
            <w:tcBorders>
              <w:left w:val="single" w:sz="8" w:color="009AD9"/>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80" w:type="dxa"/>
            <w:vAlign w:val="bottom"/>
            <w:gridSpan w:val="3"/>
          </w:tcPr>
          <w:p>
            <w:pPr>
              <w:spacing w:after="0"/>
              <w:rPr>
                <w:sz w:val="2"/>
                <w:szCs w:val="2"/>
                <w:color w:val="auto"/>
              </w:rPr>
            </w:pPr>
          </w:p>
        </w:tc>
        <w:tc>
          <w:tcPr>
            <w:tcW w:w="200" w:type="dxa"/>
            <w:vAlign w:val="bottom"/>
            <w:tcBorders>
              <w:right w:val="single" w:sz="8" w:color="009AD9"/>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4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Shareholders were generally supportive of</w:t>
            </w:r>
          </w:p>
        </w:tc>
        <w:tc>
          <w:tcPr>
            <w:tcW w:w="100" w:type="dxa"/>
            <w:vAlign w:val="bottom"/>
            <w:tcBorders>
              <w:right w:val="single" w:sz="8" w:color="009AD9"/>
            </w:tcBorders>
            <w:shd w:val="clear" w:color="auto" w:fill="D8EFF9"/>
          </w:tcPr>
          <w:p>
            <w:pPr>
              <w:spacing w:after="0"/>
              <w:rPr>
                <w:sz w:val="14"/>
                <w:szCs w:val="14"/>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w w:val="99"/>
              </w:rPr>
              <w:t xml:space="preserve">The Compensation Committee has </w:t>
            </w:r>
            <w:r>
              <w:rPr>
                <w:rFonts w:ascii="Arial" w:cs="Arial" w:eastAsia="Arial" w:hAnsi="Arial"/>
                <w:sz w:val="11"/>
                <w:szCs w:val="11"/>
                <w:b w:val="1"/>
                <w:bCs w:val="1"/>
                <w:color w:val="auto"/>
                <w:w w:val="99"/>
              </w:rPr>
              <w:t>committed to not make one-time equity awards</w:t>
            </w:r>
            <w:r>
              <w:rPr>
                <w:rFonts w:ascii="Arial" w:cs="Arial" w:eastAsia="Arial" w:hAnsi="Arial"/>
                <w:sz w:val="11"/>
                <w:szCs w:val="11"/>
                <w:color w:val="auto"/>
                <w:w w:val="99"/>
              </w:rPr>
              <w:t xml:space="preserve"> to its</w:t>
            </w:r>
          </w:p>
        </w:tc>
        <w:tc>
          <w:tcPr>
            <w:tcW w:w="200" w:type="dxa"/>
            <w:vAlign w:val="bottom"/>
            <w:tcBorders>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40" w:type="dxa"/>
            <w:vAlign w:val="bottom"/>
            <w:tcBorders>
              <w:left w:val="single" w:sz="8" w:color="009AD9"/>
              <w:right w:val="single" w:sz="8" w:color="009AD9"/>
            </w:tcBorders>
            <w:vMerge w:val="continue"/>
            <w:shd w:val="clear" w:color="auto" w:fill="D8EFF9"/>
          </w:tcPr>
          <w:p>
            <w:pPr>
              <w:spacing w:after="0"/>
              <w:rPr>
                <w:sz w:val="8"/>
                <w:szCs w:val="8"/>
                <w:color w:val="auto"/>
              </w:rPr>
            </w:pPr>
          </w:p>
        </w:tc>
        <w:tc>
          <w:tcPr>
            <w:tcW w:w="100" w:type="dxa"/>
            <w:vAlign w:val="bottom"/>
            <w:tcBorders>
              <w:right w:val="single" w:sz="8" w:color="009AD9"/>
            </w:tcBorders>
            <w:shd w:val="clear" w:color="auto" w:fill="D8EFF9"/>
          </w:tcPr>
          <w:p>
            <w:pPr>
              <w:spacing w:after="0"/>
              <w:rPr>
                <w:sz w:val="8"/>
                <w:szCs w:val="8"/>
                <w:color w:val="auto"/>
              </w:rPr>
            </w:pPr>
          </w:p>
        </w:tc>
        <w:tc>
          <w:tcPr>
            <w:tcW w:w="4460" w:type="dxa"/>
            <w:vAlign w:val="bottom"/>
            <w:gridSpan w:val="5"/>
            <w:shd w:val="clear" w:color="auto" w:fill="D8EFF9"/>
          </w:tcPr>
          <w:p>
            <w:pPr>
              <w:ind w:left="20"/>
              <w:spacing w:after="0" w:line="103" w:lineRule="exact"/>
              <w:rPr>
                <w:sz w:val="20"/>
                <w:szCs w:val="20"/>
                <w:color w:val="auto"/>
              </w:rPr>
            </w:pPr>
            <w:r>
              <w:rPr>
                <w:rFonts w:ascii="Arial" w:cs="Arial" w:eastAsia="Arial" w:hAnsi="Arial"/>
                <w:sz w:val="11"/>
                <w:szCs w:val="11"/>
                <w:color w:val="auto"/>
              </w:rPr>
              <w:t>executive officers absent extraordinary circumstances, except in connection with new hires</w:t>
            </w:r>
          </w:p>
        </w:tc>
        <w:tc>
          <w:tcPr>
            <w:tcW w:w="200" w:type="dxa"/>
            <w:vAlign w:val="bottom"/>
            <w:tcBorders>
              <w:right w:val="single" w:sz="8" w:color="009AD9"/>
            </w:tcBorders>
            <w:shd w:val="clear" w:color="auto" w:fill="D8EFF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009AD9"/>
              <w:right w:val="single" w:sz="8" w:color="009AD9"/>
            </w:tcBorders>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the Company’s compensation program as</w:t>
            </w: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w w:val="99"/>
              </w:rPr>
              <w:t>or promotions. In the event the Compensation Committee determines that a one-time equity</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Borders>
              <w:left w:val="single" w:sz="8" w:color="009AD9"/>
              <w:right w:val="single" w:sz="8" w:color="009AD9"/>
            </w:tcBorders>
            <w:shd w:val="clear" w:color="auto" w:fill="D8EFF9"/>
          </w:tcPr>
          <w:p>
            <w:pPr>
              <w:ind w:left="100"/>
              <w:spacing w:after="0" w:line="132" w:lineRule="exact"/>
              <w:rPr>
                <w:sz w:val="20"/>
                <w:szCs w:val="20"/>
                <w:color w:val="auto"/>
              </w:rPr>
            </w:pPr>
            <w:r>
              <w:rPr>
                <w:rFonts w:ascii="Arial" w:cs="Arial" w:eastAsia="Arial" w:hAnsi="Arial"/>
                <w:sz w:val="12"/>
                <w:szCs w:val="12"/>
                <w:b w:val="1"/>
                <w:bCs w:val="1"/>
                <w:i w:val="1"/>
                <w:iCs w:val="1"/>
                <w:color w:val="auto"/>
              </w:rPr>
              <w:t>a whole but voiced concerns over one-off</w:t>
            </w: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award is necessary and appropriate, such special award will have, except in the case of</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40" w:type="dxa"/>
            <w:vAlign w:val="bottom"/>
            <w:tcBorders>
              <w:left w:val="single" w:sz="8" w:color="009AD9"/>
              <w:right w:val="single" w:sz="8" w:color="009AD9"/>
            </w:tcBorders>
            <w:shd w:val="clear" w:color="auto" w:fill="D8EFF9"/>
          </w:tcPr>
          <w:p>
            <w:pPr>
              <w:ind w:left="100"/>
              <w:spacing w:after="0" w:line="129" w:lineRule="exact"/>
              <w:rPr>
                <w:sz w:val="20"/>
                <w:szCs w:val="20"/>
                <w:color w:val="auto"/>
              </w:rPr>
            </w:pPr>
            <w:r>
              <w:rPr>
                <w:rFonts w:ascii="Arial" w:cs="Arial" w:eastAsia="Arial" w:hAnsi="Arial"/>
                <w:sz w:val="12"/>
                <w:szCs w:val="12"/>
                <w:b w:val="1"/>
                <w:bCs w:val="1"/>
                <w:i w:val="1"/>
                <w:iCs w:val="1"/>
                <w:color w:val="auto"/>
              </w:rPr>
              <w:t>retention awards that had a short vesting</w:t>
            </w: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 xml:space="preserve">new hires or promotions, </w:t>
            </w:r>
            <w:r>
              <w:rPr>
                <w:rFonts w:ascii="Arial" w:cs="Arial" w:eastAsia="Arial" w:hAnsi="Arial"/>
                <w:sz w:val="11"/>
                <w:szCs w:val="11"/>
                <w:b w:val="1"/>
                <w:bCs w:val="1"/>
                <w:color w:val="auto"/>
              </w:rPr>
              <w:t>at least a three-year vesting period</w:t>
            </w:r>
            <w:r>
              <w:rPr>
                <w:rFonts w:ascii="Arial" w:cs="Arial" w:eastAsia="Arial" w:hAnsi="Arial"/>
                <w:sz w:val="11"/>
                <w:szCs w:val="11"/>
                <w:color w:val="auto"/>
              </w:rPr>
              <w:t xml:space="preserve"> and will be </w:t>
            </w:r>
            <w:r>
              <w:rPr>
                <w:rFonts w:ascii="Arial" w:cs="Arial" w:eastAsia="Arial" w:hAnsi="Arial"/>
                <w:sz w:val="11"/>
                <w:szCs w:val="11"/>
                <w:b w:val="1"/>
                <w:bCs w:val="1"/>
                <w:color w:val="auto"/>
              </w:rPr>
              <w:t>primarily</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40" w:type="dxa"/>
            <w:vAlign w:val="bottom"/>
            <w:tcBorders>
              <w:left w:val="single" w:sz="8" w:color="009AD9"/>
              <w:right w:val="single" w:sz="8" w:color="009AD9"/>
            </w:tcBorders>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period and are solely time-based</w:t>
            </w: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b w:val="1"/>
                <w:bCs w:val="1"/>
                <w:color w:val="auto"/>
              </w:rPr>
              <w:t>performance-based</w:t>
            </w:r>
            <w:r>
              <w:rPr>
                <w:rFonts w:ascii="Arial" w:cs="Arial" w:eastAsia="Arial" w:hAnsi="Arial"/>
                <w:sz w:val="11"/>
                <w:szCs w:val="11"/>
                <w:color w:val="auto"/>
              </w:rPr>
              <w:t>. The Compensation Committee has not made any special one-time</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009AD9"/>
              <w:bottom w:val="single" w:sz="8" w:color="D8EFF9"/>
              <w:right w:val="single" w:sz="8" w:color="009AD9"/>
            </w:tcBorders>
            <w:shd w:val="clear" w:color="auto" w:fill="D8EFF9"/>
          </w:tcPr>
          <w:p>
            <w:pPr>
              <w:spacing w:after="0"/>
              <w:rPr>
                <w:sz w:val="14"/>
                <w:szCs w:val="14"/>
                <w:color w:val="auto"/>
              </w:rPr>
            </w:pPr>
          </w:p>
        </w:tc>
        <w:tc>
          <w:tcPr>
            <w:tcW w:w="100" w:type="dxa"/>
            <w:vAlign w:val="bottom"/>
            <w:tcBorders>
              <w:bottom w:val="single" w:sz="8" w:color="D8EFF9"/>
              <w:right w:val="single" w:sz="8" w:color="009AD9"/>
            </w:tcBorders>
            <w:shd w:val="clear" w:color="auto" w:fill="D8EFF9"/>
          </w:tcPr>
          <w:p>
            <w:pPr>
              <w:spacing w:after="0"/>
              <w:rPr>
                <w:sz w:val="14"/>
                <w:szCs w:val="14"/>
                <w:color w:val="auto"/>
              </w:rPr>
            </w:pPr>
          </w:p>
        </w:tc>
        <w:tc>
          <w:tcPr>
            <w:tcW w:w="4460" w:type="dxa"/>
            <w:vAlign w:val="bottom"/>
            <w:tcBorders>
              <w:bottom w:val="single" w:sz="8" w:color="D8EFF9"/>
            </w:tcBorders>
            <w:gridSpan w:val="5"/>
            <w:shd w:val="clear" w:color="auto" w:fill="D8EFF9"/>
          </w:tcPr>
          <w:p>
            <w:pPr>
              <w:ind w:left="20"/>
              <w:spacing w:after="0"/>
              <w:rPr>
                <w:sz w:val="20"/>
                <w:szCs w:val="20"/>
                <w:color w:val="auto"/>
              </w:rPr>
            </w:pPr>
            <w:r>
              <w:rPr>
                <w:rFonts w:ascii="Arial" w:cs="Arial" w:eastAsia="Arial" w:hAnsi="Arial"/>
                <w:sz w:val="11"/>
                <w:szCs w:val="11"/>
                <w:color w:val="auto"/>
              </w:rPr>
              <w:t>equity awards to executive officers since those granted to Mr. Lesar in 2021.</w:t>
            </w:r>
          </w:p>
        </w:tc>
        <w:tc>
          <w:tcPr>
            <w:tcW w:w="200" w:type="dxa"/>
            <w:vAlign w:val="bottom"/>
            <w:tcBorders>
              <w:bottom w:val="single" w:sz="8" w:color="D8EFF9"/>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40" w:type="dxa"/>
            <w:vAlign w:val="bottom"/>
            <w:tcBorders>
              <w:top w:val="single" w:sz="8" w:color="009AD9"/>
              <w:left w:val="single" w:sz="8" w:color="009AD9"/>
              <w:right w:val="single" w:sz="8" w:color="D8EFF9"/>
            </w:tcBorders>
            <w:shd w:val="clear" w:color="auto" w:fill="D8EFF9"/>
          </w:tcPr>
          <w:p>
            <w:pPr>
              <w:spacing w:after="0"/>
              <w:rPr>
                <w:sz w:val="16"/>
                <w:szCs w:val="16"/>
                <w:color w:val="auto"/>
              </w:rPr>
            </w:pPr>
          </w:p>
        </w:tc>
        <w:tc>
          <w:tcPr>
            <w:tcW w:w="100" w:type="dxa"/>
            <w:vAlign w:val="bottom"/>
            <w:tcBorders>
              <w:top w:val="single" w:sz="8" w:color="009AD9"/>
              <w:right w:val="single" w:sz="8" w:color="009AD9"/>
            </w:tcBorders>
            <w:shd w:val="clear" w:color="auto" w:fill="D8EFF9"/>
          </w:tcPr>
          <w:p>
            <w:pPr>
              <w:spacing w:after="0"/>
              <w:rPr>
                <w:sz w:val="16"/>
                <w:szCs w:val="16"/>
                <w:color w:val="auto"/>
              </w:rPr>
            </w:pPr>
          </w:p>
        </w:tc>
        <w:tc>
          <w:tcPr>
            <w:tcW w:w="4460" w:type="dxa"/>
            <w:vAlign w:val="bottom"/>
            <w:tcBorders>
              <w:top w:val="single" w:sz="8" w:color="009AD9"/>
            </w:tcBorders>
            <w:gridSpan w:val="5"/>
            <w:shd w:val="clear" w:color="auto" w:fill="D8EFF9"/>
          </w:tcPr>
          <w:p>
            <w:pPr>
              <w:ind w:left="20"/>
              <w:spacing w:after="0"/>
              <w:rPr>
                <w:sz w:val="20"/>
                <w:szCs w:val="20"/>
                <w:color w:val="auto"/>
              </w:rPr>
            </w:pPr>
            <w:r>
              <w:rPr>
                <w:rFonts w:ascii="Arial" w:cs="Arial" w:eastAsia="Arial" w:hAnsi="Arial"/>
                <w:sz w:val="11"/>
                <w:szCs w:val="11"/>
                <w:color w:val="auto"/>
                <w:w w:val="99"/>
              </w:rPr>
              <w:t xml:space="preserve">The Compensation Committee has adopted </w:t>
            </w:r>
            <w:r>
              <w:rPr>
                <w:rFonts w:ascii="Arial" w:cs="Arial" w:eastAsia="Arial" w:hAnsi="Arial"/>
                <w:sz w:val="11"/>
                <w:szCs w:val="11"/>
                <w:b w:val="1"/>
                <w:bCs w:val="1"/>
                <w:color w:val="auto"/>
                <w:w w:val="99"/>
              </w:rPr>
              <w:t>executive severance guidelines</w:t>
            </w:r>
            <w:r>
              <w:rPr>
                <w:rFonts w:ascii="Arial" w:cs="Arial" w:eastAsia="Arial" w:hAnsi="Arial"/>
                <w:sz w:val="11"/>
                <w:szCs w:val="11"/>
                <w:color w:val="auto"/>
                <w:w w:val="99"/>
              </w:rPr>
              <w:t xml:space="preserve"> that set forth</w:t>
            </w:r>
          </w:p>
        </w:tc>
        <w:tc>
          <w:tcPr>
            <w:tcW w:w="200" w:type="dxa"/>
            <w:vAlign w:val="bottom"/>
            <w:tcBorders>
              <w:top w:val="single" w:sz="8" w:color="009AD9"/>
              <w:right w:val="single" w:sz="8" w:color="009AD9"/>
            </w:tcBorders>
            <w:shd w:val="clear" w:color="auto" w:fill="D8EF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appropriate limits on any severance payments to our named executive officers.</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640" w:type="dxa"/>
            <w:vAlign w:val="bottom"/>
            <w:tcBorders>
              <w:left w:val="single" w:sz="8" w:color="009AD9"/>
              <w:right w:val="single" w:sz="8" w:color="D8EFF9"/>
            </w:tcBorders>
            <w:shd w:val="clear" w:color="auto" w:fill="D8EFF9"/>
          </w:tcPr>
          <w:p>
            <w:pPr>
              <w:spacing w:after="0"/>
              <w:rPr>
                <w:sz w:val="16"/>
                <w:szCs w:val="16"/>
                <w:color w:val="auto"/>
              </w:rPr>
            </w:pPr>
          </w:p>
        </w:tc>
        <w:tc>
          <w:tcPr>
            <w:tcW w:w="100" w:type="dxa"/>
            <w:vAlign w:val="bottom"/>
            <w:tcBorders>
              <w:right w:val="single" w:sz="8" w:color="009AD9"/>
            </w:tcBorders>
            <w:shd w:val="clear" w:color="auto" w:fill="D8EFF9"/>
          </w:tcPr>
          <w:p>
            <w:pPr>
              <w:spacing w:after="0"/>
              <w:rPr>
                <w:sz w:val="16"/>
                <w:szCs w:val="16"/>
                <w:color w:val="auto"/>
              </w:rPr>
            </w:pPr>
          </w:p>
        </w:tc>
        <w:tc>
          <w:tcPr>
            <w:tcW w:w="4460" w:type="dxa"/>
            <w:vAlign w:val="bottom"/>
            <w:gridSpan w:val="5"/>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guidelines do not entitle any executive to a severance payment. Eligibility and</w:t>
            </w:r>
          </w:p>
        </w:tc>
        <w:tc>
          <w:tcPr>
            <w:tcW w:w="200" w:type="dxa"/>
            <w:vAlign w:val="bottom"/>
            <w:tcBorders>
              <w:right w:val="single" w:sz="8" w:color="009AD9"/>
            </w:tcBorders>
            <w:shd w:val="clear" w:color="auto" w:fill="D8EF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left w:val="single" w:sz="8" w:color="009AD9"/>
              <w:right w:val="single" w:sz="8" w:color="D8EFF9"/>
            </w:tcBorders>
            <w:shd w:val="clear" w:color="auto" w:fill="D8EFF9"/>
          </w:tcPr>
          <w:p>
            <w:pPr>
              <w:spacing w:after="0" w:line="20" w:lineRule="exact"/>
              <w:rPr>
                <w:sz w:val="1"/>
                <w:szCs w:val="1"/>
                <w:color w:val="auto"/>
              </w:rPr>
            </w:pPr>
          </w:p>
        </w:tc>
        <w:tc>
          <w:tcPr>
            <w:tcW w:w="100" w:type="dxa"/>
            <w:vAlign w:val="bottom"/>
            <w:tcBorders>
              <w:right w:val="single" w:sz="8" w:color="009AD9"/>
            </w:tcBorders>
            <w:shd w:val="clear" w:color="auto" w:fill="D8EFF9"/>
          </w:tcPr>
          <w:p>
            <w:pPr>
              <w:spacing w:after="0" w:line="20" w:lineRule="exact"/>
              <w:rPr>
                <w:sz w:val="1"/>
                <w:szCs w:val="1"/>
                <w:color w:val="auto"/>
              </w:rPr>
            </w:pPr>
          </w:p>
        </w:tc>
        <w:tc>
          <w:tcPr>
            <w:tcW w:w="980" w:type="dxa"/>
            <w:vAlign w:val="bottom"/>
            <w:shd w:val="clear" w:color="auto" w:fill="D8EFF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80" w:type="dxa"/>
            <w:vAlign w:val="bottom"/>
            <w:gridSpan w:val="3"/>
            <w:shd w:val="clear" w:color="auto" w:fill="D8EFF9"/>
          </w:tcPr>
          <w:p>
            <w:pPr>
              <w:spacing w:after="0" w:line="20" w:lineRule="exact"/>
              <w:rPr>
                <w:sz w:val="1"/>
                <w:szCs w:val="1"/>
                <w:color w:val="auto"/>
              </w:rPr>
            </w:pPr>
          </w:p>
        </w:tc>
        <w:tc>
          <w:tcPr>
            <w:tcW w:w="200" w:type="dxa"/>
            <w:vAlign w:val="bottom"/>
            <w:tcBorders>
              <w:right w:val="single" w:sz="8" w:color="009AD9"/>
            </w:tcBorders>
            <w:shd w:val="clear" w:color="auto" w:fill="D8EFF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40"/>
              <w:spacing w:after="0"/>
              <w:rPr>
                <w:sz w:val="20"/>
                <w:szCs w:val="20"/>
                <w:color w:val="auto"/>
              </w:rPr>
            </w:pPr>
            <w:r>
              <w:rPr>
                <w:rFonts w:ascii="Arial" w:cs="Arial" w:eastAsia="Arial" w:hAnsi="Arial"/>
                <w:sz w:val="11"/>
                <w:szCs w:val="11"/>
                <w:color w:val="auto"/>
              </w:rPr>
              <w:t>amounts of any payments remain subject to Compensation Committee discretion.</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640" w:type="dxa"/>
            <w:vAlign w:val="bottom"/>
            <w:tcBorders>
              <w:left w:val="single" w:sz="8" w:color="009AD9"/>
              <w:right w:val="single" w:sz="8" w:color="D8EFF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expressed concern regarding the</w:t>
            </w:r>
          </w:p>
        </w:tc>
        <w:tc>
          <w:tcPr>
            <w:tcW w:w="100" w:type="dxa"/>
            <w:vAlign w:val="bottom"/>
            <w:tcBorders>
              <w:right w:val="single" w:sz="8" w:color="009AD9"/>
            </w:tcBorders>
            <w:shd w:val="clear" w:color="auto" w:fill="D8EFF9"/>
          </w:tcPr>
          <w:p>
            <w:pPr>
              <w:spacing w:after="0"/>
              <w:rPr>
                <w:sz w:val="15"/>
                <w:szCs w:val="15"/>
                <w:color w:val="auto"/>
              </w:rPr>
            </w:pPr>
          </w:p>
        </w:tc>
        <w:tc>
          <w:tcPr>
            <w:tcW w:w="4460" w:type="dxa"/>
            <w:vAlign w:val="bottom"/>
            <w:gridSpan w:val="5"/>
            <w:shd w:val="clear" w:color="auto" w:fill="D8EFF9"/>
          </w:tcPr>
          <w:p>
            <w:pPr>
              <w:ind w:left="80"/>
              <w:spacing w:after="0"/>
              <w:rPr>
                <w:sz w:val="20"/>
                <w:szCs w:val="20"/>
                <w:color w:val="auto"/>
              </w:rPr>
            </w:pPr>
            <w:r>
              <w:rPr>
                <w:rFonts w:ascii="Arial" w:cs="Arial" w:eastAsia="Arial" w:hAnsi="Arial"/>
                <w:sz w:val="11"/>
                <w:szCs w:val="11"/>
                <w:color w:val="009AD9"/>
                <w:w w:val="99"/>
              </w:rPr>
              <w:t>•</w:t>
            </w:r>
            <w:r>
              <w:rPr>
                <w:rFonts w:ascii="Arial" w:cs="Arial" w:eastAsia="Arial" w:hAnsi="Arial"/>
                <w:sz w:val="11"/>
                <w:szCs w:val="11"/>
                <w:color w:val="000000"/>
                <w:w w:val="99"/>
              </w:rPr>
              <w:t xml:space="preserve">    The Compensation Committee has committed to applying the limitations set forth in the</w:t>
            </w:r>
          </w:p>
        </w:tc>
        <w:tc>
          <w:tcPr>
            <w:tcW w:w="200" w:type="dxa"/>
            <w:vAlign w:val="bottom"/>
            <w:tcBorders>
              <w:right w:val="single" w:sz="8" w:color="009AD9"/>
            </w:tcBorders>
            <w:shd w:val="clear" w:color="auto" w:fill="D8EFF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40" w:type="dxa"/>
            <w:vAlign w:val="bottom"/>
            <w:tcBorders>
              <w:left w:val="single" w:sz="8" w:color="009AD9"/>
              <w:right w:val="single" w:sz="8" w:color="D8EFF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size of the Company’s recent severance /</w:t>
            </w: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40"/>
              <w:spacing w:after="0"/>
              <w:rPr>
                <w:sz w:val="20"/>
                <w:szCs w:val="20"/>
                <w:color w:val="auto"/>
              </w:rPr>
            </w:pPr>
            <w:r>
              <w:rPr>
                <w:rFonts w:ascii="Arial" w:cs="Arial" w:eastAsia="Arial" w:hAnsi="Arial"/>
                <w:sz w:val="11"/>
                <w:szCs w:val="11"/>
                <w:color w:val="auto"/>
              </w:rPr>
              <w:t>guidelines in determining severance payments to named executive officers, if any.</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40" w:type="dxa"/>
            <w:vAlign w:val="bottom"/>
            <w:tcBorders>
              <w:left w:val="single" w:sz="8" w:color="009AD9"/>
              <w:right w:val="single" w:sz="8" w:color="D8EFF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separation arrangements</w:t>
            </w:r>
          </w:p>
        </w:tc>
        <w:tc>
          <w:tcPr>
            <w:tcW w:w="100" w:type="dxa"/>
            <w:vAlign w:val="bottom"/>
            <w:tcBorders>
              <w:right w:val="single" w:sz="8" w:color="009AD9"/>
            </w:tcBorders>
            <w:shd w:val="clear" w:color="auto" w:fill="D8EFF9"/>
          </w:tcPr>
          <w:p>
            <w:pPr>
              <w:spacing w:after="0"/>
              <w:rPr>
                <w:sz w:val="12"/>
                <w:szCs w:val="12"/>
                <w:color w:val="auto"/>
              </w:rPr>
            </w:pPr>
          </w:p>
        </w:tc>
        <w:tc>
          <w:tcPr>
            <w:tcW w:w="4460" w:type="dxa"/>
            <w:vAlign w:val="bottom"/>
            <w:gridSpan w:val="5"/>
            <w:vMerge w:val="restart"/>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Recent severance payments made to Messrs. Doyle and Knight in connection with the</w:t>
            </w:r>
          </w:p>
        </w:tc>
        <w:tc>
          <w:tcPr>
            <w:tcW w:w="2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009AD9"/>
              <w:right w:val="single" w:sz="8" w:color="D8EFF9"/>
            </w:tcBorders>
            <w:shd w:val="clear" w:color="auto" w:fill="D8EFF9"/>
          </w:tcPr>
          <w:p>
            <w:pPr>
              <w:spacing w:after="0"/>
              <w:rPr>
                <w:sz w:val="8"/>
                <w:szCs w:val="8"/>
                <w:color w:val="auto"/>
              </w:rPr>
            </w:pPr>
          </w:p>
        </w:tc>
        <w:tc>
          <w:tcPr>
            <w:tcW w:w="100" w:type="dxa"/>
            <w:vAlign w:val="bottom"/>
            <w:tcBorders>
              <w:right w:val="single" w:sz="8" w:color="009AD9"/>
            </w:tcBorders>
            <w:shd w:val="clear" w:color="auto" w:fill="D8EFF9"/>
          </w:tcPr>
          <w:p>
            <w:pPr>
              <w:spacing w:after="0"/>
              <w:rPr>
                <w:sz w:val="8"/>
                <w:szCs w:val="8"/>
                <w:color w:val="auto"/>
              </w:rPr>
            </w:pPr>
          </w:p>
        </w:tc>
        <w:tc>
          <w:tcPr>
            <w:tcW w:w="4460" w:type="dxa"/>
            <w:vAlign w:val="bottom"/>
            <w:gridSpan w:val="5"/>
            <w:vMerge w:val="continue"/>
            <w:shd w:val="clear" w:color="auto" w:fill="D8EFF9"/>
          </w:tcPr>
          <w:p>
            <w:pPr>
              <w:spacing w:after="0"/>
              <w:rPr>
                <w:sz w:val="8"/>
                <w:szCs w:val="8"/>
                <w:color w:val="auto"/>
              </w:rPr>
            </w:pPr>
          </w:p>
        </w:tc>
        <w:tc>
          <w:tcPr>
            <w:tcW w:w="200" w:type="dxa"/>
            <w:vAlign w:val="bottom"/>
            <w:tcBorders>
              <w:right w:val="single" w:sz="8" w:color="009AD9"/>
            </w:tcBorders>
            <w:shd w:val="clear" w:color="auto" w:fill="D8EFF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40"/>
              <w:spacing w:after="0"/>
              <w:rPr>
                <w:sz w:val="20"/>
                <w:szCs w:val="20"/>
                <w:color w:val="auto"/>
              </w:rPr>
            </w:pPr>
            <w:r>
              <w:rPr>
                <w:rFonts w:ascii="Arial" w:cs="Arial" w:eastAsia="Arial" w:hAnsi="Arial"/>
                <w:sz w:val="11"/>
                <w:szCs w:val="11"/>
                <w:color w:val="auto"/>
              </w:rPr>
              <w:t>elimination of their positions complied with the guidelines.</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640" w:type="dxa"/>
            <w:vAlign w:val="bottom"/>
            <w:tcBorders>
              <w:left w:val="single" w:sz="8" w:color="009AD9"/>
              <w:right w:val="single" w:sz="8" w:color="D8EFF9"/>
            </w:tcBorders>
            <w:shd w:val="clear" w:color="auto" w:fill="D8EFF9"/>
          </w:tcPr>
          <w:p>
            <w:pPr>
              <w:spacing w:after="0"/>
              <w:rPr>
                <w:sz w:val="17"/>
                <w:szCs w:val="17"/>
                <w:color w:val="auto"/>
              </w:rPr>
            </w:pPr>
          </w:p>
        </w:tc>
        <w:tc>
          <w:tcPr>
            <w:tcW w:w="100" w:type="dxa"/>
            <w:vAlign w:val="bottom"/>
            <w:tcBorders>
              <w:right w:val="single" w:sz="8" w:color="009AD9"/>
            </w:tcBorders>
            <w:shd w:val="clear" w:color="auto" w:fill="D8EFF9"/>
          </w:tcPr>
          <w:p>
            <w:pPr>
              <w:spacing w:after="0"/>
              <w:rPr>
                <w:sz w:val="17"/>
                <w:szCs w:val="17"/>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For further information, including cash severance limits, please see below “Executive</w:t>
            </w:r>
          </w:p>
        </w:tc>
        <w:tc>
          <w:tcPr>
            <w:tcW w:w="200" w:type="dxa"/>
            <w:vAlign w:val="bottom"/>
            <w:tcBorders>
              <w:right w:val="single" w:sz="8" w:color="009AD9"/>
            </w:tcBorders>
            <w:shd w:val="clear" w:color="auto" w:fill="D8EF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Compensation Tables—Potential Payments Upon Change in Control or Termination—</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009AD9"/>
              <w:bottom w:val="single" w:sz="8" w:color="D8EFF9"/>
              <w:right w:val="single" w:sz="8" w:color="D8EFF9"/>
            </w:tcBorders>
            <w:shd w:val="clear" w:color="auto" w:fill="D8EFF9"/>
          </w:tcPr>
          <w:p>
            <w:pPr>
              <w:spacing w:after="0"/>
              <w:rPr>
                <w:sz w:val="14"/>
                <w:szCs w:val="14"/>
                <w:color w:val="auto"/>
              </w:rPr>
            </w:pPr>
          </w:p>
        </w:tc>
        <w:tc>
          <w:tcPr>
            <w:tcW w:w="100" w:type="dxa"/>
            <w:vAlign w:val="bottom"/>
            <w:tcBorders>
              <w:bottom w:val="single" w:sz="8" w:color="D8EFF9"/>
              <w:right w:val="single" w:sz="8" w:color="009AD9"/>
            </w:tcBorders>
            <w:shd w:val="clear" w:color="auto" w:fill="D8EFF9"/>
          </w:tcPr>
          <w:p>
            <w:pPr>
              <w:spacing w:after="0"/>
              <w:rPr>
                <w:sz w:val="14"/>
                <w:szCs w:val="14"/>
                <w:color w:val="auto"/>
              </w:rPr>
            </w:pPr>
          </w:p>
        </w:tc>
        <w:tc>
          <w:tcPr>
            <w:tcW w:w="4460" w:type="dxa"/>
            <w:vAlign w:val="bottom"/>
            <w:tcBorders>
              <w:bottom w:val="single" w:sz="8" w:color="D8EFF9"/>
            </w:tcBorders>
            <w:gridSpan w:val="5"/>
            <w:shd w:val="clear" w:color="auto" w:fill="D8EFF9"/>
          </w:tcPr>
          <w:p>
            <w:pPr>
              <w:ind w:left="20"/>
              <w:spacing w:after="0"/>
              <w:rPr>
                <w:sz w:val="20"/>
                <w:szCs w:val="20"/>
                <w:color w:val="auto"/>
              </w:rPr>
            </w:pPr>
            <w:r>
              <w:rPr>
                <w:rFonts w:ascii="Arial" w:cs="Arial" w:eastAsia="Arial" w:hAnsi="Arial"/>
                <w:sz w:val="11"/>
                <w:szCs w:val="11"/>
                <w:color w:val="auto"/>
              </w:rPr>
              <w:t>Executive Severance Guidelines.”</w:t>
            </w:r>
          </w:p>
        </w:tc>
        <w:tc>
          <w:tcPr>
            <w:tcW w:w="200" w:type="dxa"/>
            <w:vAlign w:val="bottom"/>
            <w:tcBorders>
              <w:bottom w:val="single" w:sz="8" w:color="D8EFF9"/>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40" w:type="dxa"/>
            <w:vAlign w:val="bottom"/>
            <w:tcBorders>
              <w:top w:val="single" w:sz="8" w:color="009AD9"/>
              <w:left w:val="single" w:sz="8" w:color="009AD9"/>
              <w:right w:val="single" w:sz="8" w:color="D8EFF9"/>
            </w:tcBorders>
            <w:shd w:val="clear" w:color="auto" w:fill="D8EFF9"/>
          </w:tcPr>
          <w:p>
            <w:pPr>
              <w:spacing w:after="0"/>
              <w:rPr>
                <w:sz w:val="16"/>
                <w:szCs w:val="16"/>
                <w:color w:val="auto"/>
              </w:rPr>
            </w:pPr>
          </w:p>
        </w:tc>
        <w:tc>
          <w:tcPr>
            <w:tcW w:w="100" w:type="dxa"/>
            <w:vAlign w:val="bottom"/>
            <w:tcBorders>
              <w:top w:val="single" w:sz="8" w:color="009AD9"/>
              <w:right w:val="single" w:sz="8" w:color="009AD9"/>
            </w:tcBorders>
            <w:shd w:val="clear" w:color="auto" w:fill="D8EFF9"/>
          </w:tcPr>
          <w:p>
            <w:pPr>
              <w:spacing w:after="0"/>
              <w:rPr>
                <w:sz w:val="16"/>
                <w:szCs w:val="16"/>
                <w:color w:val="auto"/>
              </w:rPr>
            </w:pPr>
          </w:p>
        </w:tc>
        <w:tc>
          <w:tcPr>
            <w:tcW w:w="4460" w:type="dxa"/>
            <w:vAlign w:val="bottom"/>
            <w:tcBorders>
              <w:top w:val="single" w:sz="8" w:color="009AD9"/>
            </w:tcBorders>
            <w:gridSpan w:val="5"/>
            <w:shd w:val="clear" w:color="auto" w:fill="D8EFF9"/>
          </w:tcPr>
          <w:p>
            <w:pPr>
              <w:ind w:left="20"/>
              <w:spacing w:after="0"/>
              <w:rPr>
                <w:sz w:val="20"/>
                <w:szCs w:val="20"/>
                <w:color w:val="auto"/>
              </w:rPr>
            </w:pPr>
            <w:r>
              <w:rPr>
                <w:rFonts w:ascii="Arial" w:cs="Arial" w:eastAsia="Arial" w:hAnsi="Arial"/>
                <w:sz w:val="11"/>
                <w:szCs w:val="11"/>
                <w:color w:val="auto"/>
                <w:w w:val="98"/>
              </w:rPr>
              <w:t>The Company seeks to follow best-in-class practices when it comes to disclosing severance</w:t>
            </w:r>
          </w:p>
        </w:tc>
        <w:tc>
          <w:tcPr>
            <w:tcW w:w="200" w:type="dxa"/>
            <w:vAlign w:val="bottom"/>
            <w:tcBorders>
              <w:top w:val="single" w:sz="8" w:color="009AD9"/>
              <w:right w:val="single" w:sz="8" w:color="009AD9"/>
            </w:tcBorders>
            <w:shd w:val="clear" w:color="auto" w:fill="D8EFF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or separation arrangements with executive officers. In connection with the adoptions of the</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0"/>
              <w:spacing w:after="0"/>
              <w:rPr>
                <w:sz w:val="20"/>
                <w:szCs w:val="20"/>
                <w:color w:val="auto"/>
              </w:rPr>
            </w:pPr>
            <w:r>
              <w:rPr>
                <w:rFonts w:ascii="Arial" w:cs="Arial" w:eastAsia="Arial" w:hAnsi="Arial"/>
                <w:sz w:val="11"/>
                <w:szCs w:val="11"/>
                <w:color w:val="auto"/>
              </w:rPr>
              <w:t>executive severance guidelines:</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640" w:type="dxa"/>
            <w:vAlign w:val="bottom"/>
            <w:tcBorders>
              <w:left w:val="single" w:sz="8" w:color="009AD9"/>
              <w:right w:val="single" w:sz="8" w:color="D8EFF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desire greater understanding</w:t>
            </w:r>
          </w:p>
        </w:tc>
        <w:tc>
          <w:tcPr>
            <w:tcW w:w="100" w:type="dxa"/>
            <w:vAlign w:val="bottom"/>
            <w:tcBorders>
              <w:right w:val="single" w:sz="8" w:color="009AD9"/>
            </w:tcBorders>
            <w:shd w:val="clear" w:color="auto" w:fill="D8EFF9"/>
          </w:tcPr>
          <w:p>
            <w:pPr>
              <w:spacing w:after="0"/>
              <w:rPr>
                <w:sz w:val="15"/>
                <w:szCs w:val="15"/>
                <w:color w:val="auto"/>
              </w:rPr>
            </w:pPr>
          </w:p>
        </w:tc>
        <w:tc>
          <w:tcPr>
            <w:tcW w:w="4460" w:type="dxa"/>
            <w:vAlign w:val="bottom"/>
            <w:gridSpan w:val="5"/>
            <w:shd w:val="clear" w:color="auto" w:fill="D8EFF9"/>
          </w:tcPr>
          <w:p>
            <w:pPr>
              <w:ind w:left="80"/>
              <w:spacing w:after="0"/>
              <w:rPr>
                <w:sz w:val="20"/>
                <w:szCs w:val="20"/>
                <w:color w:val="auto"/>
              </w:rPr>
            </w:pPr>
            <w:r>
              <w:rPr>
                <w:rFonts w:ascii="Arial" w:cs="Arial" w:eastAsia="Arial" w:hAnsi="Arial"/>
                <w:sz w:val="11"/>
                <w:szCs w:val="11"/>
                <w:color w:val="009AD9"/>
                <w:w w:val="99"/>
              </w:rPr>
              <w:t>•</w:t>
            </w:r>
            <w:r>
              <w:rPr>
                <w:rFonts w:ascii="Arial" w:cs="Arial" w:eastAsia="Arial" w:hAnsi="Arial"/>
                <w:sz w:val="11"/>
                <w:szCs w:val="11"/>
                <w:color w:val="000000"/>
                <w:w w:val="99"/>
              </w:rPr>
              <w:t xml:space="preserve">    The Company will continue to disclose severance or separation events for its executive</w:t>
            </w:r>
          </w:p>
        </w:tc>
        <w:tc>
          <w:tcPr>
            <w:tcW w:w="200" w:type="dxa"/>
            <w:vAlign w:val="bottom"/>
            <w:tcBorders>
              <w:right w:val="single" w:sz="8" w:color="009AD9"/>
            </w:tcBorders>
            <w:shd w:val="clear" w:color="auto" w:fill="D8EFF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640" w:type="dxa"/>
            <w:vAlign w:val="bottom"/>
            <w:tcBorders>
              <w:left w:val="single" w:sz="8" w:color="009AD9"/>
              <w:right w:val="single" w:sz="8" w:color="D8EFF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regarding severance / separation arrangements</w:t>
            </w:r>
          </w:p>
        </w:tc>
        <w:tc>
          <w:tcPr>
            <w:tcW w:w="100" w:type="dxa"/>
            <w:vAlign w:val="bottom"/>
            <w:tcBorders>
              <w:right w:val="single" w:sz="8" w:color="009AD9"/>
            </w:tcBorders>
            <w:shd w:val="clear" w:color="auto" w:fill="D8EFF9"/>
          </w:tcPr>
          <w:p>
            <w:pPr>
              <w:spacing w:after="0"/>
              <w:rPr>
                <w:sz w:val="13"/>
                <w:szCs w:val="13"/>
                <w:color w:val="auto"/>
              </w:rPr>
            </w:pPr>
          </w:p>
        </w:tc>
        <w:tc>
          <w:tcPr>
            <w:tcW w:w="4460" w:type="dxa"/>
            <w:vAlign w:val="bottom"/>
            <w:gridSpan w:val="5"/>
            <w:shd w:val="clear" w:color="auto" w:fill="D8EFF9"/>
          </w:tcPr>
          <w:p>
            <w:pPr>
              <w:ind w:left="240"/>
              <w:spacing w:after="0"/>
              <w:rPr>
                <w:sz w:val="20"/>
                <w:szCs w:val="20"/>
                <w:color w:val="auto"/>
              </w:rPr>
            </w:pPr>
            <w:r>
              <w:rPr>
                <w:rFonts w:ascii="Arial" w:cs="Arial" w:eastAsia="Arial" w:hAnsi="Arial"/>
                <w:sz w:val="11"/>
                <w:szCs w:val="11"/>
                <w:color w:val="auto"/>
              </w:rPr>
              <w:t>officers through press releases and Securities and Exchange Commission filings; and</w:t>
            </w:r>
          </w:p>
        </w:tc>
        <w:tc>
          <w:tcPr>
            <w:tcW w:w="200" w:type="dxa"/>
            <w:vAlign w:val="bottom"/>
            <w:tcBorders>
              <w:right w:val="single" w:sz="8" w:color="009AD9"/>
            </w:tcBorders>
            <w:shd w:val="clear" w:color="auto" w:fill="D8EF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40" w:type="dxa"/>
            <w:vAlign w:val="bottom"/>
            <w:tcBorders>
              <w:left w:val="single" w:sz="8" w:color="009AD9"/>
              <w:right w:val="single" w:sz="8" w:color="D8EFF9"/>
            </w:tcBorders>
            <w:shd w:val="clear" w:color="auto" w:fill="D8EFF9"/>
          </w:tcPr>
          <w:p>
            <w:pPr>
              <w:spacing w:after="0"/>
              <w:rPr>
                <w:sz w:val="17"/>
                <w:szCs w:val="17"/>
                <w:color w:val="auto"/>
              </w:rPr>
            </w:pPr>
          </w:p>
        </w:tc>
        <w:tc>
          <w:tcPr>
            <w:tcW w:w="100" w:type="dxa"/>
            <w:vAlign w:val="bottom"/>
            <w:tcBorders>
              <w:right w:val="single" w:sz="8" w:color="009AD9"/>
            </w:tcBorders>
            <w:shd w:val="clear" w:color="auto" w:fill="D8EFF9"/>
          </w:tcPr>
          <w:p>
            <w:pPr>
              <w:spacing w:after="0"/>
              <w:rPr>
                <w:sz w:val="17"/>
                <w:szCs w:val="17"/>
                <w:color w:val="auto"/>
              </w:rPr>
            </w:pPr>
          </w:p>
        </w:tc>
        <w:tc>
          <w:tcPr>
            <w:tcW w:w="4460" w:type="dxa"/>
            <w:vAlign w:val="bottom"/>
            <w:gridSpan w:val="5"/>
            <w:shd w:val="clear" w:color="auto" w:fill="D8EFF9"/>
          </w:tcPr>
          <w:p>
            <w:pPr>
              <w:ind w:left="80"/>
              <w:spacing w:after="0"/>
              <w:rPr>
                <w:sz w:val="20"/>
                <w:szCs w:val="20"/>
                <w:color w:val="auto"/>
              </w:rPr>
            </w:pPr>
            <w:r>
              <w:rPr>
                <w:rFonts w:ascii="Arial" w:cs="Arial" w:eastAsia="Arial" w:hAnsi="Arial"/>
                <w:sz w:val="11"/>
                <w:szCs w:val="11"/>
                <w:color w:val="009AD9"/>
                <w:w w:val="99"/>
              </w:rPr>
              <w:t>•</w:t>
            </w:r>
            <w:r>
              <w:rPr>
                <w:rFonts w:ascii="Arial" w:cs="Arial" w:eastAsia="Arial" w:hAnsi="Arial"/>
                <w:sz w:val="11"/>
                <w:szCs w:val="11"/>
                <w:color w:val="000000"/>
                <w:w w:val="99"/>
              </w:rPr>
              <w:t xml:space="preserve">    The Company seeks to provide greater transparency with the adoption of the executive</w:t>
            </w:r>
          </w:p>
        </w:tc>
        <w:tc>
          <w:tcPr>
            <w:tcW w:w="200" w:type="dxa"/>
            <w:vAlign w:val="bottom"/>
            <w:tcBorders>
              <w:right w:val="single" w:sz="8" w:color="009AD9"/>
            </w:tcBorders>
            <w:shd w:val="clear" w:color="auto" w:fill="D8EF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640" w:type="dxa"/>
            <w:vAlign w:val="bottom"/>
            <w:tcBorders>
              <w:left w:val="single" w:sz="8" w:color="009AD9"/>
              <w:right w:val="single" w:sz="8" w:color="D8EFF9"/>
            </w:tcBorders>
            <w:shd w:val="clear" w:color="auto" w:fill="D8EFF9"/>
          </w:tcPr>
          <w:p>
            <w:pPr>
              <w:spacing w:after="0"/>
              <w:rPr>
                <w:sz w:val="11"/>
                <w:szCs w:val="11"/>
                <w:color w:val="auto"/>
              </w:rPr>
            </w:pPr>
          </w:p>
        </w:tc>
        <w:tc>
          <w:tcPr>
            <w:tcW w:w="100" w:type="dxa"/>
            <w:vAlign w:val="bottom"/>
            <w:tcBorders>
              <w:right w:val="single" w:sz="8" w:color="009AD9"/>
            </w:tcBorders>
            <w:shd w:val="clear" w:color="auto" w:fill="D8EFF9"/>
          </w:tcPr>
          <w:p>
            <w:pPr>
              <w:spacing w:after="0"/>
              <w:rPr>
                <w:sz w:val="11"/>
                <w:szCs w:val="11"/>
                <w:color w:val="auto"/>
              </w:rPr>
            </w:pPr>
          </w:p>
        </w:tc>
        <w:tc>
          <w:tcPr>
            <w:tcW w:w="4460" w:type="dxa"/>
            <w:vAlign w:val="bottom"/>
            <w:gridSpan w:val="5"/>
            <w:shd w:val="clear" w:color="auto" w:fill="D8EFF9"/>
          </w:tcPr>
          <w:p>
            <w:pPr>
              <w:ind w:left="240"/>
              <w:spacing w:after="0"/>
              <w:rPr>
                <w:sz w:val="20"/>
                <w:szCs w:val="20"/>
                <w:color w:val="auto"/>
              </w:rPr>
            </w:pPr>
            <w:r>
              <w:rPr>
                <w:rFonts w:ascii="Arial" w:cs="Arial" w:eastAsia="Arial" w:hAnsi="Arial"/>
                <w:sz w:val="11"/>
                <w:szCs w:val="11"/>
                <w:color w:val="auto"/>
              </w:rPr>
              <w:t>severance guidelines and will disclose whether a severance arrangement complies</w:t>
            </w:r>
          </w:p>
        </w:tc>
        <w:tc>
          <w:tcPr>
            <w:tcW w:w="200" w:type="dxa"/>
            <w:vAlign w:val="bottom"/>
            <w:tcBorders>
              <w:right w:val="single" w:sz="8" w:color="009AD9"/>
            </w:tcBorders>
            <w:shd w:val="clear" w:color="auto" w:fill="D8EFF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40" w:type="dxa"/>
            <w:vAlign w:val="bottom"/>
            <w:tcBorders>
              <w:left w:val="single" w:sz="8" w:color="009AD9"/>
              <w:bottom w:val="single" w:sz="8" w:color="D8EFF9"/>
              <w:right w:val="single" w:sz="8" w:color="D8EFF9"/>
            </w:tcBorders>
            <w:shd w:val="clear" w:color="auto" w:fill="D8EFF9"/>
          </w:tcPr>
          <w:p>
            <w:pPr>
              <w:spacing w:after="0"/>
              <w:rPr>
                <w:sz w:val="14"/>
                <w:szCs w:val="14"/>
                <w:color w:val="auto"/>
              </w:rPr>
            </w:pPr>
          </w:p>
        </w:tc>
        <w:tc>
          <w:tcPr>
            <w:tcW w:w="100" w:type="dxa"/>
            <w:vAlign w:val="bottom"/>
            <w:tcBorders>
              <w:bottom w:val="single" w:sz="8" w:color="D8EFF9"/>
              <w:right w:val="single" w:sz="8" w:color="009AD9"/>
            </w:tcBorders>
            <w:shd w:val="clear" w:color="auto" w:fill="D8EFF9"/>
          </w:tcPr>
          <w:p>
            <w:pPr>
              <w:spacing w:after="0"/>
              <w:rPr>
                <w:sz w:val="14"/>
                <w:szCs w:val="14"/>
                <w:color w:val="auto"/>
              </w:rPr>
            </w:pPr>
          </w:p>
        </w:tc>
        <w:tc>
          <w:tcPr>
            <w:tcW w:w="4460" w:type="dxa"/>
            <w:vAlign w:val="bottom"/>
            <w:tcBorders>
              <w:bottom w:val="single" w:sz="8" w:color="D8EFF9"/>
            </w:tcBorders>
            <w:gridSpan w:val="5"/>
            <w:shd w:val="clear" w:color="auto" w:fill="D8EFF9"/>
          </w:tcPr>
          <w:p>
            <w:pPr>
              <w:ind w:left="240"/>
              <w:spacing w:after="0"/>
              <w:rPr>
                <w:sz w:val="20"/>
                <w:szCs w:val="20"/>
                <w:color w:val="auto"/>
              </w:rPr>
            </w:pPr>
            <w:r>
              <w:rPr>
                <w:rFonts w:ascii="Arial" w:cs="Arial" w:eastAsia="Arial" w:hAnsi="Arial"/>
                <w:sz w:val="11"/>
                <w:szCs w:val="11"/>
                <w:color w:val="auto"/>
              </w:rPr>
              <w:t>with the guidelines.</w:t>
            </w:r>
          </w:p>
        </w:tc>
        <w:tc>
          <w:tcPr>
            <w:tcW w:w="200" w:type="dxa"/>
            <w:vAlign w:val="bottom"/>
            <w:tcBorders>
              <w:bottom w:val="single" w:sz="8" w:color="D8EFF9"/>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Borders>
              <w:top w:val="single" w:sz="8" w:color="009AD9"/>
              <w:bottom w:val="single" w:sz="8" w:color="009AD9"/>
            </w:tcBorders>
          </w:tcPr>
          <w:p>
            <w:pPr>
              <w:spacing w:after="0"/>
              <w:rPr>
                <w:sz w:val="14"/>
                <w:szCs w:val="14"/>
                <w:color w:val="auto"/>
              </w:rPr>
            </w:pPr>
          </w:p>
        </w:tc>
        <w:tc>
          <w:tcPr>
            <w:tcW w:w="100" w:type="dxa"/>
            <w:vAlign w:val="bottom"/>
            <w:tcBorders>
              <w:top w:val="single" w:sz="8" w:color="009AD9"/>
              <w:bottom w:val="single" w:sz="8" w:color="009AD9"/>
            </w:tcBorders>
          </w:tcPr>
          <w:p>
            <w:pPr>
              <w:spacing w:after="0"/>
              <w:rPr>
                <w:sz w:val="14"/>
                <w:szCs w:val="14"/>
                <w:color w:val="auto"/>
              </w:rPr>
            </w:pPr>
          </w:p>
        </w:tc>
        <w:tc>
          <w:tcPr>
            <w:tcW w:w="980" w:type="dxa"/>
            <w:vAlign w:val="bottom"/>
            <w:tcBorders>
              <w:top w:val="single" w:sz="8" w:color="009AD9"/>
              <w:bottom w:val="single" w:sz="8" w:color="009AD9"/>
            </w:tcBorders>
          </w:tcPr>
          <w:p>
            <w:pPr>
              <w:spacing w:after="0"/>
              <w:rPr>
                <w:sz w:val="14"/>
                <w:szCs w:val="14"/>
                <w:color w:val="auto"/>
              </w:rPr>
            </w:pPr>
          </w:p>
        </w:tc>
        <w:tc>
          <w:tcPr>
            <w:tcW w:w="300" w:type="dxa"/>
            <w:vAlign w:val="bottom"/>
            <w:tcBorders>
              <w:top w:val="single" w:sz="8" w:color="009AD9"/>
              <w:bottom w:val="single" w:sz="8" w:color="009AD9"/>
            </w:tcBorders>
          </w:tcPr>
          <w:p>
            <w:pPr>
              <w:spacing w:after="0"/>
              <w:rPr>
                <w:sz w:val="14"/>
                <w:szCs w:val="14"/>
                <w:color w:val="auto"/>
              </w:rPr>
            </w:pPr>
          </w:p>
        </w:tc>
        <w:tc>
          <w:tcPr>
            <w:tcW w:w="1760" w:type="dxa"/>
            <w:vAlign w:val="bottom"/>
            <w:tcBorders>
              <w:top w:val="single" w:sz="8" w:color="009AD9"/>
              <w:bottom w:val="single" w:sz="8" w:color="009AD9"/>
            </w:tcBorders>
          </w:tcPr>
          <w:p>
            <w:pPr>
              <w:spacing w:after="0"/>
              <w:rPr>
                <w:sz w:val="14"/>
                <w:szCs w:val="14"/>
                <w:color w:val="auto"/>
              </w:rPr>
            </w:pPr>
          </w:p>
        </w:tc>
        <w:tc>
          <w:tcPr>
            <w:tcW w:w="80" w:type="dxa"/>
            <w:vAlign w:val="bottom"/>
            <w:tcBorders>
              <w:top w:val="single" w:sz="8" w:color="009AD9"/>
              <w:bottom w:val="single" w:sz="8" w:color="009AD9"/>
            </w:tcBorders>
          </w:tcPr>
          <w:p>
            <w:pPr>
              <w:spacing w:after="0"/>
              <w:rPr>
                <w:sz w:val="14"/>
                <w:szCs w:val="14"/>
                <w:color w:val="auto"/>
              </w:rPr>
            </w:pPr>
          </w:p>
        </w:tc>
        <w:tc>
          <w:tcPr>
            <w:tcW w:w="1340" w:type="dxa"/>
            <w:vAlign w:val="bottom"/>
            <w:tcBorders>
              <w:top w:val="single" w:sz="8" w:color="009AD9"/>
              <w:bottom w:val="single" w:sz="8" w:color="009AD9"/>
            </w:tcBorders>
          </w:tcPr>
          <w:p>
            <w:pPr>
              <w:spacing w:after="0"/>
              <w:rPr>
                <w:sz w:val="14"/>
                <w:szCs w:val="14"/>
                <w:color w:val="auto"/>
              </w:rPr>
            </w:pPr>
          </w:p>
        </w:tc>
        <w:tc>
          <w:tcPr>
            <w:tcW w:w="200" w:type="dxa"/>
            <w:vAlign w:val="bottom"/>
            <w:tcBorders>
              <w:top w:val="single" w:sz="8" w:color="009AD9"/>
              <w:bottom w:val="single" w:sz="8" w:color="009AD9"/>
            </w:tcBorders>
          </w:tcPr>
          <w:p>
            <w:pPr>
              <w:spacing w:after="0"/>
              <w:rPr>
                <w:sz w:val="14"/>
                <w:szCs w:val="14"/>
                <w:color w:val="auto"/>
              </w:rPr>
            </w:pPr>
          </w:p>
        </w:tc>
        <w:tc>
          <w:tcPr>
            <w:tcW w:w="20" w:type="dxa"/>
            <w:vAlign w:val="bottom"/>
            <w:tcBorders>
              <w:bottom w:val="single" w:sz="8" w:color="009AD9"/>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ind w:left="300"/>
              <w:spacing w:after="0"/>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009AD9"/>
                <w:w w:val="83"/>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-2919095</wp:posOffset>
            </wp:positionV>
            <wp:extent cx="468820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688205" cy="571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-3051810</wp:posOffset>
            </wp:positionV>
            <wp:extent cx="11557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557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1" w:lineRule="exact"/>
        <w:rPr>
          <w:sz w:val="20"/>
          <w:szCs w:val="20"/>
          <w:color w:val="auto"/>
        </w:rPr>
      </w:pPr>
    </w:p>
    <w:tbl>
      <w:tblPr>
        <w:tblLayout w:type="fixed"/>
        <w:tblInd w:w="1950" w:type="dxa"/>
        <w:tblCellMar>
          <w:top w:w="0" w:type="dxa"/>
          <w:left w:w="0" w:type="dxa"/>
          <w:bottom w:w="0" w:type="dxa"/>
          <w:right w:w="0" w:type="dxa"/>
        </w:tblCellMar>
      </w:tblPr>
      <w:tr>
        <w:trPr>
          <w:trHeight w:val="244"/>
        </w:trPr>
        <w:tc>
          <w:tcPr>
            <w:tcW w:w="2600" w:type="dxa"/>
            <w:vAlign w:val="bottom"/>
            <w:tcBorders>
              <w:left w:val="single" w:sz="8" w:color="009AD9"/>
              <w:bottom w:val="single" w:sz="8" w:color="009AD9"/>
            </w:tcBorders>
            <w:shd w:val="clear" w:color="auto" w:fill="009AD9"/>
          </w:tcPr>
          <w:p>
            <w:pPr>
              <w:ind w:left="280"/>
              <w:spacing w:after="0"/>
              <w:rPr>
                <w:sz w:val="20"/>
                <w:szCs w:val="20"/>
                <w:color w:val="auto"/>
              </w:rPr>
            </w:pPr>
            <w:r>
              <w:rPr>
                <w:rFonts w:ascii="Arial" w:cs="Arial" w:eastAsia="Arial" w:hAnsi="Arial"/>
                <w:sz w:val="10"/>
                <w:szCs w:val="10"/>
                <w:b w:val="1"/>
                <w:bCs w:val="1"/>
                <w:color w:val="FFFFFF"/>
                <w:w w:val="99"/>
              </w:rPr>
              <w:t>WHAT WE HEARD FROM OUR SHAREHOLDERS</w:t>
            </w:r>
          </w:p>
        </w:tc>
        <w:tc>
          <w:tcPr>
            <w:tcW w:w="120" w:type="dxa"/>
            <w:vAlign w:val="bottom"/>
            <w:tcBorders>
              <w:bottom w:val="single" w:sz="8" w:color="009AD9"/>
              <w:right w:val="single" w:sz="8" w:color="009AD9"/>
            </w:tcBorders>
            <w:shd w:val="clear" w:color="auto" w:fill="009AD9"/>
          </w:tcPr>
          <w:p>
            <w:pPr>
              <w:spacing w:after="0"/>
              <w:rPr>
                <w:sz w:val="21"/>
                <w:szCs w:val="21"/>
                <w:color w:val="auto"/>
              </w:rPr>
            </w:pPr>
          </w:p>
        </w:tc>
        <w:tc>
          <w:tcPr>
            <w:tcW w:w="4680" w:type="dxa"/>
            <w:vAlign w:val="bottom"/>
            <w:tcBorders>
              <w:bottom w:val="single" w:sz="8" w:color="009AD9"/>
              <w:right w:val="single" w:sz="8" w:color="009AD9"/>
            </w:tcBorders>
            <w:shd w:val="clear" w:color="auto" w:fill="009AD9"/>
          </w:tcPr>
          <w:p>
            <w:pPr>
              <w:ind w:left="1720"/>
              <w:spacing w:after="0"/>
              <w:rPr>
                <w:sz w:val="20"/>
                <w:szCs w:val="20"/>
                <w:color w:val="auto"/>
              </w:rPr>
            </w:pPr>
            <w:r>
              <w:rPr>
                <w:rFonts w:ascii="Arial" w:cs="Arial" w:eastAsia="Arial" w:hAnsi="Arial"/>
                <w:sz w:val="10"/>
                <w:szCs w:val="10"/>
                <w:b w:val="1"/>
                <w:bCs w:val="1"/>
                <w:color w:val="FFFFFF"/>
              </w:rPr>
              <w:t>HOW WE RESPONDED</w:t>
            </w:r>
          </w:p>
        </w:tc>
        <w:tc>
          <w:tcPr>
            <w:tcW w:w="0" w:type="dxa"/>
            <w:vAlign w:val="bottom"/>
          </w:tcPr>
          <w:p>
            <w:pPr>
              <w:spacing w:after="0"/>
              <w:rPr>
                <w:sz w:val="1"/>
                <w:szCs w:val="1"/>
                <w:color w:val="auto"/>
              </w:rPr>
            </w:pPr>
          </w:p>
        </w:tc>
      </w:tr>
      <w:tr>
        <w:trPr>
          <w:trHeight w:val="201"/>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Beginning in 2021, the Company bifurcated the performance goal structure under its short-</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term incentive plan, resulting in separate performance metrics that apply to executive</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officers and to employees who are not executive officers of the Company.</w:t>
            </w:r>
          </w:p>
        </w:tc>
        <w:tc>
          <w:tcPr>
            <w:tcW w:w="0" w:type="dxa"/>
            <w:vAlign w:val="bottom"/>
          </w:tcPr>
          <w:p>
            <w:pPr>
              <w:spacing w:after="0"/>
              <w:rPr>
                <w:sz w:val="1"/>
                <w:szCs w:val="1"/>
                <w:color w:val="auto"/>
              </w:rPr>
            </w:pPr>
          </w:p>
        </w:tc>
      </w:tr>
      <w:tr>
        <w:trPr>
          <w:trHeight w:val="206"/>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Compensation Committee approved the bifurcation in response to shareholder</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feedback seeking an increased focus on earnings per share (EPS) in incentive plans to</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more directly align incentive plan payouts with shareholder interests.</w:t>
            </w:r>
          </w:p>
        </w:tc>
        <w:tc>
          <w:tcPr>
            <w:tcW w:w="0" w:type="dxa"/>
            <w:vAlign w:val="bottom"/>
          </w:tcPr>
          <w:p>
            <w:pPr>
              <w:spacing w:after="0"/>
              <w:rPr>
                <w:sz w:val="1"/>
                <w:szCs w:val="1"/>
                <w:color w:val="auto"/>
              </w:rPr>
            </w:pPr>
          </w:p>
        </w:tc>
      </w:tr>
      <w:tr>
        <w:trPr>
          <w:trHeight w:val="206"/>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Reflecting this shareholder feedback, the executive officers’ short-term incentive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awards are solely based on achieving a non-GAAP Adjusted EPS metric, in order to</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encourage executive officers to continue to advance and support the Company’s</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position as a premium utility, with a negative-only modifier related to certain diversity,</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equity and inclusion goals.</w:t>
            </w:r>
          </w:p>
        </w:tc>
        <w:tc>
          <w:tcPr>
            <w:tcW w:w="0" w:type="dxa"/>
            <w:vAlign w:val="bottom"/>
          </w:tcPr>
          <w:p>
            <w:pPr>
              <w:spacing w:after="0"/>
              <w:rPr>
                <w:sz w:val="1"/>
                <w:szCs w:val="1"/>
                <w:color w:val="auto"/>
              </w:rPr>
            </w:pPr>
          </w:p>
        </w:tc>
      </w:tr>
      <w:tr>
        <w:trPr>
          <w:trHeight w:val="206"/>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non-executive short-term incentive awards are dependent on business unit</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performance and are based in part on the achievement of non-financial performance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metrics, including, safety, O&amp;M and capital cost management, customer reliability and</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desire greater understanding</w:t>
            </w: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responsiveness, and cyber.</w:t>
            </w:r>
          </w:p>
        </w:tc>
        <w:tc>
          <w:tcPr>
            <w:tcW w:w="0" w:type="dxa"/>
            <w:vAlign w:val="bottom"/>
          </w:tcPr>
          <w:p>
            <w:pPr>
              <w:spacing w:after="0"/>
              <w:rPr>
                <w:sz w:val="1"/>
                <w:szCs w:val="1"/>
                <w:color w:val="auto"/>
              </w:rPr>
            </w:pPr>
          </w:p>
        </w:tc>
      </w:tr>
      <w:tr>
        <w:trPr>
          <w:trHeight w:val="30"/>
        </w:trPr>
        <w:tc>
          <w:tcPr>
            <w:tcW w:w="2600" w:type="dxa"/>
            <w:vAlign w:val="bottom"/>
            <w:tcBorders>
              <w:left w:val="single" w:sz="8" w:color="009AD9"/>
            </w:tcBorders>
            <w:vMerge w:val="continue"/>
            <w:shd w:val="clear" w:color="auto" w:fill="D8EFF9"/>
          </w:tcPr>
          <w:p>
            <w:pPr>
              <w:spacing w:after="0"/>
              <w:rPr>
                <w:sz w:val="2"/>
                <w:szCs w:val="2"/>
                <w:color w:val="auto"/>
              </w:rPr>
            </w:pPr>
          </w:p>
        </w:tc>
        <w:tc>
          <w:tcPr>
            <w:tcW w:w="120" w:type="dxa"/>
            <w:vAlign w:val="bottom"/>
            <w:tcBorders>
              <w:right w:val="single" w:sz="8" w:color="009AD9"/>
            </w:tcBorders>
            <w:shd w:val="clear" w:color="auto" w:fill="D8EFF9"/>
          </w:tcPr>
          <w:p>
            <w:pPr>
              <w:spacing w:after="0"/>
              <w:rPr>
                <w:sz w:val="2"/>
                <w:szCs w:val="2"/>
                <w:color w:val="auto"/>
              </w:rPr>
            </w:pPr>
          </w:p>
        </w:tc>
        <w:tc>
          <w:tcPr>
            <w:tcW w:w="4680" w:type="dxa"/>
            <w:vAlign w:val="bottom"/>
            <w:tcBorders>
              <w:right w:val="single" w:sz="8" w:color="009AD9"/>
            </w:tcBorders>
            <w:shd w:val="clear" w:color="auto" w:fill="D8EF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regarding the interplay between non-financial</w:t>
            </w: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The Compensation Committee has discretion to adjust the payout of the executive officer</w:t>
            </w:r>
          </w:p>
        </w:tc>
        <w:tc>
          <w:tcPr>
            <w:tcW w:w="0" w:type="dxa"/>
            <w:vAlign w:val="bottom"/>
          </w:tcPr>
          <w:p>
            <w:pPr>
              <w:spacing w:after="0"/>
              <w:rPr>
                <w:sz w:val="1"/>
                <w:szCs w:val="1"/>
                <w:color w:val="auto"/>
              </w:rPr>
            </w:pPr>
          </w:p>
        </w:tc>
      </w:tr>
      <w:tr>
        <w:trPr>
          <w:trHeight w:val="48"/>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performance metrics and executive short-term</w:t>
            </w:r>
          </w:p>
        </w:tc>
        <w:tc>
          <w:tcPr>
            <w:tcW w:w="120" w:type="dxa"/>
            <w:vAlign w:val="bottom"/>
            <w:tcBorders>
              <w:right w:val="single" w:sz="8" w:color="009AD9"/>
            </w:tcBorders>
            <w:shd w:val="clear" w:color="auto" w:fill="D8EFF9"/>
          </w:tcPr>
          <w:p>
            <w:pPr>
              <w:spacing w:after="0"/>
              <w:rPr>
                <w:sz w:val="4"/>
                <w:szCs w:val="4"/>
                <w:color w:val="auto"/>
              </w:rPr>
            </w:pPr>
          </w:p>
        </w:tc>
        <w:tc>
          <w:tcPr>
            <w:tcW w:w="4680" w:type="dxa"/>
            <w:vAlign w:val="bottom"/>
            <w:tcBorders>
              <w:right w:val="single" w:sz="8" w:color="009AD9"/>
            </w:tcBorders>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600" w:type="dxa"/>
            <w:vAlign w:val="bottom"/>
            <w:tcBorders>
              <w:left w:val="single" w:sz="8" w:color="009AD9"/>
            </w:tcBorders>
            <w:vMerge w:val="continue"/>
            <w:shd w:val="clear" w:color="auto" w:fill="D8EFF9"/>
          </w:tcPr>
          <w:p>
            <w:pPr>
              <w:spacing w:after="0"/>
              <w:rPr>
                <w:sz w:val="6"/>
                <w:szCs w:val="6"/>
                <w:color w:val="auto"/>
              </w:rPr>
            </w:pPr>
          </w:p>
        </w:tc>
        <w:tc>
          <w:tcPr>
            <w:tcW w:w="120" w:type="dxa"/>
            <w:vAlign w:val="bottom"/>
            <w:tcBorders>
              <w:right w:val="single" w:sz="8" w:color="009AD9"/>
            </w:tcBorders>
            <w:shd w:val="clear" w:color="auto" w:fill="D8EFF9"/>
          </w:tcPr>
          <w:p>
            <w:pPr>
              <w:spacing w:after="0"/>
              <w:rPr>
                <w:sz w:val="6"/>
                <w:szCs w:val="6"/>
                <w:color w:val="auto"/>
              </w:rPr>
            </w:pPr>
          </w:p>
        </w:tc>
        <w:tc>
          <w:tcPr>
            <w:tcW w:w="468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short-term incentive awards to reflect overall Company performance that is inclusive of</w:t>
            </w:r>
          </w:p>
        </w:tc>
        <w:tc>
          <w:tcPr>
            <w:tcW w:w="0" w:type="dxa"/>
            <w:vAlign w:val="bottom"/>
          </w:tcPr>
          <w:p>
            <w:pPr>
              <w:spacing w:after="0"/>
              <w:rPr>
                <w:sz w:val="1"/>
                <w:szCs w:val="1"/>
                <w:color w:val="auto"/>
              </w:rPr>
            </w:pPr>
          </w:p>
        </w:tc>
      </w:tr>
      <w:tr>
        <w:trPr>
          <w:trHeight w:val="48"/>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incentive awards</w:t>
            </w:r>
          </w:p>
        </w:tc>
        <w:tc>
          <w:tcPr>
            <w:tcW w:w="120" w:type="dxa"/>
            <w:vAlign w:val="bottom"/>
            <w:tcBorders>
              <w:right w:val="single" w:sz="8" w:color="009AD9"/>
            </w:tcBorders>
            <w:shd w:val="clear" w:color="auto" w:fill="D8EFF9"/>
          </w:tcPr>
          <w:p>
            <w:pPr>
              <w:spacing w:after="0"/>
              <w:rPr>
                <w:sz w:val="4"/>
                <w:szCs w:val="4"/>
                <w:color w:val="auto"/>
              </w:rPr>
            </w:pPr>
          </w:p>
        </w:tc>
        <w:tc>
          <w:tcPr>
            <w:tcW w:w="4680" w:type="dxa"/>
            <w:vAlign w:val="bottom"/>
            <w:tcBorders>
              <w:right w:val="single" w:sz="8" w:color="009AD9"/>
            </w:tcBorders>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600" w:type="dxa"/>
            <w:vAlign w:val="bottom"/>
            <w:tcBorders>
              <w:left w:val="single" w:sz="8" w:color="009AD9"/>
            </w:tcBorders>
            <w:vMerge w:val="continue"/>
            <w:shd w:val="clear" w:color="auto" w:fill="D8EFF9"/>
          </w:tcPr>
          <w:p>
            <w:pPr>
              <w:spacing w:after="0"/>
              <w:rPr>
                <w:sz w:val="8"/>
                <w:szCs w:val="8"/>
                <w:color w:val="auto"/>
              </w:rPr>
            </w:pPr>
          </w:p>
        </w:tc>
        <w:tc>
          <w:tcPr>
            <w:tcW w:w="120" w:type="dxa"/>
            <w:vAlign w:val="bottom"/>
            <w:tcBorders>
              <w:right w:val="single" w:sz="8" w:color="009AD9"/>
            </w:tcBorders>
            <w:shd w:val="clear" w:color="auto" w:fill="D8EFF9"/>
          </w:tcPr>
          <w:p>
            <w:pPr>
              <w:spacing w:after="0"/>
              <w:rPr>
                <w:sz w:val="8"/>
                <w:szCs w:val="8"/>
                <w:color w:val="auto"/>
              </w:rPr>
            </w:pPr>
          </w:p>
        </w:tc>
        <w:tc>
          <w:tcPr>
            <w:tcW w:w="468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non-financial performance measures.</w:t>
            </w:r>
          </w:p>
        </w:tc>
        <w:tc>
          <w:tcPr>
            <w:tcW w:w="0" w:type="dxa"/>
            <w:vAlign w:val="bottom"/>
          </w:tcPr>
          <w:p>
            <w:pPr>
              <w:spacing w:after="0"/>
              <w:rPr>
                <w:sz w:val="1"/>
                <w:szCs w:val="1"/>
                <w:color w:val="auto"/>
              </w:rPr>
            </w:pPr>
          </w:p>
        </w:tc>
      </w:tr>
      <w:tr>
        <w:trPr>
          <w:trHeight w:val="36"/>
        </w:trPr>
        <w:tc>
          <w:tcPr>
            <w:tcW w:w="2600" w:type="dxa"/>
            <w:vAlign w:val="bottom"/>
            <w:tcBorders>
              <w:left w:val="single" w:sz="8" w:color="009AD9"/>
            </w:tcBorders>
            <w:shd w:val="clear" w:color="auto" w:fill="D8EFF9"/>
          </w:tcPr>
          <w:p>
            <w:pPr>
              <w:spacing w:after="0"/>
              <w:rPr>
                <w:sz w:val="3"/>
                <w:szCs w:val="3"/>
                <w:color w:val="auto"/>
              </w:rPr>
            </w:pPr>
          </w:p>
        </w:tc>
        <w:tc>
          <w:tcPr>
            <w:tcW w:w="120" w:type="dxa"/>
            <w:vAlign w:val="bottom"/>
            <w:tcBorders>
              <w:right w:val="single" w:sz="8" w:color="009AD9"/>
            </w:tcBorders>
            <w:shd w:val="clear" w:color="auto" w:fill="D8EFF9"/>
          </w:tcPr>
          <w:p>
            <w:pPr>
              <w:spacing w:after="0"/>
              <w:rPr>
                <w:sz w:val="3"/>
                <w:szCs w:val="3"/>
                <w:color w:val="auto"/>
              </w:rPr>
            </w:pPr>
          </w:p>
        </w:tc>
        <w:tc>
          <w:tcPr>
            <w:tcW w:w="4680" w:type="dxa"/>
            <w:vAlign w:val="bottom"/>
            <w:tcBorders>
              <w:right w:val="single" w:sz="8" w:color="009AD9"/>
            </w:tcBorders>
            <w:vMerge w:val="continue"/>
            <w:shd w:val="clear" w:color="auto" w:fill="D8EFF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With the recommendation of management, the Compensation Committee exercised</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negative discretion to adjust downward the short-term incentive awards for executive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officers to align with the payout levels for non-executives (inclusive of non-financial</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metrics) for the 2021 awards (in excess of 25% reduction) and 2022 awards (in excess</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of 17% reduction).</w:t>
            </w:r>
          </w:p>
        </w:tc>
        <w:tc>
          <w:tcPr>
            <w:tcW w:w="0" w:type="dxa"/>
            <w:vAlign w:val="bottom"/>
          </w:tcPr>
          <w:p>
            <w:pPr>
              <w:spacing w:after="0"/>
              <w:rPr>
                <w:sz w:val="1"/>
                <w:szCs w:val="1"/>
                <w:color w:val="auto"/>
              </w:rPr>
            </w:pPr>
          </w:p>
        </w:tc>
      </w:tr>
      <w:tr>
        <w:trPr>
          <w:trHeight w:val="239"/>
        </w:trPr>
        <w:tc>
          <w:tcPr>
            <w:tcW w:w="2600" w:type="dxa"/>
            <w:vAlign w:val="bottom"/>
            <w:tcBorders>
              <w:left w:val="single" w:sz="8" w:color="009AD9"/>
            </w:tcBorders>
            <w:shd w:val="clear" w:color="auto" w:fill="D8EFF9"/>
          </w:tcPr>
          <w:p>
            <w:pPr>
              <w:spacing w:after="0"/>
              <w:rPr>
                <w:sz w:val="20"/>
                <w:szCs w:val="20"/>
                <w:color w:val="auto"/>
              </w:rPr>
            </w:pPr>
          </w:p>
        </w:tc>
        <w:tc>
          <w:tcPr>
            <w:tcW w:w="120" w:type="dxa"/>
            <w:vAlign w:val="bottom"/>
            <w:tcBorders>
              <w:right w:val="single" w:sz="8" w:color="009AD9"/>
            </w:tcBorders>
            <w:shd w:val="clear" w:color="auto" w:fill="D8EFF9"/>
          </w:tcPr>
          <w:p>
            <w:pPr>
              <w:spacing w:after="0"/>
              <w:rPr>
                <w:sz w:val="20"/>
                <w:szCs w:val="20"/>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b w:val="1"/>
                <w:bCs w:val="1"/>
                <w:color w:val="auto"/>
              </w:rPr>
              <w:t>The Compensation Committee, supported by management, intends to continue to</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b w:val="1"/>
                <w:bCs w:val="1"/>
                <w:color w:val="auto"/>
              </w:rPr>
              <w:t>use its negative discretion to adjust the short-term incentive awards for executive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b w:val="1"/>
                <w:bCs w:val="1"/>
                <w:color w:val="auto"/>
              </w:rPr>
              <w:t>officers downward, when applicable, to align with the awards for employees who are</w:t>
            </w:r>
          </w:p>
        </w:tc>
        <w:tc>
          <w:tcPr>
            <w:tcW w:w="0" w:type="dxa"/>
            <w:vAlign w:val="bottom"/>
          </w:tcPr>
          <w:p>
            <w:pPr>
              <w:spacing w:after="0"/>
              <w:rPr>
                <w:sz w:val="1"/>
                <w:szCs w:val="1"/>
                <w:color w:val="auto"/>
              </w:rPr>
            </w:pPr>
          </w:p>
        </w:tc>
      </w:tr>
      <w:tr>
        <w:trPr>
          <w:trHeight w:val="143"/>
        </w:trPr>
        <w:tc>
          <w:tcPr>
            <w:tcW w:w="2600" w:type="dxa"/>
            <w:vAlign w:val="bottom"/>
            <w:tcBorders>
              <w:left w:val="single" w:sz="8" w:color="009AD9"/>
            </w:tcBorders>
            <w:shd w:val="clear" w:color="auto" w:fill="D8EFF9"/>
          </w:tcPr>
          <w:p>
            <w:pPr>
              <w:spacing w:after="0"/>
              <w:rPr>
                <w:sz w:val="12"/>
                <w:szCs w:val="12"/>
                <w:color w:val="auto"/>
              </w:rPr>
            </w:pPr>
          </w:p>
        </w:tc>
        <w:tc>
          <w:tcPr>
            <w:tcW w:w="120" w:type="dxa"/>
            <w:vAlign w:val="bottom"/>
            <w:tcBorders>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b w:val="1"/>
                <w:bCs w:val="1"/>
                <w:color w:val="auto"/>
              </w:rPr>
              <w:t>not executive officers.</w:t>
            </w:r>
          </w:p>
        </w:tc>
        <w:tc>
          <w:tcPr>
            <w:tcW w:w="0" w:type="dxa"/>
            <w:vAlign w:val="bottom"/>
          </w:tcPr>
          <w:p>
            <w:pPr>
              <w:spacing w:after="0"/>
              <w:rPr>
                <w:sz w:val="1"/>
                <w:szCs w:val="1"/>
                <w:color w:val="auto"/>
              </w:rPr>
            </w:pPr>
          </w:p>
        </w:tc>
      </w:tr>
      <w:tr>
        <w:trPr>
          <w:trHeight w:val="206"/>
        </w:trPr>
        <w:tc>
          <w:tcPr>
            <w:tcW w:w="2600" w:type="dxa"/>
            <w:vAlign w:val="bottom"/>
            <w:tcBorders>
              <w:left w:val="single" w:sz="8" w:color="009AD9"/>
            </w:tcBorders>
            <w:shd w:val="clear" w:color="auto" w:fill="D8EFF9"/>
          </w:tcPr>
          <w:p>
            <w:pPr>
              <w:spacing w:after="0"/>
              <w:rPr>
                <w:sz w:val="17"/>
                <w:szCs w:val="17"/>
                <w:color w:val="auto"/>
              </w:rPr>
            </w:pPr>
          </w:p>
        </w:tc>
        <w:tc>
          <w:tcPr>
            <w:tcW w:w="120" w:type="dxa"/>
            <w:vAlign w:val="bottom"/>
            <w:tcBorders>
              <w:right w:val="single" w:sz="8" w:color="009AD9"/>
            </w:tcBorders>
            <w:shd w:val="clear" w:color="auto" w:fill="D8EFF9"/>
          </w:tcPr>
          <w:p>
            <w:pPr>
              <w:spacing w:after="0"/>
              <w:rPr>
                <w:sz w:val="17"/>
                <w:szCs w:val="17"/>
                <w:color w:val="auto"/>
              </w:rPr>
            </w:pPr>
          </w:p>
        </w:tc>
        <w:tc>
          <w:tcPr>
            <w:tcW w:w="468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Compensation Committee believes the short-term incentive structure and its</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consistent application of negative discretion to align with underlying non-financial</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performance underscores the importance of both financial and non-financial</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performance and successfully motivates employees, including executive officers, to</w:t>
            </w:r>
          </w:p>
        </w:tc>
        <w:tc>
          <w:tcPr>
            <w:tcW w:w="0" w:type="dxa"/>
            <w:vAlign w:val="bottom"/>
          </w:tcPr>
          <w:p>
            <w:pPr>
              <w:spacing w:after="0"/>
              <w:rPr>
                <w:sz w:val="1"/>
                <w:szCs w:val="1"/>
                <w:color w:val="auto"/>
              </w:rPr>
            </w:pPr>
          </w:p>
        </w:tc>
      </w:tr>
      <w:tr>
        <w:trPr>
          <w:trHeight w:val="133"/>
        </w:trPr>
        <w:tc>
          <w:tcPr>
            <w:tcW w:w="2600" w:type="dxa"/>
            <w:vAlign w:val="bottom"/>
            <w:tcBorders>
              <w:left w:val="single" w:sz="8" w:color="009AD9"/>
              <w:bottom w:val="single" w:sz="8" w:color="009AD9"/>
            </w:tcBorders>
            <w:shd w:val="clear" w:color="auto" w:fill="D8EFF9"/>
          </w:tcPr>
          <w:p>
            <w:pPr>
              <w:spacing w:after="0"/>
              <w:rPr>
                <w:sz w:val="11"/>
                <w:szCs w:val="11"/>
                <w:color w:val="auto"/>
              </w:rPr>
            </w:pPr>
          </w:p>
        </w:tc>
        <w:tc>
          <w:tcPr>
            <w:tcW w:w="120" w:type="dxa"/>
            <w:vAlign w:val="bottom"/>
            <w:tcBorders>
              <w:bottom w:val="single" w:sz="8" w:color="009AD9"/>
              <w:right w:val="single" w:sz="8" w:color="009AD9"/>
            </w:tcBorders>
            <w:shd w:val="clear" w:color="auto" w:fill="D8EFF9"/>
          </w:tcPr>
          <w:p>
            <w:pPr>
              <w:spacing w:after="0"/>
              <w:rPr>
                <w:sz w:val="11"/>
                <w:szCs w:val="11"/>
                <w:color w:val="auto"/>
              </w:rPr>
            </w:pPr>
          </w:p>
        </w:tc>
        <w:tc>
          <w:tcPr>
            <w:tcW w:w="4680" w:type="dxa"/>
            <w:vAlign w:val="bottom"/>
            <w:tcBorders>
              <w:bottom w:val="single" w:sz="8" w:color="009AD9"/>
              <w:right w:val="single" w:sz="8" w:color="009AD9"/>
            </w:tcBorders>
            <w:shd w:val="clear" w:color="auto" w:fill="D8EFF9"/>
          </w:tcPr>
          <w:p>
            <w:pPr>
              <w:ind w:left="240"/>
              <w:spacing w:after="0"/>
              <w:rPr>
                <w:sz w:val="20"/>
                <w:szCs w:val="20"/>
                <w:color w:val="auto"/>
              </w:rPr>
            </w:pPr>
            <w:r>
              <w:rPr>
                <w:rFonts w:ascii="Arial" w:cs="Arial" w:eastAsia="Arial" w:hAnsi="Arial"/>
                <w:sz w:val="11"/>
                <w:szCs w:val="11"/>
                <w:color w:val="auto"/>
              </w:rPr>
              <w:t>achieve holistic performance that delivers value to our customers and our shareholders.</w:t>
            </w:r>
          </w:p>
        </w:tc>
        <w:tc>
          <w:tcPr>
            <w:tcW w:w="0" w:type="dxa"/>
            <w:vAlign w:val="bottom"/>
          </w:tcPr>
          <w:p>
            <w:pPr>
              <w:spacing w:after="0"/>
              <w:rPr>
                <w:sz w:val="1"/>
                <w:szCs w:val="1"/>
                <w:color w:val="auto"/>
              </w:rPr>
            </w:pPr>
          </w:p>
        </w:tc>
      </w:tr>
      <w:tr>
        <w:trPr>
          <w:trHeight w:val="193"/>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desire greater understanding</w:t>
            </w:r>
          </w:p>
        </w:tc>
        <w:tc>
          <w:tcPr>
            <w:tcW w:w="120" w:type="dxa"/>
            <w:vAlign w:val="bottom"/>
            <w:tcBorders>
              <w:right w:val="single" w:sz="8" w:color="009AD9"/>
            </w:tcBorders>
            <w:shd w:val="clear" w:color="auto" w:fill="D8EFF9"/>
          </w:tcPr>
          <w:p>
            <w:pPr>
              <w:spacing w:after="0"/>
              <w:rPr>
                <w:sz w:val="16"/>
                <w:szCs w:val="16"/>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In response to shareholder feedback, the Company included information regarding the</w:t>
            </w:r>
          </w:p>
        </w:tc>
        <w:tc>
          <w:tcPr>
            <w:tcW w:w="0" w:type="dxa"/>
            <w:vAlign w:val="bottom"/>
          </w:tcPr>
          <w:p>
            <w:pPr>
              <w:spacing w:after="0"/>
              <w:rPr>
                <w:sz w:val="1"/>
                <w:szCs w:val="1"/>
                <w:color w:val="auto"/>
              </w:rPr>
            </w:pPr>
          </w:p>
        </w:tc>
      </w:tr>
      <w:tr>
        <w:trPr>
          <w:trHeight w:val="99"/>
        </w:trPr>
        <w:tc>
          <w:tcPr>
            <w:tcW w:w="2600" w:type="dxa"/>
            <w:vAlign w:val="bottom"/>
            <w:tcBorders>
              <w:left w:val="single" w:sz="8" w:color="009AD9"/>
            </w:tcBorders>
            <w:vMerge w:val="continue"/>
            <w:shd w:val="clear" w:color="auto" w:fill="D8EFF9"/>
          </w:tcPr>
          <w:p>
            <w:pPr>
              <w:spacing w:after="0"/>
              <w:rPr>
                <w:sz w:val="8"/>
                <w:szCs w:val="8"/>
                <w:color w:val="auto"/>
              </w:rPr>
            </w:pPr>
          </w:p>
        </w:tc>
        <w:tc>
          <w:tcPr>
            <w:tcW w:w="120" w:type="dxa"/>
            <w:vAlign w:val="bottom"/>
            <w:tcBorders>
              <w:right w:val="single" w:sz="8" w:color="009AD9"/>
            </w:tcBorders>
            <w:shd w:val="clear" w:color="auto" w:fill="D8EFF9"/>
          </w:tcPr>
          <w:p>
            <w:pPr>
              <w:spacing w:after="0"/>
              <w:rPr>
                <w:sz w:val="8"/>
                <w:szCs w:val="8"/>
                <w:color w:val="auto"/>
              </w:rPr>
            </w:pPr>
          </w:p>
        </w:tc>
        <w:tc>
          <w:tcPr>
            <w:tcW w:w="4680" w:type="dxa"/>
            <w:vAlign w:val="bottom"/>
            <w:tcBorders>
              <w:right w:val="single" w:sz="8" w:color="009AD9"/>
            </w:tcBorders>
            <w:shd w:val="clear" w:color="auto" w:fill="D8EFF9"/>
          </w:tcPr>
          <w:p>
            <w:pPr>
              <w:ind w:left="20"/>
              <w:spacing w:after="0" w:line="99" w:lineRule="exact"/>
              <w:rPr>
                <w:sz w:val="20"/>
                <w:szCs w:val="20"/>
                <w:color w:val="auto"/>
              </w:rPr>
            </w:pPr>
            <w:r>
              <w:rPr>
                <w:rFonts w:ascii="Arial" w:cs="Arial" w:eastAsia="Arial" w:hAnsi="Arial"/>
                <w:sz w:val="11"/>
                <w:szCs w:val="11"/>
                <w:color w:val="auto"/>
              </w:rPr>
              <w:t>performance metrics for the Company’s 2022 PSU awards in the Company’s first quarter</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regarding the metrics to achieve threshold,</w:t>
            </w: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2022 earnings materials. In addition, the Company has added disclosure to this proxy</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target and maximum performance under the</w:t>
            </w:r>
          </w:p>
        </w:tc>
        <w:tc>
          <w:tcPr>
            <w:tcW w:w="12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statement to disclose the metrics that must be met in order to have threshold, target and</w:t>
            </w:r>
          </w:p>
        </w:tc>
        <w:tc>
          <w:tcPr>
            <w:tcW w:w="0" w:type="dxa"/>
            <w:vAlign w:val="bottom"/>
          </w:tcPr>
          <w:p>
            <w:pPr>
              <w:spacing w:after="0"/>
              <w:rPr>
                <w:sz w:val="1"/>
                <w:szCs w:val="1"/>
                <w:color w:val="auto"/>
              </w:rPr>
            </w:pPr>
          </w:p>
        </w:tc>
      </w:tr>
      <w:tr>
        <w:trPr>
          <w:trHeight w:val="156"/>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Company’s long-term incentive plan</w:t>
            </w:r>
          </w:p>
        </w:tc>
        <w:tc>
          <w:tcPr>
            <w:tcW w:w="120" w:type="dxa"/>
            <w:vAlign w:val="bottom"/>
            <w:tcBorders>
              <w:right w:val="single" w:sz="8" w:color="009AD9"/>
            </w:tcBorders>
            <w:shd w:val="clear" w:color="auto" w:fill="D8EFF9"/>
          </w:tcPr>
          <w:p>
            <w:pPr>
              <w:spacing w:after="0"/>
              <w:rPr>
                <w:sz w:val="13"/>
                <w:szCs w:val="13"/>
                <w:color w:val="auto"/>
              </w:rPr>
            </w:pPr>
          </w:p>
        </w:tc>
        <w:tc>
          <w:tcPr>
            <w:tcW w:w="468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maximum performance for the 2023 PSU awards, see “—2022 Executive Compensation</w:t>
            </w:r>
          </w:p>
        </w:tc>
        <w:tc>
          <w:tcPr>
            <w:tcW w:w="0" w:type="dxa"/>
            <w:vAlign w:val="bottom"/>
          </w:tcPr>
          <w:p>
            <w:pPr>
              <w:spacing w:after="0"/>
              <w:rPr>
                <w:sz w:val="1"/>
                <w:szCs w:val="1"/>
                <w:color w:val="auto"/>
              </w:rPr>
            </w:pPr>
          </w:p>
        </w:tc>
      </w:tr>
      <w:tr>
        <w:trPr>
          <w:trHeight w:val="151"/>
        </w:trPr>
        <w:tc>
          <w:tcPr>
            <w:tcW w:w="2600" w:type="dxa"/>
            <w:vAlign w:val="bottom"/>
            <w:tcBorders>
              <w:left w:val="single" w:sz="8" w:color="009AD9"/>
              <w:bottom w:val="single" w:sz="8" w:color="D8EFF9"/>
            </w:tcBorders>
            <w:shd w:val="clear" w:color="auto" w:fill="D8EFF9"/>
          </w:tcPr>
          <w:p>
            <w:pPr>
              <w:spacing w:after="0"/>
              <w:rPr>
                <w:sz w:val="13"/>
                <w:szCs w:val="13"/>
                <w:color w:val="auto"/>
              </w:rPr>
            </w:pPr>
          </w:p>
        </w:tc>
        <w:tc>
          <w:tcPr>
            <w:tcW w:w="120" w:type="dxa"/>
            <w:vAlign w:val="bottom"/>
            <w:tcBorders>
              <w:bottom w:val="single" w:sz="8" w:color="D8EFF9"/>
              <w:right w:val="single" w:sz="8" w:color="009AD9"/>
            </w:tcBorders>
            <w:shd w:val="clear" w:color="auto" w:fill="D8EFF9"/>
          </w:tcPr>
          <w:p>
            <w:pPr>
              <w:spacing w:after="0"/>
              <w:rPr>
                <w:sz w:val="13"/>
                <w:szCs w:val="13"/>
                <w:color w:val="auto"/>
              </w:rPr>
            </w:pPr>
          </w:p>
        </w:tc>
        <w:tc>
          <w:tcPr>
            <w:tcW w:w="4680" w:type="dxa"/>
            <w:vAlign w:val="bottom"/>
            <w:tcBorders>
              <w:bottom w:val="single" w:sz="8" w:color="D8EFF9"/>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Plan—2023 Performance Share Unit Awards.”</w:t>
            </w:r>
          </w:p>
        </w:tc>
        <w:tc>
          <w:tcPr>
            <w:tcW w:w="0" w:type="dxa"/>
            <w:vAlign w:val="bottom"/>
          </w:tcPr>
          <w:p>
            <w:pPr>
              <w:spacing w:after="0"/>
              <w:rPr>
                <w:sz w:val="1"/>
                <w:szCs w:val="1"/>
                <w:color w:val="auto"/>
              </w:rPr>
            </w:pPr>
          </w:p>
        </w:tc>
      </w:tr>
      <w:tr>
        <w:trPr>
          <w:trHeight w:val="20"/>
        </w:trPr>
        <w:tc>
          <w:tcPr>
            <w:tcW w:w="2600" w:type="dxa"/>
            <w:vAlign w:val="bottom"/>
            <w:tcBorders>
              <w:left w:val="single" w:sz="8" w:color="009AD9"/>
            </w:tcBorders>
            <w:shd w:val="clear" w:color="auto" w:fill="009AD9"/>
          </w:tcPr>
          <w:p>
            <w:pPr>
              <w:spacing w:after="0" w:line="20" w:lineRule="exact"/>
              <w:rPr>
                <w:sz w:val="1"/>
                <w:szCs w:val="1"/>
                <w:color w:val="auto"/>
              </w:rPr>
            </w:pPr>
          </w:p>
        </w:tc>
        <w:tc>
          <w:tcPr>
            <w:tcW w:w="120" w:type="dxa"/>
            <w:vAlign w:val="bottom"/>
            <w:tcBorders>
              <w:right w:val="single" w:sz="8" w:color="009AD9"/>
            </w:tcBorders>
            <w:shd w:val="clear" w:color="auto" w:fill="009AD9"/>
          </w:tcPr>
          <w:p>
            <w:pPr>
              <w:spacing w:after="0" w:line="20" w:lineRule="exact"/>
              <w:rPr>
                <w:sz w:val="1"/>
                <w:szCs w:val="1"/>
                <w:color w:val="auto"/>
              </w:rPr>
            </w:pPr>
          </w:p>
        </w:tc>
        <w:tc>
          <w:tcPr>
            <w:tcW w:w="4680" w:type="dxa"/>
            <w:vAlign w:val="bottom"/>
            <w:tcBorders>
              <w:right w:val="single" w:sz="8" w:color="009AD9"/>
            </w:tcBorders>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220" w:hanging="230"/>
        <w:spacing w:after="0"/>
        <w:tabs>
          <w:tab w:leader="none" w:pos="2220" w:val="left"/>
        </w:tabs>
        <w:numPr>
          <w:ilvl w:val="0"/>
          <w:numId w:val="5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65" w:lineRule="exact"/>
        <w:rPr>
          <w:sz w:val="20"/>
          <w:szCs w:val="20"/>
          <w:color w:val="auto"/>
        </w:rPr>
      </w:pPr>
    </w:p>
    <w:tbl>
      <w:tblPr>
        <w:tblLayout w:type="fixed"/>
        <w:tblInd w:w="1940" w:type="dxa"/>
        <w:tblCellMar>
          <w:top w:w="0" w:type="dxa"/>
          <w:left w:w="0" w:type="dxa"/>
          <w:bottom w:w="0" w:type="dxa"/>
          <w:right w:w="0" w:type="dxa"/>
        </w:tblCellMar>
      </w:tblPr>
      <w:tr>
        <w:trPr>
          <w:trHeight w:val="20"/>
        </w:trPr>
        <w:tc>
          <w:tcPr>
            <w:tcW w:w="2720" w:type="dxa"/>
            <w:vAlign w:val="bottom"/>
            <w:vMerge w:val="restart"/>
            <w:shd w:val="clear" w:color="auto" w:fill="009AD9"/>
          </w:tcPr>
          <w:p>
            <w:pPr>
              <w:ind w:left="300"/>
              <w:spacing w:after="0"/>
              <w:rPr>
                <w:sz w:val="20"/>
                <w:szCs w:val="20"/>
                <w:color w:val="auto"/>
              </w:rPr>
            </w:pPr>
            <w:r>
              <w:rPr>
                <w:rFonts w:ascii="Arial" w:cs="Arial" w:eastAsia="Arial" w:hAnsi="Arial"/>
                <w:sz w:val="10"/>
                <w:szCs w:val="10"/>
                <w:b w:val="1"/>
                <w:bCs w:val="1"/>
                <w:color w:val="FFFFFF"/>
              </w:rPr>
              <w:t>WHAT WE HEARD FROM OUR SHAREHOLDERS</w:t>
            </w:r>
          </w:p>
        </w:tc>
        <w:tc>
          <w:tcPr>
            <w:tcW w:w="4480" w:type="dxa"/>
            <w:vAlign w:val="bottom"/>
            <w:vMerge w:val="restart"/>
            <w:shd w:val="clear" w:color="auto" w:fill="009AD9"/>
          </w:tcPr>
          <w:p>
            <w:pPr>
              <w:ind w:left="1720"/>
              <w:spacing w:after="0"/>
              <w:rPr>
                <w:sz w:val="20"/>
                <w:szCs w:val="20"/>
                <w:color w:val="auto"/>
              </w:rPr>
            </w:pPr>
            <w:r>
              <w:rPr>
                <w:rFonts w:ascii="Arial" w:cs="Arial" w:eastAsia="Arial" w:hAnsi="Arial"/>
                <w:sz w:val="10"/>
                <w:szCs w:val="10"/>
                <w:b w:val="1"/>
                <w:bCs w:val="1"/>
                <w:color w:val="FFFFFF"/>
              </w:rPr>
              <w:t>HOW WE RESPONDED</w:t>
            </w:r>
          </w:p>
        </w:tc>
        <w:tc>
          <w:tcPr>
            <w:tcW w:w="18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shd w:val="clear" w:color="auto" w:fill="009AD9"/>
          </w:tcPr>
          <w:p>
            <w:pPr>
              <w:spacing w:after="0"/>
              <w:rPr>
                <w:sz w:val="16"/>
                <w:szCs w:val="16"/>
                <w:color w:val="auto"/>
              </w:rPr>
            </w:pPr>
          </w:p>
        </w:tc>
        <w:tc>
          <w:tcPr>
            <w:tcW w:w="4480" w:type="dxa"/>
            <w:vAlign w:val="bottom"/>
            <w:vMerge w:val="continue"/>
            <w:shd w:val="clear" w:color="auto" w:fill="009AD9"/>
          </w:tcPr>
          <w:p>
            <w:pPr>
              <w:spacing w:after="0"/>
              <w:rPr>
                <w:sz w:val="16"/>
                <w:szCs w:val="16"/>
                <w:color w:val="auto"/>
              </w:rPr>
            </w:pPr>
          </w:p>
        </w:tc>
        <w:tc>
          <w:tcPr>
            <w:tcW w:w="180" w:type="dxa"/>
            <w:vAlign w:val="bottom"/>
            <w:shd w:val="clear" w:color="auto" w:fill="009AD9"/>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720" w:type="dxa"/>
            <w:vAlign w:val="bottom"/>
            <w:shd w:val="clear" w:color="auto" w:fill="009AD9"/>
          </w:tcPr>
          <w:p>
            <w:pPr>
              <w:spacing w:after="0"/>
              <w:rPr>
                <w:sz w:val="3"/>
                <w:szCs w:val="3"/>
                <w:color w:val="auto"/>
              </w:rPr>
            </w:pPr>
          </w:p>
        </w:tc>
        <w:tc>
          <w:tcPr>
            <w:tcW w:w="4480" w:type="dxa"/>
            <w:vAlign w:val="bottom"/>
            <w:shd w:val="clear" w:color="auto" w:fill="009AD9"/>
          </w:tcPr>
          <w:p>
            <w:pPr>
              <w:spacing w:after="0"/>
              <w:rPr>
                <w:sz w:val="3"/>
                <w:szCs w:val="3"/>
                <w:color w:val="auto"/>
              </w:rPr>
            </w:pPr>
          </w:p>
        </w:tc>
        <w:tc>
          <w:tcPr>
            <w:tcW w:w="180" w:type="dxa"/>
            <w:vAlign w:val="bottom"/>
            <w:shd w:val="clear" w:color="auto" w:fill="009AD9"/>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009AD9"/>
          </w:tcPr>
          <w:p>
            <w:pPr>
              <w:spacing w:after="0" w:line="20" w:lineRule="exact"/>
              <w:rPr>
                <w:sz w:val="1"/>
                <w:szCs w:val="1"/>
                <w:color w:val="auto"/>
              </w:rPr>
            </w:pPr>
          </w:p>
        </w:tc>
        <w:tc>
          <w:tcPr>
            <w:tcW w:w="4480" w:type="dxa"/>
            <w:vAlign w:val="bottom"/>
            <w:shd w:val="clear" w:color="auto" w:fill="009AD9"/>
          </w:tcPr>
          <w:p>
            <w:pPr>
              <w:spacing w:after="0" w:line="20" w:lineRule="exact"/>
              <w:rPr>
                <w:sz w:val="1"/>
                <w:szCs w:val="1"/>
                <w:color w:val="auto"/>
              </w:rPr>
            </w:pPr>
          </w:p>
        </w:tc>
        <w:tc>
          <w:tcPr>
            <w:tcW w:w="18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-167005</wp:posOffset>
            </wp:positionV>
            <wp:extent cx="4688205" cy="40246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688205" cy="402463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2"/>
          <w:szCs w:val="12"/>
          <w:b w:val="1"/>
          <w:bCs w:val="1"/>
          <w:i w:val="1"/>
          <w:iCs w:val="1"/>
          <w:color w:val="auto"/>
        </w:rPr>
        <w:t>Executive Succession Planning and Leadership Development</w:t>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40"/>
        <w:spacing w:after="0" w:line="323" w:lineRule="auto"/>
        <w:rPr>
          <w:sz w:val="20"/>
          <w:szCs w:val="20"/>
          <w:color w:val="auto"/>
        </w:rPr>
      </w:pPr>
      <w:r>
        <w:rPr>
          <w:rFonts w:ascii="Arial" w:cs="Arial" w:eastAsia="Arial" w:hAnsi="Arial"/>
          <w:sz w:val="10"/>
          <w:szCs w:val="10"/>
          <w:b w:val="1"/>
          <w:bCs w:val="1"/>
          <w:i w:val="1"/>
          <w:iCs w:val="1"/>
          <w:color w:val="auto"/>
        </w:rPr>
        <w:t>Shareholders desire greater disclosure regarding the Company’s succession planning</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359"/>
        <w:spacing w:after="0" w:line="249" w:lineRule="auto"/>
        <w:rPr>
          <w:sz w:val="20"/>
          <w:szCs w:val="20"/>
          <w:color w:val="auto"/>
        </w:rPr>
      </w:pPr>
      <w:r>
        <w:rPr>
          <w:rFonts w:ascii="Arial" w:cs="Arial" w:eastAsia="Arial" w:hAnsi="Arial"/>
          <w:sz w:val="11"/>
          <w:szCs w:val="11"/>
          <w:color w:val="auto"/>
        </w:rPr>
        <w:t>The Board and the Compensation Committee are actively engaged in overseeing the Company’s succession planning as one of their top priorities.</w:t>
      </w:r>
    </w:p>
    <w:p>
      <w:pPr>
        <w:spacing w:after="0" w:line="74" w:lineRule="exact"/>
        <w:rPr>
          <w:sz w:val="20"/>
          <w:szCs w:val="20"/>
          <w:color w:val="auto"/>
        </w:rPr>
      </w:pPr>
    </w:p>
    <w:p>
      <w:pPr>
        <w:ind w:left="220" w:right="1139" w:hanging="163"/>
        <w:spacing w:after="0" w:line="249"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Board has been focused on developing the Company’s internal pipeline of future</w:t>
      </w:r>
      <w:r>
        <w:rPr>
          <w:rFonts w:ascii="Arial" w:cs="Arial" w:eastAsia="Arial" w:hAnsi="Arial"/>
          <w:sz w:val="11"/>
          <w:szCs w:val="11"/>
          <w:color w:val="009AD9"/>
        </w:rPr>
        <w:t xml:space="preserve"> </w:t>
      </w:r>
      <w:r>
        <w:rPr>
          <w:rFonts w:ascii="Arial" w:cs="Arial" w:eastAsia="Arial" w:hAnsi="Arial"/>
          <w:sz w:val="11"/>
          <w:szCs w:val="11"/>
          <w:color w:val="000000"/>
        </w:rPr>
        <w:t>leaders through, among other things:</w:t>
      </w:r>
    </w:p>
    <w:p>
      <w:pPr>
        <w:spacing w:after="0" w:line="74" w:lineRule="exact"/>
        <w:rPr>
          <w:sz w:val="20"/>
          <w:szCs w:val="20"/>
          <w:color w:val="auto"/>
        </w:rPr>
      </w:pPr>
    </w:p>
    <w:p>
      <w:pPr>
        <w:ind w:left="380" w:right="1079" w:hanging="163"/>
        <w:spacing w:after="0" w:line="272" w:lineRule="auto"/>
        <w:rPr>
          <w:sz w:val="20"/>
          <w:szCs w:val="20"/>
          <w:color w:val="auto"/>
        </w:rPr>
      </w:pPr>
      <w:r>
        <w:rPr>
          <w:rFonts w:ascii="Arial" w:cs="Arial" w:eastAsia="Arial" w:hAnsi="Arial"/>
          <w:sz w:val="10"/>
          <w:szCs w:val="10"/>
          <w:color w:val="009AD9"/>
        </w:rPr>
        <w:t>•</w:t>
      </w:r>
      <w:r>
        <w:rPr>
          <w:rFonts w:ascii="Arial" w:cs="Arial" w:eastAsia="Arial" w:hAnsi="Arial"/>
          <w:sz w:val="10"/>
          <w:szCs w:val="10"/>
          <w:color w:val="000000"/>
        </w:rPr>
        <w:t xml:space="preserve">   Developing internal candidates’ diverse skills through CNP University, CenterPoint</w:t>
      </w:r>
      <w:r>
        <w:rPr>
          <w:rFonts w:ascii="Arial" w:cs="Arial" w:eastAsia="Arial" w:hAnsi="Arial"/>
          <w:sz w:val="10"/>
          <w:szCs w:val="10"/>
          <w:color w:val="009AD9"/>
        </w:rPr>
        <w:t xml:space="preserve"> </w:t>
      </w:r>
      <w:r>
        <w:rPr>
          <w:rFonts w:ascii="Arial" w:cs="Arial" w:eastAsia="Arial" w:hAnsi="Arial"/>
          <w:sz w:val="10"/>
          <w:szCs w:val="10"/>
          <w:color w:val="000000"/>
        </w:rPr>
        <w:t>Energy’s corporate university that provides training resources and classes in customer service, electric operations, finance, gas operations, information technology, professional development and safety, and CNP’s Leadership Academy, a year-long program for high potential employees where the participants develop their leadership skills and meet with senior leadership throughout the organization;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Mentoring and direct reporting between internal leaders and executive officers; and</w:t>
      </w:r>
    </w:p>
    <w:p>
      <w:pPr>
        <w:spacing w:after="0" w:line="83" w:lineRule="exact"/>
        <w:rPr>
          <w:sz w:val="20"/>
          <w:szCs w:val="20"/>
          <w:color w:val="auto"/>
        </w:rPr>
      </w:pPr>
    </w:p>
    <w:p>
      <w:pPr>
        <w:ind w:left="380" w:right="1019" w:hanging="163"/>
        <w:spacing w:after="0" w:line="249"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Encouraging internal leaders to interact with the Board through formal presentations</w:t>
      </w:r>
      <w:r>
        <w:rPr>
          <w:rFonts w:ascii="Arial" w:cs="Arial" w:eastAsia="Arial" w:hAnsi="Arial"/>
          <w:sz w:val="11"/>
          <w:szCs w:val="11"/>
          <w:color w:val="009AD9"/>
        </w:rPr>
        <w:t xml:space="preserve"> </w:t>
      </w:r>
      <w:r>
        <w:rPr>
          <w:rFonts w:ascii="Arial" w:cs="Arial" w:eastAsia="Arial" w:hAnsi="Arial"/>
          <w:sz w:val="11"/>
          <w:szCs w:val="11"/>
          <w:color w:val="000000"/>
        </w:rPr>
        <w:t>during Board meetings.</w:t>
      </w:r>
    </w:p>
    <w:p>
      <w:pPr>
        <w:spacing w:after="0" w:line="74" w:lineRule="exact"/>
        <w:rPr>
          <w:sz w:val="20"/>
          <w:szCs w:val="20"/>
          <w:color w:val="auto"/>
        </w:rPr>
      </w:pPr>
    </w:p>
    <w:p>
      <w:pPr>
        <w:ind w:left="220" w:right="1279" w:hanging="163"/>
        <w:spacing w:after="0" w:line="249"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Board also works with outside consultants to evaluate external candidates, as</w:t>
      </w:r>
      <w:r>
        <w:rPr>
          <w:rFonts w:ascii="Arial" w:cs="Arial" w:eastAsia="Arial" w:hAnsi="Arial"/>
          <w:sz w:val="11"/>
          <w:szCs w:val="11"/>
          <w:color w:val="009AD9"/>
        </w:rPr>
        <w:t xml:space="preserve"> </w:t>
      </w:r>
      <w:r>
        <w:rPr>
          <w:rFonts w:ascii="Arial" w:cs="Arial" w:eastAsia="Arial" w:hAnsi="Arial"/>
          <w:sz w:val="11"/>
          <w:szCs w:val="11"/>
          <w:color w:val="000000"/>
        </w:rPr>
        <w:t>appropriate.</w:t>
      </w:r>
    </w:p>
    <w:p>
      <w:pPr>
        <w:spacing w:after="0" w:line="74" w:lineRule="exact"/>
        <w:rPr>
          <w:sz w:val="20"/>
          <w:szCs w:val="20"/>
          <w:color w:val="auto"/>
        </w:rPr>
      </w:pPr>
    </w:p>
    <w:p>
      <w:pPr>
        <w:ind w:left="220" w:right="1179" w:hanging="163"/>
        <w:spacing w:after="0" w:line="245"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As a result, the Company has publicly announced a number of promotions, including</w:t>
      </w:r>
      <w:r>
        <w:rPr>
          <w:rFonts w:ascii="Arial" w:cs="Arial" w:eastAsia="Arial" w:hAnsi="Arial"/>
          <w:sz w:val="11"/>
          <w:szCs w:val="11"/>
          <w:color w:val="009AD9"/>
        </w:rPr>
        <w:t xml:space="preserve"> </w:t>
      </w:r>
      <w:r>
        <w:rPr>
          <w:rFonts w:ascii="Arial" w:cs="Arial" w:eastAsia="Arial" w:hAnsi="Arial"/>
          <w:sz w:val="11"/>
          <w:szCs w:val="11"/>
          <w:color w:val="000000"/>
        </w:rPr>
        <w:t>below the executive officer level, and disclosed our new streamlined organizational structure.</w:t>
      </w:r>
    </w:p>
    <w:p>
      <w:pPr>
        <w:spacing w:after="0" w:line="76" w:lineRule="exact"/>
        <w:rPr>
          <w:sz w:val="20"/>
          <w:szCs w:val="20"/>
          <w:color w:val="auto"/>
        </w:rPr>
      </w:pPr>
    </w:p>
    <w:p>
      <w:pPr>
        <w:ind w:right="1079"/>
        <w:spacing w:after="0" w:line="245" w:lineRule="auto"/>
        <w:rPr>
          <w:sz w:val="20"/>
          <w:szCs w:val="20"/>
          <w:color w:val="auto"/>
        </w:rPr>
      </w:pPr>
      <w:r>
        <w:rPr>
          <w:rFonts w:ascii="Arial" w:cs="Arial" w:eastAsia="Arial" w:hAnsi="Arial"/>
          <w:sz w:val="11"/>
          <w:szCs w:val="11"/>
          <w:color w:val="auto"/>
        </w:rPr>
        <w:t>Pursuant to shareholder feedback, the Company will continue to provide greater disclosure to shareholders regarding succession planning and will provide opportunities for shareholders to meet non-executive officer senior management.</w:t>
      </w:r>
    </w:p>
    <w:p>
      <w:pPr>
        <w:spacing w:after="0" w:line="76" w:lineRule="exact"/>
        <w:rPr>
          <w:sz w:val="20"/>
          <w:szCs w:val="20"/>
          <w:color w:val="auto"/>
        </w:rPr>
      </w:pPr>
    </w:p>
    <w:p>
      <w:pPr>
        <w:ind w:left="220" w:right="1139" w:hanging="163"/>
        <w:spacing w:after="0" w:line="249"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Company will continue to use press releases to disclose organizational changes,</w:t>
      </w:r>
      <w:r>
        <w:rPr>
          <w:rFonts w:ascii="Arial" w:cs="Arial" w:eastAsia="Arial" w:hAnsi="Arial"/>
          <w:sz w:val="11"/>
          <w:szCs w:val="11"/>
          <w:color w:val="009AD9"/>
        </w:rPr>
        <w:t xml:space="preserve"> </w:t>
      </w:r>
      <w:r>
        <w:rPr>
          <w:rFonts w:ascii="Arial" w:cs="Arial" w:eastAsia="Arial" w:hAnsi="Arial"/>
          <w:sz w:val="11"/>
          <w:szCs w:val="11"/>
          <w:color w:val="000000"/>
        </w:rPr>
        <w:t>including significant changes below the executive officer level.</w:t>
      </w:r>
    </w:p>
    <w:p>
      <w:pPr>
        <w:spacing w:after="0" w:line="74" w:lineRule="exact"/>
        <w:rPr>
          <w:sz w:val="20"/>
          <w:szCs w:val="20"/>
          <w:color w:val="auto"/>
        </w:rPr>
      </w:pPr>
    </w:p>
    <w:p>
      <w:pPr>
        <w:ind w:left="220" w:right="1419" w:hanging="163"/>
        <w:spacing w:after="0" w:line="245" w:lineRule="auto"/>
        <w:rPr>
          <w:sz w:val="20"/>
          <w:szCs w:val="20"/>
          <w:color w:val="auto"/>
        </w:rPr>
      </w:pPr>
      <w:r>
        <w:rPr>
          <w:rFonts w:ascii="Arial" w:cs="Arial" w:eastAsia="Arial" w:hAnsi="Arial"/>
          <w:sz w:val="11"/>
          <w:szCs w:val="11"/>
          <w:color w:val="009AD9"/>
        </w:rPr>
        <w:t>•</w:t>
      </w:r>
      <w:r>
        <w:rPr>
          <w:rFonts w:ascii="Arial" w:cs="Arial" w:eastAsia="Arial" w:hAnsi="Arial"/>
          <w:sz w:val="11"/>
          <w:szCs w:val="11"/>
          <w:color w:val="000000"/>
        </w:rPr>
        <w:t xml:space="preserve">   The Company will provide opportunities for shareholders to meet and develop</w:t>
      </w:r>
      <w:r>
        <w:rPr>
          <w:rFonts w:ascii="Arial" w:cs="Arial" w:eastAsia="Arial" w:hAnsi="Arial"/>
          <w:sz w:val="11"/>
          <w:szCs w:val="11"/>
          <w:color w:val="009AD9"/>
        </w:rPr>
        <w:t xml:space="preserve"> </w:t>
      </w:r>
      <w:r>
        <w:rPr>
          <w:rFonts w:ascii="Arial" w:cs="Arial" w:eastAsia="Arial" w:hAnsi="Arial"/>
          <w:sz w:val="11"/>
          <w:szCs w:val="11"/>
          <w:color w:val="000000"/>
        </w:rPr>
        <w:t>relationships with non-executive officer senior management at conferences and meetings with shareholders.</w:t>
      </w:r>
    </w:p>
    <w:p>
      <w:pPr>
        <w:spacing w:after="0" w:line="76" w:lineRule="exact"/>
        <w:rPr>
          <w:sz w:val="20"/>
          <w:szCs w:val="20"/>
          <w:color w:val="auto"/>
        </w:rPr>
      </w:pPr>
    </w:p>
    <w:p>
      <w:pPr>
        <w:ind w:right="1159"/>
        <w:spacing w:after="0" w:line="245" w:lineRule="auto"/>
        <w:rPr>
          <w:sz w:val="20"/>
          <w:szCs w:val="20"/>
          <w:color w:val="auto"/>
        </w:rPr>
      </w:pPr>
      <w:r>
        <w:rPr>
          <w:rFonts w:ascii="Arial" w:cs="Arial" w:eastAsia="Arial" w:hAnsi="Arial"/>
          <w:sz w:val="11"/>
          <w:szCs w:val="11"/>
          <w:color w:val="auto"/>
        </w:rPr>
        <w:t>For additional disclosure regarding the Company’s succession planning, see “Item 1. Election of Directors—Executive Succession Planning and Leadership Development” and “—Execution on Succession Planning.”</w:t>
      </w:r>
    </w:p>
    <w:p>
      <w:pPr>
        <w:spacing w:after="0" w:line="61" w:lineRule="exact"/>
        <w:rPr>
          <w:sz w:val="20"/>
          <w:szCs w:val="20"/>
          <w:color w:val="auto"/>
        </w:rPr>
      </w:pPr>
    </w:p>
    <w:p>
      <w:pPr>
        <w:sectPr>
          <w:pgSz w:w="11900" w:h="16838" w:orient="portrait"/>
          <w:cols w:equalWidth="0" w:num="2">
            <w:col w:w="4460" w:space="240"/>
            <w:col w:w="5459"/>
          </w:cols>
          <w:pgMar w:left="300" w:top="372" w:right="1440"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i w:val="1"/>
          <w:iCs w:val="1"/>
          <w:color w:val="auto"/>
        </w:rPr>
        <w:t>Governance</w:t>
      </w:r>
    </w:p>
    <w:p>
      <w:pPr>
        <w:spacing w:after="0" w:line="1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has undertaken an extensive Board refreshment process over the past</w:t>
      </w:r>
    </w:p>
    <w:p>
      <w:pPr>
        <w:ind w:left="4700"/>
        <w:spacing w:after="0" w:line="208" w:lineRule="auto"/>
        <w:rPr>
          <w:sz w:val="20"/>
          <w:szCs w:val="20"/>
          <w:color w:val="auto"/>
        </w:rPr>
      </w:pPr>
      <w:r>
        <w:rPr>
          <w:rFonts w:ascii="Arial" w:cs="Arial" w:eastAsia="Arial" w:hAnsi="Arial"/>
          <w:sz w:val="11"/>
          <w:szCs w:val="11"/>
          <w:color w:val="auto"/>
        </w:rPr>
        <w:t>several years and the Governance, Environmental and Sustainability Committee continues</w:t>
      </w:r>
    </w:p>
    <w:p>
      <w:pPr>
        <w:ind w:left="2040"/>
        <w:spacing w:after="0" w:line="228" w:lineRule="auto"/>
        <w:tabs>
          <w:tab w:leader="none" w:pos="4680" w:val="left"/>
        </w:tabs>
        <w:rPr>
          <w:sz w:val="20"/>
          <w:szCs w:val="20"/>
          <w:color w:val="auto"/>
        </w:rPr>
      </w:pPr>
      <w:r>
        <w:rPr>
          <w:rFonts w:ascii="Arial" w:cs="Arial" w:eastAsia="Arial" w:hAnsi="Arial"/>
          <w:sz w:val="11"/>
          <w:szCs w:val="11"/>
          <w:b w:val="1"/>
          <w:bCs w:val="1"/>
          <w:i w:val="1"/>
          <w:iCs w:val="1"/>
          <w:color w:val="auto"/>
        </w:rPr>
        <w:t>Shareholders desire greater understanding how</w:t>
      </w:r>
      <w:r>
        <w:rPr>
          <w:sz w:val="20"/>
          <w:szCs w:val="20"/>
          <w:color w:val="auto"/>
        </w:rPr>
        <w:tab/>
      </w:r>
      <w:r>
        <w:rPr>
          <w:rFonts w:ascii="Arial" w:cs="Arial" w:eastAsia="Arial" w:hAnsi="Arial"/>
          <w:sz w:val="10"/>
          <w:szCs w:val="10"/>
          <w:color w:val="auto"/>
        </w:rPr>
        <w:t>to evaluate the membership of the Board to ensure a diverse set of experiences, skillsets</w:t>
      </w:r>
    </w:p>
    <w:p>
      <w:pPr>
        <w:ind w:left="2040"/>
        <w:spacing w:after="0" w:line="229" w:lineRule="auto"/>
        <w:tabs>
          <w:tab w:leader="none" w:pos="4680" w:val="left"/>
        </w:tabs>
        <w:rPr>
          <w:sz w:val="20"/>
          <w:szCs w:val="20"/>
          <w:color w:val="auto"/>
        </w:rPr>
      </w:pPr>
      <w:r>
        <w:rPr>
          <w:rFonts w:ascii="Arial" w:cs="Arial" w:eastAsia="Arial" w:hAnsi="Arial"/>
          <w:sz w:val="11"/>
          <w:szCs w:val="11"/>
          <w:b w:val="1"/>
          <w:bCs w:val="1"/>
          <w:i w:val="1"/>
          <w:iCs w:val="1"/>
          <w:color w:val="auto"/>
        </w:rPr>
        <w:t>each Board member and their skills contribute</w:t>
      </w:r>
      <w:r>
        <w:rPr>
          <w:sz w:val="20"/>
          <w:szCs w:val="20"/>
          <w:color w:val="auto"/>
        </w:rPr>
        <w:tab/>
      </w:r>
      <w:r>
        <w:rPr>
          <w:rFonts w:ascii="Arial" w:cs="Arial" w:eastAsia="Arial" w:hAnsi="Arial"/>
          <w:sz w:val="10"/>
          <w:szCs w:val="10"/>
          <w:color w:val="auto"/>
        </w:rPr>
        <w:t>and viewpoints are represented on the Board to support the Company’s long-term growth</w:t>
      </w:r>
    </w:p>
    <w:p>
      <w:pPr>
        <w:spacing w:after="0" w:line="1" w:lineRule="exact"/>
        <w:rPr>
          <w:sz w:val="20"/>
          <w:szCs w:val="20"/>
          <w:color w:val="auto"/>
        </w:rPr>
      </w:pPr>
    </w:p>
    <w:p>
      <w:pPr>
        <w:ind w:left="4700" w:right="1139" w:hanging="2657"/>
        <w:spacing w:after="0" w:line="256" w:lineRule="auto"/>
        <w:tabs>
          <w:tab w:leader="none" w:pos="4680" w:val="left"/>
        </w:tabs>
        <w:rPr>
          <w:sz w:val="20"/>
          <w:szCs w:val="20"/>
          <w:color w:val="auto"/>
        </w:rPr>
      </w:pPr>
      <w:r>
        <w:rPr>
          <w:rFonts w:ascii="Arial" w:cs="Arial" w:eastAsia="Arial" w:hAnsi="Arial"/>
          <w:sz w:val="11"/>
          <w:szCs w:val="11"/>
          <w:b w:val="1"/>
          <w:bCs w:val="1"/>
          <w:i w:val="1"/>
          <w:iCs w:val="1"/>
          <w:color w:val="auto"/>
        </w:rPr>
        <w:t>to the execution of the Company’s strategy.</w:t>
      </w:r>
      <w:r>
        <w:rPr>
          <w:sz w:val="20"/>
          <w:szCs w:val="20"/>
          <w:color w:val="auto"/>
        </w:rPr>
        <w:tab/>
      </w:r>
      <w:r>
        <w:rPr>
          <w:rFonts w:ascii="Arial" w:cs="Arial" w:eastAsia="Arial" w:hAnsi="Arial"/>
          <w:sz w:val="11"/>
          <w:szCs w:val="11"/>
          <w:color w:val="auto"/>
        </w:rPr>
        <w:t xml:space="preserve">strategy. The Company has undertaken efforts to further </w:t>
      </w:r>
      <w:r>
        <w:rPr>
          <w:rFonts w:ascii="Arial" w:cs="Arial" w:eastAsia="Arial" w:hAnsi="Arial"/>
          <w:sz w:val="11"/>
          <w:szCs w:val="11"/>
          <w:b w:val="1"/>
          <w:bCs w:val="1"/>
          <w:color w:val="auto"/>
        </w:rPr>
        <w:t>clarify the skills</w:t>
      </w:r>
      <w:r>
        <w:rPr>
          <w:rFonts w:ascii="Arial" w:cs="Arial" w:eastAsia="Arial" w:hAnsi="Arial"/>
          <w:sz w:val="11"/>
          <w:szCs w:val="11"/>
          <w:color w:val="auto"/>
        </w:rPr>
        <w:t xml:space="preserve"> each Director represents in </w:t>
      </w:r>
      <w:r>
        <w:rPr>
          <w:rFonts w:ascii="Arial" w:cs="Arial" w:eastAsia="Arial" w:hAnsi="Arial"/>
          <w:sz w:val="11"/>
          <w:szCs w:val="11"/>
          <w:b w:val="1"/>
          <w:bCs w:val="1"/>
          <w:color w:val="auto"/>
        </w:rPr>
        <w:t>supporting the Company’s strategy</w:t>
      </w:r>
      <w:r>
        <w:rPr>
          <w:rFonts w:ascii="Arial" w:cs="Arial" w:eastAsia="Arial" w:hAnsi="Arial"/>
          <w:sz w:val="11"/>
          <w:szCs w:val="11"/>
          <w:color w:val="auto"/>
        </w:rPr>
        <w:t xml:space="preserve"> in the </w:t>
      </w:r>
      <w:r>
        <w:rPr>
          <w:rFonts w:ascii="Arial" w:cs="Arial" w:eastAsia="Arial" w:hAnsi="Arial"/>
          <w:sz w:val="11"/>
          <w:szCs w:val="11"/>
          <w:b w:val="1"/>
          <w:bCs w:val="1"/>
          <w:color w:val="auto"/>
        </w:rPr>
        <w:t>Director biographies</w:t>
      </w:r>
      <w:r>
        <w:rPr>
          <w:rFonts w:ascii="Arial" w:cs="Arial" w:eastAsia="Arial" w:hAnsi="Arial"/>
          <w:sz w:val="11"/>
          <w:szCs w:val="11"/>
          <w:color w:val="auto"/>
        </w:rPr>
        <w:t xml:space="preserve"> and new </w:t>
      </w:r>
      <w:r>
        <w:rPr>
          <w:rFonts w:ascii="Arial" w:cs="Arial" w:eastAsia="Arial" w:hAnsi="Arial"/>
          <w:sz w:val="11"/>
          <w:szCs w:val="11"/>
          <w:b w:val="1"/>
          <w:bCs w:val="1"/>
          <w:color w:val="auto"/>
        </w:rPr>
        <w:t xml:space="preserve">individual director skillset matrix </w:t>
      </w:r>
      <w:r>
        <w:rPr>
          <w:rFonts w:ascii="Arial" w:cs="Arial" w:eastAsia="Arial" w:hAnsi="Arial"/>
          <w:sz w:val="11"/>
          <w:szCs w:val="11"/>
          <w:color w:val="auto"/>
        </w:rPr>
        <w:t>included in this proxy statement.</w:t>
      </w:r>
    </w:p>
    <w:p>
      <w:pPr>
        <w:spacing w:after="0" w:line="217" w:lineRule="exact"/>
        <w:rPr>
          <w:sz w:val="20"/>
          <w:szCs w:val="20"/>
          <w:color w:val="auto"/>
        </w:rPr>
      </w:pPr>
    </w:p>
    <w:p>
      <w:pPr>
        <w:jc w:val="right"/>
        <w:ind w:right="859"/>
        <w:spacing w:after="0"/>
        <w:tabs>
          <w:tab w:leader="none" w:pos="1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1" w:lineRule="exact"/>
        <w:rPr>
          <w:sz w:val="20"/>
          <w:szCs w:val="20"/>
          <w:color w:val="auto"/>
        </w:rPr>
      </w:pPr>
    </w:p>
    <w:tbl>
      <w:tblPr>
        <w:tblLayout w:type="fixed"/>
        <w:tblInd w:w="1950" w:type="dxa"/>
        <w:tblCellMar>
          <w:top w:w="0" w:type="dxa"/>
          <w:left w:w="0" w:type="dxa"/>
          <w:bottom w:w="0" w:type="dxa"/>
          <w:right w:w="0" w:type="dxa"/>
        </w:tblCellMar>
      </w:tblPr>
      <w:tr>
        <w:trPr>
          <w:trHeight w:val="244"/>
        </w:trPr>
        <w:tc>
          <w:tcPr>
            <w:tcW w:w="2600" w:type="dxa"/>
            <w:vAlign w:val="bottom"/>
            <w:tcBorders>
              <w:left w:val="single" w:sz="8" w:color="009AD9"/>
              <w:bottom w:val="single" w:sz="8" w:color="009AD9"/>
            </w:tcBorders>
            <w:shd w:val="clear" w:color="auto" w:fill="009AD9"/>
          </w:tcPr>
          <w:p>
            <w:pPr>
              <w:ind w:left="300"/>
              <w:spacing w:after="0"/>
              <w:rPr>
                <w:sz w:val="20"/>
                <w:szCs w:val="20"/>
                <w:color w:val="auto"/>
              </w:rPr>
            </w:pPr>
            <w:r>
              <w:rPr>
                <w:rFonts w:ascii="Arial" w:cs="Arial" w:eastAsia="Arial" w:hAnsi="Arial"/>
                <w:sz w:val="10"/>
                <w:szCs w:val="10"/>
                <w:b w:val="1"/>
                <w:bCs w:val="1"/>
                <w:color w:val="FFFFFF"/>
                <w:w w:val="98"/>
              </w:rPr>
              <w:t>WHAT WE HEARD FROM OUR SHAREHOLDERS</w:t>
            </w:r>
          </w:p>
        </w:tc>
        <w:tc>
          <w:tcPr>
            <w:tcW w:w="140" w:type="dxa"/>
            <w:vAlign w:val="bottom"/>
            <w:tcBorders>
              <w:bottom w:val="single" w:sz="8" w:color="009AD9"/>
              <w:right w:val="single" w:sz="8" w:color="009AD9"/>
            </w:tcBorders>
            <w:shd w:val="clear" w:color="auto" w:fill="009AD9"/>
          </w:tcPr>
          <w:p>
            <w:pPr>
              <w:spacing w:after="0"/>
              <w:rPr>
                <w:sz w:val="21"/>
                <w:szCs w:val="21"/>
                <w:color w:val="auto"/>
              </w:rPr>
            </w:pPr>
          </w:p>
        </w:tc>
        <w:tc>
          <w:tcPr>
            <w:tcW w:w="4660" w:type="dxa"/>
            <w:vAlign w:val="bottom"/>
            <w:tcBorders>
              <w:bottom w:val="single" w:sz="8" w:color="009AD9"/>
              <w:right w:val="single" w:sz="8" w:color="009AD9"/>
            </w:tcBorders>
            <w:shd w:val="clear" w:color="auto" w:fill="009AD9"/>
          </w:tcPr>
          <w:p>
            <w:pPr>
              <w:ind w:left="1700"/>
              <w:spacing w:after="0"/>
              <w:rPr>
                <w:sz w:val="20"/>
                <w:szCs w:val="20"/>
                <w:color w:val="auto"/>
              </w:rPr>
            </w:pPr>
            <w:r>
              <w:rPr>
                <w:rFonts w:ascii="Arial" w:cs="Arial" w:eastAsia="Arial" w:hAnsi="Arial"/>
                <w:sz w:val="10"/>
                <w:szCs w:val="10"/>
                <w:b w:val="1"/>
                <w:bCs w:val="1"/>
                <w:color w:val="FFFFFF"/>
              </w:rPr>
              <w:t>HOW WE RESPONDED</w:t>
            </w:r>
          </w:p>
        </w:tc>
        <w:tc>
          <w:tcPr>
            <w:tcW w:w="0" w:type="dxa"/>
            <w:vAlign w:val="bottom"/>
          </w:tcPr>
          <w:p>
            <w:pPr>
              <w:spacing w:after="0"/>
              <w:rPr>
                <w:sz w:val="1"/>
                <w:szCs w:val="1"/>
                <w:color w:val="auto"/>
              </w:rPr>
            </w:pPr>
          </w:p>
        </w:tc>
      </w:tr>
      <w:tr>
        <w:trPr>
          <w:trHeight w:val="201"/>
        </w:trPr>
        <w:tc>
          <w:tcPr>
            <w:tcW w:w="2600" w:type="dxa"/>
            <w:vAlign w:val="bottom"/>
            <w:tcBorders>
              <w:left w:val="single" w:sz="8" w:color="009AD9"/>
            </w:tcBorders>
            <w:shd w:val="clear" w:color="auto" w:fill="D8EFF9"/>
          </w:tcPr>
          <w:p>
            <w:pPr>
              <w:spacing w:after="0"/>
              <w:rPr>
                <w:sz w:val="17"/>
                <w:szCs w:val="17"/>
                <w:color w:val="auto"/>
              </w:rPr>
            </w:pPr>
          </w:p>
        </w:tc>
        <w:tc>
          <w:tcPr>
            <w:tcW w:w="140" w:type="dxa"/>
            <w:vAlign w:val="bottom"/>
            <w:tcBorders>
              <w:right w:val="single" w:sz="8" w:color="009AD9"/>
            </w:tcBorders>
            <w:shd w:val="clear" w:color="auto" w:fill="D8EFF9"/>
          </w:tcPr>
          <w:p>
            <w:pPr>
              <w:spacing w:after="0"/>
              <w:rPr>
                <w:sz w:val="17"/>
                <w:szCs w:val="17"/>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The Board and management believe that it is important that all aspects of the Company,</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including the Board and employee population at large, represent the diverse communities in</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our service territories in order to better serve our customers. For more information regarding</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the Company’s commitment to diversity, please see “Item 1. Election of Directors—Director</w:t>
            </w:r>
          </w:p>
        </w:tc>
        <w:tc>
          <w:tcPr>
            <w:tcW w:w="0" w:type="dxa"/>
            <w:vAlign w:val="bottom"/>
          </w:tcPr>
          <w:p>
            <w:pPr>
              <w:spacing w:after="0"/>
              <w:rPr>
                <w:sz w:val="1"/>
                <w:szCs w:val="1"/>
                <w:color w:val="auto"/>
              </w:rPr>
            </w:pPr>
          </w:p>
        </w:tc>
      </w:tr>
      <w:tr>
        <w:trPr>
          <w:trHeight w:val="131"/>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Nomination Process.”</w:t>
            </w:r>
          </w:p>
        </w:tc>
        <w:tc>
          <w:tcPr>
            <w:tcW w:w="0" w:type="dxa"/>
            <w:vAlign w:val="bottom"/>
          </w:tcPr>
          <w:p>
            <w:pPr>
              <w:spacing w:after="0"/>
              <w:rPr>
                <w:sz w:val="1"/>
                <w:szCs w:val="1"/>
                <w:color w:val="auto"/>
              </w:rPr>
            </w:pPr>
          </w:p>
        </w:tc>
      </w:tr>
      <w:tr>
        <w:trPr>
          <w:trHeight w:val="130"/>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expressed desire that the Board</w:t>
            </w: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Prior to the departure of Ms. Leslie Biddle in April 2022 from the Board, Board membership</w:t>
            </w:r>
          </w:p>
        </w:tc>
        <w:tc>
          <w:tcPr>
            <w:tcW w:w="0" w:type="dxa"/>
            <w:vAlign w:val="bottom"/>
          </w:tcPr>
          <w:p>
            <w:pPr>
              <w:spacing w:after="0"/>
              <w:rPr>
                <w:sz w:val="1"/>
                <w:szCs w:val="1"/>
                <w:color w:val="auto"/>
              </w:rPr>
            </w:pPr>
          </w:p>
        </w:tc>
      </w:tr>
      <w:tr>
        <w:trPr>
          <w:trHeight w:val="76"/>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increase gender diversity</w:t>
            </w:r>
          </w:p>
        </w:tc>
        <w:tc>
          <w:tcPr>
            <w:tcW w:w="140" w:type="dxa"/>
            <w:vAlign w:val="bottom"/>
            <w:tcBorders>
              <w:right w:val="single" w:sz="8" w:color="009AD9"/>
            </w:tcBorders>
            <w:shd w:val="clear" w:color="auto" w:fill="D8EFF9"/>
          </w:tcPr>
          <w:p>
            <w:pPr>
              <w:spacing w:after="0"/>
              <w:rPr>
                <w:sz w:val="6"/>
                <w:szCs w:val="6"/>
                <w:color w:val="auto"/>
              </w:rPr>
            </w:pPr>
          </w:p>
        </w:tc>
        <w:tc>
          <w:tcPr>
            <w:tcW w:w="4660" w:type="dxa"/>
            <w:vAlign w:val="bottom"/>
            <w:tcBorders>
              <w:right w:val="single" w:sz="8" w:color="009AD9"/>
            </w:tcBorders>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600" w:type="dxa"/>
            <w:vAlign w:val="bottom"/>
            <w:tcBorders>
              <w:left w:val="single" w:sz="8" w:color="009AD9"/>
            </w:tcBorders>
            <w:vMerge w:val="continue"/>
            <w:shd w:val="clear" w:color="auto" w:fill="D8EFF9"/>
          </w:tcPr>
          <w:p>
            <w:pPr>
              <w:spacing w:after="0"/>
              <w:rPr>
                <w:sz w:val="5"/>
                <w:szCs w:val="5"/>
                <w:color w:val="auto"/>
              </w:rPr>
            </w:pPr>
          </w:p>
        </w:tc>
        <w:tc>
          <w:tcPr>
            <w:tcW w:w="140" w:type="dxa"/>
            <w:vAlign w:val="bottom"/>
            <w:tcBorders>
              <w:right w:val="single" w:sz="8" w:color="009AD9"/>
            </w:tcBorders>
            <w:shd w:val="clear" w:color="auto" w:fill="D8EFF9"/>
          </w:tcPr>
          <w:p>
            <w:pPr>
              <w:spacing w:after="0"/>
              <w:rPr>
                <w:sz w:val="5"/>
                <w:szCs w:val="5"/>
                <w:color w:val="auto"/>
              </w:rPr>
            </w:pPr>
          </w:p>
        </w:tc>
        <w:tc>
          <w:tcPr>
            <w:tcW w:w="466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represented 30% gender diversity. The Governance, Environmental and Sustainability</w:t>
            </w:r>
          </w:p>
        </w:tc>
        <w:tc>
          <w:tcPr>
            <w:tcW w:w="0" w:type="dxa"/>
            <w:vAlign w:val="bottom"/>
          </w:tcPr>
          <w:p>
            <w:pPr>
              <w:spacing w:after="0"/>
              <w:rPr>
                <w:sz w:val="1"/>
                <w:szCs w:val="1"/>
                <w:color w:val="auto"/>
              </w:rPr>
            </w:pPr>
          </w:p>
        </w:tc>
      </w:tr>
      <w:tr>
        <w:trPr>
          <w:trHeight w:val="60"/>
        </w:trPr>
        <w:tc>
          <w:tcPr>
            <w:tcW w:w="2600" w:type="dxa"/>
            <w:vAlign w:val="bottom"/>
            <w:tcBorders>
              <w:left w:val="single" w:sz="8" w:color="009AD9"/>
            </w:tcBorders>
            <w:shd w:val="clear" w:color="auto" w:fill="D8EFF9"/>
          </w:tcPr>
          <w:p>
            <w:pPr>
              <w:spacing w:after="0"/>
              <w:rPr>
                <w:sz w:val="5"/>
                <w:szCs w:val="5"/>
                <w:color w:val="auto"/>
              </w:rPr>
            </w:pPr>
          </w:p>
        </w:tc>
        <w:tc>
          <w:tcPr>
            <w:tcW w:w="140" w:type="dxa"/>
            <w:vAlign w:val="bottom"/>
            <w:tcBorders>
              <w:right w:val="single" w:sz="8" w:color="009AD9"/>
            </w:tcBorders>
            <w:shd w:val="clear" w:color="auto" w:fill="D8EFF9"/>
          </w:tcPr>
          <w:p>
            <w:pPr>
              <w:spacing w:after="0"/>
              <w:rPr>
                <w:sz w:val="5"/>
                <w:szCs w:val="5"/>
                <w:color w:val="auto"/>
              </w:rPr>
            </w:pPr>
          </w:p>
        </w:tc>
        <w:tc>
          <w:tcPr>
            <w:tcW w:w="4660" w:type="dxa"/>
            <w:vAlign w:val="bottom"/>
            <w:tcBorders>
              <w:right w:val="single" w:sz="8" w:color="009AD9"/>
            </w:tcBorders>
            <w:vMerge w:val="continue"/>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Committee is committed to continuing to seek out diverse Board candidates, including</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gender diverse candidates, who possess skills that will help advance the near- and long-</w:t>
            </w:r>
          </w:p>
        </w:tc>
        <w:tc>
          <w:tcPr>
            <w:tcW w:w="0" w:type="dxa"/>
            <w:vAlign w:val="bottom"/>
          </w:tcPr>
          <w:p>
            <w:pPr>
              <w:spacing w:after="0"/>
              <w:rPr>
                <w:sz w:val="1"/>
                <w:szCs w:val="1"/>
                <w:color w:val="auto"/>
              </w:rPr>
            </w:pPr>
          </w:p>
        </w:tc>
      </w:tr>
      <w:tr>
        <w:trPr>
          <w:trHeight w:val="115"/>
        </w:trPr>
        <w:tc>
          <w:tcPr>
            <w:tcW w:w="2600" w:type="dxa"/>
            <w:vAlign w:val="bottom"/>
            <w:tcBorders>
              <w:left w:val="single" w:sz="8" w:color="009AD9"/>
            </w:tcBorders>
            <w:shd w:val="clear" w:color="auto" w:fill="D8EFF9"/>
          </w:tcPr>
          <w:p>
            <w:pPr>
              <w:spacing w:after="0"/>
              <w:rPr>
                <w:sz w:val="10"/>
                <w:szCs w:val="10"/>
                <w:color w:val="auto"/>
              </w:rPr>
            </w:pPr>
          </w:p>
        </w:tc>
        <w:tc>
          <w:tcPr>
            <w:tcW w:w="140" w:type="dxa"/>
            <w:vAlign w:val="bottom"/>
            <w:tcBorders>
              <w:right w:val="single" w:sz="8" w:color="009AD9"/>
            </w:tcBorders>
            <w:shd w:val="clear" w:color="auto" w:fill="D8EFF9"/>
          </w:tcPr>
          <w:p>
            <w:pPr>
              <w:spacing w:after="0"/>
              <w:rPr>
                <w:sz w:val="10"/>
                <w:szCs w:val="10"/>
                <w:color w:val="auto"/>
              </w:rPr>
            </w:pPr>
          </w:p>
        </w:tc>
        <w:tc>
          <w:tcPr>
            <w:tcW w:w="4660" w:type="dxa"/>
            <w:vAlign w:val="bottom"/>
            <w:tcBorders>
              <w:right w:val="single" w:sz="8" w:color="009AD9"/>
            </w:tcBorders>
            <w:shd w:val="clear" w:color="auto" w:fill="D8EFF9"/>
          </w:tcPr>
          <w:p>
            <w:pPr>
              <w:ind w:left="20"/>
              <w:spacing w:after="0" w:line="115" w:lineRule="exact"/>
              <w:rPr>
                <w:sz w:val="20"/>
                <w:szCs w:val="20"/>
                <w:color w:val="auto"/>
              </w:rPr>
            </w:pPr>
            <w:r>
              <w:rPr>
                <w:rFonts w:ascii="Arial" w:cs="Arial" w:eastAsia="Arial" w:hAnsi="Arial"/>
                <w:sz w:val="11"/>
                <w:szCs w:val="11"/>
                <w:color w:val="auto"/>
              </w:rPr>
              <w:t>term strategic goals of the Company. Further, the Governance, Environmental and</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 xml:space="preserve">Sustainability Committee and the Board are committed to appointing an </w:t>
            </w:r>
            <w:r>
              <w:rPr>
                <w:rFonts w:ascii="Arial" w:cs="Arial" w:eastAsia="Arial" w:hAnsi="Arial"/>
                <w:sz w:val="11"/>
                <w:szCs w:val="11"/>
                <w:b w:val="1"/>
                <w:bCs w:val="1"/>
                <w:color w:val="auto"/>
              </w:rPr>
              <w:t>additional gender</w:t>
            </w:r>
          </w:p>
        </w:tc>
        <w:tc>
          <w:tcPr>
            <w:tcW w:w="0" w:type="dxa"/>
            <w:vAlign w:val="bottom"/>
          </w:tcPr>
          <w:p>
            <w:pPr>
              <w:spacing w:after="0"/>
              <w:rPr>
                <w:sz w:val="1"/>
                <w:szCs w:val="1"/>
                <w:color w:val="auto"/>
              </w:rPr>
            </w:pPr>
          </w:p>
        </w:tc>
      </w:tr>
      <w:tr>
        <w:trPr>
          <w:trHeight w:val="188"/>
        </w:trPr>
        <w:tc>
          <w:tcPr>
            <w:tcW w:w="2600" w:type="dxa"/>
            <w:vAlign w:val="bottom"/>
            <w:tcBorders>
              <w:left w:val="single" w:sz="8" w:color="009AD9"/>
              <w:bottom w:val="single" w:sz="8" w:color="D8EFF9"/>
            </w:tcBorders>
            <w:shd w:val="clear" w:color="auto" w:fill="D8EFF9"/>
          </w:tcPr>
          <w:p>
            <w:pPr>
              <w:spacing w:after="0"/>
              <w:rPr>
                <w:sz w:val="15"/>
                <w:szCs w:val="15"/>
                <w:color w:val="auto"/>
              </w:rPr>
            </w:pPr>
          </w:p>
        </w:tc>
        <w:tc>
          <w:tcPr>
            <w:tcW w:w="140" w:type="dxa"/>
            <w:vAlign w:val="bottom"/>
            <w:tcBorders>
              <w:bottom w:val="single" w:sz="8" w:color="D8EFF9"/>
              <w:right w:val="single" w:sz="8" w:color="009AD9"/>
            </w:tcBorders>
            <w:shd w:val="clear" w:color="auto" w:fill="D8EFF9"/>
          </w:tcPr>
          <w:p>
            <w:pPr>
              <w:spacing w:after="0"/>
              <w:rPr>
                <w:sz w:val="15"/>
                <w:szCs w:val="15"/>
                <w:color w:val="auto"/>
              </w:rPr>
            </w:pPr>
          </w:p>
        </w:tc>
        <w:tc>
          <w:tcPr>
            <w:tcW w:w="4660" w:type="dxa"/>
            <w:vAlign w:val="bottom"/>
            <w:tcBorders>
              <w:bottom w:val="single" w:sz="8" w:color="D8EFF9"/>
              <w:right w:val="single" w:sz="8" w:color="009AD9"/>
            </w:tcBorders>
            <w:shd w:val="clear" w:color="auto" w:fill="D8EFF9"/>
          </w:tcPr>
          <w:p>
            <w:pPr>
              <w:ind w:left="20"/>
              <w:spacing w:after="0"/>
              <w:rPr>
                <w:sz w:val="20"/>
                <w:szCs w:val="20"/>
                <w:color w:val="auto"/>
              </w:rPr>
            </w:pPr>
            <w:r>
              <w:rPr>
                <w:rFonts w:ascii="Arial" w:cs="Arial" w:eastAsia="Arial" w:hAnsi="Arial"/>
                <w:sz w:val="11"/>
                <w:szCs w:val="11"/>
                <w:b w:val="1"/>
                <w:bCs w:val="1"/>
                <w:color w:val="auto"/>
              </w:rPr>
              <w:t xml:space="preserve">diverse director </w:t>
            </w:r>
            <w:r>
              <w:rPr>
                <w:rFonts w:ascii="Arial" w:cs="Arial" w:eastAsia="Arial" w:hAnsi="Arial"/>
                <w:sz w:val="11"/>
                <w:szCs w:val="11"/>
                <w:color w:val="auto"/>
              </w:rPr>
              <w:t>to the Board by</w:t>
            </w:r>
            <w:r>
              <w:rPr>
                <w:rFonts w:ascii="Arial" w:cs="Arial" w:eastAsia="Arial" w:hAnsi="Arial"/>
                <w:sz w:val="11"/>
                <w:szCs w:val="11"/>
                <w:b w:val="1"/>
                <w:bCs w:val="1"/>
                <w:color w:val="auto"/>
              </w:rPr>
              <w:t xml:space="preserve"> December 31, 2023</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600" w:type="dxa"/>
            <w:vAlign w:val="bottom"/>
            <w:tcBorders>
              <w:top w:val="single" w:sz="8" w:color="009AD9"/>
              <w:left w:val="single" w:sz="8" w:color="009AD9"/>
            </w:tcBorders>
            <w:shd w:val="clear" w:color="auto" w:fill="D8EFF9"/>
          </w:tcPr>
          <w:p>
            <w:pPr>
              <w:spacing w:after="0"/>
              <w:rPr>
                <w:sz w:val="11"/>
                <w:szCs w:val="11"/>
                <w:color w:val="auto"/>
              </w:rPr>
            </w:pPr>
          </w:p>
        </w:tc>
        <w:tc>
          <w:tcPr>
            <w:tcW w:w="140" w:type="dxa"/>
            <w:vAlign w:val="bottom"/>
            <w:tcBorders>
              <w:top w:val="single" w:sz="8" w:color="009AD9"/>
              <w:right w:val="single" w:sz="8" w:color="009AD9"/>
            </w:tcBorders>
            <w:shd w:val="clear" w:color="auto" w:fill="D8EFF9"/>
          </w:tcPr>
          <w:p>
            <w:pPr>
              <w:spacing w:after="0"/>
              <w:rPr>
                <w:sz w:val="11"/>
                <w:szCs w:val="11"/>
                <w:color w:val="auto"/>
              </w:rPr>
            </w:pPr>
          </w:p>
        </w:tc>
        <w:tc>
          <w:tcPr>
            <w:tcW w:w="4660" w:type="dxa"/>
            <w:vAlign w:val="bottom"/>
            <w:tcBorders>
              <w:top w:val="single" w:sz="8" w:color="009AD9"/>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At the request of the Independent Chair and with the full support of the entire Board, the</w:t>
            </w:r>
          </w:p>
        </w:tc>
        <w:tc>
          <w:tcPr>
            <w:tcW w:w="0" w:type="dxa"/>
            <w:vAlign w:val="bottom"/>
          </w:tcPr>
          <w:p>
            <w:pPr>
              <w:spacing w:after="0"/>
              <w:rPr>
                <w:sz w:val="1"/>
                <w:szCs w:val="1"/>
                <w:color w:val="auto"/>
              </w:rPr>
            </w:pPr>
          </w:p>
        </w:tc>
      </w:tr>
      <w:tr>
        <w:trPr>
          <w:trHeight w:val="139"/>
        </w:trPr>
        <w:tc>
          <w:tcPr>
            <w:tcW w:w="2600" w:type="dxa"/>
            <w:vAlign w:val="bottom"/>
            <w:tcBorders>
              <w:left w:val="single" w:sz="8" w:color="009AD9"/>
            </w:tcBorders>
            <w:shd w:val="clear" w:color="auto" w:fill="D8EFF9"/>
          </w:tcPr>
          <w:p>
            <w:pPr>
              <w:spacing w:after="0"/>
              <w:rPr>
                <w:sz w:val="12"/>
                <w:szCs w:val="12"/>
                <w:color w:val="auto"/>
              </w:rPr>
            </w:pPr>
          </w:p>
        </w:tc>
        <w:tc>
          <w:tcPr>
            <w:tcW w:w="140" w:type="dxa"/>
            <w:vAlign w:val="bottom"/>
            <w:tcBorders>
              <w:right w:val="single" w:sz="8" w:color="009AD9"/>
            </w:tcBorders>
            <w:shd w:val="clear" w:color="auto" w:fill="D8EFF9"/>
          </w:tcPr>
          <w:p>
            <w:pPr>
              <w:spacing w:after="0"/>
              <w:rPr>
                <w:sz w:val="12"/>
                <w:szCs w:val="12"/>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 xml:space="preserve">Independent Chair Retainer was </w:t>
            </w:r>
            <w:r>
              <w:rPr>
                <w:rFonts w:ascii="Arial" w:cs="Arial" w:eastAsia="Arial" w:hAnsi="Arial"/>
                <w:sz w:val="11"/>
                <w:szCs w:val="11"/>
                <w:b w:val="1"/>
                <w:bCs w:val="1"/>
                <w:color w:val="auto"/>
              </w:rPr>
              <w:t>reduced by 63%</w:t>
            </w:r>
            <w:r>
              <w:rPr>
                <w:rFonts w:ascii="Arial" w:cs="Arial" w:eastAsia="Arial" w:hAnsi="Arial"/>
                <w:sz w:val="11"/>
                <w:szCs w:val="11"/>
                <w:color w:val="auto"/>
              </w:rPr>
              <w:t xml:space="preserve"> from $500,000 to $185,000 beginning on</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January 1, 2023 to better align total compensation of the Independent Chair with the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median total compensation of non-executive chairs at other large public companies. For the</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Shareholders expressed concern regarding the</w:t>
            </w: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rationale for the initial Independent Chair Retainer awarded in 2021 and its recent</w:t>
            </w:r>
          </w:p>
        </w:tc>
        <w:tc>
          <w:tcPr>
            <w:tcW w:w="0" w:type="dxa"/>
            <w:vAlign w:val="bottom"/>
          </w:tcPr>
          <w:p>
            <w:pPr>
              <w:spacing w:after="0"/>
              <w:rPr>
                <w:sz w:val="1"/>
                <w:szCs w:val="1"/>
                <w:color w:val="auto"/>
              </w:rPr>
            </w:pPr>
          </w:p>
        </w:tc>
      </w:tr>
      <w:tr>
        <w:trPr>
          <w:trHeight w:val="33"/>
        </w:trPr>
        <w:tc>
          <w:tcPr>
            <w:tcW w:w="2600" w:type="dxa"/>
            <w:vAlign w:val="bottom"/>
            <w:tcBorders>
              <w:left w:val="single" w:sz="8" w:color="009AD9"/>
            </w:tcBorders>
            <w:vMerge w:val="continue"/>
            <w:shd w:val="clear" w:color="auto" w:fill="D8EFF9"/>
          </w:tcPr>
          <w:p>
            <w:pPr>
              <w:spacing w:after="0"/>
              <w:rPr>
                <w:sz w:val="2"/>
                <w:szCs w:val="2"/>
                <w:color w:val="auto"/>
              </w:rPr>
            </w:pPr>
          </w:p>
        </w:tc>
        <w:tc>
          <w:tcPr>
            <w:tcW w:w="140" w:type="dxa"/>
            <w:vAlign w:val="bottom"/>
            <w:tcBorders>
              <w:right w:val="single" w:sz="8" w:color="009AD9"/>
            </w:tcBorders>
            <w:shd w:val="clear" w:color="auto" w:fill="D8EFF9"/>
          </w:tcPr>
          <w:p>
            <w:pPr>
              <w:spacing w:after="0"/>
              <w:rPr>
                <w:sz w:val="2"/>
                <w:szCs w:val="2"/>
                <w:color w:val="auto"/>
              </w:rPr>
            </w:pPr>
          </w:p>
        </w:tc>
        <w:tc>
          <w:tcPr>
            <w:tcW w:w="466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reduction, please see “Item 1. Election of Directors—Compensation of Directors—</w:t>
            </w:r>
          </w:p>
        </w:tc>
        <w:tc>
          <w:tcPr>
            <w:tcW w:w="0" w:type="dxa"/>
            <w:vAlign w:val="bottom"/>
          </w:tcPr>
          <w:p>
            <w:pPr>
              <w:spacing w:after="0" w:line="20" w:lineRule="exact"/>
              <w:rPr>
                <w:sz w:val="1"/>
                <w:szCs w:val="1"/>
                <w:color w:val="auto"/>
              </w:rPr>
            </w:pPr>
          </w:p>
        </w:tc>
      </w:tr>
      <w:tr>
        <w:trPr>
          <w:trHeight w:val="94"/>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Independent Chair Retainer and sought</w:t>
            </w:r>
          </w:p>
        </w:tc>
        <w:tc>
          <w:tcPr>
            <w:tcW w:w="140" w:type="dxa"/>
            <w:vAlign w:val="bottom"/>
            <w:tcBorders>
              <w:right w:val="single" w:sz="8" w:color="009AD9"/>
            </w:tcBorders>
            <w:shd w:val="clear" w:color="auto" w:fill="D8EFF9"/>
          </w:tcPr>
          <w:p>
            <w:pPr>
              <w:spacing w:after="0"/>
              <w:rPr>
                <w:sz w:val="8"/>
                <w:szCs w:val="8"/>
                <w:color w:val="auto"/>
              </w:rPr>
            </w:pPr>
          </w:p>
        </w:tc>
        <w:tc>
          <w:tcPr>
            <w:tcW w:w="4660" w:type="dxa"/>
            <w:vAlign w:val="bottom"/>
            <w:tcBorders>
              <w:right w:val="single" w:sz="8" w:color="009AD9"/>
            </w:tcBorders>
            <w:vMerge w:val="continue"/>
            <w:shd w:val="clear" w:color="auto" w:fill="D8EFF9"/>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00" w:type="dxa"/>
            <w:vAlign w:val="bottom"/>
            <w:tcBorders>
              <w:left w:val="single" w:sz="8" w:color="009AD9"/>
            </w:tcBorders>
            <w:vMerge w:val="continue"/>
            <w:shd w:val="clear" w:color="auto" w:fill="D8EFF9"/>
          </w:tcPr>
          <w:p>
            <w:pPr>
              <w:spacing w:after="0"/>
              <w:rPr>
                <w:sz w:val="2"/>
                <w:szCs w:val="2"/>
                <w:color w:val="auto"/>
              </w:rPr>
            </w:pPr>
          </w:p>
        </w:tc>
        <w:tc>
          <w:tcPr>
            <w:tcW w:w="140" w:type="dxa"/>
            <w:vAlign w:val="bottom"/>
            <w:tcBorders>
              <w:right w:val="single" w:sz="8" w:color="009AD9"/>
            </w:tcBorders>
            <w:shd w:val="clear" w:color="auto" w:fill="D8EFF9"/>
          </w:tcPr>
          <w:p>
            <w:pPr>
              <w:spacing w:after="0"/>
              <w:rPr>
                <w:sz w:val="2"/>
                <w:szCs w:val="2"/>
                <w:color w:val="auto"/>
              </w:rPr>
            </w:pPr>
          </w:p>
        </w:tc>
        <w:tc>
          <w:tcPr>
            <w:tcW w:w="466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Reduction of Independent Chair Retainer.”</w:t>
            </w:r>
          </w:p>
        </w:tc>
        <w:tc>
          <w:tcPr>
            <w:tcW w:w="0" w:type="dxa"/>
            <w:vAlign w:val="bottom"/>
          </w:tcPr>
          <w:p>
            <w:pPr>
              <w:spacing w:after="0" w:line="20" w:lineRule="exact"/>
              <w:rPr>
                <w:sz w:val="1"/>
                <w:szCs w:val="1"/>
                <w:color w:val="auto"/>
              </w:rPr>
            </w:pPr>
          </w:p>
        </w:tc>
      </w:tr>
      <w:tr>
        <w:trPr>
          <w:trHeight w:val="97"/>
        </w:trPr>
        <w:tc>
          <w:tcPr>
            <w:tcW w:w="2600" w:type="dxa"/>
            <w:vAlign w:val="bottom"/>
            <w:tcBorders>
              <w:lef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additional disclosure regarding reasons for</w:t>
            </w:r>
          </w:p>
        </w:tc>
        <w:tc>
          <w:tcPr>
            <w:tcW w:w="140" w:type="dxa"/>
            <w:vAlign w:val="bottom"/>
            <w:tcBorders>
              <w:right w:val="single" w:sz="8" w:color="009AD9"/>
            </w:tcBorders>
            <w:shd w:val="clear" w:color="auto" w:fill="D8EFF9"/>
          </w:tcPr>
          <w:p>
            <w:pPr>
              <w:spacing w:after="0"/>
              <w:rPr>
                <w:sz w:val="8"/>
                <w:szCs w:val="8"/>
                <w:color w:val="auto"/>
              </w:rPr>
            </w:pPr>
          </w:p>
        </w:tc>
        <w:tc>
          <w:tcPr>
            <w:tcW w:w="4660" w:type="dxa"/>
            <w:vAlign w:val="bottom"/>
            <w:tcBorders>
              <w:right w:val="single" w:sz="8" w:color="009AD9"/>
            </w:tcBorders>
            <w:vMerge w:val="continue"/>
            <w:shd w:val="clear" w:color="auto" w:fill="D8EFF9"/>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600" w:type="dxa"/>
            <w:vAlign w:val="bottom"/>
            <w:tcBorders>
              <w:left w:val="single" w:sz="8" w:color="009AD9"/>
            </w:tcBorders>
            <w:vMerge w:val="continue"/>
            <w:shd w:val="clear" w:color="auto" w:fill="D8EFF9"/>
          </w:tcPr>
          <w:p>
            <w:pPr>
              <w:spacing w:after="0"/>
              <w:rPr>
                <w:sz w:val="2"/>
                <w:szCs w:val="2"/>
                <w:color w:val="auto"/>
              </w:rPr>
            </w:pPr>
          </w:p>
        </w:tc>
        <w:tc>
          <w:tcPr>
            <w:tcW w:w="140" w:type="dxa"/>
            <w:vAlign w:val="bottom"/>
            <w:tcBorders>
              <w:right w:val="single" w:sz="8" w:color="009AD9"/>
            </w:tcBorders>
            <w:shd w:val="clear" w:color="auto" w:fill="D8EFF9"/>
          </w:tcPr>
          <w:p>
            <w:pPr>
              <w:spacing w:after="0"/>
              <w:rPr>
                <w:sz w:val="2"/>
                <w:szCs w:val="2"/>
                <w:color w:val="auto"/>
              </w:rPr>
            </w:pPr>
          </w:p>
        </w:tc>
        <w:tc>
          <w:tcPr>
            <w:tcW w:w="4660" w:type="dxa"/>
            <w:vAlign w:val="bottom"/>
            <w:tcBorders>
              <w:right w:val="single" w:sz="8" w:color="009AD9"/>
            </w:tcBorders>
            <w:shd w:val="clear" w:color="auto" w:fill="D8EF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600" w:type="dxa"/>
            <w:vAlign w:val="bottom"/>
            <w:tcBorders>
              <w:left w:val="single" w:sz="8" w:color="009AD9"/>
            </w:tcBorders>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Independent Chair Retainer</w:t>
            </w:r>
          </w:p>
        </w:tc>
        <w:tc>
          <w:tcPr>
            <w:tcW w:w="140" w:type="dxa"/>
            <w:vAlign w:val="bottom"/>
            <w:tcBorders>
              <w:right w:val="single" w:sz="8" w:color="009AD9"/>
            </w:tcBorders>
            <w:shd w:val="clear" w:color="auto" w:fill="D8EFF9"/>
          </w:tcPr>
          <w:p>
            <w:pPr>
              <w:spacing w:after="0"/>
              <w:rPr>
                <w:sz w:val="12"/>
                <w:szCs w:val="12"/>
                <w:color w:val="auto"/>
              </w:rPr>
            </w:pPr>
          </w:p>
        </w:tc>
        <w:tc>
          <w:tcPr>
            <w:tcW w:w="4660" w:type="dxa"/>
            <w:vAlign w:val="bottom"/>
            <w:tcBorders>
              <w:right w:val="single" w:sz="8" w:color="009AD9"/>
            </w:tcBorders>
            <w:vMerge w:val="restart"/>
            <w:shd w:val="clear" w:color="auto" w:fill="D8EFF9"/>
          </w:tcPr>
          <w:p>
            <w:pPr>
              <w:ind w:left="20"/>
              <w:spacing w:after="0"/>
              <w:rPr>
                <w:sz w:val="20"/>
                <w:szCs w:val="20"/>
                <w:color w:val="auto"/>
              </w:rPr>
            </w:pPr>
            <w:r>
              <w:rPr>
                <w:rFonts w:ascii="Arial" w:cs="Arial" w:eastAsia="Arial" w:hAnsi="Arial"/>
                <w:sz w:val="11"/>
                <w:szCs w:val="11"/>
                <w:color w:val="auto"/>
              </w:rPr>
              <w:t>The Board believes that, given the important role of the Independent Chair as leader of the</w:t>
            </w:r>
          </w:p>
        </w:tc>
        <w:tc>
          <w:tcPr>
            <w:tcW w:w="0" w:type="dxa"/>
            <w:vAlign w:val="bottom"/>
          </w:tcPr>
          <w:p>
            <w:pPr>
              <w:spacing w:after="0"/>
              <w:rPr>
                <w:sz w:val="1"/>
                <w:szCs w:val="1"/>
                <w:color w:val="auto"/>
              </w:rPr>
            </w:pPr>
          </w:p>
        </w:tc>
      </w:tr>
      <w:tr>
        <w:trPr>
          <w:trHeight w:val="33"/>
        </w:trPr>
        <w:tc>
          <w:tcPr>
            <w:tcW w:w="2600" w:type="dxa"/>
            <w:vAlign w:val="bottom"/>
            <w:tcBorders>
              <w:left w:val="single" w:sz="8" w:color="009AD9"/>
            </w:tcBorders>
            <w:shd w:val="clear" w:color="auto" w:fill="D8EFF9"/>
          </w:tcPr>
          <w:p>
            <w:pPr>
              <w:spacing w:after="0"/>
              <w:rPr>
                <w:sz w:val="2"/>
                <w:szCs w:val="2"/>
                <w:color w:val="auto"/>
              </w:rPr>
            </w:pPr>
          </w:p>
        </w:tc>
        <w:tc>
          <w:tcPr>
            <w:tcW w:w="140" w:type="dxa"/>
            <w:vAlign w:val="bottom"/>
            <w:tcBorders>
              <w:right w:val="single" w:sz="8" w:color="009AD9"/>
            </w:tcBorders>
            <w:shd w:val="clear" w:color="auto" w:fill="D8EFF9"/>
          </w:tcPr>
          <w:p>
            <w:pPr>
              <w:spacing w:after="0"/>
              <w:rPr>
                <w:sz w:val="2"/>
                <w:szCs w:val="2"/>
                <w:color w:val="auto"/>
              </w:rPr>
            </w:pPr>
          </w:p>
        </w:tc>
        <w:tc>
          <w:tcPr>
            <w:tcW w:w="4660" w:type="dxa"/>
            <w:vAlign w:val="bottom"/>
            <w:tcBorders>
              <w:right w:val="single" w:sz="8" w:color="009AD9"/>
            </w:tcBorders>
            <w:vMerge w:val="continue"/>
            <w:shd w:val="clear" w:color="auto" w:fill="D8EF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Board, a retainer for the Independent Chair continues to be warranted and is generally</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consistent with the practice at other large public companies who have an Independent</w:t>
            </w:r>
          </w:p>
        </w:tc>
        <w:tc>
          <w:tcPr>
            <w:tcW w:w="0" w:type="dxa"/>
            <w:vAlign w:val="bottom"/>
          </w:tcPr>
          <w:p>
            <w:pPr>
              <w:spacing w:after="0"/>
              <w:rPr>
                <w:sz w:val="1"/>
                <w:szCs w:val="1"/>
                <w:color w:val="auto"/>
              </w:rPr>
            </w:pPr>
          </w:p>
        </w:tc>
      </w:tr>
      <w:tr>
        <w:trPr>
          <w:trHeight w:val="127"/>
        </w:trPr>
        <w:tc>
          <w:tcPr>
            <w:tcW w:w="2600" w:type="dxa"/>
            <w:vAlign w:val="bottom"/>
            <w:tcBorders>
              <w:left w:val="single" w:sz="8" w:color="009AD9"/>
            </w:tcBorders>
            <w:shd w:val="clear" w:color="auto" w:fill="D8EFF9"/>
          </w:tcPr>
          <w:p>
            <w:pPr>
              <w:spacing w:after="0"/>
              <w:rPr>
                <w:sz w:val="11"/>
                <w:szCs w:val="11"/>
                <w:color w:val="auto"/>
              </w:rPr>
            </w:pPr>
          </w:p>
        </w:tc>
        <w:tc>
          <w:tcPr>
            <w:tcW w:w="140" w:type="dxa"/>
            <w:vAlign w:val="bottom"/>
            <w:tcBorders>
              <w:right w:val="single" w:sz="8" w:color="009AD9"/>
            </w:tcBorders>
            <w:shd w:val="clear" w:color="auto" w:fill="D8EFF9"/>
          </w:tcPr>
          <w:p>
            <w:pPr>
              <w:spacing w:after="0"/>
              <w:rPr>
                <w:sz w:val="11"/>
                <w:szCs w:val="11"/>
                <w:color w:val="auto"/>
              </w:rPr>
            </w:pPr>
          </w:p>
        </w:tc>
        <w:tc>
          <w:tcPr>
            <w:tcW w:w="4660" w:type="dxa"/>
            <w:vAlign w:val="bottom"/>
            <w:tcBorders>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Chair. The Independent Chair also takes on numerous significant responsibilities as</w:t>
            </w:r>
          </w:p>
        </w:tc>
        <w:tc>
          <w:tcPr>
            <w:tcW w:w="0" w:type="dxa"/>
            <w:vAlign w:val="bottom"/>
          </w:tcPr>
          <w:p>
            <w:pPr>
              <w:spacing w:after="0"/>
              <w:rPr>
                <w:sz w:val="1"/>
                <w:szCs w:val="1"/>
                <w:color w:val="auto"/>
              </w:rPr>
            </w:pPr>
          </w:p>
        </w:tc>
      </w:tr>
      <w:tr>
        <w:trPr>
          <w:trHeight w:val="151"/>
        </w:trPr>
        <w:tc>
          <w:tcPr>
            <w:tcW w:w="2600" w:type="dxa"/>
            <w:vAlign w:val="bottom"/>
            <w:tcBorders>
              <w:left w:val="single" w:sz="8" w:color="009AD9"/>
              <w:bottom w:val="single" w:sz="8" w:color="D8EFF9"/>
            </w:tcBorders>
            <w:shd w:val="clear" w:color="auto" w:fill="D8EFF9"/>
          </w:tcPr>
          <w:p>
            <w:pPr>
              <w:spacing w:after="0"/>
              <w:rPr>
                <w:sz w:val="13"/>
                <w:szCs w:val="13"/>
                <w:color w:val="auto"/>
              </w:rPr>
            </w:pPr>
          </w:p>
        </w:tc>
        <w:tc>
          <w:tcPr>
            <w:tcW w:w="140" w:type="dxa"/>
            <w:vAlign w:val="bottom"/>
            <w:tcBorders>
              <w:bottom w:val="single" w:sz="8" w:color="D8EFF9"/>
              <w:right w:val="single" w:sz="8" w:color="009AD9"/>
            </w:tcBorders>
            <w:shd w:val="clear" w:color="auto" w:fill="D8EFF9"/>
          </w:tcPr>
          <w:p>
            <w:pPr>
              <w:spacing w:after="0"/>
              <w:rPr>
                <w:sz w:val="13"/>
                <w:szCs w:val="13"/>
                <w:color w:val="auto"/>
              </w:rPr>
            </w:pPr>
          </w:p>
        </w:tc>
        <w:tc>
          <w:tcPr>
            <w:tcW w:w="4660" w:type="dxa"/>
            <w:vAlign w:val="bottom"/>
            <w:tcBorders>
              <w:bottom w:val="single" w:sz="8" w:color="D8EFF9"/>
              <w:right w:val="single" w:sz="8" w:color="009AD9"/>
            </w:tcBorders>
            <w:shd w:val="clear" w:color="auto" w:fill="D8EFF9"/>
          </w:tcPr>
          <w:p>
            <w:pPr>
              <w:ind w:left="20"/>
              <w:spacing w:after="0"/>
              <w:rPr>
                <w:sz w:val="20"/>
                <w:szCs w:val="20"/>
                <w:color w:val="auto"/>
              </w:rPr>
            </w:pPr>
            <w:r>
              <w:rPr>
                <w:rFonts w:ascii="Arial" w:cs="Arial" w:eastAsia="Arial" w:hAnsi="Arial"/>
                <w:sz w:val="11"/>
                <w:szCs w:val="11"/>
                <w:color w:val="auto"/>
              </w:rPr>
              <w:t>discussed above in “Item 1. Election of Directors—Board Leadership.”</w:t>
            </w:r>
          </w:p>
        </w:tc>
        <w:tc>
          <w:tcPr>
            <w:tcW w:w="0" w:type="dxa"/>
            <w:vAlign w:val="bottom"/>
          </w:tcPr>
          <w:p>
            <w:pPr>
              <w:spacing w:after="0"/>
              <w:rPr>
                <w:sz w:val="1"/>
                <w:szCs w:val="1"/>
                <w:color w:val="auto"/>
              </w:rPr>
            </w:pPr>
          </w:p>
        </w:tc>
      </w:tr>
      <w:tr>
        <w:trPr>
          <w:trHeight w:val="20"/>
        </w:trPr>
        <w:tc>
          <w:tcPr>
            <w:tcW w:w="2600" w:type="dxa"/>
            <w:vAlign w:val="bottom"/>
            <w:tcBorders>
              <w:left w:val="single" w:sz="8" w:color="009AD9"/>
            </w:tcBorders>
            <w:shd w:val="clear" w:color="auto" w:fill="009AD9"/>
          </w:tcPr>
          <w:p>
            <w:pPr>
              <w:spacing w:after="0" w:line="20" w:lineRule="exact"/>
              <w:rPr>
                <w:sz w:val="1"/>
                <w:szCs w:val="1"/>
                <w:color w:val="auto"/>
              </w:rPr>
            </w:pPr>
          </w:p>
        </w:tc>
        <w:tc>
          <w:tcPr>
            <w:tcW w:w="140" w:type="dxa"/>
            <w:vAlign w:val="bottom"/>
            <w:tcBorders>
              <w:right w:val="single" w:sz="8" w:color="009AD9"/>
            </w:tcBorders>
            <w:shd w:val="clear" w:color="auto" w:fill="009AD9"/>
          </w:tcPr>
          <w:p>
            <w:pPr>
              <w:spacing w:after="0" w:line="20" w:lineRule="exact"/>
              <w:rPr>
                <w:sz w:val="1"/>
                <w:szCs w:val="1"/>
                <w:color w:val="auto"/>
              </w:rPr>
            </w:pPr>
          </w:p>
        </w:tc>
        <w:tc>
          <w:tcPr>
            <w:tcW w:w="4660" w:type="dxa"/>
            <w:vAlign w:val="bottom"/>
            <w:tcBorders>
              <w:right w:val="single" w:sz="8" w:color="009AD9"/>
            </w:tcBorders>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In addition to engaging with our shareholders, we also engaged with representatives from Institutional Shareholder Services and Glass Lewis to gain clarity on matters they highlighted in their reports to investors, including how they evaluated our 2022 proxy disclosure and how they intend to evaluate our 2023 proxy disclosure.</w:t>
      </w:r>
    </w:p>
    <w:p>
      <w:pPr>
        <w:spacing w:after="0" w:line="122"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Business Performance</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During 2022, we continued to execute on our long-term corporate strategy and premium value proposition by, among other things:</w:t>
      </w:r>
    </w:p>
    <w:p>
      <w:pPr>
        <w:spacing w:after="0" w:line="80" w:lineRule="exact"/>
        <w:rPr>
          <w:sz w:val="20"/>
          <w:szCs w:val="20"/>
          <w:color w:val="auto"/>
        </w:rPr>
      </w:pPr>
    </w:p>
    <w:p>
      <w:pPr>
        <w:ind w:left="2220" w:hanging="213"/>
        <w:spacing w:after="0"/>
        <w:tabs>
          <w:tab w:leader="none" w:pos="2220" w:val="left"/>
        </w:tabs>
        <w:numPr>
          <w:ilvl w:val="0"/>
          <w:numId w:val="57"/>
        </w:numPr>
        <w:rPr>
          <w:rFonts w:ascii="Arial" w:cs="Arial" w:eastAsia="Arial" w:hAnsi="Arial"/>
          <w:sz w:val="12"/>
          <w:szCs w:val="12"/>
          <w:color w:val="009AD9"/>
        </w:rPr>
      </w:pPr>
      <w:r>
        <w:rPr>
          <w:rFonts w:ascii="Arial" w:cs="Arial" w:eastAsia="Arial" w:hAnsi="Arial"/>
          <w:sz w:val="12"/>
          <w:szCs w:val="12"/>
          <w:color w:val="auto"/>
        </w:rPr>
        <w:t>Exceeding our non-GAAP Adjusted EPS growth rate plan goal for 2022.</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7"/>
        </w:numPr>
        <w:rPr>
          <w:rFonts w:ascii="Arial" w:cs="Arial" w:eastAsia="Arial" w:hAnsi="Arial"/>
          <w:sz w:val="12"/>
          <w:szCs w:val="12"/>
          <w:color w:val="009AD9"/>
        </w:rPr>
      </w:pPr>
      <w:r>
        <w:rPr>
          <w:rFonts w:ascii="Arial" w:cs="Arial" w:eastAsia="Arial" w:hAnsi="Arial"/>
          <w:sz w:val="12"/>
          <w:szCs w:val="12"/>
          <w:color w:val="auto"/>
        </w:rPr>
        <w:t>Achieving peer-leading total shareholder return (TSR) of 10.0% for 2022 and 19.5% for the three years ended 2022.</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7"/>
        </w:numPr>
        <w:rPr>
          <w:rFonts w:ascii="Arial" w:cs="Arial" w:eastAsia="Arial" w:hAnsi="Arial"/>
          <w:sz w:val="12"/>
          <w:szCs w:val="12"/>
          <w:color w:val="009AD9"/>
        </w:rPr>
      </w:pPr>
      <w:r>
        <w:rPr>
          <w:rFonts w:ascii="Arial" w:cs="Arial" w:eastAsia="Arial" w:hAnsi="Arial"/>
          <w:sz w:val="12"/>
          <w:szCs w:val="12"/>
          <w:color w:val="auto"/>
        </w:rPr>
        <w:t>Exiting the midstream space with the sale of our equity interest in Energy Transfer, LP.</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57"/>
        </w:numPr>
        <w:rPr>
          <w:rFonts w:ascii="Arial" w:cs="Arial" w:eastAsia="Arial" w:hAnsi="Arial"/>
          <w:sz w:val="12"/>
          <w:szCs w:val="12"/>
          <w:color w:val="009AD9"/>
        </w:rPr>
      </w:pPr>
      <w:r>
        <w:rPr>
          <w:rFonts w:ascii="Arial" w:cs="Arial" w:eastAsia="Arial" w:hAnsi="Arial"/>
          <w:sz w:val="12"/>
          <w:szCs w:val="12"/>
          <w:color w:val="auto"/>
        </w:rPr>
        <w:t>Closing the sale of our Arkansas and Oklahoma natural gas LDCs.</w:t>
      </w:r>
    </w:p>
    <w:p>
      <w:pPr>
        <w:spacing w:after="0" w:line="139" w:lineRule="exact"/>
        <w:rPr>
          <w:sz w:val="20"/>
          <w:szCs w:val="20"/>
          <w:color w:val="auto"/>
        </w:rPr>
      </w:pPr>
    </w:p>
    <w:p>
      <w:pPr>
        <w:ind w:left="2220" w:hanging="230"/>
        <w:spacing w:after="0"/>
        <w:tabs>
          <w:tab w:leader="none" w:pos="2220" w:val="left"/>
        </w:tabs>
        <w:numPr>
          <w:ilvl w:val="0"/>
          <w:numId w:val="5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2022 Compensation Highlights</w:t>
      </w:r>
    </w:p>
    <w:p>
      <w:pPr>
        <w:spacing w:after="0" w:line="80" w:lineRule="exact"/>
        <w:rPr>
          <w:sz w:val="20"/>
          <w:szCs w:val="20"/>
          <w:color w:val="auto"/>
        </w:rPr>
      </w:pPr>
    </w:p>
    <w:p>
      <w:pPr>
        <w:jc w:val="both"/>
        <w:ind w:left="2220" w:right="819" w:hanging="213"/>
        <w:spacing w:after="0" w:line="241" w:lineRule="auto"/>
        <w:tabs>
          <w:tab w:leader="none" w:pos="2220" w:val="left"/>
        </w:tabs>
        <w:numPr>
          <w:ilvl w:val="0"/>
          <w:numId w:val="59"/>
        </w:numPr>
        <w:rPr>
          <w:rFonts w:ascii="Arial" w:cs="Arial" w:eastAsia="Arial" w:hAnsi="Arial"/>
          <w:sz w:val="12"/>
          <w:szCs w:val="12"/>
          <w:color w:val="009AD9"/>
        </w:rPr>
      </w:pPr>
      <w:r>
        <w:rPr>
          <w:rFonts w:ascii="Arial" w:cs="Arial" w:eastAsia="Arial" w:hAnsi="Arial"/>
          <w:sz w:val="12"/>
          <w:szCs w:val="12"/>
          <w:color w:val="auto"/>
        </w:rPr>
        <w:t>Although we exceeded our non-GAAP Adjusted EPS growth rate goal, pursuant to management’s recommendation, the Compensation Committee exercised its negative discretion to reduce the 2022 short-term incentive achievement for the executive officers from 200% to 165%, in recognition of the performance of certain non-financial performance metrics applicable to non-executives under the short-term incentive plan.</w:t>
      </w:r>
    </w:p>
    <w:p>
      <w:pPr>
        <w:spacing w:after="0" w:line="73" w:lineRule="exact"/>
        <w:rPr>
          <w:rFonts w:ascii="Arial" w:cs="Arial" w:eastAsia="Arial" w:hAnsi="Arial"/>
          <w:sz w:val="12"/>
          <w:szCs w:val="12"/>
          <w:color w:val="009AD9"/>
        </w:rPr>
      </w:pPr>
    </w:p>
    <w:p>
      <w:pPr>
        <w:ind w:left="2220" w:right="819" w:hanging="213"/>
        <w:spacing w:after="0" w:line="196" w:lineRule="auto"/>
        <w:tabs>
          <w:tab w:leader="none" w:pos="2220" w:val="left"/>
        </w:tabs>
        <w:numPr>
          <w:ilvl w:val="0"/>
          <w:numId w:val="59"/>
        </w:numPr>
        <w:rPr>
          <w:rFonts w:ascii="Arial" w:cs="Arial" w:eastAsia="Arial" w:hAnsi="Arial"/>
          <w:sz w:val="12"/>
          <w:szCs w:val="12"/>
          <w:color w:val="009AD9"/>
        </w:rPr>
      </w:pPr>
      <w:r>
        <w:rPr>
          <w:rFonts w:ascii="Arial" w:cs="Arial" w:eastAsia="Arial" w:hAnsi="Arial"/>
          <w:sz w:val="12"/>
          <w:szCs w:val="12"/>
          <w:color w:val="auto"/>
        </w:rPr>
        <w:t>2020 performance shares vested at 200% of target as a result of the Company ranking 1</w:t>
      </w:r>
      <w:r>
        <w:rPr>
          <w:rFonts w:ascii="Arial" w:cs="Arial" w:eastAsia="Arial" w:hAnsi="Arial"/>
          <w:sz w:val="18"/>
          <w:szCs w:val="18"/>
          <w:color w:val="auto"/>
          <w:vertAlign w:val="superscript"/>
        </w:rPr>
        <w:t>st</w:t>
      </w:r>
      <w:r>
        <w:rPr>
          <w:rFonts w:ascii="Arial" w:cs="Arial" w:eastAsia="Arial" w:hAnsi="Arial"/>
          <w:sz w:val="12"/>
          <w:szCs w:val="12"/>
          <w:color w:val="auto"/>
        </w:rPr>
        <w:t xml:space="preserve"> in the peer group for the three years TSR ended 2022 and exceeding our non-GAAP cumulative net income targets.</w:t>
      </w:r>
    </w:p>
    <w:p>
      <w:pPr>
        <w:spacing w:after="0" w:line="72" w:lineRule="exact"/>
        <w:rPr>
          <w:rFonts w:ascii="Arial" w:cs="Arial" w:eastAsia="Arial" w:hAnsi="Arial"/>
          <w:sz w:val="12"/>
          <w:szCs w:val="12"/>
          <w:color w:val="009AD9"/>
        </w:rPr>
      </w:pPr>
    </w:p>
    <w:p>
      <w:pPr>
        <w:jc w:val="both"/>
        <w:ind w:left="2220" w:right="799" w:hanging="213"/>
        <w:spacing w:after="0" w:line="243" w:lineRule="auto"/>
        <w:tabs>
          <w:tab w:leader="none" w:pos="2220" w:val="left"/>
        </w:tabs>
        <w:numPr>
          <w:ilvl w:val="0"/>
          <w:numId w:val="59"/>
        </w:numPr>
        <w:rPr>
          <w:rFonts w:ascii="Arial" w:cs="Arial" w:eastAsia="Arial" w:hAnsi="Arial"/>
          <w:sz w:val="12"/>
          <w:szCs w:val="12"/>
          <w:color w:val="009AD9"/>
        </w:rPr>
      </w:pPr>
      <w:r>
        <w:rPr>
          <w:rFonts w:ascii="Arial" w:cs="Arial" w:eastAsia="Arial" w:hAnsi="Arial"/>
          <w:sz w:val="12"/>
          <w:szCs w:val="12"/>
          <w:color w:val="auto"/>
        </w:rPr>
        <w:t>In order to highlight the importance of sustainability and address climate change, beginning in 2022, the Compensation Committee approved including a carbon emissions reduction performance metric in the Company’s long term incentive plan with such awards accounting for 5% of the total 2022 long term incentive award.</w:t>
      </w:r>
    </w:p>
    <w:p>
      <w:pPr>
        <w:spacing w:after="0" w:line="122"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Execution on Succession Planning</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As noted above, our Board of Directors and Chief Executive Officer took steps to strengthen the Company’s succession planning by both developing internal talent, evaluating external candidates and implementing a new streamlined organizational structure for the Company. Continuing the Company’s succession planning is a top priority for the Board and the Company’s shareholders. In connection with the execution of the Company’s ongoing succession planning process, the Company recently announced the below organizational changes. These organizational changes are designed to facilitate the Company’s long-term growth strategy, its service to customers and communities, value-creation for stakeholders, operational efficiencies, and corporate governance.</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President, Chief Operating Officer and Chief Financial Officer, Jason Wells</w:t>
      </w:r>
    </w:p>
    <w:p>
      <w:pPr>
        <w:spacing w:after="0" w:line="83"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On November 1, 2022, the Company announced the promotion of Jason P. Wells, Executive Vice President and Chief Financial Officer, to the role of President and Chief Operating Officer, effective January 1, 2023. Mr. Wells also continues to serve as the Company’s Chief Financial Officer until the Company appoints a new Chief Financial Officer. In his new role, Mr. Wells will bring his deep industry experience, operational expertise, financial acumen, clear strategic vision for the Company, and proven track record of leadership to his new position.</w:t>
      </w:r>
    </w:p>
    <w:p>
      <w:pPr>
        <w:spacing w:after="0" w:line="126"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Former Executive Vice President, Utility Operations, Scott E. Doyle</w:t>
      </w:r>
    </w:p>
    <w:p>
      <w:pPr>
        <w:spacing w:after="0" w:line="83"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In connection with the implementation of the new streamlined organizational structure, our former Executive Vice President, Utility Operations, Scott E. Doyle, was separated from the Company on January 3, 2023 due to the elimination of his position. In connection with his separation, the Company entered into a separation and release agreement under which, in exchange for execution of a release of claims against the Company, Mr. Doyle received (i) a lump sum cash payment of $2,092,500 representing a separation payment equal to 1.5x Mr. Doyle’s base salary and 1x his target short-term incentive award and payment of an amount equal to his short-term incentive award for the 2022 performance year determined at the approved achievement level for other executive officers, (ii) full vesting of his outstanding 2020, 2021 and 2022 stock awards under the Company’s 2009 Long Term Incentive Plan, including dividend equivalents, of 9,648 shares payable in 2023, 11,439 shares payable in 2024 and 13,946 shares payable in 2025, respectively, with the 2021 and 2022 stock awards subject to achievement of applicable performance goals, and (iii) continued vesting of his 2021 and 2022 performance share unit awards under the Plan, including dividend equivalents, of 34,318 target shares payable in 2024 and 41,837 target shares payable in 2025, respectively, in each case, subject to achievement of applicable performance goals. Additionally, Mr. Doyle is eligible for 18 months of continued health coverage under the Consolidated Omnibus Budget Reconciliation Act (COBRA) at active employee rates and 9 months of outplacement services, and, until December 31, 2023, he will continue to receive financial planning services available to the Company’s executive officers. Mr. Doyle will also be eligible for coverage under the Company’s retiree medical plan upon his attainment of age 55. The severance payments provided to Mr. Doyle comply with the Company’s executive severance guidelines.</w:t>
      </w:r>
    </w:p>
    <w:p>
      <w:pPr>
        <w:spacing w:after="0" w:line="162"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Former Executive Vice President, Customer Transformation and Business Services, Gregory E. Knight</w:t>
      </w:r>
    </w:p>
    <w:p>
      <w:pPr>
        <w:spacing w:after="0" w:line="83"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In connection with the implementation of the new streamlined organizational structure, our former Executive Vice President, Customer Transformation and Business Services, Gregory E. Knight, was separated from the Company on January 3, 2023 due to the elimination of his position. In connection with his separation, the Company entered into a separation and release agreement under which, in exchange for execution of a release of claims against the Company, Mr. Knight received (i) a lump sum cash payment of $1,166,000 representing a separation payment equal to 1.5x Mr. Knight’s base salary and 1x his target short-term incentive award; (ii) payment of his short-term incentive award for the 2022 performance year at the approved achievement level for other executive officers, (iii) a lump sum cash payment of $100,000 to compensate Mr. Knight for relocation expenses incurred in connection with his separation, (iv) full vesting of the remaining 4,872 shares under Mr. Knight’s sign-on equity incentive award, which were scheduled to vest on August 17, 2023 had Mr. Knight remained employed with the Company, and (v) vesting of Mr. Knight’s other outstanding equity awards under the Company’s 2009 Long Term Incentive Plan pursuant to certain vesting provisions under the applicable award agreements such that (x) his outstanding 2020, 2021 and 2022 stock awards, including dividend equivalents, of 11,274 shares payable in 2023, 10,894 shares payable in 2024 and 9,362 shares payable in 2025, respectively, fully vest, with the 2021 and 2022 stock awards subject to achievement of applicable performance goals and (y) his 2021 and 2022 performance share unit awards including dividend equivalents, of 32,683 target shares payable in 2024 and 28,086 target shares payable in 2025, respectively, continue to vest subject to achievement of applicable performance goals. Additionally, Mr. Knight is eligible for 18 months of continued health coverage under COBRA at active employee rates and 9 months of outplacement services, and, until December 31, 2023, he will continue to receive financial planning services available to the Company’s executive officers. The severance payments provided to Mr. Knight comply with the Company’s executive severance guidelines.</w:t>
      </w:r>
    </w:p>
    <w:p>
      <w:pPr>
        <w:spacing w:after="0" w:line="251"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Executive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Our Compensation Objectives</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Our executive compensation program is designed to achieve the objectives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103505</wp:posOffset>
            </wp:positionV>
            <wp:extent cx="4711700" cy="4559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11700" cy="45593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366"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RECRUIT AND RETAIN</w:t>
      </w:r>
    </w:p>
    <w:p>
      <w:pPr>
        <w:spacing w:after="0" w:line="12"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TALENT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PAY FOR</w:t>
      </w:r>
    </w:p>
    <w:p>
      <w:pPr>
        <w:spacing w:after="0" w:line="12"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PERFORMANCE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ALIGN INTERESTS OF</w:t>
      </w:r>
    </w:p>
    <w:p>
      <w:pPr>
        <w:spacing w:after="0" w:line="11" w:lineRule="exact"/>
        <w:rPr>
          <w:sz w:val="20"/>
          <w:szCs w:val="20"/>
          <w:color w:val="auto"/>
        </w:rPr>
      </w:pPr>
    </w:p>
    <w:p>
      <w:pPr>
        <w:jc w:val="center"/>
        <w:ind w:left="2160"/>
        <w:spacing w:after="0"/>
        <w:rPr>
          <w:sz w:val="20"/>
          <w:szCs w:val="20"/>
          <w:color w:val="auto"/>
        </w:rPr>
      </w:pPr>
      <w:r>
        <w:rPr>
          <w:rFonts w:ascii="Arial" w:cs="Arial" w:eastAsia="Arial" w:hAnsi="Arial"/>
          <w:sz w:val="12"/>
          <w:szCs w:val="12"/>
          <w:b w:val="1"/>
          <w:bCs w:val="1"/>
          <w:color w:val="FFFFFF"/>
        </w:rPr>
        <w:t>EXECUTIVES WITH</w:t>
      </w:r>
    </w:p>
    <w:p>
      <w:pPr>
        <w:jc w:val="center"/>
        <w:ind w:left="2160"/>
        <w:spacing w:after="0"/>
        <w:rPr>
          <w:sz w:val="20"/>
          <w:szCs w:val="20"/>
          <w:color w:val="auto"/>
        </w:rPr>
      </w:pPr>
      <w:r>
        <w:rPr>
          <w:rFonts w:ascii="Arial" w:cs="Arial" w:eastAsia="Arial" w:hAnsi="Arial"/>
          <w:sz w:val="12"/>
          <w:szCs w:val="12"/>
          <w:b w:val="1"/>
          <w:bCs w:val="1"/>
          <w:color w:val="FFFFFF"/>
        </w:rPr>
        <w:t>SHAREHOLDERS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ind w:right="959"/>
        <w:spacing w:after="0" w:line="241" w:lineRule="auto"/>
        <w:rPr>
          <w:sz w:val="20"/>
          <w:szCs w:val="20"/>
          <w:color w:val="auto"/>
        </w:rPr>
      </w:pPr>
      <w:r>
        <w:rPr>
          <w:rFonts w:ascii="Arial" w:cs="Arial" w:eastAsia="Arial" w:hAnsi="Arial"/>
          <w:sz w:val="12"/>
          <w:szCs w:val="12"/>
          <w:color w:val="auto"/>
        </w:rPr>
        <w:t>A key objective of our executive compensation program is to enable us to recruit and retain highly qualified executive talent. While the Company’s executive compensation program is market-based, the Compensation Committee considers other factors appropriate or necessary to 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139065</wp:posOffset>
            </wp:positionV>
            <wp:extent cx="4711700" cy="542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11700" cy="542925"/>
                    </a:xfrm>
                    <a:prstGeom prst="rect">
                      <a:avLst/>
                    </a:prstGeom>
                    <a:noFill/>
                  </pic:spPr>
                </pic:pic>
              </a:graphicData>
            </a:graphic>
          </wp:anchor>
        </w:drawing>
      </w:r>
    </w:p>
    <w:p>
      <w:pPr>
        <w:spacing w:after="0" w:line="280" w:lineRule="exact"/>
        <w:rPr>
          <w:sz w:val="20"/>
          <w:szCs w:val="20"/>
          <w:color w:val="auto"/>
        </w:rPr>
      </w:pPr>
    </w:p>
    <w:p>
      <w:pPr>
        <w:jc w:val="both"/>
        <w:ind w:right="959"/>
        <w:spacing w:after="0"/>
        <w:rPr>
          <w:sz w:val="20"/>
          <w:szCs w:val="20"/>
          <w:color w:val="auto"/>
        </w:rPr>
      </w:pPr>
      <w:r>
        <w:rPr>
          <w:rFonts w:ascii="Arial" w:cs="Arial" w:eastAsia="Arial" w:hAnsi="Arial"/>
          <w:sz w:val="12"/>
          <w:szCs w:val="12"/>
          <w:color w:val="auto"/>
        </w:rPr>
        <w:t>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realized will reflect our attainment of (or failure to attain) specified financial and operational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139700</wp:posOffset>
            </wp:positionV>
            <wp:extent cx="4711700" cy="5080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11700" cy="508000"/>
                    </a:xfrm>
                    <a:prstGeom prst="rect">
                      <a:avLst/>
                    </a:prstGeom>
                    <a:noFill/>
                  </pic:spPr>
                </pic:pic>
              </a:graphicData>
            </a:graphic>
          </wp:anchor>
        </w:drawing>
      </w:r>
    </w:p>
    <w:p>
      <w:pPr>
        <w:spacing w:after="0" w:line="281" w:lineRule="exact"/>
        <w:rPr>
          <w:sz w:val="20"/>
          <w:szCs w:val="20"/>
          <w:color w:val="auto"/>
        </w:rPr>
      </w:pPr>
    </w:p>
    <w:p>
      <w:pPr>
        <w:jc w:val="both"/>
        <w:ind w:right="959"/>
        <w:spacing w:after="0" w:line="241" w:lineRule="auto"/>
        <w:rPr>
          <w:sz w:val="20"/>
          <w:szCs w:val="20"/>
          <w:color w:val="auto"/>
        </w:rPr>
      </w:pPr>
      <w:r>
        <w:rPr>
          <w:rFonts w:ascii="Arial" w:cs="Arial" w:eastAsia="Arial" w:hAnsi="Arial"/>
          <w:sz w:val="12"/>
          <w:szCs w:val="12"/>
          <w:color w:val="auto"/>
        </w:rPr>
        <w:t>We believe compensation programs can drive our employees’ behavior. We try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p>
    <w:p>
      <w:pPr>
        <w:spacing w:after="0" w:line="200" w:lineRule="exact"/>
        <w:rPr>
          <w:sz w:val="20"/>
          <w:szCs w:val="20"/>
          <w:color w:val="auto"/>
        </w:rPr>
      </w:pPr>
    </w:p>
    <w:p>
      <w:pPr>
        <w:sectPr>
          <w:pgSz w:w="11900" w:h="16838" w:orient="portrait"/>
          <w:cols w:equalWidth="0" w:num="2">
            <w:col w:w="3480" w:space="320"/>
            <w:col w:w="6359"/>
          </w:cols>
          <w:pgMar w:left="300" w:top="373" w:right="1440" w:bottom="1440" w:gutter="0" w:footer="0" w:header="0"/>
          <w:type w:val="continuous"/>
        </w:sectPr>
      </w:pPr>
    </w:p>
    <w:p>
      <w:pPr>
        <w:spacing w:after="0" w:line="109" w:lineRule="exact"/>
        <w:rPr>
          <w:sz w:val="20"/>
          <w:szCs w:val="20"/>
          <w:color w:val="auto"/>
        </w:rPr>
      </w:pPr>
    </w:p>
    <w:p>
      <w:pPr>
        <w:ind w:left="2220" w:hanging="230"/>
        <w:spacing w:after="0"/>
        <w:tabs>
          <w:tab w:leader="none" w:pos="2220" w:val="left"/>
        </w:tabs>
        <w:numPr>
          <w:ilvl w:val="0"/>
          <w:numId w:val="60"/>
        </w:numPr>
        <w:rPr>
          <w:rFonts w:ascii="Arial" w:cs="Arial" w:eastAsia="Arial" w:hAnsi="Arial"/>
          <w:sz w:val="14"/>
          <w:szCs w:val="14"/>
          <w:b w:val="1"/>
          <w:bCs w:val="1"/>
          <w:color w:val="009AD9"/>
        </w:rPr>
      </w:pPr>
      <w:r>
        <w:rPr>
          <w:rFonts w:ascii="Arial" w:cs="Arial" w:eastAsia="Arial" w:hAnsi="Arial"/>
          <w:sz w:val="12"/>
          <w:szCs w:val="12"/>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-100965</wp:posOffset>
            </wp:positionV>
            <wp:extent cx="47117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Compensation Program Key Features and Best Practices</w:t>
      </w:r>
    </w:p>
    <w:p>
      <w:pPr>
        <w:spacing w:after="0" w:line="85"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The following are key features of our executive compensation program, which we believe are governance best practices and align the interests of management with those of our shareholders.</w:t>
      </w:r>
    </w:p>
    <w:p>
      <w:pPr>
        <w:spacing w:after="0" w:line="135" w:lineRule="exact"/>
        <w:rPr>
          <w:sz w:val="20"/>
          <w:szCs w:val="20"/>
          <w:color w:val="auto"/>
        </w:rPr>
      </w:pPr>
    </w:p>
    <w:p>
      <w:pPr>
        <w:ind w:left="3720"/>
        <w:spacing w:after="0"/>
        <w:rPr>
          <w:sz w:val="20"/>
          <w:szCs w:val="20"/>
          <w:color w:val="auto"/>
        </w:rPr>
      </w:pPr>
      <w:r>
        <w:rPr>
          <w:rFonts w:ascii="Arial" w:cs="Arial" w:eastAsia="Arial" w:hAnsi="Arial"/>
          <w:sz w:val="12"/>
          <w:szCs w:val="12"/>
          <w:b w:val="1"/>
          <w:bCs w:val="1"/>
          <w:color w:val="FFFFFF"/>
        </w:rPr>
        <w:t>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-77470</wp:posOffset>
            </wp:positionV>
            <wp:extent cx="4711700" cy="920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11700" cy="92075"/>
                    </a:xfrm>
                    <a:prstGeom prst="rect">
                      <a:avLst/>
                    </a:prstGeom>
                    <a:noFill/>
                  </pic:spPr>
                </pic:pic>
              </a:graphicData>
            </a:graphic>
          </wp:anchor>
        </w:drawing>
      </w:r>
    </w:p>
    <w:p>
      <w:pPr>
        <w:spacing w:after="0" w:line="60" w:lineRule="exact"/>
        <w:rPr>
          <w:sz w:val="20"/>
          <w:szCs w:val="20"/>
          <w:color w:val="auto"/>
        </w:rPr>
      </w:pPr>
    </w:p>
    <w:p>
      <w:pPr>
        <w:jc w:val="both"/>
        <w:ind w:left="2200" w:right="89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Strong Pay for Performance. </w:t>
      </w:r>
      <w:r>
        <w:rPr>
          <w:rFonts w:ascii="Arial" w:cs="Arial" w:eastAsia="Arial" w:hAnsi="Arial"/>
          <w:sz w:val="12"/>
          <w:szCs w:val="12"/>
          <w:color w:val="000000"/>
        </w:rPr>
        <w:t>A substantial portion of the compensation for our named executive officers is at-risk and</w:t>
      </w:r>
      <w:r>
        <w:rPr>
          <w:rFonts w:ascii="Arial" w:cs="Arial" w:eastAsia="Arial" w:hAnsi="Arial"/>
          <w:sz w:val="12"/>
          <w:szCs w:val="12"/>
          <w:b w:val="1"/>
          <w:bCs w:val="1"/>
          <w:color w:val="009AD9"/>
        </w:rPr>
        <w:t xml:space="preserve"> </w:t>
      </w:r>
      <w:r>
        <w:rPr>
          <w:rFonts w:ascii="Arial" w:cs="Arial" w:eastAsia="Arial" w:hAnsi="Arial"/>
          <w:sz w:val="12"/>
          <w:szCs w:val="12"/>
          <w:color w:val="000000"/>
        </w:rPr>
        <w:t>performance-based, meaning that actual compensation realized in a given year will vary depending on Company financial and stock price performance and individual performance.</w:t>
      </w:r>
    </w:p>
    <w:p>
      <w:pPr>
        <w:spacing w:after="0" w:line="131" w:lineRule="exact"/>
        <w:rPr>
          <w:rFonts w:ascii="MS PGothic" w:cs="MS PGothic" w:eastAsia="MS PGothic" w:hAnsi="MS PGothic"/>
          <w:sz w:val="12"/>
          <w:szCs w:val="12"/>
          <w:color w:val="009AD9"/>
        </w:rPr>
      </w:pPr>
    </w:p>
    <w:p>
      <w:pPr>
        <w:jc w:val="both"/>
        <w:ind w:left="2200" w:right="89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No Employment Agreements. </w:t>
      </w:r>
      <w:r>
        <w:rPr>
          <w:rFonts w:ascii="Arial" w:cs="Arial" w:eastAsia="Arial" w:hAnsi="Arial"/>
          <w:sz w:val="12"/>
          <w:szCs w:val="12"/>
          <w:color w:val="000000"/>
        </w:rPr>
        <w:t>We do not maintain executive employment agreements with any of our named executive officers,</w:t>
      </w:r>
      <w:r>
        <w:rPr>
          <w:rFonts w:ascii="Arial" w:cs="Arial" w:eastAsia="Arial" w:hAnsi="Arial"/>
          <w:sz w:val="12"/>
          <w:szCs w:val="12"/>
          <w:b w:val="1"/>
          <w:bCs w:val="1"/>
          <w:color w:val="009AD9"/>
        </w:rPr>
        <w:t xml:space="preserve"> </w:t>
      </w:r>
      <w:r>
        <w:rPr>
          <w:rFonts w:ascii="Arial" w:cs="Arial" w:eastAsia="Arial" w:hAnsi="Arial"/>
          <w:sz w:val="12"/>
          <w:szCs w:val="12"/>
          <w:color w:val="000000"/>
        </w:rPr>
        <w:t>and our named executive officers are not entitled to guaranteed cash severance payments upon a termination of employment except pursuant to our change in control plan.</w:t>
      </w:r>
    </w:p>
    <w:p>
      <w:pPr>
        <w:spacing w:after="0" w:line="131" w:lineRule="exact"/>
        <w:rPr>
          <w:rFonts w:ascii="MS PGothic" w:cs="MS PGothic" w:eastAsia="MS PGothic" w:hAnsi="MS PGothic"/>
          <w:sz w:val="12"/>
          <w:szCs w:val="12"/>
          <w:color w:val="009AD9"/>
        </w:rPr>
      </w:pPr>
    </w:p>
    <w:p>
      <w:pPr>
        <w:jc w:val="both"/>
        <w:ind w:left="2200" w:right="91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“Double Trigger” Provisions for Change in Control Plan and Equity Awards. </w:t>
      </w:r>
      <w:r>
        <w:rPr>
          <w:rFonts w:ascii="Arial" w:cs="Arial" w:eastAsia="Arial" w:hAnsi="Arial"/>
          <w:sz w:val="12"/>
          <w:szCs w:val="12"/>
          <w:color w:val="000000"/>
        </w:rPr>
        <w:t>Our change in control plan and equity award</w:t>
      </w:r>
      <w:r>
        <w:rPr>
          <w:rFonts w:ascii="Arial" w:cs="Arial" w:eastAsia="Arial" w:hAnsi="Arial"/>
          <w:sz w:val="12"/>
          <w:szCs w:val="12"/>
          <w:b w:val="1"/>
          <w:bCs w:val="1"/>
          <w:color w:val="009AD9"/>
        </w:rPr>
        <w:t xml:space="preserve"> </w:t>
      </w:r>
      <w:r>
        <w:rPr>
          <w:rFonts w:ascii="Arial" w:cs="Arial" w:eastAsia="Arial" w:hAnsi="Arial"/>
          <w:sz w:val="12"/>
          <w:szCs w:val="12"/>
          <w:color w:val="000000"/>
        </w:rPr>
        <w:t>agreements include a “double trigger,” whereby the executive is eligible for change in control benefits only if employment is terminated under certain circumstances within a set period before or after a change in control.</w:t>
      </w:r>
    </w:p>
    <w:p>
      <w:pPr>
        <w:spacing w:after="0" w:line="131" w:lineRule="exact"/>
        <w:rPr>
          <w:rFonts w:ascii="MS PGothic" w:cs="MS PGothic" w:eastAsia="MS PGothic" w:hAnsi="MS PGothic"/>
          <w:sz w:val="12"/>
          <w:szCs w:val="12"/>
          <w:color w:val="009AD9"/>
        </w:rPr>
      </w:pPr>
    </w:p>
    <w:p>
      <w:pPr>
        <w:ind w:left="2200" w:hanging="166"/>
        <w:spacing w:after="0"/>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No Excise Tax Gross Up Payments. </w:t>
      </w:r>
      <w:r>
        <w:rPr>
          <w:rFonts w:ascii="Arial" w:cs="Arial" w:eastAsia="Arial" w:hAnsi="Arial"/>
          <w:sz w:val="12"/>
          <w:szCs w:val="12"/>
          <w:color w:val="000000"/>
        </w:rPr>
        <w:t>Our change in control plan does not provide for excise tax gross up payments.</w:t>
      </w:r>
    </w:p>
    <w:p>
      <w:pPr>
        <w:spacing w:after="0" w:line="162" w:lineRule="exact"/>
        <w:rPr>
          <w:rFonts w:ascii="MS PGothic" w:cs="MS PGothic" w:eastAsia="MS PGothic" w:hAnsi="MS PGothic"/>
          <w:sz w:val="12"/>
          <w:szCs w:val="12"/>
          <w:color w:val="009AD9"/>
        </w:rPr>
      </w:pPr>
    </w:p>
    <w:p>
      <w:pPr>
        <w:ind w:left="2200" w:right="919" w:hanging="166"/>
        <w:spacing w:after="0" w:line="274"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Stock Ownership Guidelines. </w:t>
      </w:r>
      <w:r>
        <w:rPr>
          <w:rFonts w:ascii="Arial" w:cs="Arial" w:eastAsia="Arial" w:hAnsi="Arial"/>
          <w:sz w:val="12"/>
          <w:szCs w:val="12"/>
          <w:color w:val="000000"/>
        </w:rPr>
        <w:t>We have established executive stock ownership guidelines applicable to all of our officers to</w:t>
      </w:r>
      <w:r>
        <w:rPr>
          <w:rFonts w:ascii="Arial" w:cs="Arial" w:eastAsia="Arial" w:hAnsi="Arial"/>
          <w:sz w:val="12"/>
          <w:szCs w:val="12"/>
          <w:b w:val="1"/>
          <w:bCs w:val="1"/>
          <w:color w:val="009AD9"/>
        </w:rPr>
        <w:t xml:space="preserve"> </w:t>
      </w:r>
      <w:r>
        <w:rPr>
          <w:rFonts w:ascii="Arial" w:cs="Arial" w:eastAsia="Arial" w:hAnsi="Arial"/>
          <w:sz w:val="12"/>
          <w:szCs w:val="12"/>
          <w:color w:val="000000"/>
        </w:rPr>
        <w:t>appropriately align the interests of our officers with our shareholders’ interests.</w:t>
      </w:r>
    </w:p>
    <w:p>
      <w:pPr>
        <w:spacing w:after="0" w:line="121" w:lineRule="exact"/>
        <w:rPr>
          <w:rFonts w:ascii="MS PGothic" w:cs="MS PGothic" w:eastAsia="MS PGothic" w:hAnsi="MS PGothic"/>
          <w:sz w:val="12"/>
          <w:szCs w:val="12"/>
          <w:color w:val="009AD9"/>
        </w:rPr>
      </w:pPr>
    </w:p>
    <w:p>
      <w:pPr>
        <w:ind w:left="2200" w:right="899" w:hanging="166"/>
        <w:spacing w:after="0" w:line="205"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Benchmark to Market. </w:t>
      </w:r>
      <w:r>
        <w:rPr>
          <w:rFonts w:ascii="Arial" w:cs="Arial" w:eastAsia="Arial" w:hAnsi="Arial"/>
          <w:sz w:val="12"/>
          <w:szCs w:val="12"/>
          <w:color w:val="000000"/>
        </w:rPr>
        <w:t>We benchmark each major element of target compensation against the middle of the market (25</w:t>
      </w:r>
      <w:r>
        <w:rPr>
          <w:rFonts w:ascii="Arial" w:cs="Arial" w:eastAsia="Arial" w:hAnsi="Arial"/>
          <w:sz w:val="18"/>
          <w:szCs w:val="18"/>
          <w:color w:val="000000"/>
          <w:vertAlign w:val="superscript"/>
        </w:rPr>
        <w:t>th</w:t>
      </w:r>
      <w:r>
        <w:rPr>
          <w:rFonts w:ascii="Arial" w:cs="Arial" w:eastAsia="Arial" w:hAnsi="Arial"/>
          <w:sz w:val="12"/>
          <w:szCs w:val="12"/>
          <w:b w:val="1"/>
          <w:bCs w:val="1"/>
          <w:color w:val="009AD9"/>
        </w:rPr>
        <w:t xml:space="preserve"> </w:t>
      </w:r>
      <w:r>
        <w:rPr>
          <w:rFonts w:ascii="Arial" w:cs="Arial" w:eastAsia="Arial" w:hAnsi="Arial"/>
          <w:sz w:val="12"/>
          <w:szCs w:val="12"/>
          <w:color w:val="000000"/>
        </w:rPr>
        <w:t>– 75</w:t>
      </w:r>
      <w:r>
        <w:rPr>
          <w:rFonts w:ascii="Arial" w:cs="Arial" w:eastAsia="Arial" w:hAnsi="Arial"/>
          <w:sz w:val="18"/>
          <w:szCs w:val="18"/>
          <w:color w:val="000000"/>
          <w:vertAlign w:val="superscript"/>
        </w:rPr>
        <w:t>th</w:t>
      </w:r>
      <w:r>
        <w:rPr>
          <w:rFonts w:ascii="Arial" w:cs="Arial" w:eastAsia="Arial" w:hAnsi="Arial"/>
          <w:sz w:val="12"/>
          <w:szCs w:val="12"/>
          <w:b w:val="1"/>
          <w:bCs w:val="1"/>
          <w:color w:val="009AD9"/>
        </w:rPr>
        <w:t xml:space="preserve"> </w:t>
      </w:r>
      <w:r>
        <w:rPr>
          <w:rFonts w:ascii="Arial" w:cs="Arial" w:eastAsia="Arial" w:hAnsi="Arial"/>
          <w:sz w:val="12"/>
          <w:szCs w:val="12"/>
          <w:color w:val="000000"/>
        </w:rPr>
        <w:t>percentiles) because we believe the middle of the market is a generally accepted benchmark of external competitiveness.</w:t>
      </w:r>
    </w:p>
    <w:p>
      <w:pPr>
        <w:spacing w:after="0" w:line="141" w:lineRule="exact"/>
        <w:rPr>
          <w:rFonts w:ascii="MS PGothic" w:cs="MS PGothic" w:eastAsia="MS PGothic" w:hAnsi="MS PGothic"/>
          <w:sz w:val="12"/>
          <w:szCs w:val="12"/>
          <w:color w:val="009AD9"/>
        </w:rPr>
      </w:pPr>
    </w:p>
    <w:p>
      <w:pPr>
        <w:jc w:val="both"/>
        <w:ind w:left="2200" w:right="89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Incentive Recoupment Policy. </w:t>
      </w:r>
      <w:r>
        <w:rPr>
          <w:rFonts w:ascii="Arial" w:cs="Arial" w:eastAsia="Arial" w:hAnsi="Arial"/>
          <w:sz w:val="12"/>
          <w:szCs w:val="12"/>
          <w:color w:val="000000"/>
        </w:rPr>
        <w:t>We have implemented a policy for the recoupment of short-term and long-term incentive payments</w:t>
      </w:r>
      <w:r>
        <w:rPr>
          <w:rFonts w:ascii="Arial" w:cs="Arial" w:eastAsia="Arial" w:hAnsi="Arial"/>
          <w:sz w:val="12"/>
          <w:szCs w:val="12"/>
          <w:b w:val="1"/>
          <w:bCs w:val="1"/>
          <w:color w:val="009AD9"/>
        </w:rPr>
        <w:t xml:space="preserve"> </w:t>
      </w:r>
      <w:r>
        <w:rPr>
          <w:rFonts w:ascii="Arial" w:cs="Arial" w:eastAsia="Arial" w:hAnsi="Arial"/>
          <w:sz w:val="12"/>
          <w:szCs w:val="12"/>
          <w:color w:val="000000"/>
        </w:rPr>
        <w:t>in the event an officer is found to have engaged in any fraud, intentional misconduct or gross negligence that leads to a restatement of all, or a portion of, our financial results.</w:t>
      </w:r>
    </w:p>
    <w:p>
      <w:pPr>
        <w:spacing w:after="0" w:line="131" w:lineRule="exact"/>
        <w:rPr>
          <w:rFonts w:ascii="MS PGothic" w:cs="MS PGothic" w:eastAsia="MS PGothic" w:hAnsi="MS PGothic"/>
          <w:sz w:val="12"/>
          <w:szCs w:val="12"/>
          <w:color w:val="009AD9"/>
        </w:rPr>
      </w:pPr>
    </w:p>
    <w:p>
      <w:pPr>
        <w:jc w:val="both"/>
        <w:ind w:left="2200" w:right="89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Anti-Hedging Policy. </w:t>
      </w:r>
      <w:r>
        <w:rPr>
          <w:rFonts w:ascii="Arial" w:cs="Arial" w:eastAsia="Arial" w:hAnsi="Arial"/>
          <w:sz w:val="12"/>
          <w:szCs w:val="12"/>
          <w:color w:val="000000"/>
        </w:rPr>
        <w:t>As part of our insider trading policy, we have a policy prohibiting all of our officers and directors from hedging</w:t>
      </w:r>
      <w:r>
        <w:rPr>
          <w:rFonts w:ascii="Arial" w:cs="Arial" w:eastAsia="Arial" w:hAnsi="Arial"/>
          <w:sz w:val="12"/>
          <w:szCs w:val="12"/>
          <w:b w:val="1"/>
          <w:bCs w:val="1"/>
          <w:color w:val="009AD9"/>
        </w:rPr>
        <w:t xml:space="preserve"> </w:t>
      </w:r>
      <w:r>
        <w:rPr>
          <w:rFonts w:ascii="Arial" w:cs="Arial" w:eastAsia="Arial" w:hAnsi="Arial"/>
          <w:sz w:val="12"/>
          <w:szCs w:val="12"/>
          <w:color w:val="000000"/>
        </w:rPr>
        <w:t>the risk of stock ownership by purchasing, selling or writing options on CenterPoint Energy securities or engaging in transactions in other third-party derivative securities with respect to CenterPoint Energy stock.</w:t>
      </w:r>
    </w:p>
    <w:p>
      <w:pPr>
        <w:spacing w:after="0" w:line="131" w:lineRule="exact"/>
        <w:rPr>
          <w:rFonts w:ascii="MS PGothic" w:cs="MS PGothic" w:eastAsia="MS PGothic" w:hAnsi="MS PGothic"/>
          <w:sz w:val="12"/>
          <w:szCs w:val="12"/>
          <w:color w:val="009AD9"/>
        </w:rPr>
      </w:pPr>
    </w:p>
    <w:p>
      <w:pPr>
        <w:ind w:left="2200" w:hanging="166"/>
        <w:spacing w:after="0"/>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100% Independent Compensation Committee. </w:t>
      </w:r>
      <w:r>
        <w:rPr>
          <w:rFonts w:ascii="Arial" w:cs="Arial" w:eastAsia="Arial" w:hAnsi="Arial"/>
          <w:sz w:val="12"/>
          <w:szCs w:val="12"/>
          <w:color w:val="000000"/>
        </w:rPr>
        <w:t>The Compensation Committee consists entirely of independent directors.</w:t>
      </w:r>
    </w:p>
    <w:p>
      <w:pPr>
        <w:spacing w:after="0" w:line="162" w:lineRule="exact"/>
        <w:rPr>
          <w:rFonts w:ascii="MS PGothic" w:cs="MS PGothic" w:eastAsia="MS PGothic" w:hAnsi="MS PGothic"/>
          <w:sz w:val="12"/>
          <w:szCs w:val="12"/>
          <w:color w:val="009AD9"/>
        </w:rPr>
      </w:pPr>
    </w:p>
    <w:p>
      <w:pPr>
        <w:ind w:left="2200" w:right="899" w:hanging="166"/>
        <w:spacing w:after="0" w:line="274"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Independent Compensation Consultant. </w:t>
      </w:r>
      <w:r>
        <w:rPr>
          <w:rFonts w:ascii="Arial" w:cs="Arial" w:eastAsia="Arial" w:hAnsi="Arial"/>
          <w:sz w:val="12"/>
          <w:szCs w:val="12"/>
          <w:color w:val="000000"/>
        </w:rPr>
        <w:t>The Compensation Committee retains an independent consultant to provide advice on</w:t>
      </w:r>
      <w:r>
        <w:rPr>
          <w:rFonts w:ascii="Arial" w:cs="Arial" w:eastAsia="Arial" w:hAnsi="Arial"/>
          <w:sz w:val="12"/>
          <w:szCs w:val="12"/>
          <w:b w:val="1"/>
          <w:bCs w:val="1"/>
          <w:color w:val="009AD9"/>
        </w:rPr>
        <w:t xml:space="preserve"> </w:t>
      </w:r>
      <w:r>
        <w:rPr>
          <w:rFonts w:ascii="Arial" w:cs="Arial" w:eastAsia="Arial" w:hAnsi="Arial"/>
          <w:sz w:val="12"/>
          <w:szCs w:val="12"/>
          <w:color w:val="000000"/>
        </w:rPr>
        <w:t>executive compensation matters.</w:t>
      </w:r>
    </w:p>
    <w:p>
      <w:pPr>
        <w:spacing w:after="0" w:line="121" w:lineRule="exact"/>
        <w:rPr>
          <w:rFonts w:ascii="MS PGothic" w:cs="MS PGothic" w:eastAsia="MS PGothic" w:hAnsi="MS PGothic"/>
          <w:sz w:val="12"/>
          <w:szCs w:val="12"/>
          <w:color w:val="009AD9"/>
        </w:rPr>
      </w:pPr>
    </w:p>
    <w:p>
      <w:pPr>
        <w:jc w:val="both"/>
        <w:ind w:left="2200" w:right="919" w:hanging="166"/>
        <w:spacing w:after="0" w:line="256" w:lineRule="auto"/>
        <w:tabs>
          <w:tab w:leader="none" w:pos="2200" w:val="left"/>
        </w:tabs>
        <w:numPr>
          <w:ilvl w:val="0"/>
          <w:numId w:val="61"/>
        </w:numPr>
        <w:rPr>
          <w:rFonts w:ascii="MS PGothic" w:cs="MS PGothic" w:eastAsia="MS PGothic" w:hAnsi="MS PGothic"/>
          <w:sz w:val="12"/>
          <w:szCs w:val="12"/>
          <w:color w:val="009AD9"/>
        </w:rPr>
      </w:pPr>
      <w:r>
        <w:rPr>
          <w:rFonts w:ascii="Arial" w:cs="Arial" w:eastAsia="Arial" w:hAnsi="Arial"/>
          <w:sz w:val="12"/>
          <w:szCs w:val="12"/>
          <w:b w:val="1"/>
          <w:bCs w:val="1"/>
          <w:color w:val="009AD9"/>
        </w:rPr>
        <w:t xml:space="preserve">Executive Severance Guidelines. </w:t>
      </w:r>
      <w:r>
        <w:rPr>
          <w:rFonts w:ascii="Arial" w:cs="Arial" w:eastAsia="Arial" w:hAnsi="Arial"/>
          <w:sz w:val="12"/>
          <w:szCs w:val="12"/>
          <w:color w:val="000000"/>
        </w:rPr>
        <w:t>The Compensation Committee has adopted executive severance guidelines that set forth</w:t>
      </w:r>
      <w:r>
        <w:rPr>
          <w:rFonts w:ascii="Arial" w:cs="Arial" w:eastAsia="Arial" w:hAnsi="Arial"/>
          <w:sz w:val="12"/>
          <w:szCs w:val="12"/>
          <w:b w:val="1"/>
          <w:bCs w:val="1"/>
          <w:color w:val="009AD9"/>
        </w:rPr>
        <w:t xml:space="preserve"> </w:t>
      </w:r>
      <w:r>
        <w:rPr>
          <w:rFonts w:ascii="Arial" w:cs="Arial" w:eastAsia="Arial" w:hAnsi="Arial"/>
          <w:sz w:val="12"/>
          <w:szCs w:val="12"/>
          <w:color w:val="000000"/>
        </w:rPr>
        <w:t>appropriate limits on any severance payments to our named executive officers. The guidelines do not entitle any executive officer to a severance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-2984500</wp:posOffset>
            </wp:positionV>
            <wp:extent cx="4711700" cy="3638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11700" cy="3638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-2256790</wp:posOffset>
            </wp:positionV>
            <wp:extent cx="4711700" cy="1905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11700" cy="19050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-1788795</wp:posOffset>
            </wp:positionV>
            <wp:extent cx="4711700" cy="2768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11700" cy="27686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-1148080</wp:posOffset>
            </wp:positionV>
            <wp:extent cx="4711700" cy="3638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11700" cy="3638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-593725</wp:posOffset>
            </wp:positionV>
            <wp:extent cx="4711700" cy="2768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11700" cy="276860"/>
                    </a:xfrm>
                    <a:prstGeom prst="rect">
                      <a:avLst/>
                    </a:prstGeom>
                    <a:noFill/>
                  </pic:spPr>
                </pic:pic>
              </a:graphicData>
            </a:graphic>
          </wp:anchor>
        </w:drawing>
      </w:r>
    </w:p>
    <w:p>
      <w:pPr>
        <w:spacing w:after="0" w:line="26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Design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Key Compensation Components and Purpose</w:t>
      </w:r>
    </w:p>
    <w:p>
      <w:pPr>
        <w:spacing w:after="0" w:line="85"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We strive to provide compensation that is competitive, both in total and in individual components, with the companies we believe are our peers and likely competitors for executive talent.</w:t>
      </w:r>
    </w:p>
    <w:p>
      <w:pPr>
        <w:spacing w:after="0" w:line="131"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We also motivate our executives to achieve individual and business performance objectives by varying their compensation in accordance with our overall success. Actual compensation in a given year will vary based on our</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performance, and to a lesser extent, on qualitative appraisals of individual performance. We expect our named executive officers to have a higher percentage of their total compensation at risk to align each of our named executive officers with the short-term and long-term performance objectives of CenterPoint Energy and with the interests of our shareholders.</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 key components of our 2022 compensation programs and their purpose in advancing our strategic objectives are outlined below.</w:t>
      </w:r>
    </w:p>
    <w:p>
      <w:pPr>
        <w:spacing w:after="0" w:line="163" w:lineRule="exact"/>
        <w:rPr>
          <w:sz w:val="20"/>
          <w:szCs w:val="20"/>
          <w:color w:val="auto"/>
        </w:rPr>
      </w:pPr>
    </w:p>
    <w:tbl>
      <w:tblPr>
        <w:tblLayout w:type="fixed"/>
        <w:tblInd w:w="1950" w:type="dxa"/>
        <w:tblCellMar>
          <w:top w:w="0" w:type="dxa"/>
          <w:left w:w="0" w:type="dxa"/>
          <w:bottom w:w="0" w:type="dxa"/>
          <w:right w:w="0" w:type="dxa"/>
        </w:tblCellMar>
      </w:tblPr>
      <w:tr>
        <w:trPr>
          <w:trHeight w:val="145"/>
        </w:trPr>
        <w:tc>
          <w:tcPr>
            <w:tcW w:w="560" w:type="dxa"/>
            <w:vAlign w:val="bottom"/>
            <w:tcBorders>
              <w:left w:val="single" w:sz="8" w:color="009AD9"/>
              <w:right w:val="single" w:sz="8" w:color="009AD9"/>
            </w:tcBorders>
            <w:shd w:val="clear" w:color="auto" w:fill="009AD9"/>
          </w:tcPr>
          <w:p>
            <w:pPr>
              <w:spacing w:after="0"/>
              <w:rPr>
                <w:sz w:val="12"/>
                <w:szCs w:val="12"/>
                <w:color w:val="auto"/>
              </w:rPr>
            </w:pPr>
          </w:p>
        </w:tc>
        <w:tc>
          <w:tcPr>
            <w:tcW w:w="80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7"/>
              </w:rPr>
              <w:t>ELEMENT</w:t>
            </w:r>
          </w:p>
        </w:tc>
        <w:tc>
          <w:tcPr>
            <w:tcW w:w="118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5"/>
              </w:rPr>
              <w:t>FORM OF AWARD</w:t>
            </w:r>
          </w:p>
        </w:tc>
        <w:tc>
          <w:tcPr>
            <w:tcW w:w="108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5"/>
              </w:rPr>
              <w:t>PERIOD</w:t>
            </w:r>
          </w:p>
        </w:tc>
        <w:tc>
          <w:tcPr>
            <w:tcW w:w="3720" w:type="dxa"/>
            <w:vAlign w:val="bottom"/>
            <w:shd w:val="clear" w:color="auto" w:fill="009AD9"/>
          </w:tcPr>
          <w:p>
            <w:pPr>
              <w:ind w:left="1540"/>
              <w:spacing w:after="0"/>
              <w:rPr>
                <w:sz w:val="20"/>
                <w:szCs w:val="20"/>
                <w:color w:val="auto"/>
              </w:rPr>
            </w:pPr>
            <w:r>
              <w:rPr>
                <w:rFonts w:ascii="Arial" w:cs="Arial" w:eastAsia="Arial" w:hAnsi="Arial"/>
                <w:sz w:val="12"/>
                <w:szCs w:val="12"/>
                <w:b w:val="1"/>
                <w:bCs w:val="1"/>
                <w:color w:val="FFFFFF"/>
              </w:rPr>
              <w:t>PURPOSE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60" w:type="dxa"/>
            <w:vAlign w:val="bottom"/>
            <w:tcBorders>
              <w:left w:val="single" w:sz="8" w:color="009AD9"/>
              <w:right w:val="single" w:sz="8" w:color="009AD9"/>
            </w:tcBorders>
            <w:vMerge w:val="restart"/>
          </w:tcPr>
          <w:p>
            <w:pPr>
              <w:ind w:left="180"/>
              <w:spacing w:after="0"/>
              <w:rPr>
                <w:sz w:val="20"/>
                <w:szCs w:val="20"/>
                <w:color w:val="auto"/>
              </w:rPr>
            </w:pPr>
            <w:r>
              <w:rPr>
                <w:rFonts w:ascii="Arial" w:cs="Arial" w:eastAsia="Arial" w:hAnsi="Arial"/>
                <w:sz w:val="11"/>
                <w:szCs w:val="11"/>
                <w:b w:val="1"/>
                <w:bCs w:val="1"/>
                <w:i w:val="1"/>
                <w:iCs w:val="1"/>
                <w:color w:val="auto"/>
              </w:rPr>
              <w:t>Fixed</w:t>
            </w:r>
          </w:p>
        </w:tc>
        <w:tc>
          <w:tcPr>
            <w:tcW w:w="800" w:type="dxa"/>
            <w:vAlign w:val="bottom"/>
            <w:tcBorders>
              <w:right w:val="single" w:sz="8" w:color="009AD9"/>
            </w:tcBorders>
            <w:vMerge w:val="restart"/>
          </w:tcPr>
          <w:p>
            <w:pPr>
              <w:ind w:left="60"/>
              <w:spacing w:after="0"/>
              <w:rPr>
                <w:sz w:val="20"/>
                <w:szCs w:val="20"/>
                <w:color w:val="auto"/>
              </w:rPr>
            </w:pPr>
            <w:r>
              <w:rPr>
                <w:rFonts w:ascii="Arial" w:cs="Arial" w:eastAsia="Arial" w:hAnsi="Arial"/>
                <w:sz w:val="12"/>
                <w:szCs w:val="12"/>
                <w:b w:val="1"/>
                <w:bCs w:val="1"/>
                <w:color w:val="auto"/>
              </w:rPr>
              <w:t>Base Salary</w:t>
            </w: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rPr>
              <w:t>Cash</w:t>
            </w:r>
          </w:p>
        </w:tc>
        <w:tc>
          <w:tcPr>
            <w:tcW w:w="10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7"/>
              </w:rPr>
              <w:t>One year</w:t>
            </w: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 Fixed, competitive level of compensation based on scope and</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0" w:type="dxa"/>
            <w:vAlign w:val="bottom"/>
            <w:tcBorders>
              <w:left w:val="single" w:sz="8" w:color="009AD9"/>
              <w:right w:val="single" w:sz="8" w:color="009AD9"/>
            </w:tcBorders>
            <w:vMerge w:val="continue"/>
          </w:tcPr>
          <w:p>
            <w:pPr>
              <w:spacing w:after="0"/>
              <w:rPr>
                <w:sz w:val="11"/>
                <w:szCs w:val="11"/>
                <w:color w:val="auto"/>
              </w:rPr>
            </w:pPr>
          </w:p>
        </w:tc>
        <w:tc>
          <w:tcPr>
            <w:tcW w:w="800" w:type="dxa"/>
            <w:vAlign w:val="bottom"/>
            <w:tcBorders>
              <w:right w:val="single" w:sz="8" w:color="009AD9"/>
            </w:tcBorders>
            <w:vMerge w:val="continue"/>
          </w:tcPr>
          <w:p>
            <w:pPr>
              <w:spacing w:after="0"/>
              <w:rPr>
                <w:sz w:val="11"/>
                <w:szCs w:val="11"/>
                <w:color w:val="auto"/>
              </w:rPr>
            </w:pPr>
          </w:p>
        </w:tc>
        <w:tc>
          <w:tcPr>
            <w:tcW w:w="1180" w:type="dxa"/>
            <w:vAlign w:val="bottom"/>
            <w:tcBorders>
              <w:right w:val="single" w:sz="8" w:color="009AD9"/>
            </w:tcBorders>
            <w:vMerge w:val="continue"/>
          </w:tcPr>
          <w:p>
            <w:pPr>
              <w:spacing w:after="0"/>
              <w:rPr>
                <w:sz w:val="11"/>
                <w:szCs w:val="11"/>
                <w:color w:val="auto"/>
              </w:rPr>
            </w:pPr>
          </w:p>
        </w:tc>
        <w:tc>
          <w:tcPr>
            <w:tcW w:w="1080" w:type="dxa"/>
            <w:vAlign w:val="bottom"/>
            <w:tcBorders>
              <w:right w:val="single" w:sz="8" w:color="009AD9"/>
            </w:tcBorders>
            <w:vMerge w:val="continue"/>
          </w:tcPr>
          <w:p>
            <w:pPr>
              <w:spacing w:after="0"/>
              <w:rPr>
                <w:sz w:val="11"/>
                <w:szCs w:val="11"/>
                <w:color w:val="auto"/>
              </w:rPr>
            </w:pPr>
          </w:p>
        </w:tc>
        <w:tc>
          <w:tcPr>
            <w:tcW w:w="3720" w:type="dxa"/>
            <w:vAlign w:val="bottom"/>
          </w:tcPr>
          <w:p>
            <w:pPr>
              <w:ind w:left="240"/>
              <w:spacing w:after="0"/>
              <w:rPr>
                <w:sz w:val="20"/>
                <w:szCs w:val="20"/>
                <w:color w:val="auto"/>
              </w:rPr>
            </w:pPr>
            <w:r>
              <w:rPr>
                <w:rFonts w:ascii="Arial" w:cs="Arial" w:eastAsia="Arial" w:hAnsi="Arial"/>
                <w:sz w:val="11"/>
                <w:szCs w:val="11"/>
                <w:color w:val="auto"/>
              </w:rPr>
              <w:t>complexity of role, individual experience and performance to attract</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60" w:type="dxa"/>
            <w:vAlign w:val="bottom"/>
            <w:tcBorders>
              <w:left w:val="single" w:sz="8" w:color="009AD9"/>
              <w:bottom w:val="single" w:sz="8" w:color="009AD9"/>
              <w:right w:val="single" w:sz="8" w:color="009AD9"/>
            </w:tcBorders>
          </w:tcPr>
          <w:p>
            <w:pPr>
              <w:spacing w:after="0"/>
              <w:rPr>
                <w:sz w:val="10"/>
                <w:szCs w:val="10"/>
                <w:color w:val="auto"/>
              </w:rPr>
            </w:pPr>
          </w:p>
        </w:tc>
        <w:tc>
          <w:tcPr>
            <w:tcW w:w="800" w:type="dxa"/>
            <w:vAlign w:val="bottom"/>
            <w:tcBorders>
              <w:bottom w:val="single" w:sz="8" w:color="009AD9"/>
              <w:right w:val="single" w:sz="8" w:color="009AD9"/>
            </w:tcBorders>
          </w:tcPr>
          <w:p>
            <w:pPr>
              <w:spacing w:after="0"/>
              <w:rPr>
                <w:sz w:val="10"/>
                <w:szCs w:val="10"/>
                <w:color w:val="auto"/>
              </w:rPr>
            </w:pPr>
          </w:p>
        </w:tc>
        <w:tc>
          <w:tcPr>
            <w:tcW w:w="1180" w:type="dxa"/>
            <w:vAlign w:val="bottom"/>
            <w:tcBorders>
              <w:bottom w:val="single" w:sz="8" w:color="009AD9"/>
              <w:right w:val="single" w:sz="8" w:color="009AD9"/>
            </w:tcBorders>
          </w:tcPr>
          <w:p>
            <w:pPr>
              <w:spacing w:after="0"/>
              <w:rPr>
                <w:sz w:val="10"/>
                <w:szCs w:val="10"/>
                <w:color w:val="auto"/>
              </w:rPr>
            </w:pPr>
          </w:p>
        </w:tc>
        <w:tc>
          <w:tcPr>
            <w:tcW w:w="1080" w:type="dxa"/>
            <w:vAlign w:val="bottom"/>
            <w:tcBorders>
              <w:bottom w:val="single" w:sz="8" w:color="009AD9"/>
              <w:right w:val="single" w:sz="8" w:color="009AD9"/>
            </w:tcBorders>
          </w:tcPr>
          <w:p>
            <w:pPr>
              <w:spacing w:after="0"/>
              <w:rPr>
                <w:sz w:val="10"/>
                <w:szCs w:val="10"/>
                <w:color w:val="auto"/>
              </w:rPr>
            </w:pPr>
          </w:p>
        </w:tc>
        <w:tc>
          <w:tcPr>
            <w:tcW w:w="3720" w:type="dxa"/>
            <w:vAlign w:val="bottom"/>
            <w:tcBorders>
              <w:bottom w:val="single" w:sz="8" w:color="009AD9"/>
            </w:tcBorders>
          </w:tcPr>
          <w:p>
            <w:pPr>
              <w:ind w:left="240"/>
              <w:spacing w:after="0"/>
              <w:rPr>
                <w:sz w:val="20"/>
                <w:szCs w:val="20"/>
                <w:color w:val="auto"/>
              </w:rPr>
            </w:pPr>
            <w:r>
              <w:rPr>
                <w:rFonts w:ascii="Arial" w:cs="Arial" w:eastAsia="Arial" w:hAnsi="Arial"/>
                <w:sz w:val="11"/>
                <w:szCs w:val="11"/>
                <w:color w:val="auto"/>
              </w:rPr>
              <w:t>and retain top talent</w:t>
            </w:r>
          </w:p>
        </w:tc>
        <w:tc>
          <w:tcPr>
            <w:tcW w:w="20" w:type="dxa"/>
            <w:vAlign w:val="bottom"/>
            <w:tcBorders>
              <w:bottom w:val="single" w:sz="8" w:color="009AD9"/>
            </w:tcBorders>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60" w:type="dxa"/>
            <w:vAlign w:val="bottom"/>
            <w:tcBorders>
              <w:left w:val="single" w:sz="8" w:color="009AD9"/>
              <w:right w:val="single" w:sz="8" w:color="009AD9"/>
            </w:tcBorders>
            <w:shd w:val="clear" w:color="auto" w:fill="D8EFF9"/>
          </w:tcPr>
          <w:p>
            <w:pPr>
              <w:spacing w:after="0"/>
              <w:rPr>
                <w:sz w:val="13"/>
                <w:szCs w:val="13"/>
                <w:color w:val="auto"/>
              </w:rPr>
            </w:pPr>
          </w:p>
        </w:tc>
        <w:tc>
          <w:tcPr>
            <w:tcW w:w="800" w:type="dxa"/>
            <w:vAlign w:val="bottom"/>
            <w:tcBorders>
              <w:right w:val="single" w:sz="8" w:color="009AD9"/>
            </w:tcBorders>
          </w:tcPr>
          <w:p>
            <w:pPr>
              <w:spacing w:after="0"/>
              <w:rPr>
                <w:sz w:val="13"/>
                <w:szCs w:val="13"/>
                <w:color w:val="auto"/>
              </w:rPr>
            </w:pPr>
          </w:p>
        </w:tc>
        <w:tc>
          <w:tcPr>
            <w:tcW w:w="1180" w:type="dxa"/>
            <w:vAlign w:val="bottom"/>
            <w:tcBorders>
              <w:right w:val="single" w:sz="8" w:color="009AD9"/>
            </w:tcBorders>
          </w:tcPr>
          <w:p>
            <w:pPr>
              <w:spacing w:after="0"/>
              <w:rPr>
                <w:sz w:val="13"/>
                <w:szCs w:val="13"/>
                <w:color w:val="auto"/>
              </w:rPr>
            </w:pPr>
          </w:p>
        </w:tc>
        <w:tc>
          <w:tcPr>
            <w:tcW w:w="1080" w:type="dxa"/>
            <w:vAlign w:val="bottom"/>
            <w:tcBorders>
              <w:right w:val="single" w:sz="8" w:color="009AD9"/>
            </w:tcBorders>
          </w:tcPr>
          <w:p>
            <w:pPr>
              <w:spacing w:after="0"/>
              <w:rPr>
                <w:sz w:val="13"/>
                <w:szCs w:val="13"/>
                <w:color w:val="auto"/>
              </w:rPr>
            </w:pP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 Rewards  delivery  of  near-term  objectives  aligned  with  the</w:t>
            </w:r>
          </w:p>
        </w:tc>
        <w:tc>
          <w:tcPr>
            <w:tcW w:w="20" w:type="dxa"/>
            <w:vAlign w:val="bottom"/>
            <w:shd w:val="clear" w:color="auto" w:fill="009AD9"/>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tcPr>
          <w:p>
            <w:pPr>
              <w:spacing w:after="0"/>
              <w:rPr>
                <w:sz w:val="8"/>
                <w:szCs w:val="8"/>
                <w:color w:val="auto"/>
              </w:rPr>
            </w:pPr>
          </w:p>
        </w:tc>
        <w:tc>
          <w:tcPr>
            <w:tcW w:w="1180" w:type="dxa"/>
            <w:vAlign w:val="bottom"/>
            <w:tcBorders>
              <w:right w:val="single" w:sz="8" w:color="009AD9"/>
            </w:tcBorders>
          </w:tcPr>
          <w:p>
            <w:pPr>
              <w:spacing w:after="0"/>
              <w:rPr>
                <w:sz w:val="8"/>
                <w:szCs w:val="8"/>
                <w:color w:val="auto"/>
              </w:rPr>
            </w:pPr>
          </w:p>
        </w:tc>
        <w:tc>
          <w:tcPr>
            <w:tcW w:w="1080" w:type="dxa"/>
            <w:vAlign w:val="bottom"/>
            <w:tcBorders>
              <w:right w:val="single" w:sz="8" w:color="009AD9"/>
            </w:tcBorders>
          </w:tcPr>
          <w:p>
            <w:pPr>
              <w:spacing w:after="0"/>
              <w:rPr>
                <w:sz w:val="8"/>
                <w:szCs w:val="8"/>
                <w:color w:val="auto"/>
              </w:rPr>
            </w:pPr>
          </w:p>
        </w:tc>
        <w:tc>
          <w:tcPr>
            <w:tcW w:w="3720" w:type="dxa"/>
            <w:vAlign w:val="bottom"/>
          </w:tcPr>
          <w:p>
            <w:pPr>
              <w:ind w:left="240"/>
              <w:spacing w:after="0" w:line="99" w:lineRule="exact"/>
              <w:rPr>
                <w:sz w:val="20"/>
                <w:szCs w:val="20"/>
                <w:color w:val="auto"/>
              </w:rPr>
            </w:pPr>
            <w:r>
              <w:rPr>
                <w:rFonts w:ascii="Arial" w:cs="Arial" w:eastAsia="Arial" w:hAnsi="Arial"/>
                <w:sz w:val="11"/>
                <w:szCs w:val="11"/>
                <w:color w:val="auto"/>
              </w:rPr>
              <w:t>Company’s long-term business strategy</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560" w:type="dxa"/>
            <w:vAlign w:val="bottom"/>
            <w:tcBorders>
              <w:left w:val="single" w:sz="8" w:color="009AD9"/>
              <w:right w:val="single" w:sz="8" w:color="009AD9"/>
            </w:tcBorders>
            <w:shd w:val="clear" w:color="auto" w:fill="D8EFF9"/>
          </w:tcPr>
          <w:p>
            <w:pPr>
              <w:spacing w:after="0"/>
              <w:rPr>
                <w:sz w:val="14"/>
                <w:szCs w:val="14"/>
                <w:color w:val="auto"/>
              </w:rPr>
            </w:pPr>
          </w:p>
        </w:tc>
        <w:tc>
          <w:tcPr>
            <w:tcW w:w="800" w:type="dxa"/>
            <w:vAlign w:val="bottom"/>
            <w:tcBorders>
              <w:right w:val="single" w:sz="8" w:color="009AD9"/>
            </w:tcBorders>
          </w:tcPr>
          <w:p>
            <w:pPr>
              <w:spacing w:after="0"/>
              <w:rPr>
                <w:sz w:val="14"/>
                <w:szCs w:val="14"/>
                <w:color w:val="auto"/>
              </w:rPr>
            </w:pPr>
          </w:p>
        </w:tc>
        <w:tc>
          <w:tcPr>
            <w:tcW w:w="1180" w:type="dxa"/>
            <w:vAlign w:val="bottom"/>
            <w:tcBorders>
              <w:right w:val="single" w:sz="8" w:color="009AD9"/>
            </w:tcBorders>
          </w:tcPr>
          <w:p>
            <w:pPr>
              <w:spacing w:after="0"/>
              <w:rPr>
                <w:sz w:val="14"/>
                <w:szCs w:val="14"/>
                <w:color w:val="auto"/>
              </w:rPr>
            </w:pPr>
          </w:p>
        </w:tc>
        <w:tc>
          <w:tcPr>
            <w:tcW w:w="1080" w:type="dxa"/>
            <w:vAlign w:val="bottom"/>
            <w:tcBorders>
              <w:right w:val="single" w:sz="8" w:color="009AD9"/>
            </w:tcBorders>
          </w:tcPr>
          <w:p>
            <w:pPr>
              <w:spacing w:after="0"/>
              <w:rPr>
                <w:sz w:val="14"/>
                <w:szCs w:val="14"/>
                <w:color w:val="auto"/>
              </w:rPr>
            </w:pP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 Considers individual performance and contributions to Company</w:t>
            </w:r>
          </w:p>
        </w:tc>
        <w:tc>
          <w:tcPr>
            <w:tcW w:w="20" w:type="dxa"/>
            <w:vAlign w:val="bottom"/>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tcPr>
          <w:p>
            <w:pPr>
              <w:spacing w:after="0"/>
              <w:rPr>
                <w:sz w:val="8"/>
                <w:szCs w:val="8"/>
                <w:color w:val="auto"/>
              </w:rPr>
            </w:pPr>
          </w:p>
        </w:tc>
        <w:tc>
          <w:tcPr>
            <w:tcW w:w="1180" w:type="dxa"/>
            <w:vAlign w:val="bottom"/>
            <w:tcBorders>
              <w:right w:val="single" w:sz="8" w:color="009AD9"/>
            </w:tcBorders>
          </w:tcPr>
          <w:p>
            <w:pPr>
              <w:spacing w:after="0"/>
              <w:rPr>
                <w:sz w:val="8"/>
                <w:szCs w:val="8"/>
                <w:color w:val="auto"/>
              </w:rPr>
            </w:pPr>
          </w:p>
        </w:tc>
        <w:tc>
          <w:tcPr>
            <w:tcW w:w="1080" w:type="dxa"/>
            <w:vAlign w:val="bottom"/>
            <w:tcBorders>
              <w:right w:val="single" w:sz="8" w:color="009AD9"/>
            </w:tcBorders>
          </w:tcPr>
          <w:p>
            <w:pPr>
              <w:spacing w:after="0"/>
              <w:rPr>
                <w:sz w:val="8"/>
                <w:szCs w:val="8"/>
                <w:color w:val="auto"/>
              </w:rPr>
            </w:pPr>
          </w:p>
        </w:tc>
        <w:tc>
          <w:tcPr>
            <w:tcW w:w="3720" w:type="dxa"/>
            <w:vAlign w:val="bottom"/>
          </w:tcPr>
          <w:p>
            <w:pPr>
              <w:ind w:left="240"/>
              <w:spacing w:after="0" w:line="99" w:lineRule="exact"/>
              <w:rPr>
                <w:sz w:val="20"/>
                <w:szCs w:val="20"/>
                <w:color w:val="auto"/>
              </w:rPr>
            </w:pPr>
            <w:r>
              <w:rPr>
                <w:rFonts w:ascii="Arial" w:cs="Arial" w:eastAsia="Arial" w:hAnsi="Arial"/>
                <w:sz w:val="11"/>
                <w:szCs w:val="11"/>
                <w:color w:val="auto"/>
              </w:rPr>
              <w:t>performance</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560" w:type="dxa"/>
            <w:vAlign w:val="bottom"/>
            <w:tcBorders>
              <w:left w:val="single" w:sz="8" w:color="009AD9"/>
              <w:right w:val="single" w:sz="8" w:color="009AD9"/>
            </w:tcBorders>
            <w:shd w:val="clear" w:color="auto" w:fill="D8EFF9"/>
          </w:tcPr>
          <w:p>
            <w:pPr>
              <w:spacing w:after="0"/>
              <w:rPr>
                <w:sz w:val="14"/>
                <w:szCs w:val="14"/>
                <w:color w:val="auto"/>
              </w:rPr>
            </w:pPr>
          </w:p>
        </w:tc>
        <w:tc>
          <w:tcPr>
            <w:tcW w:w="80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color w:val="auto"/>
                <w:w w:val="97"/>
              </w:rPr>
              <w:t>Short-Term</w:t>
            </w:r>
          </w:p>
        </w:tc>
        <w:tc>
          <w:tcPr>
            <w:tcW w:w="1180" w:type="dxa"/>
            <w:vAlign w:val="bottom"/>
            <w:tcBorders>
              <w:right w:val="single" w:sz="8" w:color="009AD9"/>
            </w:tcBorders>
          </w:tcPr>
          <w:p>
            <w:pPr>
              <w:spacing w:after="0"/>
              <w:rPr>
                <w:sz w:val="14"/>
                <w:szCs w:val="14"/>
                <w:color w:val="auto"/>
              </w:rPr>
            </w:pPr>
          </w:p>
        </w:tc>
        <w:tc>
          <w:tcPr>
            <w:tcW w:w="1080" w:type="dxa"/>
            <w:vAlign w:val="bottom"/>
            <w:tcBorders>
              <w:right w:val="single" w:sz="8" w:color="009AD9"/>
            </w:tcBorders>
          </w:tcPr>
          <w:p>
            <w:pPr>
              <w:spacing w:after="0"/>
              <w:rPr>
                <w:sz w:val="14"/>
                <w:szCs w:val="14"/>
                <w:color w:val="auto"/>
              </w:rPr>
            </w:pP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 Short-term incentive funding for our named executive officers is</w:t>
            </w:r>
          </w:p>
        </w:tc>
        <w:tc>
          <w:tcPr>
            <w:tcW w:w="20" w:type="dxa"/>
            <w:vAlign w:val="bottom"/>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vMerge w:val="continue"/>
          </w:tcPr>
          <w:p>
            <w:pPr>
              <w:spacing w:after="0"/>
              <w:rPr>
                <w:sz w:val="8"/>
                <w:szCs w:val="8"/>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rPr>
              <w:t>Cash</w:t>
            </w:r>
          </w:p>
        </w:tc>
        <w:tc>
          <w:tcPr>
            <w:tcW w:w="10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7"/>
              </w:rPr>
              <w:t>One year</w:t>
            </w:r>
          </w:p>
        </w:tc>
        <w:tc>
          <w:tcPr>
            <w:tcW w:w="3720" w:type="dxa"/>
            <w:vAlign w:val="bottom"/>
          </w:tcPr>
          <w:p>
            <w:pPr>
              <w:ind w:left="240"/>
              <w:spacing w:after="0" w:line="99" w:lineRule="exact"/>
              <w:rPr>
                <w:sz w:val="20"/>
                <w:szCs w:val="20"/>
                <w:color w:val="auto"/>
              </w:rPr>
            </w:pPr>
            <w:r>
              <w:rPr>
                <w:rFonts w:ascii="Arial" w:cs="Arial" w:eastAsia="Arial" w:hAnsi="Arial"/>
                <w:sz w:val="11"/>
                <w:szCs w:val="11"/>
                <w:color w:val="auto"/>
              </w:rPr>
              <w:t>based on achieving a non-GAAP Adjusted EPS goal</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color w:val="auto"/>
              </w:rPr>
              <w:t>Incentive</w:t>
            </w:r>
          </w:p>
        </w:tc>
        <w:tc>
          <w:tcPr>
            <w:tcW w:w="1180" w:type="dxa"/>
            <w:vAlign w:val="bottom"/>
            <w:tcBorders>
              <w:right w:val="single" w:sz="8" w:color="009AD9"/>
            </w:tcBorders>
            <w:vMerge w:val="continue"/>
          </w:tcPr>
          <w:p>
            <w:pPr>
              <w:spacing w:after="0"/>
              <w:rPr>
                <w:sz w:val="8"/>
                <w:szCs w:val="8"/>
                <w:color w:val="auto"/>
              </w:rPr>
            </w:pPr>
          </w:p>
        </w:tc>
        <w:tc>
          <w:tcPr>
            <w:tcW w:w="1080" w:type="dxa"/>
            <w:vAlign w:val="bottom"/>
            <w:tcBorders>
              <w:right w:val="single" w:sz="8" w:color="009AD9"/>
            </w:tcBorders>
            <w:vMerge w:val="continue"/>
          </w:tcPr>
          <w:p>
            <w:pPr>
              <w:spacing w:after="0"/>
              <w:rPr>
                <w:sz w:val="8"/>
                <w:szCs w:val="8"/>
                <w:color w:val="auto"/>
              </w:rPr>
            </w:pP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 Potential payout subject to diversity, equity and inclusion negative-</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60" w:type="dxa"/>
            <w:vAlign w:val="bottom"/>
            <w:tcBorders>
              <w:left w:val="single" w:sz="8" w:color="009AD9"/>
              <w:right w:val="single" w:sz="8" w:color="009AD9"/>
            </w:tcBorders>
            <w:shd w:val="clear" w:color="auto" w:fill="D8EFF9"/>
          </w:tcPr>
          <w:p>
            <w:pPr>
              <w:spacing w:after="0"/>
              <w:rPr>
                <w:sz w:val="5"/>
                <w:szCs w:val="5"/>
                <w:color w:val="auto"/>
              </w:rPr>
            </w:pPr>
          </w:p>
        </w:tc>
        <w:tc>
          <w:tcPr>
            <w:tcW w:w="800" w:type="dxa"/>
            <w:vAlign w:val="bottom"/>
            <w:tcBorders>
              <w:right w:val="single" w:sz="8" w:color="009AD9"/>
            </w:tcBorders>
            <w:vMerge w:val="continue"/>
          </w:tcPr>
          <w:p>
            <w:pPr>
              <w:spacing w:after="0"/>
              <w:rPr>
                <w:sz w:val="5"/>
                <w:szCs w:val="5"/>
                <w:color w:val="auto"/>
              </w:rPr>
            </w:pPr>
          </w:p>
        </w:tc>
        <w:tc>
          <w:tcPr>
            <w:tcW w:w="1180" w:type="dxa"/>
            <w:vAlign w:val="bottom"/>
            <w:tcBorders>
              <w:right w:val="single" w:sz="8" w:color="009AD9"/>
            </w:tcBorders>
          </w:tcPr>
          <w:p>
            <w:pPr>
              <w:spacing w:after="0"/>
              <w:rPr>
                <w:sz w:val="5"/>
                <w:szCs w:val="5"/>
                <w:color w:val="auto"/>
              </w:rPr>
            </w:pPr>
          </w:p>
        </w:tc>
        <w:tc>
          <w:tcPr>
            <w:tcW w:w="1080" w:type="dxa"/>
            <w:vAlign w:val="bottom"/>
            <w:tcBorders>
              <w:right w:val="single" w:sz="8" w:color="009AD9"/>
            </w:tcBorders>
          </w:tcPr>
          <w:p>
            <w:pPr>
              <w:spacing w:after="0"/>
              <w:rPr>
                <w:sz w:val="5"/>
                <w:szCs w:val="5"/>
                <w:color w:val="auto"/>
              </w:rPr>
            </w:pPr>
          </w:p>
        </w:tc>
        <w:tc>
          <w:tcPr>
            <w:tcW w:w="3720" w:type="dxa"/>
            <w:vAlign w:val="bottom"/>
            <w:vMerge w:val="continue"/>
          </w:tcPr>
          <w:p>
            <w:pPr>
              <w:spacing w:after="0"/>
              <w:rPr>
                <w:sz w:val="5"/>
                <w:szCs w:val="5"/>
                <w:color w:val="auto"/>
              </w:rPr>
            </w:pPr>
          </w:p>
        </w:tc>
        <w:tc>
          <w:tcPr>
            <w:tcW w:w="20" w:type="dxa"/>
            <w:vAlign w:val="bottom"/>
            <w:shd w:val="clear" w:color="auto" w:fill="009AD9"/>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tcPr>
          <w:p>
            <w:pPr>
              <w:spacing w:after="0"/>
              <w:rPr>
                <w:sz w:val="8"/>
                <w:szCs w:val="8"/>
                <w:color w:val="auto"/>
              </w:rPr>
            </w:pPr>
          </w:p>
        </w:tc>
        <w:tc>
          <w:tcPr>
            <w:tcW w:w="1180" w:type="dxa"/>
            <w:vAlign w:val="bottom"/>
            <w:tcBorders>
              <w:right w:val="single" w:sz="8" w:color="009AD9"/>
            </w:tcBorders>
          </w:tcPr>
          <w:p>
            <w:pPr>
              <w:spacing w:after="0"/>
              <w:rPr>
                <w:sz w:val="8"/>
                <w:szCs w:val="8"/>
                <w:color w:val="auto"/>
              </w:rPr>
            </w:pPr>
          </w:p>
        </w:tc>
        <w:tc>
          <w:tcPr>
            <w:tcW w:w="1080" w:type="dxa"/>
            <w:vAlign w:val="bottom"/>
            <w:tcBorders>
              <w:right w:val="single" w:sz="8" w:color="009AD9"/>
            </w:tcBorders>
          </w:tcPr>
          <w:p>
            <w:pPr>
              <w:spacing w:after="0"/>
              <w:rPr>
                <w:sz w:val="8"/>
                <w:szCs w:val="8"/>
                <w:color w:val="auto"/>
              </w:rPr>
            </w:pPr>
          </w:p>
        </w:tc>
        <w:tc>
          <w:tcPr>
            <w:tcW w:w="3720" w:type="dxa"/>
            <w:vAlign w:val="bottom"/>
          </w:tcPr>
          <w:p>
            <w:pPr>
              <w:ind w:left="240"/>
              <w:spacing w:after="0" w:line="99" w:lineRule="exact"/>
              <w:rPr>
                <w:sz w:val="20"/>
                <w:szCs w:val="20"/>
                <w:color w:val="auto"/>
              </w:rPr>
            </w:pPr>
            <w:r>
              <w:rPr>
                <w:rFonts w:ascii="Arial" w:cs="Arial" w:eastAsia="Arial" w:hAnsi="Arial"/>
                <w:sz w:val="11"/>
                <w:szCs w:val="11"/>
                <w:color w:val="auto"/>
              </w:rPr>
              <w:t>only ESG modifier</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560" w:type="dxa"/>
            <w:vAlign w:val="bottom"/>
            <w:tcBorders>
              <w:left w:val="single" w:sz="8" w:color="009AD9"/>
              <w:right w:val="single" w:sz="8" w:color="009AD9"/>
            </w:tcBorders>
            <w:shd w:val="clear" w:color="auto" w:fill="D8EFF9"/>
          </w:tcPr>
          <w:p>
            <w:pPr>
              <w:spacing w:after="0"/>
              <w:rPr>
                <w:sz w:val="14"/>
                <w:szCs w:val="14"/>
                <w:color w:val="auto"/>
              </w:rPr>
            </w:pPr>
          </w:p>
        </w:tc>
        <w:tc>
          <w:tcPr>
            <w:tcW w:w="800" w:type="dxa"/>
            <w:vAlign w:val="bottom"/>
            <w:tcBorders>
              <w:right w:val="single" w:sz="8" w:color="009AD9"/>
            </w:tcBorders>
          </w:tcPr>
          <w:p>
            <w:pPr>
              <w:spacing w:after="0"/>
              <w:rPr>
                <w:sz w:val="14"/>
                <w:szCs w:val="14"/>
                <w:color w:val="auto"/>
              </w:rPr>
            </w:pPr>
          </w:p>
        </w:tc>
        <w:tc>
          <w:tcPr>
            <w:tcW w:w="1180" w:type="dxa"/>
            <w:vAlign w:val="bottom"/>
            <w:tcBorders>
              <w:right w:val="single" w:sz="8" w:color="009AD9"/>
            </w:tcBorders>
          </w:tcPr>
          <w:p>
            <w:pPr>
              <w:spacing w:after="0"/>
              <w:rPr>
                <w:sz w:val="14"/>
                <w:szCs w:val="14"/>
                <w:color w:val="auto"/>
              </w:rPr>
            </w:pPr>
          </w:p>
        </w:tc>
        <w:tc>
          <w:tcPr>
            <w:tcW w:w="1080" w:type="dxa"/>
            <w:vAlign w:val="bottom"/>
            <w:tcBorders>
              <w:right w:val="single" w:sz="8" w:color="009AD9"/>
            </w:tcBorders>
          </w:tcPr>
          <w:p>
            <w:pPr>
              <w:spacing w:after="0"/>
              <w:rPr>
                <w:sz w:val="14"/>
                <w:szCs w:val="14"/>
                <w:color w:val="auto"/>
              </w:rPr>
            </w:pP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 Potential  payout  also  subject  to  discretion  of  Compensation</w:t>
            </w:r>
          </w:p>
        </w:tc>
        <w:tc>
          <w:tcPr>
            <w:tcW w:w="20" w:type="dxa"/>
            <w:vAlign w:val="bottom"/>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60" w:type="dxa"/>
            <w:vAlign w:val="bottom"/>
            <w:tcBorders>
              <w:left w:val="single" w:sz="8" w:color="009AD9"/>
              <w:right w:val="single" w:sz="8" w:color="009AD9"/>
            </w:tcBorders>
            <w:shd w:val="clear" w:color="auto" w:fill="D8EFF9"/>
          </w:tcPr>
          <w:p>
            <w:pPr>
              <w:spacing w:after="0"/>
              <w:rPr>
                <w:sz w:val="11"/>
                <w:szCs w:val="11"/>
                <w:color w:val="auto"/>
              </w:rPr>
            </w:pPr>
          </w:p>
        </w:tc>
        <w:tc>
          <w:tcPr>
            <w:tcW w:w="800" w:type="dxa"/>
            <w:vAlign w:val="bottom"/>
            <w:tcBorders>
              <w:right w:val="single" w:sz="8" w:color="009AD9"/>
            </w:tcBorders>
          </w:tcPr>
          <w:p>
            <w:pPr>
              <w:spacing w:after="0"/>
              <w:rPr>
                <w:sz w:val="11"/>
                <w:szCs w:val="11"/>
                <w:color w:val="auto"/>
              </w:rPr>
            </w:pPr>
          </w:p>
        </w:tc>
        <w:tc>
          <w:tcPr>
            <w:tcW w:w="1180" w:type="dxa"/>
            <w:vAlign w:val="bottom"/>
            <w:tcBorders>
              <w:right w:val="single" w:sz="8" w:color="009AD9"/>
            </w:tcBorders>
          </w:tcPr>
          <w:p>
            <w:pPr>
              <w:spacing w:after="0"/>
              <w:rPr>
                <w:sz w:val="11"/>
                <w:szCs w:val="11"/>
                <w:color w:val="auto"/>
              </w:rPr>
            </w:pPr>
          </w:p>
        </w:tc>
        <w:tc>
          <w:tcPr>
            <w:tcW w:w="1080" w:type="dxa"/>
            <w:vAlign w:val="bottom"/>
            <w:tcBorders>
              <w:right w:val="single" w:sz="8" w:color="009AD9"/>
            </w:tcBorders>
          </w:tcPr>
          <w:p>
            <w:pPr>
              <w:spacing w:after="0"/>
              <w:rPr>
                <w:sz w:val="11"/>
                <w:szCs w:val="11"/>
                <w:color w:val="auto"/>
              </w:rPr>
            </w:pPr>
          </w:p>
        </w:tc>
        <w:tc>
          <w:tcPr>
            <w:tcW w:w="3720" w:type="dxa"/>
            <w:vAlign w:val="bottom"/>
          </w:tcPr>
          <w:p>
            <w:pPr>
              <w:ind w:left="240"/>
              <w:spacing w:after="0"/>
              <w:rPr>
                <w:sz w:val="20"/>
                <w:szCs w:val="20"/>
                <w:color w:val="auto"/>
              </w:rPr>
            </w:pPr>
            <w:r>
              <w:rPr>
                <w:rFonts w:ascii="Arial" w:cs="Arial" w:eastAsia="Arial" w:hAnsi="Arial"/>
                <w:sz w:val="11"/>
                <w:szCs w:val="11"/>
                <w:color w:val="auto"/>
              </w:rPr>
              <w:t>Committee, including downward modification for alignment with</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0" w:type="dxa"/>
            <w:vAlign w:val="bottom"/>
            <w:tcBorders>
              <w:left w:val="single" w:sz="8" w:color="009AD9"/>
              <w:right w:val="single" w:sz="8" w:color="009AD9"/>
            </w:tcBorders>
            <w:shd w:val="clear" w:color="auto" w:fill="D8EFF9"/>
          </w:tcPr>
          <w:p>
            <w:pPr>
              <w:spacing w:after="0"/>
              <w:rPr>
                <w:sz w:val="11"/>
                <w:szCs w:val="11"/>
                <w:color w:val="auto"/>
              </w:rPr>
            </w:pPr>
          </w:p>
        </w:tc>
        <w:tc>
          <w:tcPr>
            <w:tcW w:w="800" w:type="dxa"/>
            <w:vAlign w:val="bottom"/>
            <w:tcBorders>
              <w:right w:val="single" w:sz="8" w:color="009AD9"/>
            </w:tcBorders>
          </w:tcPr>
          <w:p>
            <w:pPr>
              <w:spacing w:after="0"/>
              <w:rPr>
                <w:sz w:val="11"/>
                <w:szCs w:val="11"/>
                <w:color w:val="auto"/>
              </w:rPr>
            </w:pPr>
          </w:p>
        </w:tc>
        <w:tc>
          <w:tcPr>
            <w:tcW w:w="1180" w:type="dxa"/>
            <w:vAlign w:val="bottom"/>
            <w:tcBorders>
              <w:right w:val="single" w:sz="8" w:color="009AD9"/>
            </w:tcBorders>
          </w:tcPr>
          <w:p>
            <w:pPr>
              <w:spacing w:after="0"/>
              <w:rPr>
                <w:sz w:val="11"/>
                <w:szCs w:val="11"/>
                <w:color w:val="auto"/>
              </w:rPr>
            </w:pPr>
          </w:p>
        </w:tc>
        <w:tc>
          <w:tcPr>
            <w:tcW w:w="1080" w:type="dxa"/>
            <w:vAlign w:val="bottom"/>
            <w:tcBorders>
              <w:right w:val="single" w:sz="8" w:color="009AD9"/>
            </w:tcBorders>
          </w:tcPr>
          <w:p>
            <w:pPr>
              <w:spacing w:after="0"/>
              <w:rPr>
                <w:sz w:val="11"/>
                <w:szCs w:val="11"/>
                <w:color w:val="auto"/>
              </w:rPr>
            </w:pPr>
          </w:p>
        </w:tc>
        <w:tc>
          <w:tcPr>
            <w:tcW w:w="3720" w:type="dxa"/>
            <w:vAlign w:val="bottom"/>
          </w:tcPr>
          <w:p>
            <w:pPr>
              <w:ind w:left="240"/>
              <w:spacing w:after="0"/>
              <w:rPr>
                <w:sz w:val="20"/>
                <w:szCs w:val="20"/>
                <w:color w:val="auto"/>
              </w:rPr>
            </w:pPr>
            <w:r>
              <w:rPr>
                <w:rFonts w:ascii="Arial" w:cs="Arial" w:eastAsia="Arial" w:hAnsi="Arial"/>
                <w:sz w:val="11"/>
                <w:szCs w:val="11"/>
                <w:color w:val="auto"/>
              </w:rPr>
              <w:t>achievement  of  Company  non-financial  metrics  applicable  to</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 w:type="dxa"/>
            <w:vAlign w:val="bottom"/>
            <w:tcBorders>
              <w:left w:val="single" w:sz="8" w:color="009AD9"/>
              <w:bottom w:val="single" w:sz="8" w:color="D8EFF9"/>
              <w:right w:val="single" w:sz="8" w:color="009AD9"/>
            </w:tcBorders>
            <w:shd w:val="clear" w:color="auto" w:fill="D8EFF9"/>
          </w:tcPr>
          <w:p>
            <w:pPr>
              <w:spacing w:after="0"/>
              <w:rPr>
                <w:sz w:val="11"/>
                <w:szCs w:val="11"/>
                <w:color w:val="auto"/>
              </w:rPr>
            </w:pPr>
          </w:p>
        </w:tc>
        <w:tc>
          <w:tcPr>
            <w:tcW w:w="800" w:type="dxa"/>
            <w:vAlign w:val="bottom"/>
            <w:tcBorders>
              <w:bottom w:val="single" w:sz="8" w:color="009AD9"/>
              <w:right w:val="single" w:sz="8" w:color="009AD9"/>
            </w:tcBorders>
          </w:tcPr>
          <w:p>
            <w:pPr>
              <w:spacing w:after="0"/>
              <w:rPr>
                <w:sz w:val="11"/>
                <w:szCs w:val="11"/>
                <w:color w:val="auto"/>
              </w:rPr>
            </w:pPr>
          </w:p>
        </w:tc>
        <w:tc>
          <w:tcPr>
            <w:tcW w:w="1180" w:type="dxa"/>
            <w:vAlign w:val="bottom"/>
            <w:tcBorders>
              <w:bottom w:val="single" w:sz="8" w:color="009AD9"/>
              <w:right w:val="single" w:sz="8" w:color="009AD9"/>
            </w:tcBorders>
          </w:tcPr>
          <w:p>
            <w:pPr>
              <w:spacing w:after="0"/>
              <w:rPr>
                <w:sz w:val="11"/>
                <w:szCs w:val="11"/>
                <w:color w:val="auto"/>
              </w:rPr>
            </w:pPr>
          </w:p>
        </w:tc>
        <w:tc>
          <w:tcPr>
            <w:tcW w:w="1080" w:type="dxa"/>
            <w:vAlign w:val="bottom"/>
            <w:tcBorders>
              <w:bottom w:val="single" w:sz="8" w:color="009AD9"/>
              <w:right w:val="single" w:sz="8" w:color="009AD9"/>
            </w:tcBorders>
          </w:tcPr>
          <w:p>
            <w:pPr>
              <w:spacing w:after="0"/>
              <w:rPr>
                <w:sz w:val="11"/>
                <w:szCs w:val="11"/>
                <w:color w:val="auto"/>
              </w:rPr>
            </w:pPr>
          </w:p>
        </w:tc>
        <w:tc>
          <w:tcPr>
            <w:tcW w:w="3720" w:type="dxa"/>
            <w:vAlign w:val="bottom"/>
            <w:tcBorders>
              <w:bottom w:val="single" w:sz="8" w:color="009AD9"/>
            </w:tcBorders>
          </w:tcPr>
          <w:p>
            <w:pPr>
              <w:ind w:left="240"/>
              <w:spacing w:after="0"/>
              <w:rPr>
                <w:sz w:val="20"/>
                <w:szCs w:val="20"/>
                <w:color w:val="auto"/>
              </w:rPr>
            </w:pPr>
            <w:r>
              <w:rPr>
                <w:rFonts w:ascii="Arial" w:cs="Arial" w:eastAsia="Arial" w:hAnsi="Arial"/>
                <w:sz w:val="11"/>
                <w:szCs w:val="11"/>
                <w:color w:val="auto"/>
              </w:rPr>
              <w:t>non-executive short-term incentive awards.</w:t>
            </w:r>
          </w:p>
        </w:tc>
        <w:tc>
          <w:tcPr>
            <w:tcW w:w="20" w:type="dxa"/>
            <w:vAlign w:val="bottom"/>
            <w:tcBorders>
              <w:bottom w:val="single" w:sz="8" w:color="009AD9"/>
            </w:tcBorders>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009AD9"/>
              <w:right w:val="single" w:sz="8" w:color="009AD9"/>
            </w:tcBorders>
            <w:shd w:val="clear" w:color="auto" w:fill="D8EFF9"/>
          </w:tcPr>
          <w:p>
            <w:pPr>
              <w:spacing w:after="0"/>
              <w:rPr>
                <w:sz w:val="10"/>
                <w:szCs w:val="10"/>
                <w:color w:val="auto"/>
              </w:rPr>
            </w:pPr>
          </w:p>
        </w:tc>
        <w:tc>
          <w:tcPr>
            <w:tcW w:w="800" w:type="dxa"/>
            <w:vAlign w:val="bottom"/>
            <w:tcBorders>
              <w:right w:val="single" w:sz="8" w:color="009AD9"/>
            </w:tcBorders>
          </w:tcPr>
          <w:p>
            <w:pPr>
              <w:spacing w:after="0"/>
              <w:rPr>
                <w:sz w:val="10"/>
                <w:szCs w:val="10"/>
                <w:color w:val="auto"/>
              </w:rPr>
            </w:pPr>
          </w:p>
        </w:tc>
        <w:tc>
          <w:tcPr>
            <w:tcW w:w="1180" w:type="dxa"/>
            <w:vAlign w:val="bottom"/>
            <w:tcBorders>
              <w:right w:val="single" w:sz="8" w:color="009AD9"/>
            </w:tcBorders>
          </w:tcPr>
          <w:p>
            <w:pPr>
              <w:spacing w:after="0"/>
              <w:rPr>
                <w:sz w:val="10"/>
                <w:szCs w:val="10"/>
                <w:color w:val="auto"/>
              </w:rPr>
            </w:pPr>
          </w:p>
        </w:tc>
        <w:tc>
          <w:tcPr>
            <w:tcW w:w="1080" w:type="dxa"/>
            <w:vAlign w:val="bottom"/>
            <w:tcBorders>
              <w:right w:val="single" w:sz="8" w:color="009AD9"/>
            </w:tcBorders>
          </w:tcPr>
          <w:p>
            <w:pPr>
              <w:jc w:val="center"/>
              <w:spacing w:after="0" w:line="117" w:lineRule="exact"/>
              <w:rPr>
                <w:sz w:val="20"/>
                <w:szCs w:val="20"/>
                <w:color w:val="auto"/>
              </w:rPr>
            </w:pPr>
            <w:r>
              <w:rPr>
                <w:rFonts w:ascii="Arial" w:cs="Arial" w:eastAsia="Arial" w:hAnsi="Arial"/>
                <w:sz w:val="11"/>
                <w:szCs w:val="11"/>
                <w:b w:val="1"/>
                <w:bCs w:val="1"/>
                <w:color w:val="auto"/>
                <w:w w:val="98"/>
              </w:rPr>
              <w:t>Three-year cliff</w:t>
            </w:r>
          </w:p>
        </w:tc>
        <w:tc>
          <w:tcPr>
            <w:tcW w:w="3720" w:type="dxa"/>
            <w:vAlign w:val="bottom"/>
          </w:tcPr>
          <w:p>
            <w:pPr>
              <w:ind w:left="140"/>
              <w:spacing w:after="0" w:line="11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 Rewards creation of long-term value through cumulative Adjusted</w:t>
            </w:r>
          </w:p>
        </w:tc>
        <w:tc>
          <w:tcPr>
            <w:tcW w:w="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60" w:type="dxa"/>
            <w:vAlign w:val="bottom"/>
            <w:tcBorders>
              <w:left w:val="single" w:sz="8" w:color="009AD9"/>
              <w:right w:val="single" w:sz="8" w:color="009AD9"/>
            </w:tcBorders>
            <w:shd w:val="clear" w:color="auto" w:fill="D8EFF9"/>
          </w:tcPr>
          <w:p>
            <w:pPr>
              <w:spacing w:after="0"/>
              <w:rPr>
                <w:sz w:val="9"/>
                <w:szCs w:val="9"/>
                <w:color w:val="auto"/>
              </w:rPr>
            </w:pPr>
          </w:p>
        </w:tc>
        <w:tc>
          <w:tcPr>
            <w:tcW w:w="800" w:type="dxa"/>
            <w:vAlign w:val="bottom"/>
            <w:tcBorders>
              <w:right w:val="single" w:sz="8" w:color="009AD9"/>
            </w:tcBorders>
          </w:tcPr>
          <w:p>
            <w:pPr>
              <w:spacing w:after="0"/>
              <w:rPr>
                <w:sz w:val="9"/>
                <w:szCs w:val="9"/>
                <w:color w:val="auto"/>
              </w:rPr>
            </w:pPr>
          </w:p>
        </w:tc>
        <w:tc>
          <w:tcPr>
            <w:tcW w:w="1180" w:type="dxa"/>
            <w:vAlign w:val="bottom"/>
            <w:tcBorders>
              <w:right w:val="single" w:sz="8" w:color="009AD9"/>
            </w:tcBorders>
          </w:tcPr>
          <w:p>
            <w:pPr>
              <w:spacing w:after="0"/>
              <w:rPr>
                <w:sz w:val="9"/>
                <w:szCs w:val="9"/>
                <w:color w:val="auto"/>
              </w:rPr>
            </w:pPr>
          </w:p>
        </w:tc>
        <w:tc>
          <w:tcPr>
            <w:tcW w:w="1080" w:type="dxa"/>
            <w:vAlign w:val="bottom"/>
            <w:tcBorders>
              <w:right w:val="single" w:sz="8" w:color="009AD9"/>
            </w:tcBorders>
          </w:tcPr>
          <w:p>
            <w:pPr>
              <w:jc w:val="center"/>
              <w:spacing w:after="0" w:line="111" w:lineRule="exact"/>
              <w:rPr>
                <w:sz w:val="20"/>
                <w:szCs w:val="20"/>
                <w:color w:val="auto"/>
              </w:rPr>
            </w:pPr>
            <w:r>
              <w:rPr>
                <w:rFonts w:ascii="Arial" w:cs="Arial" w:eastAsia="Arial" w:hAnsi="Arial"/>
                <w:sz w:val="11"/>
                <w:szCs w:val="11"/>
                <w:b w:val="1"/>
                <w:bCs w:val="1"/>
                <w:color w:val="auto"/>
                <w:w w:val="99"/>
              </w:rPr>
              <w:t>vesting, subject to</w:t>
            </w:r>
          </w:p>
        </w:tc>
        <w:tc>
          <w:tcPr>
            <w:tcW w:w="3720" w:type="dxa"/>
            <w:vAlign w:val="bottom"/>
          </w:tcPr>
          <w:p>
            <w:pPr>
              <w:ind w:left="240"/>
              <w:spacing w:after="0" w:line="111" w:lineRule="exact"/>
              <w:rPr>
                <w:sz w:val="20"/>
                <w:szCs w:val="20"/>
                <w:color w:val="auto"/>
              </w:rPr>
            </w:pPr>
            <w:r>
              <w:rPr>
                <w:rFonts w:ascii="Arial" w:cs="Arial" w:eastAsia="Arial" w:hAnsi="Arial"/>
                <w:sz w:val="11"/>
                <w:szCs w:val="11"/>
                <w:color w:val="auto"/>
              </w:rPr>
              <w:t>EPS</w:t>
            </w:r>
          </w:p>
        </w:tc>
        <w:tc>
          <w:tcPr>
            <w:tcW w:w="2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60" w:type="dxa"/>
            <w:vAlign w:val="bottom"/>
            <w:tcBorders>
              <w:left w:val="single" w:sz="8" w:color="009AD9"/>
              <w:right w:val="single" w:sz="8" w:color="009AD9"/>
            </w:tcBorders>
            <w:shd w:val="clear" w:color="auto" w:fill="D8EFF9"/>
          </w:tcPr>
          <w:p>
            <w:pPr>
              <w:spacing w:after="0"/>
              <w:rPr>
                <w:sz w:val="11"/>
                <w:szCs w:val="11"/>
                <w:color w:val="auto"/>
              </w:rPr>
            </w:pPr>
          </w:p>
        </w:tc>
        <w:tc>
          <w:tcPr>
            <w:tcW w:w="800" w:type="dxa"/>
            <w:vAlign w:val="bottom"/>
            <w:tcBorders>
              <w:right w:val="single" w:sz="8" w:color="009AD9"/>
            </w:tcBorders>
          </w:tcPr>
          <w:p>
            <w:pPr>
              <w:spacing w:after="0"/>
              <w:rPr>
                <w:sz w:val="11"/>
                <w:szCs w:val="11"/>
                <w:color w:val="auto"/>
              </w:rPr>
            </w:pPr>
          </w:p>
        </w:tc>
        <w:tc>
          <w:tcPr>
            <w:tcW w:w="1180" w:type="dxa"/>
            <w:vAlign w:val="bottom"/>
            <w:tcBorders>
              <w:right w:val="single" w:sz="8" w:color="009AD9"/>
            </w:tcBorders>
          </w:tcPr>
          <w:p>
            <w:pPr>
              <w:spacing w:after="0"/>
              <w:rPr>
                <w:sz w:val="11"/>
                <w:szCs w:val="11"/>
                <w:color w:val="auto"/>
              </w:rPr>
            </w:pPr>
          </w:p>
        </w:tc>
        <w:tc>
          <w:tcPr>
            <w:tcW w:w="1080" w:type="dxa"/>
            <w:vAlign w:val="bottom"/>
            <w:tcBorders>
              <w:right w:val="single" w:sz="8" w:color="009AD9"/>
            </w:tcBorders>
          </w:tcPr>
          <w:p>
            <w:pPr>
              <w:jc w:val="center"/>
              <w:spacing w:after="0"/>
              <w:rPr>
                <w:sz w:val="20"/>
                <w:szCs w:val="20"/>
                <w:color w:val="auto"/>
              </w:rPr>
            </w:pPr>
            <w:r>
              <w:rPr>
                <w:rFonts w:ascii="Arial" w:cs="Arial" w:eastAsia="Arial" w:hAnsi="Arial"/>
                <w:sz w:val="11"/>
                <w:szCs w:val="11"/>
                <w:b w:val="1"/>
                <w:bCs w:val="1"/>
                <w:color w:val="auto"/>
              </w:rPr>
              <w:t>cumulative</w:t>
            </w: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 Aligns with shareholder interests</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1"/>
                <w:szCs w:val="11"/>
                <w:b w:val="1"/>
                <w:bCs w:val="1"/>
                <w:i w:val="1"/>
                <w:iCs w:val="1"/>
                <w:color w:val="auto"/>
              </w:rPr>
              <w:t>At Risk</w:t>
            </w:r>
          </w:p>
        </w:tc>
        <w:tc>
          <w:tcPr>
            <w:tcW w:w="800" w:type="dxa"/>
            <w:vAlign w:val="bottom"/>
            <w:tcBorders>
              <w:right w:val="single" w:sz="8" w:color="009AD9"/>
            </w:tcBorders>
          </w:tcPr>
          <w:p>
            <w:pPr>
              <w:spacing w:after="0"/>
              <w:rPr>
                <w:sz w:val="11"/>
                <w:szCs w:val="11"/>
                <w:color w:val="auto"/>
              </w:rPr>
            </w:pPr>
          </w:p>
        </w:tc>
        <w:tc>
          <w:tcPr>
            <w:tcW w:w="1180" w:type="dxa"/>
            <w:vAlign w:val="bottom"/>
            <w:tcBorders>
              <w:right w:val="single" w:sz="8" w:color="009AD9"/>
            </w:tcBorders>
          </w:tcPr>
          <w:p>
            <w:pPr>
              <w:spacing w:after="0"/>
              <w:rPr>
                <w:sz w:val="11"/>
                <w:szCs w:val="11"/>
                <w:color w:val="auto"/>
              </w:rPr>
            </w:pPr>
          </w:p>
        </w:tc>
        <w:tc>
          <w:tcPr>
            <w:tcW w:w="1080" w:type="dxa"/>
            <w:vAlign w:val="bottom"/>
            <w:tcBorders>
              <w:right w:val="single" w:sz="8" w:color="009AD9"/>
            </w:tcBorders>
          </w:tcPr>
          <w:p>
            <w:pPr>
              <w:jc w:val="center"/>
              <w:spacing w:after="0"/>
              <w:rPr>
                <w:sz w:val="20"/>
                <w:szCs w:val="20"/>
                <w:color w:val="auto"/>
              </w:rPr>
            </w:pPr>
            <w:r>
              <w:rPr>
                <w:rFonts w:ascii="Arial" w:cs="Arial" w:eastAsia="Arial" w:hAnsi="Arial"/>
                <w:sz w:val="11"/>
                <w:szCs w:val="11"/>
                <w:b w:val="1"/>
                <w:bCs w:val="1"/>
                <w:color w:val="auto"/>
                <w:w w:val="99"/>
              </w:rPr>
              <w:t>Adjusted EPS</w:t>
            </w: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 PSUs based on cumulative Adjusted EPS represent 35% of total</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 w:type="dxa"/>
            <w:vAlign w:val="bottom"/>
            <w:tcBorders>
              <w:left w:val="single" w:sz="8" w:color="009AD9"/>
              <w:bottom w:val="single" w:sz="8" w:color="D8EFF9"/>
              <w:right w:val="single" w:sz="8" w:color="009AD9"/>
            </w:tcBorders>
            <w:vMerge w:val="continue"/>
            <w:shd w:val="clear" w:color="auto" w:fill="D8EFF9"/>
          </w:tcPr>
          <w:p>
            <w:pPr>
              <w:spacing w:after="0"/>
              <w:rPr>
                <w:sz w:val="14"/>
                <w:szCs w:val="14"/>
                <w:color w:val="auto"/>
              </w:rPr>
            </w:pPr>
          </w:p>
        </w:tc>
        <w:tc>
          <w:tcPr>
            <w:tcW w:w="800" w:type="dxa"/>
            <w:vAlign w:val="bottom"/>
            <w:tcBorders>
              <w:right w:val="single" w:sz="8" w:color="009AD9"/>
            </w:tcBorders>
          </w:tcPr>
          <w:p>
            <w:pPr>
              <w:spacing w:after="0"/>
              <w:rPr>
                <w:sz w:val="14"/>
                <w:szCs w:val="14"/>
                <w:color w:val="auto"/>
              </w:rPr>
            </w:pPr>
          </w:p>
        </w:tc>
        <w:tc>
          <w:tcPr>
            <w:tcW w:w="1180" w:type="dxa"/>
            <w:vAlign w:val="bottom"/>
            <w:tcBorders>
              <w:right w:val="single" w:sz="8" w:color="009AD9"/>
            </w:tcBorders>
          </w:tcPr>
          <w:p>
            <w:pPr>
              <w:spacing w:after="0"/>
              <w:rPr>
                <w:sz w:val="14"/>
                <w:szCs w:val="14"/>
                <w:color w:val="auto"/>
              </w:rPr>
            </w:pPr>
          </w:p>
        </w:tc>
        <w:tc>
          <w:tcPr>
            <w:tcW w:w="1080" w:type="dxa"/>
            <w:vAlign w:val="bottom"/>
            <w:tcBorders>
              <w:bottom w:val="single" w:sz="8" w:color="009AD9"/>
              <w:right w:val="single" w:sz="8" w:color="009AD9"/>
            </w:tcBorders>
          </w:tcPr>
          <w:p>
            <w:pPr>
              <w:jc w:val="center"/>
              <w:spacing w:after="0"/>
              <w:rPr>
                <w:sz w:val="20"/>
                <w:szCs w:val="20"/>
                <w:color w:val="auto"/>
              </w:rPr>
            </w:pPr>
            <w:r>
              <w:rPr>
                <w:rFonts w:ascii="Arial" w:cs="Arial" w:eastAsia="Arial" w:hAnsi="Arial"/>
                <w:sz w:val="11"/>
                <w:szCs w:val="11"/>
                <w:b w:val="1"/>
                <w:bCs w:val="1"/>
                <w:color w:val="auto"/>
                <w:w w:val="98"/>
              </w:rPr>
              <w:t>performance</w:t>
            </w:r>
          </w:p>
        </w:tc>
        <w:tc>
          <w:tcPr>
            <w:tcW w:w="3720" w:type="dxa"/>
            <w:vAlign w:val="bottom"/>
            <w:tcBorders>
              <w:bottom w:val="single" w:sz="8" w:color="009AD9"/>
            </w:tcBorders>
          </w:tcPr>
          <w:p>
            <w:pPr>
              <w:ind w:left="240"/>
              <w:spacing w:after="0"/>
              <w:rPr>
                <w:sz w:val="20"/>
                <w:szCs w:val="20"/>
                <w:color w:val="auto"/>
              </w:rPr>
            </w:pPr>
            <w:r>
              <w:rPr>
                <w:rFonts w:ascii="Arial" w:cs="Arial" w:eastAsia="Arial" w:hAnsi="Arial"/>
                <w:sz w:val="11"/>
                <w:szCs w:val="11"/>
                <w:color w:val="auto"/>
              </w:rPr>
              <w:t>award value</w:t>
            </w:r>
          </w:p>
        </w:tc>
        <w:tc>
          <w:tcPr>
            <w:tcW w:w="20" w:type="dxa"/>
            <w:vAlign w:val="bottom"/>
            <w:tcBorders>
              <w:bottom w:val="single" w:sz="8" w:color="009AD9"/>
            </w:tcBorders>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tcPr>
          <w:p>
            <w:pPr>
              <w:spacing w:after="0"/>
              <w:rPr>
                <w:sz w:val="8"/>
                <w:szCs w:val="8"/>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w w:val="99"/>
              </w:rPr>
              <w:t>Performance Share</w:t>
            </w:r>
          </w:p>
        </w:tc>
        <w:tc>
          <w:tcPr>
            <w:tcW w:w="10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5"/>
              </w:rPr>
              <w:t>Three-year cliff</w:t>
            </w:r>
          </w:p>
        </w:tc>
        <w:tc>
          <w:tcPr>
            <w:tcW w:w="3720" w:type="dxa"/>
            <w:vAlign w:val="bottom"/>
          </w:tcPr>
          <w:p>
            <w:pPr>
              <w:ind w:left="140"/>
              <w:spacing w:after="0" w:line="101"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 Incentivizes Company outperformance relative to peer companies</w:t>
            </w: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60" w:type="dxa"/>
            <w:vAlign w:val="bottom"/>
            <w:tcBorders>
              <w:left w:val="single" w:sz="8" w:color="009AD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tcPr>
          <w:p>
            <w:pPr>
              <w:spacing w:after="0"/>
              <w:rPr>
                <w:sz w:val="6"/>
                <w:szCs w:val="6"/>
                <w:color w:val="auto"/>
              </w:rPr>
            </w:pPr>
          </w:p>
        </w:tc>
        <w:tc>
          <w:tcPr>
            <w:tcW w:w="1180" w:type="dxa"/>
            <w:vAlign w:val="bottom"/>
            <w:tcBorders>
              <w:right w:val="single" w:sz="8" w:color="009AD9"/>
            </w:tcBorders>
            <w:vMerge w:val="continue"/>
          </w:tcPr>
          <w:p>
            <w:pPr>
              <w:spacing w:after="0"/>
              <w:rPr>
                <w:sz w:val="6"/>
                <w:szCs w:val="6"/>
                <w:color w:val="auto"/>
              </w:rPr>
            </w:pPr>
          </w:p>
        </w:tc>
        <w:tc>
          <w:tcPr>
            <w:tcW w:w="1080" w:type="dxa"/>
            <w:vAlign w:val="bottom"/>
            <w:tcBorders>
              <w:right w:val="single" w:sz="8" w:color="009AD9"/>
            </w:tcBorders>
            <w:vMerge w:val="continue"/>
          </w:tcPr>
          <w:p>
            <w:pPr>
              <w:spacing w:after="0"/>
              <w:rPr>
                <w:sz w:val="6"/>
                <w:szCs w:val="6"/>
                <w:color w:val="auto"/>
              </w:rPr>
            </w:pP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 Aligns with shareholder interests</w:t>
            </w:r>
          </w:p>
        </w:tc>
        <w:tc>
          <w:tcPr>
            <w:tcW w:w="20" w:type="dxa"/>
            <w:vAlign w:val="bottom"/>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60" w:type="dxa"/>
            <w:vAlign w:val="bottom"/>
            <w:tcBorders>
              <w:left w:val="single" w:sz="8" w:color="009AD9"/>
              <w:right w:val="single" w:sz="8" w:color="009AD9"/>
            </w:tcBorders>
            <w:shd w:val="clear" w:color="auto" w:fill="D8EFF9"/>
          </w:tcPr>
          <w:p>
            <w:pPr>
              <w:spacing w:after="0"/>
              <w:rPr>
                <w:sz w:val="4"/>
                <w:szCs w:val="4"/>
                <w:color w:val="auto"/>
              </w:rPr>
            </w:pPr>
          </w:p>
        </w:tc>
        <w:tc>
          <w:tcPr>
            <w:tcW w:w="800" w:type="dxa"/>
            <w:vAlign w:val="bottom"/>
            <w:tcBorders>
              <w:right w:val="single" w:sz="8" w:color="009AD9"/>
            </w:tcBorders>
          </w:tcPr>
          <w:p>
            <w:pPr>
              <w:spacing w:after="0"/>
              <w:rPr>
                <w:sz w:val="4"/>
                <w:szCs w:val="4"/>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w w:val="98"/>
              </w:rPr>
              <w:t>Units (PSUs)</w:t>
            </w:r>
          </w:p>
        </w:tc>
        <w:tc>
          <w:tcPr>
            <w:tcW w:w="1080" w:type="dxa"/>
            <w:vAlign w:val="bottom"/>
            <w:tcBorders>
              <w:right w:val="single" w:sz="8" w:color="009AD9"/>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6"/>
              </w:rPr>
              <w:t>vesting, subject to</w:t>
            </w:r>
          </w:p>
        </w:tc>
        <w:tc>
          <w:tcPr>
            <w:tcW w:w="3720" w:type="dxa"/>
            <w:vAlign w:val="bottom"/>
            <w:vMerge w:val="continue"/>
          </w:tcPr>
          <w:p>
            <w:pPr>
              <w:spacing w:after="0"/>
              <w:rPr>
                <w:sz w:val="4"/>
                <w:szCs w:val="4"/>
                <w:color w:val="auto"/>
              </w:rPr>
            </w:pPr>
          </w:p>
        </w:tc>
        <w:tc>
          <w:tcPr>
            <w:tcW w:w="20" w:type="dxa"/>
            <w:vAlign w:val="bottom"/>
            <w:shd w:val="clear" w:color="auto" w:fill="009AD9"/>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560" w:type="dxa"/>
            <w:vAlign w:val="bottom"/>
            <w:tcBorders>
              <w:left w:val="single" w:sz="8" w:color="009AD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tcPr>
          <w:p>
            <w:pPr>
              <w:spacing w:after="0"/>
              <w:rPr>
                <w:sz w:val="6"/>
                <w:szCs w:val="6"/>
                <w:color w:val="auto"/>
              </w:rPr>
            </w:pPr>
          </w:p>
        </w:tc>
        <w:tc>
          <w:tcPr>
            <w:tcW w:w="1180" w:type="dxa"/>
            <w:vAlign w:val="bottom"/>
            <w:tcBorders>
              <w:right w:val="single" w:sz="8" w:color="009AD9"/>
            </w:tcBorders>
            <w:vMerge w:val="continue"/>
          </w:tcPr>
          <w:p>
            <w:pPr>
              <w:spacing w:after="0"/>
              <w:rPr>
                <w:sz w:val="6"/>
                <w:szCs w:val="6"/>
                <w:color w:val="auto"/>
              </w:rPr>
            </w:pPr>
          </w:p>
        </w:tc>
        <w:tc>
          <w:tcPr>
            <w:tcW w:w="1080" w:type="dxa"/>
            <w:vAlign w:val="bottom"/>
            <w:tcBorders>
              <w:right w:val="single" w:sz="8" w:color="009AD9"/>
            </w:tcBorders>
            <w:vMerge w:val="continue"/>
          </w:tcPr>
          <w:p>
            <w:pPr>
              <w:spacing w:after="0"/>
              <w:rPr>
                <w:sz w:val="6"/>
                <w:szCs w:val="6"/>
                <w:color w:val="auto"/>
              </w:rPr>
            </w:pP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 TSR target and maximum performance based on a percentile</w:t>
            </w:r>
          </w:p>
        </w:tc>
        <w:tc>
          <w:tcPr>
            <w:tcW w:w="20" w:type="dxa"/>
            <w:vAlign w:val="bottom"/>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60" w:type="dxa"/>
            <w:vAlign w:val="bottom"/>
            <w:tcBorders>
              <w:left w:val="single" w:sz="8" w:color="009AD9"/>
              <w:right w:val="single" w:sz="8" w:color="009AD9"/>
            </w:tcBorders>
            <w:shd w:val="clear" w:color="auto" w:fill="D8EFF9"/>
          </w:tcPr>
          <w:p>
            <w:pPr>
              <w:spacing w:after="0"/>
              <w:rPr>
                <w:sz w:val="8"/>
                <w:szCs w:val="8"/>
                <w:color w:val="auto"/>
              </w:rPr>
            </w:pPr>
          </w:p>
        </w:tc>
        <w:tc>
          <w:tcPr>
            <w:tcW w:w="800" w:type="dxa"/>
            <w:vAlign w:val="bottom"/>
            <w:tcBorders>
              <w:right w:val="single" w:sz="8" w:color="009AD9"/>
            </w:tcBorders>
          </w:tcPr>
          <w:p>
            <w:pPr>
              <w:spacing w:after="0"/>
              <w:rPr>
                <w:sz w:val="8"/>
                <w:szCs w:val="8"/>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w w:val="99"/>
              </w:rPr>
              <w:t>75%</w:t>
            </w:r>
          </w:p>
        </w:tc>
        <w:tc>
          <w:tcPr>
            <w:tcW w:w="1080" w:type="dxa"/>
            <w:vAlign w:val="bottom"/>
            <w:tcBorders>
              <w:right w:val="single" w:sz="8" w:color="009AD9"/>
            </w:tcBorders>
            <w:vMerge w:val="restart"/>
          </w:tcPr>
          <w:p>
            <w:pPr>
              <w:jc w:val="center"/>
              <w:spacing w:after="0" w:line="129" w:lineRule="exact"/>
              <w:rPr>
                <w:sz w:val="20"/>
                <w:szCs w:val="20"/>
                <w:color w:val="auto"/>
              </w:rPr>
            </w:pPr>
            <w:r>
              <w:rPr>
                <w:rFonts w:ascii="Arial" w:cs="Arial" w:eastAsia="Arial" w:hAnsi="Arial"/>
                <w:sz w:val="12"/>
                <w:szCs w:val="12"/>
                <w:b w:val="1"/>
                <w:bCs w:val="1"/>
                <w:color w:val="auto"/>
                <w:w w:val="96"/>
              </w:rPr>
              <w:t>relative stock</w:t>
            </w:r>
          </w:p>
        </w:tc>
        <w:tc>
          <w:tcPr>
            <w:tcW w:w="3720" w:type="dxa"/>
            <w:vAlign w:val="bottom"/>
            <w:vMerge w:val="continue"/>
          </w:tcPr>
          <w:p>
            <w:pPr>
              <w:spacing w:after="0"/>
              <w:rPr>
                <w:sz w:val="8"/>
                <w:szCs w:val="8"/>
                <w:color w:val="auto"/>
              </w:rPr>
            </w:pPr>
          </w:p>
        </w:tc>
        <w:tc>
          <w:tcPr>
            <w:tcW w:w="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560" w:type="dxa"/>
            <w:vAlign w:val="bottom"/>
            <w:tcBorders>
              <w:left w:val="single" w:sz="8" w:color="009AD9"/>
              <w:right w:val="single" w:sz="8" w:color="009AD9"/>
            </w:tcBorders>
            <w:shd w:val="clear" w:color="auto" w:fill="D8EFF9"/>
          </w:tcPr>
          <w:p>
            <w:pPr>
              <w:spacing w:after="0"/>
              <w:rPr>
                <w:sz w:val="3"/>
                <w:szCs w:val="3"/>
                <w:color w:val="auto"/>
              </w:rPr>
            </w:pPr>
          </w:p>
        </w:tc>
        <w:tc>
          <w:tcPr>
            <w:tcW w:w="800" w:type="dxa"/>
            <w:vAlign w:val="bottom"/>
            <w:tcBorders>
              <w:right w:val="single" w:sz="8" w:color="009AD9"/>
            </w:tcBorders>
          </w:tcPr>
          <w:p>
            <w:pPr>
              <w:spacing w:after="0"/>
              <w:rPr>
                <w:sz w:val="3"/>
                <w:szCs w:val="3"/>
                <w:color w:val="auto"/>
              </w:rPr>
            </w:pPr>
          </w:p>
        </w:tc>
        <w:tc>
          <w:tcPr>
            <w:tcW w:w="1180" w:type="dxa"/>
            <w:vAlign w:val="bottom"/>
            <w:tcBorders>
              <w:right w:val="single" w:sz="8" w:color="009AD9"/>
            </w:tcBorders>
            <w:vMerge w:val="continue"/>
          </w:tcPr>
          <w:p>
            <w:pPr>
              <w:spacing w:after="0"/>
              <w:rPr>
                <w:sz w:val="3"/>
                <w:szCs w:val="3"/>
                <w:color w:val="auto"/>
              </w:rPr>
            </w:pPr>
          </w:p>
        </w:tc>
        <w:tc>
          <w:tcPr>
            <w:tcW w:w="1080" w:type="dxa"/>
            <w:vAlign w:val="bottom"/>
            <w:tcBorders>
              <w:right w:val="single" w:sz="8" w:color="009AD9"/>
            </w:tcBorders>
            <w:vMerge w:val="continue"/>
          </w:tcPr>
          <w:p>
            <w:pPr>
              <w:spacing w:after="0"/>
              <w:rPr>
                <w:sz w:val="3"/>
                <w:szCs w:val="3"/>
                <w:color w:val="auto"/>
              </w:rPr>
            </w:pPr>
          </w:p>
        </w:tc>
        <w:tc>
          <w:tcPr>
            <w:tcW w:w="3720" w:type="dxa"/>
            <w:vAlign w:val="bottom"/>
            <w:vMerge w:val="restart"/>
          </w:tcPr>
          <w:p>
            <w:pPr>
              <w:ind w:left="240"/>
              <w:spacing w:after="0" w:line="99" w:lineRule="exact"/>
              <w:rPr>
                <w:sz w:val="20"/>
                <w:szCs w:val="20"/>
                <w:color w:val="auto"/>
              </w:rPr>
            </w:pPr>
            <w:r>
              <w:rPr>
                <w:rFonts w:ascii="Arial" w:cs="Arial" w:eastAsia="Arial" w:hAnsi="Arial"/>
                <w:sz w:val="11"/>
                <w:szCs w:val="11"/>
                <w:color w:val="auto"/>
              </w:rPr>
              <w:t>achievement based on position relative to peer group</w:t>
            </w:r>
          </w:p>
        </w:tc>
        <w:tc>
          <w:tcPr>
            <w:tcW w:w="20" w:type="dxa"/>
            <w:vAlign w:val="bottom"/>
            <w:shd w:val="clear" w:color="auto" w:fill="009A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4"/>
        </w:trPr>
        <w:tc>
          <w:tcPr>
            <w:tcW w:w="560" w:type="dxa"/>
            <w:vAlign w:val="bottom"/>
            <w:tcBorders>
              <w:left w:val="single" w:sz="8" w:color="009AD9"/>
              <w:right w:val="single" w:sz="8" w:color="009AD9"/>
            </w:tcBorders>
            <w:shd w:val="clear" w:color="auto" w:fill="D8EFF9"/>
          </w:tcPr>
          <w:p>
            <w:pPr>
              <w:spacing w:after="0"/>
              <w:rPr>
                <w:sz w:val="5"/>
                <w:szCs w:val="5"/>
                <w:color w:val="auto"/>
              </w:rPr>
            </w:pPr>
          </w:p>
        </w:tc>
        <w:tc>
          <w:tcPr>
            <w:tcW w:w="800" w:type="dxa"/>
            <w:vAlign w:val="bottom"/>
            <w:tcBorders>
              <w:right w:val="single" w:sz="8" w:color="009AD9"/>
            </w:tcBorders>
          </w:tcPr>
          <w:p>
            <w:pPr>
              <w:spacing w:after="0"/>
              <w:rPr>
                <w:sz w:val="5"/>
                <w:szCs w:val="5"/>
                <w:color w:val="auto"/>
              </w:rPr>
            </w:pPr>
          </w:p>
        </w:tc>
        <w:tc>
          <w:tcPr>
            <w:tcW w:w="1180" w:type="dxa"/>
            <w:vAlign w:val="bottom"/>
            <w:tcBorders>
              <w:right w:val="single" w:sz="8" w:color="009AD9"/>
            </w:tcBorders>
          </w:tcPr>
          <w:p>
            <w:pPr>
              <w:spacing w:after="0"/>
              <w:rPr>
                <w:sz w:val="5"/>
                <w:szCs w:val="5"/>
                <w:color w:val="auto"/>
              </w:rPr>
            </w:pPr>
          </w:p>
        </w:tc>
        <w:tc>
          <w:tcPr>
            <w:tcW w:w="10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w w:val="96"/>
              </w:rPr>
              <w:t>performance</w:t>
            </w:r>
          </w:p>
        </w:tc>
        <w:tc>
          <w:tcPr>
            <w:tcW w:w="3720" w:type="dxa"/>
            <w:vAlign w:val="bottom"/>
            <w:vMerge w:val="continue"/>
          </w:tcPr>
          <w:p>
            <w:pPr>
              <w:spacing w:after="0"/>
              <w:rPr>
                <w:sz w:val="5"/>
                <w:szCs w:val="5"/>
                <w:color w:val="auto"/>
              </w:rPr>
            </w:pPr>
          </w:p>
        </w:tc>
        <w:tc>
          <w:tcPr>
            <w:tcW w:w="20" w:type="dxa"/>
            <w:vAlign w:val="bottom"/>
            <w:shd w:val="clear" w:color="auto" w:fill="009AD9"/>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560" w:type="dxa"/>
            <w:vAlign w:val="bottom"/>
            <w:tcBorders>
              <w:left w:val="single" w:sz="8" w:color="009AD9"/>
              <w:right w:val="single" w:sz="8" w:color="009AD9"/>
            </w:tcBorders>
            <w:shd w:val="clear" w:color="auto" w:fill="D8EFF9"/>
          </w:tcPr>
          <w:p>
            <w:pPr>
              <w:spacing w:after="0"/>
              <w:rPr>
                <w:sz w:val="7"/>
                <w:szCs w:val="7"/>
                <w:color w:val="auto"/>
              </w:rPr>
            </w:pPr>
          </w:p>
        </w:tc>
        <w:tc>
          <w:tcPr>
            <w:tcW w:w="80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color w:val="auto"/>
                <w:w w:val="97"/>
              </w:rPr>
              <w:t>Long-Term</w:t>
            </w:r>
          </w:p>
        </w:tc>
        <w:tc>
          <w:tcPr>
            <w:tcW w:w="1180" w:type="dxa"/>
            <w:vAlign w:val="bottom"/>
            <w:tcBorders>
              <w:right w:val="single" w:sz="8" w:color="009AD9"/>
            </w:tcBorders>
          </w:tcPr>
          <w:p>
            <w:pPr>
              <w:spacing w:after="0"/>
              <w:rPr>
                <w:sz w:val="7"/>
                <w:szCs w:val="7"/>
                <w:color w:val="auto"/>
              </w:rPr>
            </w:pPr>
          </w:p>
        </w:tc>
        <w:tc>
          <w:tcPr>
            <w:tcW w:w="1080" w:type="dxa"/>
            <w:vAlign w:val="bottom"/>
            <w:tcBorders>
              <w:right w:val="single" w:sz="8" w:color="009AD9"/>
            </w:tcBorders>
            <w:vMerge w:val="continue"/>
          </w:tcPr>
          <w:p>
            <w:pPr>
              <w:spacing w:after="0"/>
              <w:rPr>
                <w:sz w:val="7"/>
                <w:szCs w:val="7"/>
                <w:color w:val="auto"/>
              </w:rPr>
            </w:pP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 PSUs based on TSR represent 35% of total award value</w:t>
            </w:r>
          </w:p>
        </w:tc>
        <w:tc>
          <w:tcPr>
            <w:tcW w:w="20" w:type="dxa"/>
            <w:vAlign w:val="bottom"/>
            <w:shd w:val="clear" w:color="auto" w:fill="009AD9"/>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560" w:type="dxa"/>
            <w:vAlign w:val="bottom"/>
            <w:tcBorders>
              <w:left w:val="single" w:sz="8" w:color="009AD9"/>
              <w:bottom w:val="single" w:sz="8" w:color="D8EFF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vMerge w:val="continue"/>
          </w:tcPr>
          <w:p>
            <w:pPr>
              <w:spacing w:after="0"/>
              <w:rPr>
                <w:sz w:val="6"/>
                <w:szCs w:val="6"/>
                <w:color w:val="auto"/>
              </w:rPr>
            </w:pPr>
          </w:p>
        </w:tc>
        <w:tc>
          <w:tcPr>
            <w:tcW w:w="1180" w:type="dxa"/>
            <w:vAlign w:val="bottom"/>
            <w:tcBorders>
              <w:right w:val="single" w:sz="8" w:color="009AD9"/>
            </w:tcBorders>
          </w:tcPr>
          <w:p>
            <w:pPr>
              <w:spacing w:after="0"/>
              <w:rPr>
                <w:sz w:val="6"/>
                <w:szCs w:val="6"/>
                <w:color w:val="auto"/>
              </w:rPr>
            </w:pPr>
          </w:p>
        </w:tc>
        <w:tc>
          <w:tcPr>
            <w:tcW w:w="1080" w:type="dxa"/>
            <w:vAlign w:val="bottom"/>
            <w:tcBorders>
              <w:bottom w:val="single" w:sz="8" w:color="009AD9"/>
              <w:right w:val="single" w:sz="8" w:color="009AD9"/>
            </w:tcBorders>
          </w:tcPr>
          <w:p>
            <w:pPr>
              <w:spacing w:after="0"/>
              <w:rPr>
                <w:sz w:val="6"/>
                <w:szCs w:val="6"/>
                <w:color w:val="auto"/>
              </w:rPr>
            </w:pPr>
          </w:p>
        </w:tc>
        <w:tc>
          <w:tcPr>
            <w:tcW w:w="3720" w:type="dxa"/>
            <w:vAlign w:val="bottom"/>
            <w:tcBorders>
              <w:bottom w:val="single" w:sz="8" w:color="009AD9"/>
            </w:tcBorders>
            <w:vMerge w:val="continue"/>
          </w:tcPr>
          <w:p>
            <w:pPr>
              <w:spacing w:after="0"/>
              <w:rPr>
                <w:sz w:val="6"/>
                <w:szCs w:val="6"/>
                <w:color w:val="auto"/>
              </w:rPr>
            </w:pPr>
          </w:p>
        </w:tc>
        <w:tc>
          <w:tcPr>
            <w:tcW w:w="20" w:type="dxa"/>
            <w:vAlign w:val="bottom"/>
            <w:tcBorders>
              <w:bottom w:val="single" w:sz="8" w:color="009AD9"/>
            </w:tcBorders>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560" w:type="dxa"/>
            <w:vAlign w:val="bottom"/>
            <w:tcBorders>
              <w:left w:val="single" w:sz="8" w:color="009AD9"/>
              <w:right w:val="single" w:sz="8" w:color="009AD9"/>
            </w:tcBorders>
            <w:shd w:val="clear" w:color="auto" w:fill="D8EFF9"/>
          </w:tcPr>
          <w:p>
            <w:pPr>
              <w:spacing w:after="0"/>
              <w:rPr>
                <w:sz w:val="10"/>
                <w:szCs w:val="10"/>
                <w:color w:val="auto"/>
              </w:rPr>
            </w:pPr>
          </w:p>
        </w:tc>
        <w:tc>
          <w:tcPr>
            <w:tcW w:w="800" w:type="dxa"/>
            <w:vAlign w:val="bottom"/>
            <w:tcBorders>
              <w:right w:val="single" w:sz="8" w:color="009AD9"/>
            </w:tcBorders>
          </w:tcPr>
          <w:p>
            <w:pPr>
              <w:jc w:val="center"/>
              <w:spacing w:after="0" w:line="114" w:lineRule="exact"/>
              <w:rPr>
                <w:sz w:val="20"/>
                <w:szCs w:val="20"/>
                <w:color w:val="auto"/>
              </w:rPr>
            </w:pPr>
            <w:r>
              <w:rPr>
                <w:rFonts w:ascii="Arial" w:cs="Arial" w:eastAsia="Arial" w:hAnsi="Arial"/>
                <w:sz w:val="11"/>
                <w:szCs w:val="11"/>
                <w:b w:val="1"/>
                <w:bCs w:val="1"/>
                <w:color w:val="auto"/>
              </w:rPr>
              <w:t>Incentives</w:t>
            </w:r>
          </w:p>
        </w:tc>
        <w:tc>
          <w:tcPr>
            <w:tcW w:w="1180" w:type="dxa"/>
            <w:vAlign w:val="bottom"/>
            <w:tcBorders>
              <w:right w:val="single" w:sz="8" w:color="009AD9"/>
            </w:tcBorders>
          </w:tcPr>
          <w:p>
            <w:pPr>
              <w:spacing w:after="0"/>
              <w:rPr>
                <w:sz w:val="10"/>
                <w:szCs w:val="10"/>
                <w:color w:val="auto"/>
              </w:rPr>
            </w:pPr>
          </w:p>
        </w:tc>
        <w:tc>
          <w:tcPr>
            <w:tcW w:w="1080" w:type="dxa"/>
            <w:vAlign w:val="bottom"/>
            <w:tcBorders>
              <w:right w:val="single" w:sz="8" w:color="009AD9"/>
            </w:tcBorders>
          </w:tcPr>
          <w:p>
            <w:pPr>
              <w:jc w:val="center"/>
              <w:spacing w:after="0" w:line="118" w:lineRule="exact"/>
              <w:rPr>
                <w:sz w:val="20"/>
                <w:szCs w:val="20"/>
                <w:color w:val="auto"/>
              </w:rPr>
            </w:pPr>
            <w:r>
              <w:rPr>
                <w:rFonts w:ascii="Arial" w:cs="Arial" w:eastAsia="Arial" w:hAnsi="Arial"/>
                <w:sz w:val="12"/>
                <w:szCs w:val="12"/>
                <w:b w:val="1"/>
                <w:bCs w:val="1"/>
                <w:color w:val="auto"/>
                <w:w w:val="95"/>
              </w:rPr>
              <w:t>Three-year cliff</w:t>
            </w:r>
          </w:p>
        </w:tc>
        <w:tc>
          <w:tcPr>
            <w:tcW w:w="3720" w:type="dxa"/>
            <w:vAlign w:val="bottom"/>
          </w:tcPr>
          <w:p>
            <w:pPr>
              <w:ind w:left="140"/>
              <w:spacing w:after="0" w:line="119"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 Aligns with the Company’s long-term net zero and decarbonization</w:t>
            </w:r>
          </w:p>
        </w:tc>
        <w:tc>
          <w:tcPr>
            <w:tcW w:w="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60" w:type="dxa"/>
            <w:vAlign w:val="bottom"/>
            <w:tcBorders>
              <w:left w:val="single" w:sz="8" w:color="009AD9"/>
              <w:right w:val="single" w:sz="8" w:color="009AD9"/>
            </w:tcBorders>
            <w:shd w:val="clear" w:color="auto" w:fill="D8EFF9"/>
          </w:tcPr>
          <w:p>
            <w:pPr>
              <w:spacing w:after="0"/>
              <w:rPr>
                <w:sz w:val="10"/>
                <w:szCs w:val="10"/>
                <w:color w:val="auto"/>
              </w:rPr>
            </w:pPr>
          </w:p>
        </w:tc>
        <w:tc>
          <w:tcPr>
            <w:tcW w:w="800" w:type="dxa"/>
            <w:vAlign w:val="bottom"/>
            <w:tcBorders>
              <w:right w:val="single" w:sz="8" w:color="009AD9"/>
            </w:tcBorders>
          </w:tcPr>
          <w:p>
            <w:pPr>
              <w:spacing w:after="0"/>
              <w:rPr>
                <w:sz w:val="10"/>
                <w:szCs w:val="10"/>
                <w:color w:val="auto"/>
              </w:rPr>
            </w:pPr>
          </w:p>
        </w:tc>
        <w:tc>
          <w:tcPr>
            <w:tcW w:w="1180" w:type="dxa"/>
            <w:vAlign w:val="bottom"/>
            <w:tcBorders>
              <w:right w:val="single" w:sz="8" w:color="009AD9"/>
            </w:tcBorders>
          </w:tcPr>
          <w:p>
            <w:pPr>
              <w:spacing w:after="0"/>
              <w:rPr>
                <w:sz w:val="10"/>
                <w:szCs w:val="10"/>
                <w:color w:val="auto"/>
              </w:rPr>
            </w:pPr>
          </w:p>
        </w:tc>
        <w:tc>
          <w:tcPr>
            <w:tcW w:w="1080" w:type="dxa"/>
            <w:vAlign w:val="bottom"/>
            <w:tcBorders>
              <w:right w:val="single" w:sz="8" w:color="009AD9"/>
            </w:tcBorders>
          </w:tcPr>
          <w:p>
            <w:pPr>
              <w:jc w:val="center"/>
              <w:spacing w:after="0" w:line="118" w:lineRule="exact"/>
              <w:rPr>
                <w:sz w:val="20"/>
                <w:szCs w:val="20"/>
                <w:color w:val="auto"/>
              </w:rPr>
            </w:pPr>
            <w:r>
              <w:rPr>
                <w:rFonts w:ascii="Arial" w:cs="Arial" w:eastAsia="Arial" w:hAnsi="Arial"/>
                <w:sz w:val="12"/>
                <w:szCs w:val="12"/>
                <w:b w:val="1"/>
                <w:bCs w:val="1"/>
                <w:color w:val="auto"/>
                <w:w w:val="96"/>
              </w:rPr>
              <w:t>vesting, subject to</w:t>
            </w:r>
          </w:p>
        </w:tc>
        <w:tc>
          <w:tcPr>
            <w:tcW w:w="3720" w:type="dxa"/>
            <w:vAlign w:val="bottom"/>
          </w:tcPr>
          <w:p>
            <w:pPr>
              <w:ind w:left="240"/>
              <w:spacing w:after="0" w:line="119" w:lineRule="exact"/>
              <w:rPr>
                <w:sz w:val="20"/>
                <w:szCs w:val="20"/>
                <w:color w:val="auto"/>
              </w:rPr>
            </w:pPr>
            <w:r>
              <w:rPr>
                <w:rFonts w:ascii="Arial" w:cs="Arial" w:eastAsia="Arial" w:hAnsi="Arial"/>
                <w:sz w:val="11"/>
                <w:szCs w:val="11"/>
                <w:color w:val="auto"/>
              </w:rPr>
              <w:t>goal</w:t>
            </w:r>
          </w:p>
        </w:tc>
        <w:tc>
          <w:tcPr>
            <w:tcW w:w="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60" w:type="dxa"/>
            <w:vAlign w:val="bottom"/>
            <w:tcBorders>
              <w:left w:val="single" w:sz="8" w:color="009AD9"/>
              <w:right w:val="single" w:sz="8" w:color="009AD9"/>
            </w:tcBorders>
            <w:shd w:val="clear" w:color="auto" w:fill="D8EFF9"/>
          </w:tcPr>
          <w:p>
            <w:pPr>
              <w:spacing w:after="0"/>
              <w:rPr>
                <w:sz w:val="11"/>
                <w:szCs w:val="11"/>
                <w:color w:val="auto"/>
              </w:rPr>
            </w:pPr>
          </w:p>
        </w:tc>
        <w:tc>
          <w:tcPr>
            <w:tcW w:w="800" w:type="dxa"/>
            <w:vAlign w:val="bottom"/>
            <w:tcBorders>
              <w:right w:val="single" w:sz="8" w:color="009AD9"/>
            </w:tcBorders>
          </w:tcPr>
          <w:p>
            <w:pPr>
              <w:spacing w:after="0"/>
              <w:rPr>
                <w:sz w:val="11"/>
                <w:szCs w:val="11"/>
                <w:color w:val="auto"/>
              </w:rPr>
            </w:pPr>
          </w:p>
        </w:tc>
        <w:tc>
          <w:tcPr>
            <w:tcW w:w="1180" w:type="dxa"/>
            <w:vAlign w:val="bottom"/>
            <w:tcBorders>
              <w:right w:val="single" w:sz="8" w:color="009AD9"/>
            </w:tcBorders>
          </w:tcPr>
          <w:p>
            <w:pPr>
              <w:spacing w:after="0"/>
              <w:rPr>
                <w:sz w:val="11"/>
                <w:szCs w:val="11"/>
                <w:color w:val="auto"/>
              </w:rPr>
            </w:pPr>
          </w:p>
        </w:tc>
        <w:tc>
          <w:tcPr>
            <w:tcW w:w="1080" w:type="dxa"/>
            <w:vAlign w:val="bottom"/>
            <w:tcBorders>
              <w:right w:val="single" w:sz="8" w:color="009AD9"/>
            </w:tcBorders>
          </w:tcPr>
          <w:p>
            <w:pPr>
              <w:jc w:val="center"/>
              <w:spacing w:after="0" w:line="137" w:lineRule="exact"/>
              <w:rPr>
                <w:sz w:val="20"/>
                <w:szCs w:val="20"/>
                <w:color w:val="auto"/>
              </w:rPr>
            </w:pPr>
            <w:r>
              <w:rPr>
                <w:rFonts w:ascii="Arial" w:cs="Arial" w:eastAsia="Arial" w:hAnsi="Arial"/>
                <w:sz w:val="12"/>
                <w:szCs w:val="12"/>
                <w:b w:val="1"/>
                <w:bCs w:val="1"/>
                <w:color w:val="auto"/>
                <w:w w:val="95"/>
              </w:rPr>
              <w:t>carbon emissions</w:t>
            </w:r>
          </w:p>
        </w:tc>
        <w:tc>
          <w:tcPr>
            <w:tcW w:w="3720" w:type="dxa"/>
            <w:vAlign w:val="bottom"/>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 PSUs based on carbon emissions reduction goals account for 5%</w:t>
            </w:r>
          </w:p>
        </w:tc>
        <w:tc>
          <w:tcPr>
            <w:tcW w:w="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009AD9"/>
              <w:bottom w:val="single" w:sz="8" w:color="D8EFF9"/>
              <w:right w:val="single" w:sz="8" w:color="009AD9"/>
            </w:tcBorders>
            <w:shd w:val="clear" w:color="auto" w:fill="D8EFF9"/>
          </w:tcPr>
          <w:p>
            <w:pPr>
              <w:spacing w:after="0"/>
              <w:rPr>
                <w:sz w:val="14"/>
                <w:szCs w:val="14"/>
                <w:color w:val="auto"/>
              </w:rPr>
            </w:pPr>
          </w:p>
        </w:tc>
        <w:tc>
          <w:tcPr>
            <w:tcW w:w="800" w:type="dxa"/>
            <w:vAlign w:val="bottom"/>
            <w:tcBorders>
              <w:right w:val="single" w:sz="8" w:color="009AD9"/>
            </w:tcBorders>
          </w:tcPr>
          <w:p>
            <w:pPr>
              <w:spacing w:after="0"/>
              <w:rPr>
                <w:sz w:val="14"/>
                <w:szCs w:val="14"/>
                <w:color w:val="auto"/>
              </w:rPr>
            </w:pPr>
          </w:p>
        </w:tc>
        <w:tc>
          <w:tcPr>
            <w:tcW w:w="1180" w:type="dxa"/>
            <w:vAlign w:val="bottom"/>
            <w:tcBorders>
              <w:bottom w:val="single" w:sz="8" w:color="009AD9"/>
              <w:right w:val="single" w:sz="8" w:color="009AD9"/>
            </w:tcBorders>
          </w:tcPr>
          <w:p>
            <w:pPr>
              <w:spacing w:after="0"/>
              <w:rPr>
                <w:sz w:val="14"/>
                <w:szCs w:val="14"/>
                <w:color w:val="auto"/>
              </w:rPr>
            </w:pPr>
          </w:p>
        </w:tc>
        <w:tc>
          <w:tcPr>
            <w:tcW w:w="1080" w:type="dxa"/>
            <w:vAlign w:val="bottom"/>
            <w:tcBorders>
              <w:bottom w:val="single" w:sz="8" w:color="009AD9"/>
              <w:right w:val="single" w:sz="8" w:color="009AD9"/>
            </w:tcBorders>
          </w:tcPr>
          <w:p>
            <w:pPr>
              <w:jc w:val="center"/>
              <w:spacing w:after="0"/>
              <w:rPr>
                <w:sz w:val="20"/>
                <w:szCs w:val="20"/>
                <w:color w:val="auto"/>
              </w:rPr>
            </w:pPr>
            <w:r>
              <w:rPr>
                <w:rFonts w:ascii="Arial" w:cs="Arial" w:eastAsia="Arial" w:hAnsi="Arial"/>
                <w:sz w:val="12"/>
                <w:szCs w:val="12"/>
                <w:b w:val="1"/>
                <w:bCs w:val="1"/>
                <w:color w:val="auto"/>
                <w:w w:val="96"/>
              </w:rPr>
              <w:t>reduction goals</w:t>
            </w:r>
          </w:p>
        </w:tc>
        <w:tc>
          <w:tcPr>
            <w:tcW w:w="3720" w:type="dxa"/>
            <w:vAlign w:val="bottom"/>
            <w:tcBorders>
              <w:bottom w:val="single" w:sz="8" w:color="009AD9"/>
            </w:tcBorders>
          </w:tcPr>
          <w:p>
            <w:pPr>
              <w:ind w:left="240"/>
              <w:spacing w:after="0"/>
              <w:rPr>
                <w:sz w:val="20"/>
                <w:szCs w:val="20"/>
                <w:color w:val="auto"/>
              </w:rPr>
            </w:pPr>
            <w:r>
              <w:rPr>
                <w:rFonts w:ascii="Arial" w:cs="Arial" w:eastAsia="Arial" w:hAnsi="Arial"/>
                <w:sz w:val="11"/>
                <w:szCs w:val="11"/>
                <w:color w:val="auto"/>
              </w:rPr>
              <w:t>of the total award</w:t>
            </w:r>
          </w:p>
        </w:tc>
        <w:tc>
          <w:tcPr>
            <w:tcW w:w="20" w:type="dxa"/>
            <w:vAlign w:val="bottom"/>
            <w:tcBorders>
              <w:bottom w:val="single" w:sz="8" w:color="009AD9"/>
            </w:tcBorders>
            <w:shd w:val="clear" w:color="auto" w:fill="009AD9"/>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 w:type="dxa"/>
            <w:vAlign w:val="bottom"/>
            <w:tcBorders>
              <w:left w:val="single" w:sz="8" w:color="009AD9"/>
              <w:right w:val="single" w:sz="8" w:color="009AD9"/>
            </w:tcBorders>
            <w:shd w:val="clear" w:color="auto" w:fill="D8EFF9"/>
          </w:tcPr>
          <w:p>
            <w:pPr>
              <w:spacing w:after="0"/>
              <w:rPr>
                <w:sz w:val="10"/>
                <w:szCs w:val="10"/>
                <w:color w:val="auto"/>
              </w:rPr>
            </w:pPr>
          </w:p>
        </w:tc>
        <w:tc>
          <w:tcPr>
            <w:tcW w:w="800" w:type="dxa"/>
            <w:vAlign w:val="bottom"/>
            <w:tcBorders>
              <w:right w:val="single" w:sz="8" w:color="009AD9"/>
            </w:tcBorders>
          </w:tcPr>
          <w:p>
            <w:pPr>
              <w:spacing w:after="0"/>
              <w:rPr>
                <w:sz w:val="10"/>
                <w:szCs w:val="10"/>
                <w:color w:val="auto"/>
              </w:rPr>
            </w:pPr>
          </w:p>
        </w:tc>
        <w:tc>
          <w:tcPr>
            <w:tcW w:w="1180" w:type="dxa"/>
            <w:vAlign w:val="bottom"/>
            <w:tcBorders>
              <w:right w:val="single" w:sz="8" w:color="009AD9"/>
            </w:tcBorders>
          </w:tcPr>
          <w:p>
            <w:pPr>
              <w:spacing w:after="0"/>
              <w:rPr>
                <w:sz w:val="10"/>
                <w:szCs w:val="10"/>
                <w:color w:val="auto"/>
              </w:rPr>
            </w:pPr>
          </w:p>
        </w:tc>
        <w:tc>
          <w:tcPr>
            <w:tcW w:w="1080" w:type="dxa"/>
            <w:vAlign w:val="bottom"/>
            <w:tcBorders>
              <w:right w:val="single" w:sz="8" w:color="009AD9"/>
            </w:tcBorders>
          </w:tcPr>
          <w:p>
            <w:pPr>
              <w:jc w:val="center"/>
              <w:spacing w:after="0" w:line="119" w:lineRule="exact"/>
              <w:rPr>
                <w:sz w:val="20"/>
                <w:szCs w:val="20"/>
                <w:color w:val="auto"/>
              </w:rPr>
            </w:pPr>
            <w:r>
              <w:rPr>
                <w:rFonts w:ascii="Arial" w:cs="Arial" w:eastAsia="Arial" w:hAnsi="Arial"/>
                <w:sz w:val="12"/>
                <w:szCs w:val="12"/>
                <w:b w:val="1"/>
                <w:bCs w:val="1"/>
                <w:color w:val="auto"/>
                <w:w w:val="95"/>
              </w:rPr>
              <w:t>Three-year cliff</w:t>
            </w:r>
          </w:p>
        </w:tc>
        <w:tc>
          <w:tcPr>
            <w:tcW w:w="3720" w:type="dxa"/>
            <w:vAlign w:val="bottom"/>
          </w:tcPr>
          <w:p>
            <w:pPr>
              <w:ind w:left="140"/>
              <w:spacing w:after="0" w:line="119"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 Promotes  retention,  facilitates  stock  ownership  and  supports</w:t>
            </w:r>
          </w:p>
        </w:tc>
        <w:tc>
          <w:tcPr>
            <w:tcW w:w="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60" w:type="dxa"/>
            <w:vAlign w:val="bottom"/>
            <w:tcBorders>
              <w:left w:val="single" w:sz="8" w:color="009AD9"/>
              <w:right w:val="single" w:sz="8" w:color="009AD9"/>
            </w:tcBorders>
            <w:shd w:val="clear" w:color="auto" w:fill="D8EFF9"/>
          </w:tcPr>
          <w:p>
            <w:pPr>
              <w:spacing w:after="0"/>
              <w:rPr>
                <w:sz w:val="10"/>
                <w:szCs w:val="10"/>
                <w:color w:val="auto"/>
              </w:rPr>
            </w:pPr>
          </w:p>
        </w:tc>
        <w:tc>
          <w:tcPr>
            <w:tcW w:w="800" w:type="dxa"/>
            <w:vAlign w:val="bottom"/>
            <w:tcBorders>
              <w:right w:val="single" w:sz="8" w:color="009AD9"/>
            </w:tcBorders>
          </w:tcPr>
          <w:p>
            <w:pPr>
              <w:spacing w:after="0"/>
              <w:rPr>
                <w:sz w:val="10"/>
                <w:szCs w:val="10"/>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w w:val="99"/>
              </w:rPr>
              <w:t>Restricted Stock</w:t>
            </w:r>
          </w:p>
        </w:tc>
        <w:tc>
          <w:tcPr>
            <w:tcW w:w="1080" w:type="dxa"/>
            <w:vAlign w:val="bottom"/>
            <w:tcBorders>
              <w:right w:val="single" w:sz="8" w:color="009AD9"/>
            </w:tcBorders>
          </w:tcPr>
          <w:p>
            <w:pPr>
              <w:jc w:val="center"/>
              <w:spacing w:after="0" w:line="118" w:lineRule="exact"/>
              <w:rPr>
                <w:sz w:val="20"/>
                <w:szCs w:val="20"/>
                <w:color w:val="auto"/>
              </w:rPr>
            </w:pPr>
            <w:r>
              <w:rPr>
                <w:rFonts w:ascii="Arial" w:cs="Arial" w:eastAsia="Arial" w:hAnsi="Arial"/>
                <w:sz w:val="12"/>
                <w:szCs w:val="12"/>
                <w:b w:val="1"/>
                <w:bCs w:val="1"/>
                <w:color w:val="auto"/>
                <w:w w:val="96"/>
              </w:rPr>
              <w:t>vesting, subject to</w:t>
            </w:r>
          </w:p>
        </w:tc>
        <w:tc>
          <w:tcPr>
            <w:tcW w:w="3720" w:type="dxa"/>
            <w:vAlign w:val="bottom"/>
          </w:tcPr>
          <w:p>
            <w:pPr>
              <w:ind w:left="240"/>
              <w:spacing w:after="0" w:line="119" w:lineRule="exact"/>
              <w:rPr>
                <w:sz w:val="20"/>
                <w:szCs w:val="20"/>
                <w:color w:val="auto"/>
              </w:rPr>
            </w:pPr>
            <w:r>
              <w:rPr>
                <w:rFonts w:ascii="Arial" w:cs="Arial" w:eastAsia="Arial" w:hAnsi="Arial"/>
                <w:sz w:val="11"/>
                <w:szCs w:val="11"/>
                <w:color w:val="auto"/>
              </w:rPr>
              <w:t>succession planning</w:t>
            </w:r>
          </w:p>
        </w:tc>
        <w:tc>
          <w:tcPr>
            <w:tcW w:w="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560" w:type="dxa"/>
            <w:vAlign w:val="bottom"/>
            <w:tcBorders>
              <w:left w:val="single" w:sz="8" w:color="009AD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tcPr>
          <w:p>
            <w:pPr>
              <w:spacing w:after="0"/>
              <w:rPr>
                <w:sz w:val="6"/>
                <w:szCs w:val="6"/>
                <w:color w:val="auto"/>
              </w:rPr>
            </w:pPr>
          </w:p>
        </w:tc>
        <w:tc>
          <w:tcPr>
            <w:tcW w:w="1180" w:type="dxa"/>
            <w:vAlign w:val="bottom"/>
            <w:tcBorders>
              <w:right w:val="single" w:sz="8" w:color="009AD9"/>
            </w:tcBorders>
            <w:vMerge w:val="continue"/>
          </w:tcPr>
          <w:p>
            <w:pPr>
              <w:spacing w:after="0"/>
              <w:rPr>
                <w:sz w:val="6"/>
                <w:szCs w:val="6"/>
                <w:color w:val="auto"/>
              </w:rPr>
            </w:pPr>
          </w:p>
        </w:tc>
        <w:tc>
          <w:tcPr>
            <w:tcW w:w="1080" w:type="dxa"/>
            <w:vAlign w:val="bottom"/>
            <w:tcBorders>
              <w:right w:val="single" w:sz="8" w:color="009AD9"/>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4"/>
              </w:rPr>
              <w:t>continued</w:t>
            </w: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 Aligns with long-term shareholder interests</w:t>
            </w:r>
          </w:p>
        </w:tc>
        <w:tc>
          <w:tcPr>
            <w:tcW w:w="20" w:type="dxa"/>
            <w:vAlign w:val="bottom"/>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60" w:type="dxa"/>
            <w:vAlign w:val="bottom"/>
            <w:tcBorders>
              <w:left w:val="single" w:sz="8" w:color="009AD9"/>
              <w:right w:val="single" w:sz="8" w:color="009AD9"/>
            </w:tcBorders>
            <w:shd w:val="clear" w:color="auto" w:fill="D8EFF9"/>
          </w:tcPr>
          <w:p>
            <w:pPr>
              <w:spacing w:after="0"/>
              <w:rPr>
                <w:sz w:val="4"/>
                <w:szCs w:val="4"/>
                <w:color w:val="auto"/>
              </w:rPr>
            </w:pPr>
          </w:p>
        </w:tc>
        <w:tc>
          <w:tcPr>
            <w:tcW w:w="800" w:type="dxa"/>
            <w:vAlign w:val="bottom"/>
            <w:tcBorders>
              <w:right w:val="single" w:sz="8" w:color="009AD9"/>
            </w:tcBorders>
          </w:tcPr>
          <w:p>
            <w:pPr>
              <w:spacing w:after="0"/>
              <w:rPr>
                <w:sz w:val="4"/>
                <w:szCs w:val="4"/>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rPr>
              <w:t>Units (RSUs)</w:t>
            </w:r>
          </w:p>
        </w:tc>
        <w:tc>
          <w:tcPr>
            <w:tcW w:w="1080" w:type="dxa"/>
            <w:vAlign w:val="bottom"/>
            <w:tcBorders>
              <w:right w:val="single" w:sz="8" w:color="009AD9"/>
            </w:tcBorders>
            <w:vMerge w:val="continue"/>
          </w:tcPr>
          <w:p>
            <w:pPr>
              <w:spacing w:after="0"/>
              <w:rPr>
                <w:sz w:val="4"/>
                <w:szCs w:val="4"/>
                <w:color w:val="auto"/>
              </w:rPr>
            </w:pPr>
          </w:p>
        </w:tc>
        <w:tc>
          <w:tcPr>
            <w:tcW w:w="3720" w:type="dxa"/>
            <w:vAlign w:val="bottom"/>
            <w:vMerge w:val="continue"/>
          </w:tcPr>
          <w:p>
            <w:pPr>
              <w:spacing w:after="0"/>
              <w:rPr>
                <w:sz w:val="4"/>
                <w:szCs w:val="4"/>
                <w:color w:val="auto"/>
              </w:rPr>
            </w:pPr>
          </w:p>
        </w:tc>
        <w:tc>
          <w:tcPr>
            <w:tcW w:w="20" w:type="dxa"/>
            <w:vAlign w:val="bottom"/>
            <w:shd w:val="clear" w:color="auto" w:fill="009AD9"/>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560" w:type="dxa"/>
            <w:vAlign w:val="bottom"/>
            <w:tcBorders>
              <w:left w:val="single" w:sz="8" w:color="009AD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tcPr>
          <w:p>
            <w:pPr>
              <w:spacing w:after="0"/>
              <w:rPr>
                <w:sz w:val="6"/>
                <w:szCs w:val="6"/>
                <w:color w:val="auto"/>
              </w:rPr>
            </w:pPr>
          </w:p>
        </w:tc>
        <w:tc>
          <w:tcPr>
            <w:tcW w:w="1180" w:type="dxa"/>
            <w:vAlign w:val="bottom"/>
            <w:tcBorders>
              <w:right w:val="single" w:sz="8" w:color="009AD9"/>
            </w:tcBorders>
            <w:vMerge w:val="continue"/>
          </w:tcPr>
          <w:p>
            <w:pPr>
              <w:spacing w:after="0"/>
              <w:rPr>
                <w:sz w:val="6"/>
                <w:szCs w:val="6"/>
                <w:color w:val="auto"/>
              </w:rPr>
            </w:pPr>
          </w:p>
        </w:tc>
        <w:tc>
          <w:tcPr>
            <w:tcW w:w="1080" w:type="dxa"/>
            <w:vAlign w:val="bottom"/>
            <w:tcBorders>
              <w:right w:val="single" w:sz="8" w:color="009AD9"/>
            </w:tcBorders>
            <w:vMerge w:val="restart"/>
          </w:tcPr>
          <w:p>
            <w:pPr>
              <w:jc w:val="center"/>
              <w:spacing w:after="0" w:line="137" w:lineRule="exact"/>
              <w:rPr>
                <w:sz w:val="20"/>
                <w:szCs w:val="20"/>
                <w:color w:val="auto"/>
              </w:rPr>
            </w:pPr>
            <w:r>
              <w:rPr>
                <w:rFonts w:ascii="Arial" w:cs="Arial" w:eastAsia="Arial" w:hAnsi="Arial"/>
                <w:sz w:val="12"/>
                <w:szCs w:val="12"/>
                <w:b w:val="1"/>
                <w:bCs w:val="1"/>
                <w:color w:val="auto"/>
                <w:w w:val="96"/>
              </w:rPr>
              <w:t>employment and</w:t>
            </w:r>
          </w:p>
        </w:tc>
        <w:tc>
          <w:tcPr>
            <w:tcW w:w="3720" w:type="dxa"/>
            <w:vAlign w:val="bottom"/>
            <w:vMerge w:val="restart"/>
          </w:tcPr>
          <w:p>
            <w:pPr>
              <w:ind w:left="140"/>
              <w:spacing w:after="0" w:line="127" w:lineRule="exact"/>
              <w:rPr>
                <w:sz w:val="20"/>
                <w:szCs w:val="20"/>
                <w:color w:val="auto"/>
              </w:rPr>
            </w:pPr>
            <w:r>
              <w:rPr>
                <w:rFonts w:ascii="MS PGothic" w:cs="MS PGothic" w:eastAsia="MS PGothic" w:hAnsi="MS PGothic"/>
                <w:sz w:val="11"/>
                <w:szCs w:val="11"/>
                <w:color w:val="009AD9"/>
              </w:rPr>
              <w:t>✓</w:t>
            </w:r>
            <w:r>
              <w:rPr>
                <w:rFonts w:ascii="Arial" w:cs="Arial" w:eastAsia="Arial" w:hAnsi="Arial"/>
                <w:sz w:val="11"/>
                <w:szCs w:val="11"/>
                <w:color w:val="auto"/>
              </w:rPr>
              <w:t xml:space="preserve">  RSUs represent 25% of total award value and will vest only if</w:t>
            </w:r>
          </w:p>
        </w:tc>
        <w:tc>
          <w:tcPr>
            <w:tcW w:w="20" w:type="dxa"/>
            <w:vAlign w:val="bottom"/>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560" w:type="dxa"/>
            <w:vAlign w:val="bottom"/>
            <w:tcBorders>
              <w:left w:val="single" w:sz="8" w:color="009AD9"/>
              <w:right w:val="single" w:sz="8" w:color="009AD9"/>
            </w:tcBorders>
            <w:shd w:val="clear" w:color="auto" w:fill="D8EFF9"/>
          </w:tcPr>
          <w:p>
            <w:pPr>
              <w:spacing w:after="0"/>
              <w:rPr>
                <w:sz w:val="5"/>
                <w:szCs w:val="5"/>
                <w:color w:val="auto"/>
              </w:rPr>
            </w:pPr>
          </w:p>
        </w:tc>
        <w:tc>
          <w:tcPr>
            <w:tcW w:w="800" w:type="dxa"/>
            <w:vAlign w:val="bottom"/>
            <w:tcBorders>
              <w:right w:val="single" w:sz="8" w:color="009AD9"/>
            </w:tcBorders>
          </w:tcPr>
          <w:p>
            <w:pPr>
              <w:spacing w:after="0"/>
              <w:rPr>
                <w:sz w:val="5"/>
                <w:szCs w:val="5"/>
                <w:color w:val="auto"/>
              </w:rPr>
            </w:pPr>
          </w:p>
        </w:tc>
        <w:tc>
          <w:tcPr>
            <w:tcW w:w="118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1"/>
                <w:szCs w:val="11"/>
                <w:b w:val="1"/>
                <w:bCs w:val="1"/>
                <w:i w:val="1"/>
                <w:iCs w:val="1"/>
                <w:color w:val="auto"/>
                <w:w w:val="99"/>
              </w:rPr>
              <w:t>25%</w:t>
            </w:r>
          </w:p>
        </w:tc>
        <w:tc>
          <w:tcPr>
            <w:tcW w:w="1080" w:type="dxa"/>
            <w:vAlign w:val="bottom"/>
            <w:tcBorders>
              <w:right w:val="single" w:sz="8" w:color="009AD9"/>
            </w:tcBorders>
            <w:vMerge w:val="continue"/>
          </w:tcPr>
          <w:p>
            <w:pPr>
              <w:spacing w:after="0"/>
              <w:rPr>
                <w:sz w:val="5"/>
                <w:szCs w:val="5"/>
                <w:color w:val="auto"/>
              </w:rPr>
            </w:pPr>
          </w:p>
        </w:tc>
        <w:tc>
          <w:tcPr>
            <w:tcW w:w="3720" w:type="dxa"/>
            <w:vAlign w:val="bottom"/>
            <w:vMerge w:val="continue"/>
          </w:tcPr>
          <w:p>
            <w:pPr>
              <w:spacing w:after="0"/>
              <w:rPr>
                <w:sz w:val="5"/>
                <w:szCs w:val="5"/>
                <w:color w:val="auto"/>
              </w:rPr>
            </w:pPr>
          </w:p>
        </w:tc>
        <w:tc>
          <w:tcPr>
            <w:tcW w:w="20" w:type="dxa"/>
            <w:vAlign w:val="bottom"/>
            <w:shd w:val="clear" w:color="auto" w:fill="009AD9"/>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560" w:type="dxa"/>
            <w:vAlign w:val="bottom"/>
            <w:tcBorders>
              <w:left w:val="single" w:sz="8" w:color="009AD9"/>
              <w:right w:val="single" w:sz="8" w:color="009AD9"/>
            </w:tcBorders>
            <w:shd w:val="clear" w:color="auto" w:fill="D8EFF9"/>
          </w:tcPr>
          <w:p>
            <w:pPr>
              <w:spacing w:after="0"/>
              <w:rPr>
                <w:sz w:val="6"/>
                <w:szCs w:val="6"/>
                <w:color w:val="auto"/>
              </w:rPr>
            </w:pPr>
          </w:p>
        </w:tc>
        <w:tc>
          <w:tcPr>
            <w:tcW w:w="800" w:type="dxa"/>
            <w:vAlign w:val="bottom"/>
            <w:tcBorders>
              <w:right w:val="single" w:sz="8" w:color="009AD9"/>
            </w:tcBorders>
          </w:tcPr>
          <w:p>
            <w:pPr>
              <w:spacing w:after="0"/>
              <w:rPr>
                <w:sz w:val="6"/>
                <w:szCs w:val="6"/>
                <w:color w:val="auto"/>
              </w:rPr>
            </w:pPr>
          </w:p>
        </w:tc>
        <w:tc>
          <w:tcPr>
            <w:tcW w:w="1180" w:type="dxa"/>
            <w:vAlign w:val="bottom"/>
            <w:tcBorders>
              <w:right w:val="single" w:sz="8" w:color="009AD9"/>
            </w:tcBorders>
            <w:vMerge w:val="continue"/>
          </w:tcPr>
          <w:p>
            <w:pPr>
              <w:spacing w:after="0"/>
              <w:rPr>
                <w:sz w:val="6"/>
                <w:szCs w:val="6"/>
                <w:color w:val="auto"/>
              </w:rPr>
            </w:pPr>
          </w:p>
        </w:tc>
        <w:tc>
          <w:tcPr>
            <w:tcW w:w="1080" w:type="dxa"/>
            <w:vAlign w:val="bottom"/>
            <w:tcBorders>
              <w:right w:val="single" w:sz="8" w:color="009AD9"/>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6"/>
              </w:rPr>
              <w:t>positive operating</w:t>
            </w:r>
          </w:p>
        </w:tc>
        <w:tc>
          <w:tcPr>
            <w:tcW w:w="3720" w:type="dxa"/>
            <w:vAlign w:val="bottom"/>
            <w:vMerge w:val="restart"/>
          </w:tcPr>
          <w:p>
            <w:pPr>
              <w:ind w:left="240"/>
              <w:spacing w:after="0"/>
              <w:rPr>
                <w:sz w:val="20"/>
                <w:szCs w:val="20"/>
                <w:color w:val="auto"/>
              </w:rPr>
            </w:pPr>
            <w:r>
              <w:rPr>
                <w:rFonts w:ascii="Arial" w:cs="Arial" w:eastAsia="Arial" w:hAnsi="Arial"/>
                <w:sz w:val="11"/>
                <w:szCs w:val="11"/>
                <w:color w:val="auto"/>
              </w:rPr>
              <w:t>CenterPoint Energy achieves positive operating income in the last</w:t>
            </w:r>
          </w:p>
        </w:tc>
        <w:tc>
          <w:tcPr>
            <w:tcW w:w="20" w:type="dxa"/>
            <w:vAlign w:val="bottom"/>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560" w:type="dxa"/>
            <w:vAlign w:val="bottom"/>
            <w:tcBorders>
              <w:left w:val="single" w:sz="8" w:color="009AD9"/>
              <w:right w:val="single" w:sz="8" w:color="009AD9"/>
            </w:tcBorders>
            <w:shd w:val="clear" w:color="auto" w:fill="D8EFF9"/>
          </w:tcPr>
          <w:p>
            <w:pPr>
              <w:spacing w:after="0"/>
              <w:rPr>
                <w:sz w:val="4"/>
                <w:szCs w:val="4"/>
                <w:color w:val="auto"/>
              </w:rPr>
            </w:pPr>
          </w:p>
        </w:tc>
        <w:tc>
          <w:tcPr>
            <w:tcW w:w="800" w:type="dxa"/>
            <w:vAlign w:val="bottom"/>
            <w:tcBorders>
              <w:right w:val="single" w:sz="8" w:color="009AD9"/>
            </w:tcBorders>
          </w:tcPr>
          <w:p>
            <w:pPr>
              <w:spacing w:after="0"/>
              <w:rPr>
                <w:sz w:val="4"/>
                <w:szCs w:val="4"/>
                <w:color w:val="auto"/>
              </w:rPr>
            </w:pPr>
          </w:p>
        </w:tc>
        <w:tc>
          <w:tcPr>
            <w:tcW w:w="1180" w:type="dxa"/>
            <w:vAlign w:val="bottom"/>
            <w:tcBorders>
              <w:right w:val="single" w:sz="8" w:color="009AD9"/>
            </w:tcBorders>
          </w:tcPr>
          <w:p>
            <w:pPr>
              <w:spacing w:after="0"/>
              <w:rPr>
                <w:sz w:val="4"/>
                <w:szCs w:val="4"/>
                <w:color w:val="auto"/>
              </w:rPr>
            </w:pPr>
          </w:p>
        </w:tc>
        <w:tc>
          <w:tcPr>
            <w:tcW w:w="1080" w:type="dxa"/>
            <w:vAlign w:val="bottom"/>
            <w:tcBorders>
              <w:right w:val="single" w:sz="8" w:color="009AD9"/>
            </w:tcBorders>
            <w:vMerge w:val="continue"/>
          </w:tcPr>
          <w:p>
            <w:pPr>
              <w:spacing w:after="0"/>
              <w:rPr>
                <w:sz w:val="4"/>
                <w:szCs w:val="4"/>
                <w:color w:val="auto"/>
              </w:rPr>
            </w:pPr>
          </w:p>
        </w:tc>
        <w:tc>
          <w:tcPr>
            <w:tcW w:w="3720" w:type="dxa"/>
            <w:vAlign w:val="bottom"/>
            <w:vMerge w:val="continue"/>
          </w:tcPr>
          <w:p>
            <w:pPr>
              <w:spacing w:after="0"/>
              <w:rPr>
                <w:sz w:val="4"/>
                <w:szCs w:val="4"/>
                <w:color w:val="auto"/>
              </w:rPr>
            </w:pPr>
          </w:p>
        </w:tc>
        <w:tc>
          <w:tcPr>
            <w:tcW w:w="20" w:type="dxa"/>
            <w:vAlign w:val="bottom"/>
            <w:shd w:val="clear" w:color="auto" w:fill="009AD9"/>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009AD9"/>
              <w:bottom w:val="single" w:sz="8" w:color="009AD9"/>
              <w:right w:val="single" w:sz="8" w:color="009AD9"/>
            </w:tcBorders>
            <w:shd w:val="clear" w:color="auto" w:fill="D8EFF9"/>
          </w:tcPr>
          <w:p>
            <w:pPr>
              <w:spacing w:after="0"/>
              <w:rPr>
                <w:sz w:val="14"/>
                <w:szCs w:val="14"/>
                <w:color w:val="auto"/>
              </w:rPr>
            </w:pPr>
          </w:p>
        </w:tc>
        <w:tc>
          <w:tcPr>
            <w:tcW w:w="800" w:type="dxa"/>
            <w:vAlign w:val="bottom"/>
            <w:tcBorders>
              <w:bottom w:val="single" w:sz="8" w:color="009AD9"/>
              <w:right w:val="single" w:sz="8" w:color="009AD9"/>
            </w:tcBorders>
          </w:tcPr>
          <w:p>
            <w:pPr>
              <w:spacing w:after="0"/>
              <w:rPr>
                <w:sz w:val="14"/>
                <w:szCs w:val="14"/>
                <w:color w:val="auto"/>
              </w:rPr>
            </w:pPr>
          </w:p>
        </w:tc>
        <w:tc>
          <w:tcPr>
            <w:tcW w:w="1180" w:type="dxa"/>
            <w:vAlign w:val="bottom"/>
            <w:tcBorders>
              <w:bottom w:val="single" w:sz="8" w:color="009AD9"/>
              <w:right w:val="single" w:sz="8" w:color="009AD9"/>
            </w:tcBorders>
          </w:tcPr>
          <w:p>
            <w:pPr>
              <w:spacing w:after="0"/>
              <w:rPr>
                <w:sz w:val="14"/>
                <w:szCs w:val="14"/>
                <w:color w:val="auto"/>
              </w:rPr>
            </w:pPr>
          </w:p>
        </w:tc>
        <w:tc>
          <w:tcPr>
            <w:tcW w:w="1080" w:type="dxa"/>
            <w:vAlign w:val="bottom"/>
            <w:tcBorders>
              <w:bottom w:val="single" w:sz="8" w:color="009AD9"/>
              <w:right w:val="single" w:sz="8" w:color="009AD9"/>
            </w:tcBorders>
          </w:tcPr>
          <w:p>
            <w:pPr>
              <w:jc w:val="center"/>
              <w:spacing w:after="0"/>
              <w:rPr>
                <w:sz w:val="20"/>
                <w:szCs w:val="20"/>
                <w:color w:val="auto"/>
              </w:rPr>
            </w:pPr>
            <w:r>
              <w:rPr>
                <w:rFonts w:ascii="Arial" w:cs="Arial" w:eastAsia="Arial" w:hAnsi="Arial"/>
                <w:sz w:val="12"/>
                <w:szCs w:val="12"/>
                <w:b w:val="1"/>
                <w:bCs w:val="1"/>
                <w:color w:val="auto"/>
                <w:w w:val="95"/>
              </w:rPr>
              <w:t>income</w:t>
            </w:r>
          </w:p>
        </w:tc>
        <w:tc>
          <w:tcPr>
            <w:tcW w:w="3720" w:type="dxa"/>
            <w:vAlign w:val="bottom"/>
            <w:tcBorders>
              <w:bottom w:val="single" w:sz="8" w:color="009AD9"/>
            </w:tcBorders>
          </w:tcPr>
          <w:p>
            <w:pPr>
              <w:ind w:left="240"/>
              <w:spacing w:after="0"/>
              <w:rPr>
                <w:sz w:val="20"/>
                <w:szCs w:val="20"/>
                <w:color w:val="auto"/>
              </w:rPr>
            </w:pPr>
            <w:r>
              <w:rPr>
                <w:rFonts w:ascii="Arial" w:cs="Arial" w:eastAsia="Arial" w:hAnsi="Arial"/>
                <w:sz w:val="11"/>
                <w:szCs w:val="11"/>
                <w:color w:val="auto"/>
              </w:rPr>
              <w:t>full calendar year of the vesting period</w:t>
            </w:r>
          </w:p>
        </w:tc>
        <w:tc>
          <w:tcPr>
            <w:tcW w:w="20" w:type="dxa"/>
            <w:vAlign w:val="bottom"/>
            <w:tcBorders>
              <w:bottom w:val="single" w:sz="8" w:color="009AD9"/>
            </w:tcBorders>
            <w:shd w:val="clear" w:color="auto" w:fill="009AD9"/>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20" w:hanging="230"/>
        <w:spacing w:after="0"/>
        <w:tabs>
          <w:tab w:leader="none" w:pos="2220" w:val="left"/>
        </w:tabs>
        <w:numPr>
          <w:ilvl w:val="0"/>
          <w:numId w:val="6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Pay For Performance</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p>
    <w:p>
      <w:pPr>
        <w:spacing w:after="0" w:line="136"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A significant portion of our named executive officers’ total direct compensation, which includes base salary in addition to the short-term and long-term incentive components, as applicable, is conditioned upon achieving results that are key to our long-term success and increasing shareholder value.</w:t>
      </w:r>
    </w:p>
    <w:p>
      <w:pPr>
        <w:spacing w:after="0" w:line="136"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The following graphics reflect the components of the target total direct compensation opportunities provided to our named executive officers.</w:t>
      </w:r>
    </w:p>
    <w:p>
      <w:pPr>
        <w:spacing w:after="0" w:line="11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TARGET COMPENSATION MIX AS OF DECEMBER 31, 2022</w:t>
      </w:r>
    </w:p>
    <w:p>
      <w:pPr>
        <w:spacing w:after="0" w:line="12"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103505</wp:posOffset>
            </wp:positionV>
            <wp:extent cx="3475990" cy="15938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7599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940" w:right="819"/>
        <w:spacing w:after="0" w:line="249" w:lineRule="auto"/>
        <w:rPr>
          <w:sz w:val="20"/>
          <w:szCs w:val="20"/>
          <w:color w:val="auto"/>
        </w:rPr>
      </w:pPr>
      <w:r>
        <w:rPr>
          <w:rFonts w:ascii="Arial" w:cs="Arial" w:eastAsia="Arial" w:hAnsi="Arial"/>
          <w:sz w:val="11"/>
          <w:szCs w:val="11"/>
          <w:color w:val="auto"/>
        </w:rPr>
        <w:t>*The graphic represents the average size of each component as a percentage of each named executive officer’s (other than the Chief Executive Officer’s) target total direct compensation opportunities (approved by the Compensation Committee in 2022).</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2022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Target Compensation Opportunities for Named Executive Officers</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overall objectives and structure of our ongoing executive compensation program for our named executive officers remained largely unchanged in 2022 as compared to 2021. In February 2022, the Compensation Committee reviewed the base salary and short-term and long-term incentive targets for each of our named executive officers and determined their respective levels to provide each officer a competitive total direct target compensation opportunity as shown below.</w:t>
      </w:r>
    </w:p>
    <w:p>
      <w:pPr>
        <w:spacing w:after="0" w:line="156"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2020" w:type="dxa"/>
            <w:vAlign w:val="bottom"/>
            <w:shd w:val="clear" w:color="auto" w:fill="009AD9"/>
          </w:tcPr>
          <w:p>
            <w:pPr>
              <w:spacing w:after="0"/>
              <w:rPr>
                <w:sz w:val="11"/>
                <w:szCs w:val="11"/>
                <w:color w:val="auto"/>
              </w:rPr>
            </w:pPr>
          </w:p>
        </w:tc>
        <w:tc>
          <w:tcPr>
            <w:tcW w:w="360" w:type="dxa"/>
            <w:vAlign w:val="bottom"/>
            <w:shd w:val="clear" w:color="auto" w:fill="009AD9"/>
          </w:tcPr>
          <w:p>
            <w:pPr>
              <w:spacing w:after="0"/>
              <w:rPr>
                <w:sz w:val="11"/>
                <w:szCs w:val="11"/>
                <w:color w:val="auto"/>
              </w:rPr>
            </w:pPr>
          </w:p>
        </w:tc>
        <w:tc>
          <w:tcPr>
            <w:tcW w:w="540" w:type="dxa"/>
            <w:vAlign w:val="bottom"/>
            <w:shd w:val="clear" w:color="auto" w:fill="009AD9"/>
          </w:tcPr>
          <w:p>
            <w:pPr>
              <w:spacing w:after="0"/>
              <w:rPr>
                <w:sz w:val="11"/>
                <w:szCs w:val="11"/>
                <w:color w:val="auto"/>
              </w:rPr>
            </w:pPr>
          </w:p>
        </w:tc>
        <w:tc>
          <w:tcPr>
            <w:tcW w:w="9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8"/>
              </w:rPr>
              <w:t>2022</w:t>
            </w:r>
          </w:p>
        </w:tc>
        <w:tc>
          <w:tcPr>
            <w:tcW w:w="380" w:type="dxa"/>
            <w:vAlign w:val="bottom"/>
            <w:shd w:val="clear" w:color="auto" w:fill="009AD9"/>
          </w:tcPr>
          <w:p>
            <w:pPr>
              <w:spacing w:after="0"/>
              <w:rPr>
                <w:sz w:val="11"/>
                <w:szCs w:val="11"/>
                <w:color w:val="auto"/>
              </w:rPr>
            </w:pPr>
          </w:p>
        </w:tc>
        <w:tc>
          <w:tcPr>
            <w:tcW w:w="680" w:type="dxa"/>
            <w:vAlign w:val="bottom"/>
            <w:shd w:val="clear" w:color="auto" w:fill="009AD9"/>
          </w:tcPr>
          <w:p>
            <w:pPr>
              <w:spacing w:after="0"/>
              <w:rPr>
                <w:sz w:val="11"/>
                <w:szCs w:val="11"/>
                <w:color w:val="auto"/>
              </w:rPr>
            </w:pPr>
          </w:p>
        </w:tc>
        <w:tc>
          <w:tcPr>
            <w:tcW w:w="9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8"/>
              </w:rPr>
              <w:t>2022</w:t>
            </w:r>
          </w:p>
        </w:tc>
        <w:tc>
          <w:tcPr>
            <w:tcW w:w="780" w:type="dxa"/>
            <w:vAlign w:val="bottom"/>
            <w:shd w:val="clear" w:color="auto" w:fill="009AD9"/>
          </w:tcPr>
          <w:p>
            <w:pPr>
              <w:spacing w:after="0"/>
              <w:rPr>
                <w:sz w:val="11"/>
                <w:szCs w:val="11"/>
                <w:color w:val="auto"/>
              </w:rPr>
            </w:pPr>
          </w:p>
        </w:tc>
        <w:tc>
          <w:tcPr>
            <w:tcW w:w="300" w:type="dxa"/>
            <w:vAlign w:val="bottom"/>
            <w:shd w:val="clear" w:color="auto" w:fill="009AD9"/>
          </w:tcPr>
          <w:p>
            <w:pPr>
              <w:spacing w:after="0"/>
              <w:rPr>
                <w:sz w:val="11"/>
                <w:szCs w:val="11"/>
                <w:color w:val="auto"/>
              </w:rPr>
            </w:pPr>
          </w:p>
        </w:tc>
        <w:tc>
          <w:tcPr>
            <w:tcW w:w="560" w:type="dxa"/>
            <w:vAlign w:val="bottom"/>
            <w:shd w:val="clear" w:color="auto" w:fill="009AD9"/>
          </w:tcPr>
          <w:p>
            <w:pPr>
              <w:spacing w:after="0"/>
              <w:rPr>
                <w:sz w:val="11"/>
                <w:szCs w:val="11"/>
                <w:color w:val="auto"/>
              </w:rPr>
            </w:pPr>
          </w:p>
        </w:tc>
      </w:tr>
      <w:tr>
        <w:trPr>
          <w:trHeight w:val="109"/>
        </w:trPr>
        <w:tc>
          <w:tcPr>
            <w:tcW w:w="2020" w:type="dxa"/>
            <w:vAlign w:val="bottom"/>
            <w:shd w:val="clear" w:color="auto" w:fill="009AD9"/>
          </w:tcPr>
          <w:p>
            <w:pPr>
              <w:spacing w:after="0"/>
              <w:rPr>
                <w:sz w:val="9"/>
                <w:szCs w:val="9"/>
                <w:color w:val="auto"/>
              </w:rPr>
            </w:pPr>
          </w:p>
        </w:tc>
        <w:tc>
          <w:tcPr>
            <w:tcW w:w="36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Short-</w:t>
            </w:r>
          </w:p>
        </w:tc>
        <w:tc>
          <w:tcPr>
            <w:tcW w:w="380" w:type="dxa"/>
            <w:vAlign w:val="bottom"/>
            <w:shd w:val="clear" w:color="auto" w:fill="009AD9"/>
          </w:tcPr>
          <w:p>
            <w:pPr>
              <w:spacing w:after="0"/>
              <w:rPr>
                <w:sz w:val="9"/>
                <w:szCs w:val="9"/>
                <w:color w:val="auto"/>
              </w:rPr>
            </w:pPr>
          </w:p>
        </w:tc>
        <w:tc>
          <w:tcPr>
            <w:tcW w:w="680" w:type="dxa"/>
            <w:vAlign w:val="bottom"/>
            <w:shd w:val="clear" w:color="auto" w:fill="009AD9"/>
          </w:tcPr>
          <w:p>
            <w:pPr>
              <w:spacing w:after="0"/>
              <w:rPr>
                <w:sz w:val="9"/>
                <w:szCs w:val="9"/>
                <w:color w:val="auto"/>
              </w:rPr>
            </w:pP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Long-</w:t>
            </w: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2022</w:t>
            </w:r>
          </w:p>
        </w:tc>
        <w:tc>
          <w:tcPr>
            <w:tcW w:w="300" w:type="dxa"/>
            <w:vAlign w:val="bottom"/>
            <w:shd w:val="clear" w:color="auto" w:fill="009AD9"/>
          </w:tcPr>
          <w:p>
            <w:pPr>
              <w:spacing w:after="0"/>
              <w:rPr>
                <w:sz w:val="9"/>
                <w:szCs w:val="9"/>
                <w:color w:val="auto"/>
              </w:rPr>
            </w:pPr>
          </w:p>
        </w:tc>
        <w:tc>
          <w:tcPr>
            <w:tcW w:w="560" w:type="dxa"/>
            <w:vAlign w:val="bottom"/>
            <w:shd w:val="clear" w:color="auto" w:fill="009AD9"/>
          </w:tcPr>
          <w:p>
            <w:pPr>
              <w:jc w:val="right"/>
              <w:ind w:right="212"/>
              <w:spacing w:after="0" w:line="109" w:lineRule="exact"/>
              <w:rPr>
                <w:sz w:val="20"/>
                <w:szCs w:val="20"/>
                <w:color w:val="auto"/>
              </w:rPr>
            </w:pPr>
            <w:r>
              <w:rPr>
                <w:rFonts w:ascii="Arial" w:cs="Arial" w:eastAsia="Arial" w:hAnsi="Arial"/>
                <w:sz w:val="10"/>
                <w:szCs w:val="10"/>
                <w:b w:val="1"/>
                <w:bCs w:val="1"/>
                <w:color w:val="FFFFFF"/>
              </w:rPr>
              <w:t>2022</w:t>
            </w:r>
          </w:p>
        </w:tc>
      </w:tr>
      <w:tr>
        <w:trPr>
          <w:trHeight w:val="109"/>
        </w:trPr>
        <w:tc>
          <w:tcPr>
            <w:tcW w:w="2020" w:type="dxa"/>
            <w:vAlign w:val="bottom"/>
            <w:shd w:val="clear" w:color="auto" w:fill="009AD9"/>
          </w:tcPr>
          <w:p>
            <w:pPr>
              <w:spacing w:after="0"/>
              <w:rPr>
                <w:sz w:val="9"/>
                <w:szCs w:val="9"/>
                <w:color w:val="auto"/>
              </w:rPr>
            </w:pPr>
          </w:p>
        </w:tc>
        <w:tc>
          <w:tcPr>
            <w:tcW w:w="36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term Incentive</w:t>
            </w:r>
          </w:p>
        </w:tc>
        <w:tc>
          <w:tcPr>
            <w:tcW w:w="380" w:type="dxa"/>
            <w:vAlign w:val="bottom"/>
            <w:shd w:val="clear" w:color="auto" w:fill="009AD9"/>
          </w:tcPr>
          <w:p>
            <w:pPr>
              <w:spacing w:after="0"/>
              <w:rPr>
                <w:sz w:val="9"/>
                <w:szCs w:val="9"/>
                <w:color w:val="auto"/>
              </w:rPr>
            </w:pPr>
          </w:p>
        </w:tc>
        <w:tc>
          <w:tcPr>
            <w:tcW w:w="680" w:type="dxa"/>
            <w:vAlign w:val="bottom"/>
            <w:shd w:val="clear" w:color="auto" w:fill="009AD9"/>
          </w:tcPr>
          <w:p>
            <w:pPr>
              <w:ind w:left="40"/>
              <w:spacing w:after="0" w:line="109" w:lineRule="exact"/>
              <w:rPr>
                <w:sz w:val="20"/>
                <w:szCs w:val="20"/>
                <w:color w:val="auto"/>
              </w:rPr>
            </w:pPr>
            <w:r>
              <w:rPr>
                <w:rFonts w:ascii="Arial" w:cs="Arial" w:eastAsia="Arial" w:hAnsi="Arial"/>
                <w:sz w:val="10"/>
                <w:szCs w:val="10"/>
                <w:b w:val="1"/>
                <w:bCs w:val="1"/>
                <w:color w:val="FFFFFF"/>
              </w:rPr>
              <w:t>2022</w:t>
            </w: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term Incentive</w:t>
            </w: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Long-term</w:t>
            </w:r>
          </w:p>
        </w:tc>
        <w:tc>
          <w:tcPr>
            <w:tcW w:w="860" w:type="dxa"/>
            <w:vAlign w:val="bottom"/>
            <w:gridSpan w:val="2"/>
            <w:shd w:val="clear" w:color="auto" w:fill="009AD9"/>
          </w:tcPr>
          <w:p>
            <w:pPr>
              <w:ind w:left="220"/>
              <w:spacing w:after="0" w:line="109" w:lineRule="exact"/>
              <w:rPr>
                <w:sz w:val="20"/>
                <w:szCs w:val="20"/>
                <w:color w:val="auto"/>
              </w:rPr>
            </w:pPr>
            <w:r>
              <w:rPr>
                <w:rFonts w:ascii="Arial" w:cs="Arial" w:eastAsia="Arial" w:hAnsi="Arial"/>
                <w:sz w:val="10"/>
                <w:szCs w:val="10"/>
                <w:b w:val="1"/>
                <w:bCs w:val="1"/>
                <w:color w:val="FFFFFF"/>
              </w:rPr>
              <w:t>Total Direct</w:t>
            </w:r>
          </w:p>
        </w:tc>
      </w:tr>
      <w:tr>
        <w:trPr>
          <w:trHeight w:val="109"/>
        </w:trPr>
        <w:tc>
          <w:tcPr>
            <w:tcW w:w="2020" w:type="dxa"/>
            <w:vAlign w:val="bottom"/>
            <w:shd w:val="clear" w:color="auto" w:fill="009AD9"/>
          </w:tcPr>
          <w:p>
            <w:pPr>
              <w:spacing w:after="0"/>
              <w:rPr>
                <w:sz w:val="9"/>
                <w:szCs w:val="9"/>
                <w:color w:val="auto"/>
              </w:rPr>
            </w:pPr>
          </w:p>
        </w:tc>
        <w:tc>
          <w:tcPr>
            <w:tcW w:w="360" w:type="dxa"/>
            <w:vAlign w:val="bottom"/>
            <w:shd w:val="clear" w:color="auto" w:fill="009AD9"/>
          </w:tcPr>
          <w:p>
            <w:pPr>
              <w:spacing w:after="0"/>
              <w:rPr>
                <w:sz w:val="9"/>
                <w:szCs w:val="9"/>
                <w:color w:val="auto"/>
              </w:rPr>
            </w:pPr>
          </w:p>
        </w:tc>
        <w:tc>
          <w:tcPr>
            <w:tcW w:w="540" w:type="dxa"/>
            <w:vAlign w:val="bottom"/>
            <w:shd w:val="clear" w:color="auto" w:fill="009AD9"/>
          </w:tcPr>
          <w:p>
            <w:pPr>
              <w:ind w:left="40"/>
              <w:spacing w:after="0" w:line="109" w:lineRule="exact"/>
              <w:rPr>
                <w:sz w:val="20"/>
                <w:szCs w:val="20"/>
                <w:color w:val="auto"/>
              </w:rPr>
            </w:pPr>
            <w:r>
              <w:rPr>
                <w:rFonts w:ascii="Arial" w:cs="Arial" w:eastAsia="Arial" w:hAnsi="Arial"/>
                <w:sz w:val="10"/>
                <w:szCs w:val="10"/>
                <w:b w:val="1"/>
                <w:bCs w:val="1"/>
                <w:color w:val="FFFFFF"/>
              </w:rPr>
              <w:t>2022</w:t>
            </w: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Target</w:t>
            </w:r>
          </w:p>
        </w:tc>
        <w:tc>
          <w:tcPr>
            <w:tcW w:w="1060" w:type="dxa"/>
            <w:vAlign w:val="bottom"/>
            <w:gridSpan w:val="2"/>
            <w:shd w:val="clear" w:color="auto" w:fill="009AD9"/>
          </w:tcPr>
          <w:p>
            <w:pPr>
              <w:ind w:left="120"/>
              <w:spacing w:after="0" w:line="109" w:lineRule="exact"/>
              <w:rPr>
                <w:sz w:val="20"/>
                <w:szCs w:val="20"/>
                <w:color w:val="auto"/>
              </w:rPr>
            </w:pPr>
            <w:r>
              <w:rPr>
                <w:rFonts w:ascii="Arial" w:cs="Arial" w:eastAsia="Arial" w:hAnsi="Arial"/>
                <w:sz w:val="10"/>
                <w:szCs w:val="10"/>
                <w:b w:val="1"/>
                <w:bCs w:val="1"/>
                <w:color w:val="FFFFFF"/>
              </w:rPr>
              <w:t>Short-term Target</w:t>
            </w:r>
          </w:p>
        </w:tc>
        <w:tc>
          <w:tcPr>
            <w:tcW w:w="9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Target</w:t>
            </w: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Target</w:t>
            </w:r>
          </w:p>
        </w:tc>
        <w:tc>
          <w:tcPr>
            <w:tcW w:w="300" w:type="dxa"/>
            <w:vAlign w:val="bottom"/>
            <w:shd w:val="clear" w:color="auto" w:fill="009AD9"/>
          </w:tcPr>
          <w:p>
            <w:pPr>
              <w:spacing w:after="0"/>
              <w:rPr>
                <w:sz w:val="9"/>
                <w:szCs w:val="9"/>
                <w:color w:val="auto"/>
              </w:rPr>
            </w:pPr>
          </w:p>
        </w:tc>
        <w:tc>
          <w:tcPr>
            <w:tcW w:w="560" w:type="dxa"/>
            <w:vAlign w:val="bottom"/>
            <w:shd w:val="clear" w:color="auto" w:fill="009AD9"/>
          </w:tcPr>
          <w:p>
            <w:pPr>
              <w:jc w:val="right"/>
              <w:ind w:right="172"/>
              <w:spacing w:after="0" w:line="109" w:lineRule="exact"/>
              <w:rPr>
                <w:sz w:val="20"/>
                <w:szCs w:val="20"/>
                <w:color w:val="auto"/>
              </w:rPr>
            </w:pPr>
            <w:r>
              <w:rPr>
                <w:rFonts w:ascii="Arial" w:cs="Arial" w:eastAsia="Arial" w:hAnsi="Arial"/>
                <w:sz w:val="10"/>
                <w:szCs w:val="10"/>
                <w:b w:val="1"/>
                <w:bCs w:val="1"/>
                <w:color w:val="FFFFFF"/>
              </w:rPr>
              <w:t>Target</w:t>
            </w:r>
          </w:p>
        </w:tc>
      </w:tr>
      <w:tr>
        <w:trPr>
          <w:trHeight w:val="143"/>
        </w:trPr>
        <w:tc>
          <w:tcPr>
            <w:tcW w:w="202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900" w:type="dxa"/>
            <w:vAlign w:val="bottom"/>
            <w:tcBorders>
              <w:bottom w:val="single" w:sz="8" w:color="009AD9"/>
            </w:tcBorders>
            <w:gridSpan w:val="2"/>
            <w:shd w:val="clear" w:color="auto" w:fill="009AD9"/>
          </w:tcPr>
          <w:p>
            <w:pPr>
              <w:ind w:left="240"/>
              <w:spacing w:after="0"/>
              <w:rPr>
                <w:sz w:val="20"/>
                <w:szCs w:val="20"/>
                <w:color w:val="auto"/>
              </w:rPr>
            </w:pPr>
            <w:r>
              <w:rPr>
                <w:rFonts w:ascii="Arial" w:cs="Arial" w:eastAsia="Arial" w:hAnsi="Arial"/>
                <w:sz w:val="10"/>
                <w:szCs w:val="10"/>
                <w:b w:val="1"/>
                <w:bCs w:val="1"/>
                <w:color w:val="FFFFFF"/>
              </w:rPr>
              <w:t>Base Salary</w:t>
            </w:r>
          </w:p>
        </w:tc>
        <w:tc>
          <w:tcPr>
            <w:tcW w:w="90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 of Salary)</w:t>
            </w:r>
          </w:p>
        </w:tc>
        <w:tc>
          <w:tcPr>
            <w:tcW w:w="1060" w:type="dxa"/>
            <w:vAlign w:val="bottom"/>
            <w:tcBorders>
              <w:bottom w:val="single" w:sz="8" w:color="009AD9"/>
            </w:tcBorders>
            <w:gridSpan w:val="2"/>
            <w:shd w:val="clear" w:color="auto" w:fill="009AD9"/>
          </w:tcPr>
          <w:p>
            <w:pPr>
              <w:ind w:left="260"/>
              <w:spacing w:after="0"/>
              <w:rPr>
                <w:sz w:val="20"/>
                <w:szCs w:val="20"/>
                <w:color w:val="auto"/>
              </w:rPr>
            </w:pPr>
            <w:r>
              <w:rPr>
                <w:rFonts w:ascii="Arial" w:cs="Arial" w:eastAsia="Arial" w:hAnsi="Arial"/>
                <w:sz w:val="10"/>
                <w:szCs w:val="10"/>
                <w:b w:val="1"/>
                <w:bCs w:val="1"/>
                <w:color w:val="FFFFFF"/>
              </w:rPr>
              <w:t>Opportunity</w:t>
            </w:r>
          </w:p>
        </w:tc>
        <w:tc>
          <w:tcPr>
            <w:tcW w:w="90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 of Salary)</w:t>
            </w:r>
          </w:p>
        </w:tc>
        <w:tc>
          <w:tcPr>
            <w:tcW w:w="7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Opportunity</w:t>
            </w:r>
          </w:p>
        </w:tc>
        <w:tc>
          <w:tcPr>
            <w:tcW w:w="860" w:type="dxa"/>
            <w:vAlign w:val="bottom"/>
            <w:tcBorders>
              <w:bottom w:val="single" w:sz="8" w:color="009AD9"/>
            </w:tcBorders>
            <w:gridSpan w:val="2"/>
            <w:shd w:val="clear" w:color="auto" w:fill="009AD9"/>
          </w:tcPr>
          <w:p>
            <w:pPr>
              <w:jc w:val="right"/>
              <w:ind w:right="12"/>
              <w:spacing w:after="0"/>
              <w:rPr>
                <w:sz w:val="20"/>
                <w:szCs w:val="20"/>
                <w:color w:val="auto"/>
              </w:rPr>
            </w:pPr>
            <w:r>
              <w:rPr>
                <w:rFonts w:ascii="Arial" w:cs="Arial" w:eastAsia="Arial" w:hAnsi="Arial"/>
                <w:sz w:val="10"/>
                <w:szCs w:val="10"/>
                <w:b w:val="1"/>
                <w:bCs w:val="1"/>
                <w:color w:val="FFFFFF"/>
              </w:rPr>
              <w:t>Compensation</w:t>
            </w:r>
          </w:p>
        </w:tc>
      </w:tr>
      <w:tr>
        <w:trPr>
          <w:trHeight w:val="141"/>
        </w:trPr>
        <w:tc>
          <w:tcPr>
            <w:tcW w:w="2020" w:type="dxa"/>
            <w:vAlign w:val="bottom"/>
          </w:tcPr>
          <w:p>
            <w:pPr>
              <w:ind w:left="40"/>
              <w:spacing w:after="0"/>
              <w:rPr>
                <w:sz w:val="20"/>
                <w:szCs w:val="20"/>
                <w:color w:val="auto"/>
              </w:rPr>
            </w:pPr>
            <w:r>
              <w:rPr>
                <w:rFonts w:ascii="Arial" w:cs="Arial" w:eastAsia="Arial" w:hAnsi="Arial"/>
                <w:sz w:val="10"/>
                <w:szCs w:val="10"/>
                <w:b w:val="1"/>
                <w:bCs w:val="1"/>
                <w:color w:val="auto"/>
              </w:rPr>
              <w:t>David J. Lesar</w:t>
            </w:r>
          </w:p>
        </w:tc>
        <w:tc>
          <w:tcPr>
            <w:tcW w:w="900" w:type="dxa"/>
            <w:vAlign w:val="bottom"/>
            <w:gridSpan w:val="2"/>
          </w:tcPr>
          <w:p>
            <w:pPr>
              <w:ind w:left="260"/>
              <w:spacing w:after="0"/>
              <w:rPr>
                <w:sz w:val="20"/>
                <w:szCs w:val="20"/>
                <w:color w:val="auto"/>
              </w:rPr>
            </w:pPr>
            <w:r>
              <w:rPr>
                <w:rFonts w:ascii="Arial" w:cs="Arial" w:eastAsia="Arial" w:hAnsi="Arial"/>
                <w:sz w:val="10"/>
                <w:szCs w:val="10"/>
                <w:color w:val="auto"/>
              </w:rPr>
              <w:t>$1,475,000</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140%</w:t>
            </w:r>
          </w:p>
        </w:tc>
        <w:tc>
          <w:tcPr>
            <w:tcW w:w="1060" w:type="dxa"/>
            <w:vAlign w:val="bottom"/>
            <w:gridSpan w:val="2"/>
          </w:tcPr>
          <w:p>
            <w:pPr>
              <w:ind w:left="280"/>
              <w:spacing w:after="0"/>
              <w:rPr>
                <w:sz w:val="20"/>
                <w:szCs w:val="20"/>
                <w:color w:val="auto"/>
              </w:rPr>
            </w:pPr>
            <w:r>
              <w:rPr>
                <w:rFonts w:ascii="Arial" w:cs="Arial" w:eastAsia="Arial" w:hAnsi="Arial"/>
                <w:sz w:val="10"/>
                <w:szCs w:val="10"/>
                <w:color w:val="auto"/>
              </w:rPr>
              <w:t>$2,065,000</w:t>
            </w:r>
          </w:p>
        </w:tc>
        <w:tc>
          <w:tcPr>
            <w:tcW w:w="900" w:type="dxa"/>
            <w:vAlign w:val="bottom"/>
          </w:tcPr>
          <w:p>
            <w:pPr>
              <w:jc w:val="center"/>
              <w:spacing w:after="0"/>
              <w:rPr>
                <w:sz w:val="20"/>
                <w:szCs w:val="20"/>
                <w:color w:val="auto"/>
              </w:rPr>
            </w:pPr>
            <w:r>
              <w:rPr>
                <w:rFonts w:ascii="Arial" w:cs="Arial" w:eastAsia="Arial" w:hAnsi="Arial"/>
                <w:sz w:val="10"/>
                <w:szCs w:val="10"/>
                <w:color w:val="auto"/>
              </w:rPr>
              <w:t>575%</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$8,481,250</w:t>
            </w:r>
          </w:p>
        </w:tc>
        <w:tc>
          <w:tcPr>
            <w:tcW w:w="860" w:type="dxa"/>
            <w:vAlign w:val="bottom"/>
            <w:gridSpan w:val="2"/>
          </w:tcPr>
          <w:p>
            <w:pPr>
              <w:jc w:val="right"/>
              <w:ind w:right="52"/>
              <w:spacing w:after="0"/>
              <w:rPr>
                <w:sz w:val="20"/>
                <w:szCs w:val="20"/>
                <w:color w:val="auto"/>
              </w:rPr>
            </w:pPr>
            <w:r>
              <w:rPr>
                <w:rFonts w:ascii="Arial" w:cs="Arial" w:eastAsia="Arial" w:hAnsi="Arial"/>
                <w:sz w:val="10"/>
                <w:szCs w:val="10"/>
                <w:color w:val="auto"/>
              </w:rPr>
              <w:t>$12,021,250</w:t>
            </w:r>
          </w:p>
        </w:tc>
      </w:tr>
      <w:tr>
        <w:trPr>
          <w:trHeight w:val="150"/>
        </w:trPr>
        <w:tc>
          <w:tcPr>
            <w:tcW w:w="20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Jason P. Wells</w:t>
            </w:r>
          </w:p>
        </w:tc>
        <w:tc>
          <w:tcPr>
            <w:tcW w:w="360" w:type="dxa"/>
            <w:vAlign w:val="bottom"/>
            <w:shd w:val="clear" w:color="auto" w:fill="D8EFF9"/>
          </w:tcPr>
          <w:p>
            <w:pPr>
              <w:ind w:left="260"/>
              <w:spacing w:after="0"/>
              <w:rPr>
                <w:sz w:val="20"/>
                <w:szCs w:val="20"/>
                <w:color w:val="auto"/>
              </w:rPr>
            </w:pPr>
            <w:r>
              <w:rPr>
                <w:rFonts w:ascii="Arial" w:cs="Arial" w:eastAsia="Arial" w:hAnsi="Arial"/>
                <w:sz w:val="10"/>
                <w:szCs w:val="10"/>
                <w:color w:val="auto"/>
              </w:rPr>
              <w:t>$</w:t>
            </w:r>
          </w:p>
        </w:tc>
        <w:tc>
          <w:tcPr>
            <w:tcW w:w="540" w:type="dxa"/>
            <w:vAlign w:val="bottom"/>
            <w:shd w:val="clear" w:color="auto" w:fill="D8EFF9"/>
          </w:tcPr>
          <w:p>
            <w:pPr>
              <w:ind w:left="40"/>
              <w:spacing w:after="0"/>
              <w:rPr>
                <w:sz w:val="20"/>
                <w:szCs w:val="20"/>
                <w:color w:val="auto"/>
              </w:rPr>
            </w:pPr>
            <w:r>
              <w:rPr>
                <w:rFonts w:ascii="Arial" w:cs="Arial" w:eastAsia="Arial" w:hAnsi="Arial"/>
                <w:sz w:val="10"/>
                <w:szCs w:val="10"/>
                <w:color w:val="auto"/>
              </w:rPr>
              <w:t>695,000</w:t>
            </w:r>
          </w:p>
        </w:tc>
        <w:tc>
          <w:tcPr>
            <w:tcW w:w="900" w:type="dxa"/>
            <w:vAlign w:val="bottom"/>
            <w:shd w:val="clear" w:color="auto" w:fill="D8EFF9"/>
          </w:tcPr>
          <w:p>
            <w:pPr>
              <w:jc w:val="right"/>
              <w:ind w:right="272"/>
              <w:spacing w:after="0"/>
              <w:rPr>
                <w:sz w:val="20"/>
                <w:szCs w:val="20"/>
                <w:color w:val="auto"/>
              </w:rPr>
            </w:pPr>
            <w:r>
              <w:rPr>
                <w:rFonts w:ascii="Arial" w:cs="Arial" w:eastAsia="Arial" w:hAnsi="Arial"/>
                <w:sz w:val="10"/>
                <w:szCs w:val="10"/>
                <w:color w:val="auto"/>
              </w:rPr>
              <w:t>75%</w:t>
            </w:r>
          </w:p>
        </w:tc>
        <w:tc>
          <w:tcPr>
            <w:tcW w:w="380" w:type="dxa"/>
            <w:vAlign w:val="bottom"/>
            <w:shd w:val="clear" w:color="auto" w:fill="D8EFF9"/>
          </w:tcPr>
          <w:p>
            <w:pPr>
              <w:ind w:left="280"/>
              <w:spacing w:after="0"/>
              <w:rPr>
                <w:sz w:val="20"/>
                <w:szCs w:val="20"/>
                <w:color w:val="auto"/>
              </w:rPr>
            </w:pPr>
            <w:r>
              <w:rPr>
                <w:rFonts w:ascii="Arial" w:cs="Arial" w:eastAsia="Arial" w:hAnsi="Arial"/>
                <w:sz w:val="10"/>
                <w:szCs w:val="10"/>
                <w:color w:val="auto"/>
              </w:rPr>
              <w:t>$</w:t>
            </w:r>
          </w:p>
        </w:tc>
        <w:tc>
          <w:tcPr>
            <w:tcW w:w="680" w:type="dxa"/>
            <w:vAlign w:val="bottom"/>
            <w:shd w:val="clear" w:color="auto" w:fill="D8EFF9"/>
          </w:tcPr>
          <w:p>
            <w:pPr>
              <w:ind w:left="40"/>
              <w:spacing w:after="0"/>
              <w:rPr>
                <w:sz w:val="20"/>
                <w:szCs w:val="20"/>
                <w:color w:val="auto"/>
              </w:rPr>
            </w:pPr>
            <w:r>
              <w:rPr>
                <w:rFonts w:ascii="Arial" w:cs="Arial" w:eastAsia="Arial" w:hAnsi="Arial"/>
                <w:sz w:val="10"/>
                <w:szCs w:val="10"/>
                <w:color w:val="auto"/>
              </w:rPr>
              <w:t>521,250</w:t>
            </w:r>
          </w:p>
        </w:tc>
        <w:tc>
          <w:tcPr>
            <w:tcW w:w="9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250%</w:t>
            </w:r>
          </w:p>
        </w:tc>
        <w:tc>
          <w:tcPr>
            <w:tcW w:w="78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95"/>
              </w:rPr>
              <w:t>$1,737,500</w:t>
            </w:r>
          </w:p>
        </w:tc>
        <w:tc>
          <w:tcPr>
            <w:tcW w:w="300" w:type="dxa"/>
            <w:vAlign w:val="bottom"/>
            <w:shd w:val="clear" w:color="auto" w:fill="D8EFF9"/>
          </w:tcPr>
          <w:p>
            <w:pPr>
              <w:ind w:left="220"/>
              <w:spacing w:after="0"/>
              <w:rPr>
                <w:sz w:val="20"/>
                <w:szCs w:val="20"/>
                <w:color w:val="auto"/>
              </w:rPr>
            </w:pPr>
            <w:r>
              <w:rPr>
                <w:rFonts w:ascii="Arial" w:cs="Arial" w:eastAsia="Arial" w:hAnsi="Arial"/>
                <w:sz w:val="10"/>
                <w:szCs w:val="10"/>
                <w:color w:val="auto"/>
              </w:rPr>
              <w:t>$</w:t>
            </w:r>
          </w:p>
        </w:tc>
        <w:tc>
          <w:tcPr>
            <w:tcW w:w="560" w:type="dxa"/>
            <w:vAlign w:val="bottom"/>
            <w:shd w:val="clear" w:color="auto" w:fill="D8EFF9"/>
          </w:tcPr>
          <w:p>
            <w:pPr>
              <w:jc w:val="right"/>
              <w:ind w:right="52"/>
              <w:spacing w:after="0"/>
              <w:rPr>
                <w:sz w:val="20"/>
                <w:szCs w:val="20"/>
                <w:color w:val="auto"/>
              </w:rPr>
            </w:pPr>
            <w:r>
              <w:rPr>
                <w:rFonts w:ascii="Arial" w:cs="Arial" w:eastAsia="Arial" w:hAnsi="Arial"/>
                <w:sz w:val="10"/>
                <w:szCs w:val="10"/>
                <w:color w:val="auto"/>
                <w:w w:val="98"/>
              </w:rPr>
              <w:t>2,953,750</w:t>
            </w:r>
          </w:p>
        </w:tc>
      </w:tr>
      <w:tr>
        <w:trPr>
          <w:trHeight w:val="141"/>
        </w:trPr>
        <w:tc>
          <w:tcPr>
            <w:tcW w:w="2020" w:type="dxa"/>
            <w:vAlign w:val="bottom"/>
          </w:tcPr>
          <w:p>
            <w:pPr>
              <w:ind w:left="40"/>
              <w:spacing w:after="0"/>
              <w:rPr>
                <w:sz w:val="20"/>
                <w:szCs w:val="20"/>
                <w:color w:val="auto"/>
              </w:rPr>
            </w:pPr>
            <w:r>
              <w:rPr>
                <w:rFonts w:ascii="Arial" w:cs="Arial" w:eastAsia="Arial" w:hAnsi="Arial"/>
                <w:sz w:val="10"/>
                <w:szCs w:val="10"/>
                <w:b w:val="1"/>
                <w:bCs w:val="1"/>
                <w:color w:val="auto"/>
              </w:rPr>
              <w:t>Scott E. Doyle</w:t>
            </w:r>
          </w:p>
        </w:tc>
        <w:tc>
          <w:tcPr>
            <w:tcW w:w="360" w:type="dxa"/>
            <w:vAlign w:val="bottom"/>
          </w:tcPr>
          <w:p>
            <w:pPr>
              <w:ind w:left="260"/>
              <w:spacing w:after="0"/>
              <w:rPr>
                <w:sz w:val="20"/>
                <w:szCs w:val="20"/>
                <w:color w:val="auto"/>
              </w:rPr>
            </w:pPr>
            <w:r>
              <w:rPr>
                <w:rFonts w:ascii="Arial" w:cs="Arial" w:eastAsia="Arial" w:hAnsi="Arial"/>
                <w:sz w:val="10"/>
                <w:szCs w:val="10"/>
                <w:color w:val="auto"/>
              </w:rPr>
              <w:t>$</w:t>
            </w:r>
          </w:p>
        </w:tc>
        <w:tc>
          <w:tcPr>
            <w:tcW w:w="540" w:type="dxa"/>
            <w:vAlign w:val="bottom"/>
          </w:tcPr>
          <w:p>
            <w:pPr>
              <w:ind w:left="40"/>
              <w:spacing w:after="0"/>
              <w:rPr>
                <w:sz w:val="20"/>
                <w:szCs w:val="20"/>
                <w:color w:val="auto"/>
              </w:rPr>
            </w:pPr>
            <w:r>
              <w:rPr>
                <w:rFonts w:ascii="Arial" w:cs="Arial" w:eastAsia="Arial" w:hAnsi="Arial"/>
                <w:sz w:val="10"/>
                <w:szCs w:val="10"/>
                <w:color w:val="auto"/>
              </w:rPr>
              <w:t>600,000</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75%</w:t>
            </w:r>
          </w:p>
        </w:tc>
        <w:tc>
          <w:tcPr>
            <w:tcW w:w="380" w:type="dxa"/>
            <w:vAlign w:val="bottom"/>
          </w:tcPr>
          <w:p>
            <w:pPr>
              <w:ind w:left="280"/>
              <w:spacing w:after="0"/>
              <w:rPr>
                <w:sz w:val="20"/>
                <w:szCs w:val="20"/>
                <w:color w:val="auto"/>
              </w:rPr>
            </w:pPr>
            <w:r>
              <w:rPr>
                <w:rFonts w:ascii="Arial" w:cs="Arial" w:eastAsia="Arial" w:hAnsi="Arial"/>
                <w:sz w:val="10"/>
                <w:szCs w:val="10"/>
                <w:color w:val="auto"/>
              </w:rPr>
              <w:t>$</w:t>
            </w:r>
          </w:p>
        </w:tc>
        <w:tc>
          <w:tcPr>
            <w:tcW w:w="680" w:type="dxa"/>
            <w:vAlign w:val="bottom"/>
          </w:tcPr>
          <w:p>
            <w:pPr>
              <w:ind w:left="40"/>
              <w:spacing w:after="0"/>
              <w:rPr>
                <w:sz w:val="20"/>
                <w:szCs w:val="20"/>
                <w:color w:val="auto"/>
              </w:rPr>
            </w:pPr>
            <w:r>
              <w:rPr>
                <w:rFonts w:ascii="Arial" w:cs="Arial" w:eastAsia="Arial" w:hAnsi="Arial"/>
                <w:sz w:val="10"/>
                <w:szCs w:val="10"/>
                <w:color w:val="auto"/>
              </w:rPr>
              <w:t>450,000</w:t>
            </w:r>
          </w:p>
        </w:tc>
        <w:tc>
          <w:tcPr>
            <w:tcW w:w="900" w:type="dxa"/>
            <w:vAlign w:val="bottom"/>
          </w:tcPr>
          <w:p>
            <w:pPr>
              <w:jc w:val="center"/>
              <w:spacing w:after="0"/>
              <w:rPr>
                <w:sz w:val="20"/>
                <w:szCs w:val="20"/>
                <w:color w:val="auto"/>
              </w:rPr>
            </w:pPr>
            <w:r>
              <w:rPr>
                <w:rFonts w:ascii="Arial" w:cs="Arial" w:eastAsia="Arial" w:hAnsi="Arial"/>
                <w:sz w:val="10"/>
                <w:szCs w:val="10"/>
                <w:color w:val="auto"/>
              </w:rPr>
              <w:t>250%</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$1,500,000</w:t>
            </w:r>
          </w:p>
        </w:tc>
        <w:tc>
          <w:tcPr>
            <w:tcW w:w="300" w:type="dxa"/>
            <w:vAlign w:val="bottom"/>
          </w:tcPr>
          <w:p>
            <w:pPr>
              <w:ind w:lef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w w:val="98"/>
              </w:rPr>
              <w:t>2,550,000</w:t>
            </w:r>
          </w:p>
        </w:tc>
      </w:tr>
      <w:tr>
        <w:trPr>
          <w:trHeight w:val="150"/>
        </w:trPr>
        <w:tc>
          <w:tcPr>
            <w:tcW w:w="20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Monica Karuturi</w:t>
            </w:r>
          </w:p>
        </w:tc>
        <w:tc>
          <w:tcPr>
            <w:tcW w:w="360" w:type="dxa"/>
            <w:vAlign w:val="bottom"/>
            <w:shd w:val="clear" w:color="auto" w:fill="D8EFF9"/>
          </w:tcPr>
          <w:p>
            <w:pPr>
              <w:ind w:left="260"/>
              <w:spacing w:after="0"/>
              <w:rPr>
                <w:sz w:val="20"/>
                <w:szCs w:val="20"/>
                <w:color w:val="auto"/>
              </w:rPr>
            </w:pPr>
            <w:r>
              <w:rPr>
                <w:rFonts w:ascii="Arial" w:cs="Arial" w:eastAsia="Arial" w:hAnsi="Arial"/>
                <w:sz w:val="10"/>
                <w:szCs w:val="10"/>
                <w:color w:val="auto"/>
              </w:rPr>
              <w:t>$</w:t>
            </w:r>
          </w:p>
        </w:tc>
        <w:tc>
          <w:tcPr>
            <w:tcW w:w="540" w:type="dxa"/>
            <w:vAlign w:val="bottom"/>
            <w:shd w:val="clear" w:color="auto" w:fill="D8EFF9"/>
          </w:tcPr>
          <w:p>
            <w:pPr>
              <w:ind w:left="40"/>
              <w:spacing w:after="0"/>
              <w:rPr>
                <w:sz w:val="20"/>
                <w:szCs w:val="20"/>
                <w:color w:val="auto"/>
              </w:rPr>
            </w:pPr>
            <w:r>
              <w:rPr>
                <w:rFonts w:ascii="Arial" w:cs="Arial" w:eastAsia="Arial" w:hAnsi="Arial"/>
                <w:sz w:val="10"/>
                <w:szCs w:val="10"/>
                <w:color w:val="auto"/>
              </w:rPr>
              <w:t>580,000</w:t>
            </w:r>
          </w:p>
        </w:tc>
        <w:tc>
          <w:tcPr>
            <w:tcW w:w="900" w:type="dxa"/>
            <w:vAlign w:val="bottom"/>
            <w:shd w:val="clear" w:color="auto" w:fill="D8EFF9"/>
          </w:tcPr>
          <w:p>
            <w:pPr>
              <w:jc w:val="right"/>
              <w:ind w:right="272"/>
              <w:spacing w:after="0"/>
              <w:rPr>
                <w:sz w:val="20"/>
                <w:szCs w:val="20"/>
                <w:color w:val="auto"/>
              </w:rPr>
            </w:pPr>
            <w:r>
              <w:rPr>
                <w:rFonts w:ascii="Arial" w:cs="Arial" w:eastAsia="Arial" w:hAnsi="Arial"/>
                <w:sz w:val="10"/>
                <w:szCs w:val="10"/>
                <w:color w:val="auto"/>
              </w:rPr>
              <w:t>70%</w:t>
            </w:r>
          </w:p>
        </w:tc>
        <w:tc>
          <w:tcPr>
            <w:tcW w:w="380" w:type="dxa"/>
            <w:vAlign w:val="bottom"/>
            <w:shd w:val="clear" w:color="auto" w:fill="D8EFF9"/>
          </w:tcPr>
          <w:p>
            <w:pPr>
              <w:ind w:left="280"/>
              <w:spacing w:after="0"/>
              <w:rPr>
                <w:sz w:val="20"/>
                <w:szCs w:val="20"/>
                <w:color w:val="auto"/>
              </w:rPr>
            </w:pPr>
            <w:r>
              <w:rPr>
                <w:rFonts w:ascii="Arial" w:cs="Arial" w:eastAsia="Arial" w:hAnsi="Arial"/>
                <w:sz w:val="10"/>
                <w:szCs w:val="10"/>
                <w:color w:val="auto"/>
              </w:rPr>
              <w:t>$</w:t>
            </w:r>
          </w:p>
        </w:tc>
        <w:tc>
          <w:tcPr>
            <w:tcW w:w="680" w:type="dxa"/>
            <w:vAlign w:val="bottom"/>
            <w:shd w:val="clear" w:color="auto" w:fill="D8EFF9"/>
          </w:tcPr>
          <w:p>
            <w:pPr>
              <w:ind w:left="40"/>
              <w:spacing w:after="0"/>
              <w:rPr>
                <w:sz w:val="20"/>
                <w:szCs w:val="20"/>
                <w:color w:val="auto"/>
              </w:rPr>
            </w:pPr>
            <w:r>
              <w:rPr>
                <w:rFonts w:ascii="Arial" w:cs="Arial" w:eastAsia="Arial" w:hAnsi="Arial"/>
                <w:sz w:val="10"/>
                <w:szCs w:val="10"/>
                <w:color w:val="auto"/>
              </w:rPr>
              <w:t>406,000</w:t>
            </w:r>
          </w:p>
        </w:tc>
        <w:tc>
          <w:tcPr>
            <w:tcW w:w="900" w:type="dxa"/>
            <w:vAlign w:val="bottom"/>
            <w:shd w:val="clear" w:color="auto" w:fill="D8EFF9"/>
          </w:tcPr>
          <w:p>
            <w:pPr>
              <w:jc w:val="center"/>
              <w:spacing w:after="0"/>
              <w:rPr>
                <w:sz w:val="20"/>
                <w:szCs w:val="20"/>
                <w:color w:val="auto"/>
              </w:rPr>
            </w:pPr>
            <w:r>
              <w:rPr>
                <w:rFonts w:ascii="Arial" w:cs="Arial" w:eastAsia="Arial" w:hAnsi="Arial"/>
                <w:sz w:val="10"/>
                <w:szCs w:val="10"/>
                <w:color w:val="auto"/>
              </w:rPr>
              <w:t>190%</w:t>
            </w:r>
          </w:p>
        </w:tc>
        <w:tc>
          <w:tcPr>
            <w:tcW w:w="780" w:type="dxa"/>
            <w:vAlign w:val="bottom"/>
            <w:shd w:val="clear" w:color="auto" w:fill="D8EFF9"/>
          </w:tcPr>
          <w:p>
            <w:pPr>
              <w:jc w:val="center"/>
              <w:spacing w:after="0"/>
              <w:rPr>
                <w:sz w:val="20"/>
                <w:szCs w:val="20"/>
                <w:color w:val="auto"/>
              </w:rPr>
            </w:pPr>
            <w:r>
              <w:rPr>
                <w:rFonts w:ascii="Arial" w:cs="Arial" w:eastAsia="Arial" w:hAnsi="Arial"/>
                <w:sz w:val="10"/>
                <w:szCs w:val="10"/>
                <w:color w:val="auto"/>
                <w:w w:val="95"/>
              </w:rPr>
              <w:t>$1,102,000</w:t>
            </w:r>
          </w:p>
        </w:tc>
        <w:tc>
          <w:tcPr>
            <w:tcW w:w="300" w:type="dxa"/>
            <w:vAlign w:val="bottom"/>
            <w:shd w:val="clear" w:color="auto" w:fill="D8EFF9"/>
          </w:tcPr>
          <w:p>
            <w:pPr>
              <w:ind w:left="220"/>
              <w:spacing w:after="0"/>
              <w:rPr>
                <w:sz w:val="20"/>
                <w:szCs w:val="20"/>
                <w:color w:val="auto"/>
              </w:rPr>
            </w:pPr>
            <w:r>
              <w:rPr>
                <w:rFonts w:ascii="Arial" w:cs="Arial" w:eastAsia="Arial" w:hAnsi="Arial"/>
                <w:sz w:val="10"/>
                <w:szCs w:val="10"/>
                <w:color w:val="auto"/>
              </w:rPr>
              <w:t>$</w:t>
            </w:r>
          </w:p>
        </w:tc>
        <w:tc>
          <w:tcPr>
            <w:tcW w:w="560" w:type="dxa"/>
            <w:vAlign w:val="bottom"/>
            <w:shd w:val="clear" w:color="auto" w:fill="D8EFF9"/>
          </w:tcPr>
          <w:p>
            <w:pPr>
              <w:jc w:val="right"/>
              <w:ind w:right="52"/>
              <w:spacing w:after="0"/>
              <w:rPr>
                <w:sz w:val="20"/>
                <w:szCs w:val="20"/>
                <w:color w:val="auto"/>
              </w:rPr>
            </w:pPr>
            <w:r>
              <w:rPr>
                <w:rFonts w:ascii="Arial" w:cs="Arial" w:eastAsia="Arial" w:hAnsi="Arial"/>
                <w:sz w:val="10"/>
                <w:szCs w:val="10"/>
                <w:color w:val="auto"/>
                <w:w w:val="98"/>
              </w:rPr>
              <w:t>2,088,000</w:t>
            </w:r>
          </w:p>
        </w:tc>
      </w:tr>
      <w:tr>
        <w:trPr>
          <w:trHeight w:val="137"/>
        </w:trPr>
        <w:tc>
          <w:tcPr>
            <w:tcW w:w="2020" w:type="dxa"/>
            <w:vAlign w:val="bottom"/>
          </w:tcPr>
          <w:p>
            <w:pPr>
              <w:ind w:left="40"/>
              <w:spacing w:after="0"/>
              <w:rPr>
                <w:sz w:val="20"/>
                <w:szCs w:val="20"/>
                <w:color w:val="auto"/>
              </w:rPr>
            </w:pPr>
            <w:r>
              <w:rPr>
                <w:rFonts w:ascii="Arial" w:cs="Arial" w:eastAsia="Arial" w:hAnsi="Arial"/>
                <w:sz w:val="10"/>
                <w:szCs w:val="10"/>
                <w:b w:val="1"/>
                <w:bCs w:val="1"/>
                <w:color w:val="auto"/>
              </w:rPr>
              <w:t>Gregory E. Knight</w:t>
            </w:r>
          </w:p>
        </w:tc>
        <w:tc>
          <w:tcPr>
            <w:tcW w:w="360" w:type="dxa"/>
            <w:vAlign w:val="bottom"/>
          </w:tcPr>
          <w:p>
            <w:pPr>
              <w:ind w:left="260"/>
              <w:spacing w:after="0"/>
              <w:rPr>
                <w:sz w:val="20"/>
                <w:szCs w:val="20"/>
                <w:color w:val="auto"/>
              </w:rPr>
            </w:pPr>
            <w:r>
              <w:rPr>
                <w:rFonts w:ascii="Arial" w:cs="Arial" w:eastAsia="Arial" w:hAnsi="Arial"/>
                <w:sz w:val="10"/>
                <w:szCs w:val="10"/>
                <w:color w:val="auto"/>
              </w:rPr>
              <w:t>$</w:t>
            </w:r>
          </w:p>
        </w:tc>
        <w:tc>
          <w:tcPr>
            <w:tcW w:w="540" w:type="dxa"/>
            <w:vAlign w:val="bottom"/>
          </w:tcPr>
          <w:p>
            <w:pPr>
              <w:ind w:left="40"/>
              <w:spacing w:after="0"/>
              <w:rPr>
                <w:sz w:val="20"/>
                <w:szCs w:val="20"/>
                <w:color w:val="auto"/>
              </w:rPr>
            </w:pPr>
            <w:r>
              <w:rPr>
                <w:rFonts w:ascii="Arial" w:cs="Arial" w:eastAsia="Arial" w:hAnsi="Arial"/>
                <w:sz w:val="10"/>
                <w:szCs w:val="10"/>
                <w:color w:val="auto"/>
              </w:rPr>
              <w:t>530,000</w:t>
            </w:r>
          </w:p>
        </w:tc>
        <w:tc>
          <w:tcPr>
            <w:tcW w:w="900" w:type="dxa"/>
            <w:vAlign w:val="bottom"/>
          </w:tcPr>
          <w:p>
            <w:pPr>
              <w:jc w:val="right"/>
              <w:ind w:right="272"/>
              <w:spacing w:after="0"/>
              <w:rPr>
                <w:sz w:val="20"/>
                <w:szCs w:val="20"/>
                <w:color w:val="auto"/>
              </w:rPr>
            </w:pPr>
            <w:r>
              <w:rPr>
                <w:rFonts w:ascii="Arial" w:cs="Arial" w:eastAsia="Arial" w:hAnsi="Arial"/>
                <w:sz w:val="10"/>
                <w:szCs w:val="10"/>
                <w:color w:val="auto"/>
              </w:rPr>
              <w:t>70%</w:t>
            </w:r>
          </w:p>
        </w:tc>
        <w:tc>
          <w:tcPr>
            <w:tcW w:w="380" w:type="dxa"/>
            <w:vAlign w:val="bottom"/>
          </w:tcPr>
          <w:p>
            <w:pPr>
              <w:ind w:left="280"/>
              <w:spacing w:after="0"/>
              <w:rPr>
                <w:sz w:val="20"/>
                <w:szCs w:val="20"/>
                <w:color w:val="auto"/>
              </w:rPr>
            </w:pPr>
            <w:r>
              <w:rPr>
                <w:rFonts w:ascii="Arial" w:cs="Arial" w:eastAsia="Arial" w:hAnsi="Arial"/>
                <w:sz w:val="10"/>
                <w:szCs w:val="10"/>
                <w:color w:val="auto"/>
              </w:rPr>
              <w:t>$</w:t>
            </w:r>
          </w:p>
        </w:tc>
        <w:tc>
          <w:tcPr>
            <w:tcW w:w="680" w:type="dxa"/>
            <w:vAlign w:val="bottom"/>
          </w:tcPr>
          <w:p>
            <w:pPr>
              <w:ind w:left="40"/>
              <w:spacing w:after="0"/>
              <w:rPr>
                <w:sz w:val="20"/>
                <w:szCs w:val="20"/>
                <w:color w:val="auto"/>
              </w:rPr>
            </w:pPr>
            <w:r>
              <w:rPr>
                <w:rFonts w:ascii="Arial" w:cs="Arial" w:eastAsia="Arial" w:hAnsi="Arial"/>
                <w:sz w:val="10"/>
                <w:szCs w:val="10"/>
                <w:color w:val="auto"/>
              </w:rPr>
              <w:t>371,000</w:t>
            </w:r>
          </w:p>
        </w:tc>
        <w:tc>
          <w:tcPr>
            <w:tcW w:w="900" w:type="dxa"/>
            <w:vAlign w:val="bottom"/>
          </w:tcPr>
          <w:p>
            <w:pPr>
              <w:jc w:val="center"/>
              <w:spacing w:after="0"/>
              <w:rPr>
                <w:sz w:val="20"/>
                <w:szCs w:val="20"/>
                <w:color w:val="auto"/>
              </w:rPr>
            </w:pPr>
            <w:r>
              <w:rPr>
                <w:rFonts w:ascii="Arial" w:cs="Arial" w:eastAsia="Arial" w:hAnsi="Arial"/>
                <w:sz w:val="10"/>
                <w:szCs w:val="10"/>
                <w:color w:val="auto"/>
              </w:rPr>
              <w:t>190%</w:t>
            </w:r>
          </w:p>
        </w:tc>
        <w:tc>
          <w:tcPr>
            <w:tcW w:w="780" w:type="dxa"/>
            <w:vAlign w:val="bottom"/>
          </w:tcPr>
          <w:p>
            <w:pPr>
              <w:jc w:val="center"/>
              <w:spacing w:after="0"/>
              <w:rPr>
                <w:sz w:val="20"/>
                <w:szCs w:val="20"/>
                <w:color w:val="auto"/>
              </w:rPr>
            </w:pPr>
            <w:r>
              <w:rPr>
                <w:rFonts w:ascii="Arial" w:cs="Arial" w:eastAsia="Arial" w:hAnsi="Arial"/>
                <w:sz w:val="10"/>
                <w:szCs w:val="10"/>
                <w:color w:val="auto"/>
                <w:w w:val="95"/>
              </w:rPr>
              <w:t>$1,007,000</w:t>
            </w:r>
          </w:p>
        </w:tc>
        <w:tc>
          <w:tcPr>
            <w:tcW w:w="300" w:type="dxa"/>
            <w:vAlign w:val="bottom"/>
          </w:tcPr>
          <w:p>
            <w:pPr>
              <w:ind w:lef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2"/>
              <w:spacing w:after="0"/>
              <w:rPr>
                <w:sz w:val="20"/>
                <w:szCs w:val="20"/>
                <w:color w:val="auto"/>
              </w:rPr>
            </w:pPr>
            <w:r>
              <w:rPr>
                <w:rFonts w:ascii="Arial" w:cs="Arial" w:eastAsia="Arial" w:hAnsi="Arial"/>
                <w:sz w:val="10"/>
                <w:szCs w:val="10"/>
                <w:color w:val="auto"/>
                <w:w w:val="98"/>
              </w:rPr>
              <w:t>1,908,000</w:t>
            </w:r>
          </w:p>
        </w:tc>
      </w:tr>
    </w:tbl>
    <w:p>
      <w:pPr>
        <w:spacing w:after="0" w:line="139"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Base Salary</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w:t>
      </w:r>
    </w:p>
    <w:p>
      <w:pPr>
        <w:spacing w:after="0" w:line="13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Adjustments to base salary primarily reflect either changes or responses to changes in market data or increased experience and individual contribution of the employee. The typical date for making these adjustments is on or about April 1 of each year; however, adjustments may occur at other times during the year to recognize new responsibilities or new data regarding the market value of the job being performed.</w:t>
      </w:r>
    </w:p>
    <w:p>
      <w:pPr>
        <w:spacing w:after="0" w:line="136"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In February 2022, the Compensation Committee reviewed the base salary for each of our named executive officers and determined their respective base salaries in recognition of the scope of their respective roles and to align their base salaries with market benchmarks.</w:t>
      </w:r>
    </w:p>
    <w:p>
      <w:pPr>
        <w:spacing w:after="0" w:line="150" w:lineRule="exact"/>
        <w:rPr>
          <w:sz w:val="20"/>
          <w:szCs w:val="20"/>
          <w:color w:val="auto"/>
        </w:rPr>
      </w:pPr>
    </w:p>
    <w:tbl>
      <w:tblPr>
        <w:tblLayout w:type="fixed"/>
        <w:tblInd w:w="3240" w:type="dxa"/>
        <w:tblCellMar>
          <w:top w:w="0" w:type="dxa"/>
          <w:left w:w="0" w:type="dxa"/>
          <w:bottom w:w="0" w:type="dxa"/>
          <w:right w:w="0" w:type="dxa"/>
        </w:tblCellMar>
      </w:tblPr>
      <w:tr>
        <w:trPr>
          <w:trHeight w:val="145"/>
        </w:trPr>
        <w:tc>
          <w:tcPr>
            <w:tcW w:w="2180" w:type="dxa"/>
            <w:vAlign w:val="bottom"/>
            <w:shd w:val="clear" w:color="auto" w:fill="009AD9"/>
          </w:tcPr>
          <w:p>
            <w:pPr>
              <w:ind w:left="1060"/>
              <w:spacing w:after="0"/>
              <w:rPr>
                <w:sz w:val="20"/>
                <w:szCs w:val="20"/>
                <w:color w:val="auto"/>
              </w:rPr>
            </w:pPr>
            <w:r>
              <w:rPr>
                <w:rFonts w:ascii="Arial" w:cs="Arial" w:eastAsia="Arial" w:hAnsi="Arial"/>
                <w:sz w:val="10"/>
                <w:szCs w:val="10"/>
                <w:b w:val="1"/>
                <w:bCs w:val="1"/>
                <w:color w:val="FFFFFF"/>
              </w:rPr>
              <w:t>NAME</w:t>
            </w:r>
          </w:p>
        </w:tc>
        <w:tc>
          <w:tcPr>
            <w:tcW w:w="2640" w:type="dxa"/>
            <w:vAlign w:val="bottom"/>
            <w:shd w:val="clear" w:color="auto" w:fill="009AD9"/>
          </w:tcPr>
          <w:p>
            <w:pPr>
              <w:jc w:val="center"/>
              <w:ind w:left="212"/>
              <w:spacing w:after="0"/>
              <w:rPr>
                <w:sz w:val="20"/>
                <w:szCs w:val="20"/>
                <w:color w:val="auto"/>
              </w:rPr>
            </w:pPr>
            <w:r>
              <w:rPr>
                <w:rFonts w:ascii="Arial" w:cs="Arial" w:eastAsia="Arial" w:hAnsi="Arial"/>
                <w:sz w:val="10"/>
                <w:szCs w:val="10"/>
                <w:b w:val="1"/>
                <w:bCs w:val="1"/>
                <w:color w:val="FFFFFF"/>
                <w:w w:val="97"/>
              </w:rPr>
              <w:t>2022 BASE SALARY</w:t>
            </w:r>
          </w:p>
        </w:tc>
      </w:tr>
      <w:tr>
        <w:trPr>
          <w:trHeight w:val="112"/>
        </w:trPr>
        <w:tc>
          <w:tcPr>
            <w:tcW w:w="21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David J. Lesar</w:t>
            </w:r>
          </w:p>
        </w:tc>
        <w:tc>
          <w:tcPr>
            <w:tcW w:w="2640" w:type="dxa"/>
            <w:vAlign w:val="bottom"/>
          </w:tcPr>
          <w:p>
            <w:pPr>
              <w:jc w:val="center"/>
              <w:ind w:left="232"/>
              <w:spacing w:after="0" w:line="113" w:lineRule="exact"/>
              <w:rPr>
                <w:sz w:val="20"/>
                <w:szCs w:val="20"/>
                <w:color w:val="auto"/>
              </w:rPr>
            </w:pPr>
            <w:r>
              <w:rPr>
                <w:rFonts w:ascii="Arial" w:cs="Arial" w:eastAsia="Arial" w:hAnsi="Arial"/>
                <w:sz w:val="10"/>
                <w:szCs w:val="10"/>
                <w:color w:val="auto"/>
                <w:w w:val="95"/>
              </w:rPr>
              <w:t>$1,475,000</w:t>
            </w:r>
          </w:p>
        </w:tc>
      </w:tr>
      <w:tr>
        <w:trPr>
          <w:trHeight w:val="124"/>
        </w:trPr>
        <w:tc>
          <w:tcPr>
            <w:tcW w:w="2180" w:type="dxa"/>
            <w:vAlign w:val="bottom"/>
          </w:tcPr>
          <w:p>
            <w:pPr>
              <w:spacing w:after="0"/>
              <w:rPr>
                <w:sz w:val="10"/>
                <w:szCs w:val="10"/>
                <w:color w:val="auto"/>
              </w:rPr>
            </w:pPr>
          </w:p>
        </w:tc>
        <w:tc>
          <w:tcPr>
            <w:tcW w:w="2640" w:type="dxa"/>
            <w:vAlign w:val="bottom"/>
          </w:tcPr>
          <w:p>
            <w:pPr>
              <w:jc w:val="center"/>
              <w:ind w:left="232"/>
              <w:spacing w:after="0"/>
              <w:rPr>
                <w:sz w:val="20"/>
                <w:szCs w:val="20"/>
                <w:color w:val="auto"/>
              </w:rPr>
            </w:pPr>
            <w:r>
              <w:rPr>
                <w:rFonts w:ascii="Arial" w:cs="Arial" w:eastAsia="Arial" w:hAnsi="Arial"/>
                <w:sz w:val="10"/>
                <w:szCs w:val="10"/>
                <w:color w:val="auto"/>
                <w:w w:val="96"/>
              </w:rPr>
              <w:t>(increase of 2% from 2021)</w:t>
            </w:r>
          </w:p>
        </w:tc>
      </w:tr>
      <w:tr>
        <w:trPr>
          <w:trHeight w:val="121"/>
        </w:trPr>
        <w:tc>
          <w:tcPr>
            <w:tcW w:w="21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Jason P. Wells</w:t>
            </w:r>
          </w:p>
        </w:tc>
        <w:tc>
          <w:tcPr>
            <w:tcW w:w="2640" w:type="dxa"/>
            <w:vAlign w:val="bottom"/>
            <w:shd w:val="clear" w:color="auto" w:fill="D8EFF9"/>
          </w:tcPr>
          <w:p>
            <w:pPr>
              <w:jc w:val="center"/>
              <w:ind w:left="232"/>
              <w:spacing w:after="0"/>
              <w:rPr>
                <w:sz w:val="20"/>
                <w:szCs w:val="20"/>
                <w:color w:val="auto"/>
              </w:rPr>
            </w:pPr>
            <w:r>
              <w:rPr>
                <w:rFonts w:ascii="Arial" w:cs="Arial" w:eastAsia="Arial" w:hAnsi="Arial"/>
                <w:sz w:val="10"/>
                <w:szCs w:val="10"/>
                <w:color w:val="auto"/>
                <w:w w:val="95"/>
              </w:rPr>
              <w:t>$695,000</w:t>
            </w:r>
          </w:p>
        </w:tc>
      </w:tr>
      <w:tr>
        <w:trPr>
          <w:trHeight w:val="133"/>
        </w:trPr>
        <w:tc>
          <w:tcPr>
            <w:tcW w:w="2180" w:type="dxa"/>
            <w:vAlign w:val="bottom"/>
            <w:shd w:val="clear" w:color="auto" w:fill="D8EFF9"/>
          </w:tcPr>
          <w:p>
            <w:pPr>
              <w:spacing w:after="0"/>
              <w:rPr>
                <w:sz w:val="11"/>
                <w:szCs w:val="11"/>
                <w:color w:val="auto"/>
              </w:rPr>
            </w:pPr>
          </w:p>
        </w:tc>
        <w:tc>
          <w:tcPr>
            <w:tcW w:w="2640" w:type="dxa"/>
            <w:vAlign w:val="bottom"/>
            <w:shd w:val="clear" w:color="auto" w:fill="D8EFF9"/>
          </w:tcPr>
          <w:p>
            <w:pPr>
              <w:jc w:val="center"/>
              <w:ind w:left="232"/>
              <w:spacing w:after="0"/>
              <w:rPr>
                <w:sz w:val="20"/>
                <w:szCs w:val="20"/>
                <w:color w:val="auto"/>
              </w:rPr>
            </w:pPr>
            <w:r>
              <w:rPr>
                <w:rFonts w:ascii="Arial" w:cs="Arial" w:eastAsia="Arial" w:hAnsi="Arial"/>
                <w:sz w:val="10"/>
                <w:szCs w:val="10"/>
                <w:color w:val="auto"/>
                <w:w w:val="96"/>
              </w:rPr>
              <w:t>(increase of 4% from 2021)</w:t>
            </w:r>
          </w:p>
        </w:tc>
      </w:tr>
      <w:tr>
        <w:trPr>
          <w:trHeight w:val="112"/>
        </w:trPr>
        <w:tc>
          <w:tcPr>
            <w:tcW w:w="21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Scott E. Doyle</w:t>
            </w:r>
          </w:p>
        </w:tc>
        <w:tc>
          <w:tcPr>
            <w:tcW w:w="2640" w:type="dxa"/>
            <w:vAlign w:val="bottom"/>
          </w:tcPr>
          <w:p>
            <w:pPr>
              <w:jc w:val="center"/>
              <w:ind w:left="232"/>
              <w:spacing w:after="0" w:line="113" w:lineRule="exact"/>
              <w:rPr>
                <w:sz w:val="20"/>
                <w:szCs w:val="20"/>
                <w:color w:val="auto"/>
              </w:rPr>
            </w:pPr>
            <w:r>
              <w:rPr>
                <w:rFonts w:ascii="Arial" w:cs="Arial" w:eastAsia="Arial" w:hAnsi="Arial"/>
                <w:sz w:val="10"/>
                <w:szCs w:val="10"/>
                <w:color w:val="auto"/>
                <w:w w:val="95"/>
              </w:rPr>
              <w:t>$600,000</w:t>
            </w:r>
          </w:p>
        </w:tc>
      </w:tr>
      <w:tr>
        <w:trPr>
          <w:trHeight w:val="124"/>
        </w:trPr>
        <w:tc>
          <w:tcPr>
            <w:tcW w:w="2180" w:type="dxa"/>
            <w:vAlign w:val="bottom"/>
          </w:tcPr>
          <w:p>
            <w:pPr>
              <w:spacing w:after="0"/>
              <w:rPr>
                <w:sz w:val="10"/>
                <w:szCs w:val="10"/>
                <w:color w:val="auto"/>
              </w:rPr>
            </w:pPr>
          </w:p>
        </w:tc>
        <w:tc>
          <w:tcPr>
            <w:tcW w:w="2640" w:type="dxa"/>
            <w:vAlign w:val="bottom"/>
          </w:tcPr>
          <w:p>
            <w:pPr>
              <w:jc w:val="center"/>
              <w:ind w:left="212"/>
              <w:spacing w:after="0"/>
              <w:rPr>
                <w:sz w:val="20"/>
                <w:szCs w:val="20"/>
                <w:color w:val="auto"/>
              </w:rPr>
            </w:pPr>
            <w:r>
              <w:rPr>
                <w:rFonts w:ascii="Arial" w:cs="Arial" w:eastAsia="Arial" w:hAnsi="Arial"/>
                <w:sz w:val="10"/>
                <w:szCs w:val="10"/>
                <w:color w:val="auto"/>
                <w:w w:val="96"/>
              </w:rPr>
              <w:t>(increase of 14% from 2021)</w:t>
            </w:r>
          </w:p>
        </w:tc>
      </w:tr>
      <w:tr>
        <w:trPr>
          <w:trHeight w:val="121"/>
        </w:trPr>
        <w:tc>
          <w:tcPr>
            <w:tcW w:w="21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Monica Karuturi</w:t>
            </w:r>
          </w:p>
        </w:tc>
        <w:tc>
          <w:tcPr>
            <w:tcW w:w="2640" w:type="dxa"/>
            <w:vAlign w:val="bottom"/>
            <w:shd w:val="clear" w:color="auto" w:fill="D8EFF9"/>
          </w:tcPr>
          <w:p>
            <w:pPr>
              <w:jc w:val="center"/>
              <w:ind w:left="232"/>
              <w:spacing w:after="0"/>
              <w:rPr>
                <w:sz w:val="20"/>
                <w:szCs w:val="20"/>
                <w:color w:val="auto"/>
              </w:rPr>
            </w:pPr>
            <w:r>
              <w:rPr>
                <w:rFonts w:ascii="Arial" w:cs="Arial" w:eastAsia="Arial" w:hAnsi="Arial"/>
                <w:sz w:val="10"/>
                <w:szCs w:val="10"/>
                <w:color w:val="auto"/>
                <w:w w:val="95"/>
              </w:rPr>
              <w:t>$580,000</w:t>
            </w:r>
          </w:p>
        </w:tc>
      </w:tr>
      <w:tr>
        <w:trPr>
          <w:trHeight w:val="133"/>
        </w:trPr>
        <w:tc>
          <w:tcPr>
            <w:tcW w:w="2180" w:type="dxa"/>
            <w:vAlign w:val="bottom"/>
            <w:shd w:val="clear" w:color="auto" w:fill="D8EFF9"/>
          </w:tcPr>
          <w:p>
            <w:pPr>
              <w:spacing w:after="0"/>
              <w:rPr>
                <w:sz w:val="11"/>
                <w:szCs w:val="11"/>
                <w:color w:val="auto"/>
              </w:rPr>
            </w:pPr>
          </w:p>
        </w:tc>
        <w:tc>
          <w:tcPr>
            <w:tcW w:w="2640" w:type="dxa"/>
            <w:vAlign w:val="bottom"/>
            <w:shd w:val="clear" w:color="auto" w:fill="D8EFF9"/>
          </w:tcPr>
          <w:p>
            <w:pPr>
              <w:jc w:val="center"/>
              <w:ind w:left="232"/>
              <w:spacing w:after="0"/>
              <w:rPr>
                <w:sz w:val="20"/>
                <w:szCs w:val="20"/>
                <w:color w:val="auto"/>
              </w:rPr>
            </w:pPr>
            <w:r>
              <w:rPr>
                <w:rFonts w:ascii="Arial" w:cs="Arial" w:eastAsia="Arial" w:hAnsi="Arial"/>
                <w:sz w:val="10"/>
                <w:szCs w:val="10"/>
                <w:color w:val="auto"/>
                <w:w w:val="96"/>
              </w:rPr>
              <w:t>(increase of 7% from 2021)</w:t>
            </w:r>
          </w:p>
        </w:tc>
      </w:tr>
      <w:tr>
        <w:trPr>
          <w:trHeight w:val="112"/>
        </w:trPr>
        <w:tc>
          <w:tcPr>
            <w:tcW w:w="21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Gregory E. Knight</w:t>
            </w:r>
          </w:p>
        </w:tc>
        <w:tc>
          <w:tcPr>
            <w:tcW w:w="2640" w:type="dxa"/>
            <w:vAlign w:val="bottom"/>
          </w:tcPr>
          <w:p>
            <w:pPr>
              <w:jc w:val="center"/>
              <w:ind w:left="232"/>
              <w:spacing w:after="0" w:line="113" w:lineRule="exact"/>
              <w:rPr>
                <w:sz w:val="20"/>
                <w:szCs w:val="20"/>
                <w:color w:val="auto"/>
              </w:rPr>
            </w:pPr>
            <w:r>
              <w:rPr>
                <w:rFonts w:ascii="Arial" w:cs="Arial" w:eastAsia="Arial" w:hAnsi="Arial"/>
                <w:sz w:val="10"/>
                <w:szCs w:val="10"/>
                <w:color w:val="auto"/>
                <w:w w:val="95"/>
              </w:rPr>
              <w:t>$530,000</w:t>
            </w:r>
          </w:p>
        </w:tc>
      </w:tr>
      <w:tr>
        <w:trPr>
          <w:trHeight w:val="116"/>
        </w:trPr>
        <w:tc>
          <w:tcPr>
            <w:tcW w:w="2180" w:type="dxa"/>
            <w:vAlign w:val="bottom"/>
          </w:tcPr>
          <w:p>
            <w:pPr>
              <w:spacing w:after="0"/>
              <w:rPr>
                <w:sz w:val="10"/>
                <w:szCs w:val="10"/>
                <w:color w:val="auto"/>
              </w:rPr>
            </w:pPr>
          </w:p>
        </w:tc>
        <w:tc>
          <w:tcPr>
            <w:tcW w:w="2640" w:type="dxa"/>
            <w:vAlign w:val="bottom"/>
          </w:tcPr>
          <w:p>
            <w:pPr>
              <w:jc w:val="center"/>
              <w:ind w:left="232"/>
              <w:spacing w:after="0"/>
              <w:rPr>
                <w:sz w:val="20"/>
                <w:szCs w:val="20"/>
                <w:color w:val="auto"/>
              </w:rPr>
            </w:pPr>
            <w:r>
              <w:rPr>
                <w:rFonts w:ascii="Arial" w:cs="Arial" w:eastAsia="Arial" w:hAnsi="Arial"/>
                <w:sz w:val="10"/>
                <w:szCs w:val="10"/>
                <w:color w:val="auto"/>
                <w:w w:val="96"/>
              </w:rPr>
              <w:t>(increase of 6% from 2021)</w:t>
            </w:r>
          </w:p>
        </w:tc>
      </w:tr>
    </w:tbl>
    <w:p>
      <w:pPr>
        <w:spacing w:after="0" w:line="14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Short-Term Incentive Plan</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annual base salary.</w:t>
      </w:r>
    </w:p>
    <w:p>
      <w:pPr>
        <w:spacing w:after="0" w:line="131" w:lineRule="exact"/>
        <w:rPr>
          <w:sz w:val="20"/>
          <w:szCs w:val="20"/>
          <w:color w:val="auto"/>
        </w:rPr>
      </w:pPr>
    </w:p>
    <w:p>
      <w:pPr>
        <w:ind w:left="2220" w:hanging="230"/>
        <w:spacing w:after="0"/>
        <w:tabs>
          <w:tab w:leader="none" w:pos="2220" w:val="left"/>
        </w:tabs>
        <w:numPr>
          <w:ilvl w:val="0"/>
          <w:numId w:val="6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64"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The Compensation Committee generally determines each named executive officer’s short-term incentive target based on the competitive market data developed by its compensation consultant and recommendations from the Chief Executive Officer for officers other than himself.</w:t>
      </w:r>
    </w:p>
    <w:p>
      <w:pPr>
        <w:spacing w:after="0" w:line="136"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Each year, the Compensation Committee identifies incentive plan metrics that align with our strategy and with the interests of, and our commitments to, our shareholders. The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Compensation Committee compares the actual results to the pre-established performance objectives and certifies the extent to which the objectives are achieved under the plan. For the 2022 year, consistent with 2021 and in response to shareholder feedback, the Compensation Committee established that the short-term incentive plan for our named executive officers would be based on achieving a non-GAAP EPS target, “Adjusted EPS”, with a negative modifier for diversity, equity and inclusion metrics.</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entirety of each individual award is subject to the Compensation Committee’s discretion, consistent with the Company’s philosophy to pay for performance. In determining whether to exercise its discretion, the Compensation Committee may assess an individual executive’s contribution to the achievement of the performance objectives and any special circumstances and may also consider the input of our Chief Executive Officer on the amount to be awarded to each of the other named executive officers. Further, when evaluating overall Company performance, the Compensation Committee may determine to exercise its discretion and has committed, with management’s support, to reducing the payout to named executive officers to align with the non-executive short-term incentive payouts, which reflect non-financial performance such as safety, O&amp;M and capital cost management, customer reliability and responsiveness, and cyber.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99695</wp:posOffset>
            </wp:positionV>
            <wp:extent cx="3493135" cy="17957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93135" cy="179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short-term incentive plan metrics for the 2022 performance year, along with the description of each metric and its critical linkage to our strategy for value creation, are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95250</wp:posOffset>
            </wp:positionV>
            <wp:extent cx="4711700" cy="265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11700" cy="26543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194" w:lineRule="exact"/>
        <w:rPr>
          <w:sz w:val="20"/>
          <w:szCs w:val="20"/>
          <w:color w:val="auto"/>
        </w:rPr>
      </w:pPr>
    </w:p>
    <w:p>
      <w:pPr>
        <w:ind w:left="2220"/>
        <w:spacing w:after="0"/>
        <w:tabs>
          <w:tab w:leader="none" w:pos="3320" w:val="left"/>
        </w:tabs>
        <w:rPr>
          <w:sz w:val="20"/>
          <w:szCs w:val="20"/>
          <w:color w:val="auto"/>
        </w:rPr>
      </w:pPr>
      <w:r>
        <w:rPr>
          <w:rFonts w:ascii="Arial" w:cs="Arial" w:eastAsia="Arial" w:hAnsi="Arial"/>
          <w:sz w:val="9"/>
          <w:szCs w:val="9"/>
          <w:b w:val="1"/>
          <w:bCs w:val="1"/>
          <w:color w:val="FFFFFF"/>
        </w:rPr>
        <w:t>PERFORMANCE</w:t>
      </w:r>
      <w:r>
        <w:rPr>
          <w:sz w:val="20"/>
          <w:szCs w:val="20"/>
          <w:color w:val="auto"/>
        </w:rPr>
        <w:tab/>
      </w:r>
      <w:r>
        <w:rPr>
          <w:rFonts w:ascii="Arial" w:cs="Arial" w:eastAsia="Arial" w:hAnsi="Arial"/>
          <w:sz w:val="16"/>
          <w:szCs w:val="16"/>
          <w:b w:val="1"/>
          <w:bCs w:val="1"/>
          <w:color w:val="FFFFFF"/>
          <w:vertAlign w:val="subscript"/>
        </w:rPr>
        <w:t>WEIGHTING</w:t>
      </w:r>
    </w:p>
    <w:p>
      <w:pPr>
        <w:ind w:left="2300"/>
        <w:spacing w:after="0"/>
        <w:rPr>
          <w:sz w:val="20"/>
          <w:szCs w:val="20"/>
          <w:color w:val="auto"/>
        </w:rPr>
      </w:pPr>
      <w:r>
        <w:rPr>
          <w:rFonts w:ascii="Arial" w:cs="Arial" w:eastAsia="Arial" w:hAnsi="Arial"/>
          <w:sz w:val="11"/>
          <w:szCs w:val="11"/>
          <w:b w:val="1"/>
          <w:bCs w:val="1"/>
          <w:color w:val="FFFFFF"/>
        </w:rPr>
        <w:t>OBJECTIVES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10"/>
          <w:szCs w:val="10"/>
          <w:b w:val="1"/>
          <w:bCs w:val="1"/>
          <w:color w:val="FFFFFF"/>
        </w:rPr>
        <w:t>DESCRIPTION</w:t>
      </w:r>
      <w:r>
        <w:rPr>
          <w:sz w:val="20"/>
          <w:szCs w:val="20"/>
          <w:color w:val="auto"/>
        </w:rPr>
        <w:tab/>
      </w:r>
      <w:r>
        <w:rPr>
          <w:rFonts w:ascii="Arial" w:cs="Arial" w:eastAsia="Arial" w:hAnsi="Arial"/>
          <w:sz w:val="10"/>
          <w:szCs w:val="10"/>
          <w:b w:val="1"/>
          <w:bCs w:val="1"/>
          <w:color w:val="FFFFFF"/>
        </w:rPr>
        <w:t>STRATEGY ALIGNMENT</w:t>
      </w:r>
    </w:p>
    <w:p>
      <w:pPr>
        <w:spacing w:after="0" w:line="153" w:lineRule="exact"/>
        <w:rPr>
          <w:sz w:val="20"/>
          <w:szCs w:val="20"/>
          <w:color w:val="auto"/>
        </w:rPr>
      </w:pPr>
    </w:p>
    <w:p>
      <w:pPr>
        <w:sectPr>
          <w:pgSz w:w="11900" w:h="16838" w:orient="portrait"/>
          <w:cols w:equalWidth="0" w:num="2">
            <w:col w:w="4400" w:space="720"/>
            <w:col w:w="5039"/>
          </w:cols>
          <w:pgMar w:left="300" w:top="373" w:right="1440" w:bottom="1440" w:gutter="0" w:footer="0" w:header="0"/>
          <w:type w:val="continuous"/>
        </w:sectPr>
      </w:pPr>
    </w:p>
    <w:p>
      <w:pPr>
        <w:spacing w:after="0" w:line="370" w:lineRule="exact"/>
        <w:rPr>
          <w:sz w:val="20"/>
          <w:szCs w:val="20"/>
          <w:color w:val="auto"/>
        </w:rPr>
      </w:pPr>
    </w:p>
    <w:tbl>
      <w:tblPr>
        <w:tblLayout w:type="fixed"/>
        <w:tblInd w:w="2040" w:type="dxa"/>
        <w:tblCellMar>
          <w:top w:w="0" w:type="dxa"/>
          <w:left w:w="0" w:type="dxa"/>
          <w:bottom w:w="0" w:type="dxa"/>
          <w:right w:w="0" w:type="dxa"/>
        </w:tblCellMar>
      </w:tblPr>
      <w:tr>
        <w:trPr>
          <w:trHeight w:val="128"/>
        </w:trPr>
        <w:tc>
          <w:tcPr>
            <w:tcW w:w="1060" w:type="dxa"/>
            <w:vAlign w:val="bottom"/>
          </w:tcPr>
          <w:p>
            <w:pPr>
              <w:spacing w:after="0"/>
              <w:rPr>
                <w:sz w:val="20"/>
                <w:szCs w:val="20"/>
                <w:color w:val="auto"/>
              </w:rPr>
            </w:pPr>
            <w:r>
              <w:rPr>
                <w:rFonts w:ascii="Arial" w:cs="Arial" w:eastAsia="Arial" w:hAnsi="Arial"/>
                <w:sz w:val="10"/>
                <w:szCs w:val="10"/>
                <w:b w:val="1"/>
                <w:bCs w:val="1"/>
                <w:color w:val="auto"/>
              </w:rPr>
              <w:t>Adjusted EPS</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100%</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0" w:lineRule="auto"/>
        <w:rPr>
          <w:sz w:val="20"/>
          <w:szCs w:val="20"/>
          <w:color w:val="auto"/>
        </w:rPr>
      </w:pPr>
      <w:r>
        <w:rPr>
          <w:rFonts w:ascii="Arial" w:cs="Arial" w:eastAsia="Arial" w:hAnsi="Arial"/>
          <w:sz w:val="10"/>
          <w:szCs w:val="10"/>
          <w:color w:val="auto"/>
        </w:rPr>
        <w:t>Adjusted EPS is a non-GAAP metric which includes net income from electric and natural gas segments, as well as after-tax corporate and other operating income and corporate overhead. It is also adjusted for certain factors to reflect what we consider to be our fundamental business performance*</w:t>
      </w:r>
    </w:p>
    <w:p>
      <w:pPr>
        <w:spacing w:after="0" w:line="20" w:lineRule="exact"/>
        <w:rPr>
          <w:sz w:val="20"/>
          <w:szCs w:val="20"/>
          <w:color w:val="auto"/>
        </w:rPr>
      </w:pPr>
      <w:r>
        <w:rPr>
          <w:sz w:val="20"/>
          <w:szCs w:val="20"/>
          <w:color w:val="auto"/>
        </w:rPr>
        <w:br w:type="column"/>
      </w:r>
    </w:p>
    <w:p>
      <w:pPr>
        <w:ind w:right="939"/>
        <w:spacing w:after="0" w:line="294" w:lineRule="auto"/>
        <w:rPr>
          <w:sz w:val="20"/>
          <w:szCs w:val="20"/>
          <w:color w:val="auto"/>
        </w:rPr>
      </w:pPr>
      <w:r>
        <w:rPr>
          <w:rFonts w:ascii="Arial" w:cs="Arial" w:eastAsia="Arial" w:hAnsi="Arial"/>
          <w:sz w:val="8"/>
          <w:szCs w:val="8"/>
          <w:color w:val="auto"/>
        </w:rPr>
        <w:t>An EPS measure aligns with our commitment to return value to investors through earnings and dividends paid. This measure is focused on Adjusted EPS, which excludes net income from our midstream investments as we have divested said investments in early 2022 to focus on our utility operations, as well as other activities not considered a principal driver of overall long-term financial performance*</w:t>
      </w:r>
    </w:p>
    <w:p>
      <w:pPr>
        <w:spacing w:after="0" w:line="115" w:lineRule="exact"/>
        <w:rPr>
          <w:sz w:val="20"/>
          <w:szCs w:val="20"/>
          <w:color w:val="auto"/>
        </w:rPr>
      </w:pPr>
    </w:p>
    <w:p>
      <w:pPr>
        <w:sectPr>
          <w:pgSz w:w="11900" w:h="16838" w:orient="portrait"/>
          <w:cols w:equalWidth="0" w:num="3">
            <w:col w:w="3780" w:space="280"/>
            <w:col w:w="2860" w:space="40"/>
            <w:col w:w="3199"/>
          </w:cols>
          <w:pgMar w:left="300" w:top="373" w:right="1440" w:bottom="1440" w:gutter="0" w:footer="0" w:header="0"/>
          <w:type w:val="continuous"/>
        </w:sectPr>
      </w:pPr>
    </w:p>
    <w:tbl>
      <w:tblPr>
        <w:tblLayout w:type="fixed"/>
        <w:tblInd w:w="1940" w:type="dxa"/>
        <w:tblCellMar>
          <w:top w:w="0" w:type="dxa"/>
          <w:left w:w="0" w:type="dxa"/>
          <w:bottom w:w="0" w:type="dxa"/>
          <w:right w:w="0" w:type="dxa"/>
        </w:tblCellMar>
      </w:tblPr>
      <w:tr>
        <w:trPr>
          <w:trHeight w:val="115"/>
        </w:trPr>
        <w:tc>
          <w:tcPr>
            <w:tcW w:w="1280" w:type="dxa"/>
            <w:vAlign w:val="bottom"/>
            <w:shd w:val="clear" w:color="auto" w:fill="D8EFF9"/>
          </w:tcPr>
          <w:p>
            <w:pPr>
              <w:spacing w:after="0"/>
              <w:rPr>
                <w:sz w:val="10"/>
                <w:szCs w:val="10"/>
                <w:color w:val="auto"/>
              </w:rPr>
            </w:pPr>
          </w:p>
        </w:tc>
        <w:tc>
          <w:tcPr>
            <w:tcW w:w="740" w:type="dxa"/>
            <w:vAlign w:val="bottom"/>
            <w:shd w:val="clear" w:color="auto" w:fill="D8EFF9"/>
          </w:tcPr>
          <w:p>
            <w:pPr>
              <w:spacing w:after="0"/>
              <w:rPr>
                <w:sz w:val="10"/>
                <w:szCs w:val="10"/>
                <w:color w:val="auto"/>
              </w:rPr>
            </w:pPr>
          </w:p>
        </w:tc>
        <w:tc>
          <w:tcPr>
            <w:tcW w:w="2980" w:type="dxa"/>
            <w:vAlign w:val="bottom"/>
            <w:vMerge w:val="restart"/>
            <w:shd w:val="clear" w:color="auto" w:fill="D8EFF9"/>
          </w:tcPr>
          <w:p>
            <w:pPr>
              <w:ind w:left="100"/>
              <w:spacing w:after="0"/>
              <w:rPr>
                <w:sz w:val="20"/>
                <w:szCs w:val="20"/>
                <w:color w:val="auto"/>
              </w:rPr>
            </w:pPr>
            <w:r>
              <w:rPr>
                <w:rFonts w:ascii="Arial" w:cs="Arial" w:eastAsia="Arial" w:hAnsi="Arial"/>
                <w:sz w:val="10"/>
                <w:szCs w:val="10"/>
                <w:color w:val="auto"/>
              </w:rPr>
              <w:t>This modifier is focused on meeting certain diversity, equity and</w:t>
            </w:r>
          </w:p>
        </w:tc>
        <w:tc>
          <w:tcPr>
            <w:tcW w:w="2420" w:type="dxa"/>
            <w:vAlign w:val="bottom"/>
            <w:shd w:val="clear" w:color="auto" w:fill="D8EFF9"/>
          </w:tcPr>
          <w:p>
            <w:pPr>
              <w:ind w:left="20"/>
              <w:spacing w:after="0"/>
              <w:rPr>
                <w:sz w:val="20"/>
                <w:szCs w:val="20"/>
                <w:color w:val="auto"/>
              </w:rPr>
            </w:pPr>
            <w:r>
              <w:rPr>
                <w:rFonts w:ascii="Arial" w:cs="Arial" w:eastAsia="Arial" w:hAnsi="Arial"/>
                <w:sz w:val="10"/>
                <w:szCs w:val="10"/>
                <w:color w:val="auto"/>
              </w:rPr>
              <w:t>This diversity, equity and inclusion negative modifier</w:t>
            </w:r>
          </w:p>
        </w:tc>
        <w:tc>
          <w:tcPr>
            <w:tcW w:w="0" w:type="dxa"/>
            <w:vAlign w:val="bottom"/>
          </w:tcPr>
          <w:p>
            <w:pPr>
              <w:spacing w:after="0"/>
              <w:rPr>
                <w:sz w:val="1"/>
                <w:szCs w:val="1"/>
                <w:color w:val="auto"/>
              </w:rPr>
            </w:pPr>
          </w:p>
        </w:tc>
      </w:tr>
      <w:tr>
        <w:trPr>
          <w:trHeight w:val="55"/>
        </w:trPr>
        <w:tc>
          <w:tcPr>
            <w:tcW w:w="1280" w:type="dxa"/>
            <w:vAlign w:val="bottom"/>
            <w:vMerge w:val="restart"/>
            <w:shd w:val="clear" w:color="auto" w:fill="D8EFF9"/>
          </w:tcPr>
          <w:p>
            <w:pPr>
              <w:ind w:left="100"/>
              <w:spacing w:after="0"/>
              <w:rPr>
                <w:sz w:val="20"/>
                <w:szCs w:val="20"/>
                <w:color w:val="auto"/>
              </w:rPr>
            </w:pPr>
            <w:r>
              <w:rPr>
                <w:rFonts w:ascii="Arial" w:cs="Arial" w:eastAsia="Arial" w:hAnsi="Arial"/>
                <w:sz w:val="10"/>
                <w:szCs w:val="10"/>
                <w:b w:val="1"/>
                <w:bCs w:val="1"/>
                <w:color w:val="auto"/>
              </w:rPr>
              <w:t>Diversity,</w:t>
            </w:r>
          </w:p>
        </w:tc>
        <w:tc>
          <w:tcPr>
            <w:tcW w:w="740" w:type="dxa"/>
            <w:vAlign w:val="bottom"/>
            <w:shd w:val="clear" w:color="auto" w:fill="D8EFF9"/>
          </w:tcPr>
          <w:p>
            <w:pPr>
              <w:spacing w:after="0"/>
              <w:rPr>
                <w:sz w:val="4"/>
                <w:szCs w:val="4"/>
                <w:color w:val="auto"/>
              </w:rPr>
            </w:pPr>
          </w:p>
        </w:tc>
        <w:tc>
          <w:tcPr>
            <w:tcW w:w="2980" w:type="dxa"/>
            <w:vAlign w:val="bottom"/>
            <w:vMerge w:val="continue"/>
            <w:shd w:val="clear" w:color="auto" w:fill="D8EFF9"/>
          </w:tcPr>
          <w:p>
            <w:pPr>
              <w:spacing w:after="0"/>
              <w:rPr>
                <w:sz w:val="4"/>
                <w:szCs w:val="4"/>
                <w:color w:val="auto"/>
              </w:rPr>
            </w:pPr>
          </w:p>
        </w:tc>
        <w:tc>
          <w:tcPr>
            <w:tcW w:w="2420" w:type="dxa"/>
            <w:vAlign w:val="bottom"/>
            <w:vMerge w:val="restart"/>
            <w:shd w:val="clear" w:color="auto" w:fill="D8EFF9"/>
          </w:tcPr>
          <w:p>
            <w:pPr>
              <w:ind w:left="20"/>
              <w:spacing w:after="0" w:line="109" w:lineRule="exact"/>
              <w:rPr>
                <w:sz w:val="20"/>
                <w:szCs w:val="20"/>
                <w:color w:val="auto"/>
              </w:rPr>
            </w:pPr>
            <w:r>
              <w:rPr>
                <w:rFonts w:ascii="Arial" w:cs="Arial" w:eastAsia="Arial" w:hAnsi="Arial"/>
                <w:sz w:val="10"/>
                <w:szCs w:val="10"/>
                <w:color w:val="auto"/>
              </w:rPr>
              <w:t>aligns with our commitment to recruit and retain a</w:t>
            </w:r>
          </w:p>
        </w:tc>
        <w:tc>
          <w:tcPr>
            <w:tcW w:w="0" w:type="dxa"/>
            <w:vAlign w:val="bottom"/>
          </w:tcPr>
          <w:p>
            <w:pPr>
              <w:spacing w:after="0"/>
              <w:rPr>
                <w:sz w:val="1"/>
                <w:szCs w:val="1"/>
                <w:color w:val="auto"/>
              </w:rPr>
            </w:pPr>
          </w:p>
        </w:tc>
      </w:tr>
      <w:tr>
        <w:trPr>
          <w:trHeight w:val="55"/>
        </w:trPr>
        <w:tc>
          <w:tcPr>
            <w:tcW w:w="1280" w:type="dxa"/>
            <w:vAlign w:val="bottom"/>
            <w:vMerge w:val="continue"/>
            <w:shd w:val="clear" w:color="auto" w:fill="D8EFF9"/>
          </w:tcPr>
          <w:p>
            <w:pPr>
              <w:spacing w:after="0"/>
              <w:rPr>
                <w:sz w:val="4"/>
                <w:szCs w:val="4"/>
                <w:color w:val="auto"/>
              </w:rPr>
            </w:pPr>
          </w:p>
        </w:tc>
        <w:tc>
          <w:tcPr>
            <w:tcW w:w="740" w:type="dxa"/>
            <w:vAlign w:val="bottom"/>
            <w:shd w:val="clear" w:color="auto" w:fill="D8EFF9"/>
          </w:tcPr>
          <w:p>
            <w:pPr>
              <w:spacing w:after="0"/>
              <w:rPr>
                <w:sz w:val="4"/>
                <w:szCs w:val="4"/>
                <w:color w:val="auto"/>
              </w:rPr>
            </w:pPr>
          </w:p>
        </w:tc>
        <w:tc>
          <w:tcPr>
            <w:tcW w:w="2980" w:type="dxa"/>
            <w:vAlign w:val="bottom"/>
            <w:vMerge w:val="restart"/>
            <w:shd w:val="clear" w:color="auto" w:fill="D8EFF9"/>
          </w:tcPr>
          <w:p>
            <w:pPr>
              <w:ind w:left="100"/>
              <w:spacing w:after="0" w:line="97" w:lineRule="exact"/>
              <w:rPr>
                <w:sz w:val="20"/>
                <w:szCs w:val="20"/>
                <w:color w:val="auto"/>
              </w:rPr>
            </w:pPr>
            <w:r>
              <w:rPr>
                <w:rFonts w:ascii="Arial" w:cs="Arial" w:eastAsia="Arial" w:hAnsi="Arial"/>
                <w:sz w:val="10"/>
                <w:szCs w:val="10"/>
                <w:color w:val="auto"/>
              </w:rPr>
              <w:t>inclusion goals: diversity of applicants and diversity of suppliers.</w:t>
            </w:r>
          </w:p>
        </w:tc>
        <w:tc>
          <w:tcPr>
            <w:tcW w:w="2420" w:type="dxa"/>
            <w:vAlign w:val="bottom"/>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80" w:type="dxa"/>
            <w:vAlign w:val="bottom"/>
            <w:vMerge w:val="continue"/>
            <w:shd w:val="clear" w:color="auto" w:fill="D8EFF9"/>
          </w:tcPr>
          <w:p>
            <w:pPr>
              <w:spacing w:after="0"/>
              <w:rPr>
                <w:sz w:val="3"/>
                <w:szCs w:val="3"/>
                <w:color w:val="auto"/>
              </w:rPr>
            </w:pPr>
          </w:p>
        </w:tc>
        <w:tc>
          <w:tcPr>
            <w:tcW w:w="740" w:type="dxa"/>
            <w:vAlign w:val="bottom"/>
            <w:shd w:val="clear" w:color="auto" w:fill="D8EFF9"/>
          </w:tcPr>
          <w:p>
            <w:pPr>
              <w:spacing w:after="0"/>
              <w:rPr>
                <w:sz w:val="3"/>
                <w:szCs w:val="3"/>
                <w:color w:val="auto"/>
              </w:rPr>
            </w:pPr>
          </w:p>
        </w:tc>
        <w:tc>
          <w:tcPr>
            <w:tcW w:w="2980" w:type="dxa"/>
            <w:vAlign w:val="bottom"/>
            <w:vMerge w:val="continue"/>
            <w:shd w:val="clear" w:color="auto" w:fill="D8EFF9"/>
          </w:tcPr>
          <w:p>
            <w:pPr>
              <w:spacing w:after="0"/>
              <w:rPr>
                <w:sz w:val="3"/>
                <w:szCs w:val="3"/>
                <w:color w:val="auto"/>
              </w:rPr>
            </w:pPr>
          </w:p>
        </w:tc>
        <w:tc>
          <w:tcPr>
            <w:tcW w:w="2420" w:type="dxa"/>
            <w:vAlign w:val="bottom"/>
            <w:vMerge w:val="restart"/>
            <w:shd w:val="clear" w:color="auto" w:fill="D8EFF9"/>
          </w:tcPr>
          <w:p>
            <w:pPr>
              <w:ind w:left="20"/>
              <w:spacing w:after="0"/>
              <w:rPr>
                <w:sz w:val="20"/>
                <w:szCs w:val="20"/>
                <w:color w:val="auto"/>
              </w:rPr>
            </w:pPr>
            <w:r>
              <w:rPr>
                <w:rFonts w:ascii="Arial" w:cs="Arial" w:eastAsia="Arial" w:hAnsi="Arial"/>
                <w:sz w:val="10"/>
                <w:szCs w:val="10"/>
                <w:color w:val="auto"/>
              </w:rPr>
              <w:t>diverse workforce and diverse supplier base that is</w:t>
            </w:r>
          </w:p>
        </w:tc>
        <w:tc>
          <w:tcPr>
            <w:tcW w:w="0" w:type="dxa"/>
            <w:vAlign w:val="bottom"/>
          </w:tcPr>
          <w:p>
            <w:pPr>
              <w:spacing w:after="0"/>
              <w:rPr>
                <w:sz w:val="1"/>
                <w:szCs w:val="1"/>
                <w:color w:val="auto"/>
              </w:rPr>
            </w:pPr>
          </w:p>
        </w:tc>
      </w:tr>
      <w:tr>
        <w:trPr>
          <w:trHeight w:val="100"/>
        </w:trPr>
        <w:tc>
          <w:tcPr>
            <w:tcW w:w="1280" w:type="dxa"/>
            <w:vAlign w:val="bottom"/>
            <w:shd w:val="clear" w:color="auto" w:fill="D8EFF9"/>
          </w:tcPr>
          <w:p>
            <w:pPr>
              <w:ind w:left="100"/>
              <w:spacing w:after="0" w:line="100" w:lineRule="exact"/>
              <w:rPr>
                <w:sz w:val="20"/>
                <w:szCs w:val="20"/>
                <w:color w:val="auto"/>
              </w:rPr>
            </w:pPr>
            <w:r>
              <w:rPr>
                <w:rFonts w:ascii="Arial" w:cs="Arial" w:eastAsia="Arial" w:hAnsi="Arial"/>
                <w:sz w:val="10"/>
                <w:szCs w:val="10"/>
                <w:b w:val="1"/>
                <w:bCs w:val="1"/>
                <w:color w:val="auto"/>
              </w:rPr>
              <w:t>Equity and Inclusion</w:t>
            </w:r>
          </w:p>
        </w:tc>
        <w:tc>
          <w:tcPr>
            <w:tcW w:w="740" w:type="dxa"/>
            <w:vAlign w:val="bottom"/>
            <w:shd w:val="clear" w:color="auto" w:fill="D8EFF9"/>
          </w:tcPr>
          <w:p>
            <w:pPr>
              <w:ind w:left="260"/>
              <w:spacing w:after="0" w:line="100" w:lineRule="exact"/>
              <w:rPr>
                <w:sz w:val="20"/>
                <w:szCs w:val="20"/>
                <w:color w:val="auto"/>
              </w:rPr>
            </w:pPr>
            <w:r>
              <w:rPr>
                <w:rFonts w:ascii="Arial" w:cs="Arial" w:eastAsia="Arial" w:hAnsi="Arial"/>
                <w:sz w:val="10"/>
                <w:szCs w:val="10"/>
                <w:b w:val="1"/>
                <w:bCs w:val="1"/>
                <w:color w:val="auto"/>
              </w:rPr>
              <w:t>Modifier</w:t>
            </w:r>
          </w:p>
        </w:tc>
        <w:tc>
          <w:tcPr>
            <w:tcW w:w="2980" w:type="dxa"/>
            <w:vAlign w:val="bottom"/>
            <w:shd w:val="clear" w:color="auto" w:fill="D8EFF9"/>
          </w:tcPr>
          <w:p>
            <w:pPr>
              <w:ind w:left="100"/>
              <w:spacing w:after="0" w:line="100" w:lineRule="exact"/>
              <w:rPr>
                <w:sz w:val="20"/>
                <w:szCs w:val="20"/>
                <w:color w:val="auto"/>
              </w:rPr>
            </w:pPr>
            <w:r>
              <w:rPr>
                <w:rFonts w:ascii="Arial" w:cs="Arial" w:eastAsia="Arial" w:hAnsi="Arial"/>
                <w:sz w:val="10"/>
                <w:szCs w:val="10"/>
                <w:color w:val="auto"/>
                <w:w w:val="97"/>
              </w:rPr>
              <w:t xml:space="preserve">This modifier is a </w:t>
            </w:r>
            <w:r>
              <w:rPr>
                <w:rFonts w:ascii="Arial" w:cs="Arial" w:eastAsia="Arial" w:hAnsi="Arial"/>
                <w:sz w:val="10"/>
                <w:szCs w:val="10"/>
                <w:b w:val="1"/>
                <w:bCs w:val="1"/>
                <w:color w:val="auto"/>
                <w:w w:val="97"/>
              </w:rPr>
              <w:t>negative-only modifier</w:t>
            </w:r>
            <w:r>
              <w:rPr>
                <w:rFonts w:ascii="Arial" w:cs="Arial" w:eastAsia="Arial" w:hAnsi="Arial"/>
                <w:sz w:val="10"/>
                <w:szCs w:val="10"/>
                <w:color w:val="auto"/>
                <w:w w:val="97"/>
              </w:rPr>
              <w:t xml:space="preserve"> and can only reduce the</w:t>
            </w:r>
          </w:p>
        </w:tc>
        <w:tc>
          <w:tcPr>
            <w:tcW w:w="2420" w:type="dxa"/>
            <w:vAlign w:val="bottom"/>
            <w:vMerge w:val="continue"/>
            <w:shd w:val="clear" w:color="auto" w:fill="D8EFF9"/>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80" w:type="dxa"/>
            <w:vAlign w:val="bottom"/>
            <w:vMerge w:val="restart"/>
            <w:shd w:val="clear" w:color="auto" w:fill="D8EFF9"/>
          </w:tcPr>
          <w:p>
            <w:pPr>
              <w:ind w:left="100"/>
              <w:spacing w:after="0"/>
              <w:rPr>
                <w:sz w:val="20"/>
                <w:szCs w:val="20"/>
                <w:color w:val="auto"/>
              </w:rPr>
            </w:pPr>
            <w:r>
              <w:rPr>
                <w:rFonts w:ascii="Arial" w:cs="Arial" w:eastAsia="Arial" w:hAnsi="Arial"/>
                <w:sz w:val="10"/>
                <w:szCs w:val="10"/>
                <w:b w:val="1"/>
                <w:bCs w:val="1"/>
                <w:color w:val="auto"/>
              </w:rPr>
              <w:t>Negative Modifier</w:t>
            </w:r>
          </w:p>
        </w:tc>
        <w:tc>
          <w:tcPr>
            <w:tcW w:w="740" w:type="dxa"/>
            <w:vAlign w:val="bottom"/>
            <w:shd w:val="clear" w:color="auto" w:fill="D8EFF9"/>
          </w:tcPr>
          <w:p>
            <w:pPr>
              <w:spacing w:after="0"/>
              <w:rPr>
                <w:sz w:val="6"/>
                <w:szCs w:val="6"/>
                <w:color w:val="auto"/>
              </w:rPr>
            </w:pPr>
          </w:p>
        </w:tc>
        <w:tc>
          <w:tcPr>
            <w:tcW w:w="2980" w:type="dxa"/>
            <w:vAlign w:val="bottom"/>
            <w:vMerge w:val="restart"/>
            <w:shd w:val="clear" w:color="auto" w:fill="D8EFF9"/>
          </w:tcPr>
          <w:p>
            <w:pPr>
              <w:ind w:left="100"/>
              <w:spacing w:after="0"/>
              <w:rPr>
                <w:sz w:val="20"/>
                <w:szCs w:val="20"/>
                <w:color w:val="auto"/>
              </w:rPr>
            </w:pPr>
            <w:r>
              <w:rPr>
                <w:rFonts w:ascii="Arial" w:cs="Arial" w:eastAsia="Arial" w:hAnsi="Arial"/>
                <w:sz w:val="10"/>
                <w:szCs w:val="10"/>
                <w:color w:val="auto"/>
              </w:rPr>
              <w:t>potential payout by a combined total of up to 5%; it cannot</w:t>
            </w:r>
          </w:p>
        </w:tc>
        <w:tc>
          <w:tcPr>
            <w:tcW w:w="2420" w:type="dxa"/>
            <w:vAlign w:val="bottom"/>
            <w:shd w:val="clear" w:color="auto" w:fill="D8EFF9"/>
          </w:tcPr>
          <w:p>
            <w:pPr>
              <w:ind w:left="20"/>
              <w:spacing w:after="0" w:line="76" w:lineRule="exact"/>
              <w:rPr>
                <w:sz w:val="20"/>
                <w:szCs w:val="20"/>
                <w:color w:val="auto"/>
              </w:rPr>
            </w:pPr>
            <w:r>
              <w:rPr>
                <w:rFonts w:ascii="Arial" w:cs="Arial" w:eastAsia="Arial" w:hAnsi="Arial"/>
                <w:sz w:val="8"/>
                <w:szCs w:val="8"/>
                <w:color w:val="auto"/>
              </w:rPr>
              <w:t>reflective of the communities we serve. The negative</w:t>
            </w:r>
          </w:p>
        </w:tc>
        <w:tc>
          <w:tcPr>
            <w:tcW w:w="0" w:type="dxa"/>
            <w:vAlign w:val="bottom"/>
          </w:tcPr>
          <w:p>
            <w:pPr>
              <w:spacing w:after="0"/>
              <w:rPr>
                <w:sz w:val="1"/>
                <w:szCs w:val="1"/>
                <w:color w:val="auto"/>
              </w:rPr>
            </w:pPr>
          </w:p>
        </w:tc>
      </w:tr>
      <w:tr>
        <w:trPr>
          <w:trHeight w:val="55"/>
        </w:trPr>
        <w:tc>
          <w:tcPr>
            <w:tcW w:w="1280" w:type="dxa"/>
            <w:vAlign w:val="bottom"/>
            <w:vMerge w:val="continue"/>
            <w:shd w:val="clear" w:color="auto" w:fill="D8EFF9"/>
          </w:tcPr>
          <w:p>
            <w:pPr>
              <w:spacing w:after="0"/>
              <w:rPr>
                <w:sz w:val="4"/>
                <w:szCs w:val="4"/>
                <w:color w:val="auto"/>
              </w:rPr>
            </w:pPr>
          </w:p>
        </w:tc>
        <w:tc>
          <w:tcPr>
            <w:tcW w:w="740" w:type="dxa"/>
            <w:vAlign w:val="bottom"/>
            <w:shd w:val="clear" w:color="auto" w:fill="D8EFF9"/>
          </w:tcPr>
          <w:p>
            <w:pPr>
              <w:spacing w:after="0"/>
              <w:rPr>
                <w:sz w:val="4"/>
                <w:szCs w:val="4"/>
                <w:color w:val="auto"/>
              </w:rPr>
            </w:pPr>
          </w:p>
        </w:tc>
        <w:tc>
          <w:tcPr>
            <w:tcW w:w="2980" w:type="dxa"/>
            <w:vAlign w:val="bottom"/>
            <w:vMerge w:val="continue"/>
            <w:shd w:val="clear" w:color="auto" w:fill="D8EFF9"/>
          </w:tcPr>
          <w:p>
            <w:pPr>
              <w:spacing w:after="0"/>
              <w:rPr>
                <w:sz w:val="4"/>
                <w:szCs w:val="4"/>
                <w:color w:val="auto"/>
              </w:rPr>
            </w:pPr>
          </w:p>
        </w:tc>
        <w:tc>
          <w:tcPr>
            <w:tcW w:w="2420" w:type="dxa"/>
            <w:vAlign w:val="bottom"/>
            <w:vMerge w:val="restart"/>
            <w:shd w:val="clear" w:color="auto" w:fill="D8EFF9"/>
          </w:tcPr>
          <w:p>
            <w:pPr>
              <w:ind w:left="20"/>
              <w:spacing w:after="0" w:line="109" w:lineRule="exact"/>
              <w:rPr>
                <w:sz w:val="20"/>
                <w:szCs w:val="20"/>
                <w:color w:val="auto"/>
              </w:rPr>
            </w:pPr>
            <w:r>
              <w:rPr>
                <w:rFonts w:ascii="Arial" w:cs="Arial" w:eastAsia="Arial" w:hAnsi="Arial"/>
                <w:sz w:val="10"/>
                <w:szCs w:val="10"/>
                <w:color w:val="auto"/>
              </w:rPr>
              <w:t>modifier highlights our belief that meeting these</w:t>
            </w:r>
          </w:p>
        </w:tc>
        <w:tc>
          <w:tcPr>
            <w:tcW w:w="0" w:type="dxa"/>
            <w:vAlign w:val="bottom"/>
          </w:tcPr>
          <w:p>
            <w:pPr>
              <w:spacing w:after="0"/>
              <w:rPr>
                <w:sz w:val="1"/>
                <w:szCs w:val="1"/>
                <w:color w:val="auto"/>
              </w:rPr>
            </w:pPr>
          </w:p>
        </w:tc>
      </w:tr>
      <w:tr>
        <w:trPr>
          <w:trHeight w:val="55"/>
        </w:trPr>
        <w:tc>
          <w:tcPr>
            <w:tcW w:w="1280" w:type="dxa"/>
            <w:vAlign w:val="bottom"/>
            <w:shd w:val="clear" w:color="auto" w:fill="D8EFF9"/>
          </w:tcPr>
          <w:p>
            <w:pPr>
              <w:spacing w:after="0"/>
              <w:rPr>
                <w:sz w:val="4"/>
                <w:szCs w:val="4"/>
                <w:color w:val="auto"/>
              </w:rPr>
            </w:pPr>
          </w:p>
        </w:tc>
        <w:tc>
          <w:tcPr>
            <w:tcW w:w="740" w:type="dxa"/>
            <w:vAlign w:val="bottom"/>
            <w:shd w:val="clear" w:color="auto" w:fill="D8EFF9"/>
          </w:tcPr>
          <w:p>
            <w:pPr>
              <w:spacing w:after="0"/>
              <w:rPr>
                <w:sz w:val="4"/>
                <w:szCs w:val="4"/>
                <w:color w:val="auto"/>
              </w:rPr>
            </w:pPr>
          </w:p>
        </w:tc>
        <w:tc>
          <w:tcPr>
            <w:tcW w:w="2980" w:type="dxa"/>
            <w:vAlign w:val="bottom"/>
            <w:vMerge w:val="restart"/>
            <w:shd w:val="clear" w:color="auto" w:fill="D8EFF9"/>
          </w:tcPr>
          <w:p>
            <w:pPr>
              <w:ind w:left="100"/>
              <w:spacing w:after="0"/>
              <w:rPr>
                <w:sz w:val="20"/>
                <w:szCs w:val="20"/>
                <w:color w:val="auto"/>
              </w:rPr>
            </w:pPr>
            <w:r>
              <w:rPr>
                <w:rFonts w:ascii="Arial" w:cs="Arial" w:eastAsia="Arial" w:hAnsi="Arial"/>
                <w:sz w:val="10"/>
                <w:szCs w:val="10"/>
                <w:color w:val="auto"/>
              </w:rPr>
              <w:t>increase the short-term incentive plan awards.</w:t>
            </w:r>
          </w:p>
        </w:tc>
        <w:tc>
          <w:tcPr>
            <w:tcW w:w="2420" w:type="dxa"/>
            <w:vAlign w:val="bottom"/>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280" w:type="dxa"/>
            <w:vAlign w:val="bottom"/>
            <w:shd w:val="clear" w:color="auto" w:fill="D8EFF9"/>
          </w:tcPr>
          <w:p>
            <w:pPr>
              <w:spacing w:after="0"/>
              <w:rPr>
                <w:sz w:val="5"/>
                <w:szCs w:val="5"/>
                <w:color w:val="auto"/>
              </w:rPr>
            </w:pPr>
          </w:p>
        </w:tc>
        <w:tc>
          <w:tcPr>
            <w:tcW w:w="740" w:type="dxa"/>
            <w:vAlign w:val="bottom"/>
            <w:shd w:val="clear" w:color="auto" w:fill="D8EFF9"/>
          </w:tcPr>
          <w:p>
            <w:pPr>
              <w:spacing w:after="0"/>
              <w:rPr>
                <w:sz w:val="5"/>
                <w:szCs w:val="5"/>
                <w:color w:val="auto"/>
              </w:rPr>
            </w:pPr>
          </w:p>
        </w:tc>
        <w:tc>
          <w:tcPr>
            <w:tcW w:w="2980" w:type="dxa"/>
            <w:vAlign w:val="bottom"/>
            <w:vMerge w:val="continue"/>
            <w:shd w:val="clear" w:color="auto" w:fill="D8EFF9"/>
          </w:tcPr>
          <w:p>
            <w:pPr>
              <w:spacing w:after="0"/>
              <w:rPr>
                <w:sz w:val="5"/>
                <w:szCs w:val="5"/>
                <w:color w:val="auto"/>
              </w:rPr>
            </w:pPr>
          </w:p>
        </w:tc>
        <w:tc>
          <w:tcPr>
            <w:tcW w:w="2420" w:type="dxa"/>
            <w:vAlign w:val="bottom"/>
            <w:vMerge w:val="restart"/>
            <w:shd w:val="clear" w:color="auto" w:fill="D8EFF9"/>
          </w:tcPr>
          <w:p>
            <w:pPr>
              <w:ind w:left="20"/>
              <w:spacing w:after="0"/>
              <w:rPr>
                <w:sz w:val="20"/>
                <w:szCs w:val="20"/>
                <w:color w:val="auto"/>
              </w:rPr>
            </w:pPr>
            <w:r>
              <w:rPr>
                <w:rFonts w:ascii="Arial" w:cs="Arial" w:eastAsia="Arial" w:hAnsi="Arial"/>
                <w:sz w:val="10"/>
                <w:szCs w:val="10"/>
                <w:color w:val="auto"/>
              </w:rPr>
              <w:t>diversity, equity and inclusion goals is expected.</w:t>
            </w:r>
          </w:p>
        </w:tc>
        <w:tc>
          <w:tcPr>
            <w:tcW w:w="0" w:type="dxa"/>
            <w:vAlign w:val="bottom"/>
          </w:tcPr>
          <w:p>
            <w:pPr>
              <w:spacing w:after="0"/>
              <w:rPr>
                <w:sz w:val="1"/>
                <w:szCs w:val="1"/>
                <w:color w:val="auto"/>
              </w:rPr>
            </w:pPr>
          </w:p>
        </w:tc>
      </w:tr>
      <w:tr>
        <w:trPr>
          <w:trHeight w:val="55"/>
        </w:trPr>
        <w:tc>
          <w:tcPr>
            <w:tcW w:w="1280" w:type="dxa"/>
            <w:vAlign w:val="bottom"/>
            <w:shd w:val="clear" w:color="auto" w:fill="D8EFF9"/>
          </w:tcPr>
          <w:p>
            <w:pPr>
              <w:spacing w:after="0"/>
              <w:rPr>
                <w:sz w:val="4"/>
                <w:szCs w:val="4"/>
                <w:color w:val="auto"/>
              </w:rPr>
            </w:pPr>
          </w:p>
        </w:tc>
        <w:tc>
          <w:tcPr>
            <w:tcW w:w="740" w:type="dxa"/>
            <w:vAlign w:val="bottom"/>
            <w:shd w:val="clear" w:color="auto" w:fill="D8EFF9"/>
          </w:tcPr>
          <w:p>
            <w:pPr>
              <w:spacing w:after="0"/>
              <w:rPr>
                <w:sz w:val="4"/>
                <w:szCs w:val="4"/>
                <w:color w:val="auto"/>
              </w:rPr>
            </w:pPr>
          </w:p>
        </w:tc>
        <w:tc>
          <w:tcPr>
            <w:tcW w:w="2980" w:type="dxa"/>
            <w:vAlign w:val="bottom"/>
            <w:shd w:val="clear" w:color="auto" w:fill="D8EFF9"/>
          </w:tcPr>
          <w:p>
            <w:pPr>
              <w:spacing w:after="0"/>
              <w:rPr>
                <w:sz w:val="4"/>
                <w:szCs w:val="4"/>
                <w:color w:val="auto"/>
              </w:rPr>
            </w:pPr>
          </w:p>
        </w:tc>
        <w:tc>
          <w:tcPr>
            <w:tcW w:w="2420" w:type="dxa"/>
            <w:vAlign w:val="bottom"/>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280" w:type="dxa"/>
            <w:vAlign w:val="bottom"/>
            <w:shd w:val="clear" w:color="auto" w:fill="D8EFF9"/>
          </w:tcPr>
          <w:p>
            <w:pPr>
              <w:spacing w:after="0"/>
              <w:rPr>
                <w:sz w:val="2"/>
                <w:szCs w:val="2"/>
                <w:color w:val="auto"/>
              </w:rPr>
            </w:pPr>
          </w:p>
        </w:tc>
        <w:tc>
          <w:tcPr>
            <w:tcW w:w="740" w:type="dxa"/>
            <w:vAlign w:val="bottom"/>
            <w:shd w:val="clear" w:color="auto" w:fill="D8EFF9"/>
          </w:tcPr>
          <w:p>
            <w:pPr>
              <w:spacing w:after="0"/>
              <w:rPr>
                <w:sz w:val="2"/>
                <w:szCs w:val="2"/>
                <w:color w:val="auto"/>
              </w:rPr>
            </w:pPr>
          </w:p>
        </w:tc>
        <w:tc>
          <w:tcPr>
            <w:tcW w:w="2980" w:type="dxa"/>
            <w:vAlign w:val="bottom"/>
            <w:shd w:val="clear" w:color="auto" w:fill="D8EFF9"/>
          </w:tcPr>
          <w:p>
            <w:pPr>
              <w:spacing w:after="0"/>
              <w:rPr>
                <w:sz w:val="2"/>
                <w:szCs w:val="2"/>
                <w:color w:val="auto"/>
              </w:rPr>
            </w:pPr>
          </w:p>
        </w:tc>
        <w:tc>
          <w:tcPr>
            <w:tcW w:w="2420" w:type="dxa"/>
            <w:vAlign w:val="bottom"/>
            <w:shd w:val="clear" w:color="auto" w:fill="D8EFF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0159"/>
          </w:cols>
          <w:pgMar w:left="300" w:top="373" w:right="1440" w:bottom="1440" w:gutter="0" w:footer="0" w:header="0"/>
          <w:type w:val="continuous"/>
        </w:sectPr>
      </w:pPr>
    </w:p>
    <w:p>
      <w:pPr>
        <w:spacing w:after="0" w:line="49" w:lineRule="exact"/>
        <w:rPr>
          <w:sz w:val="20"/>
          <w:szCs w:val="20"/>
          <w:color w:val="auto"/>
        </w:rPr>
      </w:pPr>
    </w:p>
    <w:tbl>
      <w:tblPr>
        <w:tblLayout w:type="fixed"/>
        <w:tblInd w:w="2040" w:type="dxa"/>
        <w:tblCellMar>
          <w:top w:w="0" w:type="dxa"/>
          <w:left w:w="0" w:type="dxa"/>
          <w:bottom w:w="0" w:type="dxa"/>
          <w:right w:w="0" w:type="dxa"/>
        </w:tblCellMar>
      </w:tblPr>
      <w:tr>
        <w:trPr>
          <w:trHeight w:val="115"/>
        </w:trPr>
        <w:tc>
          <w:tcPr>
            <w:tcW w:w="1320" w:type="dxa"/>
            <w:vAlign w:val="bottom"/>
            <w:vMerge w:val="restart"/>
          </w:tcPr>
          <w:p>
            <w:pPr>
              <w:spacing w:after="0"/>
              <w:rPr>
                <w:sz w:val="20"/>
                <w:szCs w:val="20"/>
                <w:color w:val="auto"/>
              </w:rPr>
            </w:pPr>
            <w:r>
              <w:rPr>
                <w:rFonts w:ascii="Arial" w:cs="Arial" w:eastAsia="Arial" w:hAnsi="Arial"/>
                <w:sz w:val="10"/>
                <w:szCs w:val="10"/>
                <w:b w:val="1"/>
                <w:bCs w:val="1"/>
                <w:color w:val="auto"/>
              </w:rPr>
              <w:t>Discretion of</w:t>
            </w:r>
          </w:p>
        </w:tc>
        <w:tc>
          <w:tcPr>
            <w:tcW w:w="600" w:type="dxa"/>
            <w:vAlign w:val="bottom"/>
          </w:tcPr>
          <w:p>
            <w:pPr>
              <w:spacing w:after="0"/>
              <w:rPr>
                <w:sz w:val="10"/>
                <w:szCs w:val="10"/>
                <w:color w:val="auto"/>
              </w:rPr>
            </w:pPr>
          </w:p>
        </w:tc>
        <w:tc>
          <w:tcPr>
            <w:tcW w:w="2900" w:type="dxa"/>
            <w:vAlign w:val="bottom"/>
          </w:tcPr>
          <w:p>
            <w:pPr>
              <w:ind w:left="100"/>
              <w:spacing w:after="0"/>
              <w:rPr>
                <w:sz w:val="20"/>
                <w:szCs w:val="20"/>
                <w:color w:val="auto"/>
              </w:rPr>
            </w:pPr>
            <w:r>
              <w:rPr>
                <w:rFonts w:ascii="Arial" w:cs="Arial" w:eastAsia="Arial" w:hAnsi="Arial"/>
                <w:sz w:val="10"/>
                <w:szCs w:val="10"/>
                <w:color w:val="auto"/>
                <w:w w:val="96"/>
              </w:rPr>
              <w:t>The Compensation Committee, with the support of management,</w:t>
            </w: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900" w:type="dxa"/>
            <w:vAlign w:val="bottom"/>
            <w:vMerge w:val="restart"/>
          </w:tcPr>
          <w:p>
            <w:pPr>
              <w:ind w:left="100"/>
              <w:spacing w:after="0" w:line="109" w:lineRule="exact"/>
              <w:rPr>
                <w:sz w:val="20"/>
                <w:szCs w:val="20"/>
                <w:color w:val="auto"/>
              </w:rPr>
            </w:pPr>
            <w:r>
              <w:rPr>
                <w:rFonts w:ascii="Arial" w:cs="Arial" w:eastAsia="Arial" w:hAnsi="Arial"/>
                <w:sz w:val="10"/>
                <w:szCs w:val="10"/>
                <w:color w:val="auto"/>
                <w:w w:val="98"/>
              </w:rPr>
              <w:t>is committed to exercising its discretion to reduce the payout for</w:t>
            </w:r>
          </w:p>
        </w:tc>
        <w:tc>
          <w:tcPr>
            <w:tcW w:w="0" w:type="dxa"/>
            <w:vAlign w:val="bottom"/>
          </w:tcPr>
          <w:p>
            <w:pPr>
              <w:spacing w:after="0"/>
              <w:rPr>
                <w:sz w:val="1"/>
                <w:szCs w:val="1"/>
                <w:color w:val="auto"/>
              </w:rPr>
            </w:pPr>
          </w:p>
        </w:tc>
      </w:tr>
      <w:tr>
        <w:trPr>
          <w:trHeight w:val="67"/>
        </w:trPr>
        <w:tc>
          <w:tcPr>
            <w:tcW w:w="1320" w:type="dxa"/>
            <w:vAlign w:val="bottom"/>
            <w:vMerge w:val="restart"/>
          </w:tcPr>
          <w:p>
            <w:pPr>
              <w:spacing w:after="0" w:line="109" w:lineRule="exact"/>
              <w:rPr>
                <w:sz w:val="20"/>
                <w:szCs w:val="20"/>
                <w:color w:val="auto"/>
              </w:rPr>
            </w:pPr>
            <w:r>
              <w:rPr>
                <w:rFonts w:ascii="Arial" w:cs="Arial" w:eastAsia="Arial" w:hAnsi="Arial"/>
                <w:sz w:val="10"/>
                <w:szCs w:val="10"/>
                <w:b w:val="1"/>
                <w:bCs w:val="1"/>
                <w:color w:val="auto"/>
              </w:rPr>
              <w:t>Compensation Committee</w:t>
            </w:r>
          </w:p>
        </w:tc>
        <w:tc>
          <w:tcPr>
            <w:tcW w:w="6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900" w:type="dxa"/>
            <w:vAlign w:val="bottom"/>
            <w:vMerge w:val="restart"/>
          </w:tcPr>
          <w:p>
            <w:pPr>
              <w:ind w:left="100"/>
              <w:spacing w:after="0" w:line="109" w:lineRule="exact"/>
              <w:rPr>
                <w:sz w:val="20"/>
                <w:szCs w:val="20"/>
                <w:color w:val="auto"/>
              </w:rPr>
            </w:pPr>
            <w:r>
              <w:rPr>
                <w:rFonts w:ascii="Arial" w:cs="Arial" w:eastAsia="Arial" w:hAnsi="Arial"/>
                <w:sz w:val="10"/>
                <w:szCs w:val="10"/>
                <w:color w:val="auto"/>
              </w:rPr>
              <w:t>executive officers under the short-term incentive plan, as</w:t>
            </w:r>
          </w:p>
        </w:tc>
        <w:tc>
          <w:tcPr>
            <w:tcW w:w="0" w:type="dxa"/>
            <w:vAlign w:val="bottom"/>
          </w:tcPr>
          <w:p>
            <w:pPr>
              <w:spacing w:after="0"/>
              <w:rPr>
                <w:sz w:val="1"/>
                <w:szCs w:val="1"/>
                <w:color w:val="auto"/>
              </w:rPr>
            </w:pPr>
          </w:p>
        </w:tc>
      </w:tr>
      <w:tr>
        <w:trPr>
          <w:trHeight w:val="67"/>
        </w:trPr>
        <w:tc>
          <w:tcPr>
            <w:tcW w:w="1320" w:type="dxa"/>
            <w:vAlign w:val="bottom"/>
            <w:vMerge w:val="restart"/>
          </w:tcPr>
          <w:p>
            <w:pPr>
              <w:spacing w:after="0" w:line="109" w:lineRule="exact"/>
              <w:rPr>
                <w:sz w:val="20"/>
                <w:szCs w:val="20"/>
                <w:color w:val="auto"/>
              </w:rPr>
            </w:pPr>
            <w:r>
              <w:rPr>
                <w:rFonts w:ascii="Arial" w:cs="Arial" w:eastAsia="Arial" w:hAnsi="Arial"/>
                <w:sz w:val="10"/>
                <w:szCs w:val="10"/>
                <w:b w:val="1"/>
                <w:bCs w:val="1"/>
                <w:color w:val="auto"/>
              </w:rPr>
              <w:t>to align executive short-</w:t>
            </w:r>
          </w:p>
        </w:tc>
        <w:tc>
          <w:tcPr>
            <w:tcW w:w="60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Modifier</w:t>
            </w: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900" w:type="dxa"/>
            <w:vAlign w:val="bottom"/>
            <w:vMerge w:val="restart"/>
          </w:tcPr>
          <w:p>
            <w:pPr>
              <w:ind w:left="100"/>
              <w:spacing w:after="0" w:line="109" w:lineRule="exact"/>
              <w:rPr>
                <w:sz w:val="20"/>
                <w:szCs w:val="20"/>
                <w:color w:val="auto"/>
              </w:rPr>
            </w:pPr>
            <w:r>
              <w:rPr>
                <w:rFonts w:ascii="Arial" w:cs="Arial" w:eastAsia="Arial" w:hAnsi="Arial"/>
                <w:sz w:val="10"/>
                <w:szCs w:val="10"/>
                <w:color w:val="auto"/>
                <w:w w:val="96"/>
              </w:rPr>
              <w:t>applicable, in order to align with the achievement of non-financial</w:t>
            </w:r>
          </w:p>
        </w:tc>
        <w:tc>
          <w:tcPr>
            <w:tcW w:w="0" w:type="dxa"/>
            <w:vAlign w:val="bottom"/>
          </w:tcPr>
          <w:p>
            <w:pPr>
              <w:spacing w:after="0"/>
              <w:rPr>
                <w:sz w:val="1"/>
                <w:szCs w:val="1"/>
                <w:color w:val="auto"/>
              </w:rPr>
            </w:pPr>
          </w:p>
        </w:tc>
      </w:tr>
      <w:tr>
        <w:trPr>
          <w:trHeight w:val="67"/>
        </w:trPr>
        <w:tc>
          <w:tcPr>
            <w:tcW w:w="1320" w:type="dxa"/>
            <w:vAlign w:val="bottom"/>
            <w:vMerge w:val="restart"/>
          </w:tcPr>
          <w:p>
            <w:pPr>
              <w:spacing w:after="0" w:line="109" w:lineRule="exact"/>
              <w:rPr>
                <w:sz w:val="20"/>
                <w:szCs w:val="20"/>
                <w:color w:val="auto"/>
              </w:rPr>
            </w:pPr>
            <w:r>
              <w:rPr>
                <w:rFonts w:ascii="Arial" w:cs="Arial" w:eastAsia="Arial" w:hAnsi="Arial"/>
                <w:sz w:val="10"/>
                <w:szCs w:val="10"/>
                <w:b w:val="1"/>
                <w:bCs w:val="1"/>
                <w:color w:val="auto"/>
              </w:rPr>
              <w:t>term incentive award with</w:t>
            </w:r>
          </w:p>
        </w:tc>
        <w:tc>
          <w:tcPr>
            <w:tcW w:w="600" w:type="dxa"/>
            <w:vAlign w:val="bottom"/>
            <w:vMerge w:val="continue"/>
          </w:tcPr>
          <w:p>
            <w:pPr>
              <w:spacing w:after="0"/>
              <w:rPr>
                <w:sz w:val="5"/>
                <w:szCs w:val="5"/>
                <w:color w:val="auto"/>
              </w:rPr>
            </w:pP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900" w:type="dxa"/>
            <w:vAlign w:val="bottom"/>
            <w:vMerge w:val="restart"/>
          </w:tcPr>
          <w:p>
            <w:pPr>
              <w:ind w:left="100"/>
              <w:spacing w:after="0" w:line="109" w:lineRule="exact"/>
              <w:rPr>
                <w:sz w:val="20"/>
                <w:szCs w:val="20"/>
                <w:color w:val="auto"/>
              </w:rPr>
            </w:pPr>
            <w:r>
              <w:rPr>
                <w:rFonts w:ascii="Arial" w:cs="Arial" w:eastAsia="Arial" w:hAnsi="Arial"/>
                <w:sz w:val="10"/>
                <w:szCs w:val="10"/>
                <w:color w:val="auto"/>
                <w:w w:val="96"/>
              </w:rPr>
              <w:t>metrics applicable to the payout for non-executives. Non-financial</w:t>
            </w:r>
          </w:p>
        </w:tc>
        <w:tc>
          <w:tcPr>
            <w:tcW w:w="0" w:type="dxa"/>
            <w:vAlign w:val="bottom"/>
          </w:tcPr>
          <w:p>
            <w:pPr>
              <w:spacing w:after="0"/>
              <w:rPr>
                <w:sz w:val="1"/>
                <w:szCs w:val="1"/>
                <w:color w:val="auto"/>
              </w:rPr>
            </w:pPr>
          </w:p>
        </w:tc>
      </w:tr>
      <w:tr>
        <w:trPr>
          <w:trHeight w:val="67"/>
        </w:trPr>
        <w:tc>
          <w:tcPr>
            <w:tcW w:w="1320" w:type="dxa"/>
            <w:vAlign w:val="bottom"/>
            <w:vMerge w:val="restart"/>
          </w:tcPr>
          <w:p>
            <w:pPr>
              <w:spacing w:after="0" w:line="109" w:lineRule="exact"/>
              <w:rPr>
                <w:sz w:val="20"/>
                <w:szCs w:val="20"/>
                <w:color w:val="auto"/>
              </w:rPr>
            </w:pPr>
            <w:r>
              <w:rPr>
                <w:rFonts w:ascii="Arial" w:cs="Arial" w:eastAsia="Arial" w:hAnsi="Arial"/>
                <w:sz w:val="10"/>
                <w:szCs w:val="10"/>
                <w:b w:val="1"/>
                <w:bCs w:val="1"/>
                <w:color w:val="auto"/>
              </w:rPr>
              <w:t>non-executive short-term</w:t>
            </w:r>
          </w:p>
        </w:tc>
        <w:tc>
          <w:tcPr>
            <w:tcW w:w="6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3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900" w:type="dxa"/>
            <w:vAlign w:val="bottom"/>
            <w:vMerge w:val="restart"/>
          </w:tcPr>
          <w:p>
            <w:pPr>
              <w:ind w:left="100"/>
              <w:spacing w:after="0" w:line="109" w:lineRule="exact"/>
              <w:rPr>
                <w:sz w:val="20"/>
                <w:szCs w:val="20"/>
                <w:color w:val="auto"/>
              </w:rPr>
            </w:pPr>
            <w:r>
              <w:rPr>
                <w:rFonts w:ascii="Arial" w:cs="Arial" w:eastAsia="Arial" w:hAnsi="Arial"/>
                <w:sz w:val="10"/>
                <w:szCs w:val="10"/>
                <w:color w:val="auto"/>
              </w:rPr>
              <w:t>metrics include safety, O&amp;M and capital cost management,</w:t>
            </w:r>
          </w:p>
        </w:tc>
        <w:tc>
          <w:tcPr>
            <w:tcW w:w="0" w:type="dxa"/>
            <w:vAlign w:val="bottom"/>
          </w:tcPr>
          <w:p>
            <w:pPr>
              <w:spacing w:after="0"/>
              <w:rPr>
                <w:sz w:val="1"/>
                <w:szCs w:val="1"/>
                <w:color w:val="auto"/>
              </w:rPr>
            </w:pPr>
          </w:p>
        </w:tc>
      </w:tr>
      <w:tr>
        <w:trPr>
          <w:trHeight w:val="67"/>
        </w:trPr>
        <w:tc>
          <w:tcPr>
            <w:tcW w:w="1320" w:type="dxa"/>
            <w:vAlign w:val="bottom"/>
            <w:vMerge w:val="restart"/>
          </w:tcPr>
          <w:p>
            <w:pPr>
              <w:spacing w:after="0"/>
              <w:rPr>
                <w:sz w:val="20"/>
                <w:szCs w:val="20"/>
                <w:color w:val="auto"/>
              </w:rPr>
            </w:pPr>
            <w:r>
              <w:rPr>
                <w:rFonts w:ascii="Arial" w:cs="Arial" w:eastAsia="Arial" w:hAnsi="Arial"/>
                <w:sz w:val="10"/>
                <w:szCs w:val="10"/>
                <w:b w:val="1"/>
                <w:bCs w:val="1"/>
                <w:color w:val="auto"/>
              </w:rPr>
              <w:t>incentive performance</w:t>
            </w:r>
          </w:p>
        </w:tc>
        <w:tc>
          <w:tcPr>
            <w:tcW w:w="6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3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900" w:type="dxa"/>
            <w:vAlign w:val="bottom"/>
            <w:vMerge w:val="restart"/>
          </w:tcPr>
          <w:p>
            <w:pPr>
              <w:ind w:left="100"/>
              <w:spacing w:after="0"/>
              <w:rPr>
                <w:sz w:val="20"/>
                <w:szCs w:val="20"/>
                <w:color w:val="auto"/>
              </w:rPr>
            </w:pPr>
            <w:r>
              <w:rPr>
                <w:rFonts w:ascii="Arial" w:cs="Arial" w:eastAsia="Arial" w:hAnsi="Arial"/>
                <w:sz w:val="10"/>
                <w:szCs w:val="10"/>
                <w:color w:val="auto"/>
              </w:rPr>
              <w:t>customer reliability and responsiveness, and cyber.</w:t>
            </w:r>
          </w:p>
        </w:tc>
        <w:tc>
          <w:tcPr>
            <w:tcW w:w="0" w:type="dxa"/>
            <w:vAlign w:val="bottom"/>
          </w:tcPr>
          <w:p>
            <w:pPr>
              <w:spacing w:after="0"/>
              <w:rPr>
                <w:sz w:val="1"/>
                <w:szCs w:val="1"/>
                <w:color w:val="auto"/>
              </w:rPr>
            </w:pPr>
          </w:p>
        </w:tc>
      </w:tr>
      <w:tr>
        <w:trPr>
          <w:trHeight w:val="55"/>
        </w:trPr>
        <w:tc>
          <w:tcPr>
            <w:tcW w:w="1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959"/>
        <w:spacing w:after="0" w:line="294" w:lineRule="auto"/>
        <w:rPr>
          <w:sz w:val="20"/>
          <w:szCs w:val="20"/>
          <w:color w:val="auto"/>
        </w:rPr>
      </w:pPr>
      <w:r>
        <w:rPr>
          <w:rFonts w:ascii="Arial" w:cs="Arial" w:eastAsia="Arial" w:hAnsi="Arial"/>
          <w:sz w:val="8"/>
          <w:szCs w:val="8"/>
          <w:color w:val="auto"/>
        </w:rPr>
        <w:t>The Compensation Committee’s exercise of its discretion aligns with our commitment to motivating employees, including executive officers, to meet these important non-financial metrics while also recognizing the importance of EPS metrics to our shareholders and encouraging our executive officers to continue to advance and support the Company’s position as a premium utility.</w:t>
      </w:r>
    </w:p>
    <w:p>
      <w:pPr>
        <w:spacing w:after="0" w:line="183" w:lineRule="exact"/>
        <w:rPr>
          <w:sz w:val="20"/>
          <w:szCs w:val="20"/>
          <w:color w:val="auto"/>
        </w:rPr>
      </w:pPr>
    </w:p>
    <w:p>
      <w:pPr>
        <w:sectPr>
          <w:pgSz w:w="11900" w:h="16838" w:orient="portrait"/>
          <w:cols w:equalWidth="0" w:num="2">
            <w:col w:w="6860" w:space="100"/>
            <w:col w:w="3199"/>
          </w:cols>
          <w:pgMar w:left="300" w:top="373" w:right="1440" w:bottom="1440" w:gutter="0" w:footer="0" w:header="0"/>
          <w:type w:val="continuous"/>
        </w:sectPr>
      </w:pPr>
    </w:p>
    <w:p>
      <w:pPr>
        <w:ind w:left="2000" w:hanging="66"/>
        <w:spacing w:after="0"/>
        <w:tabs>
          <w:tab w:leader="none" w:pos="2000" w:val="left"/>
        </w:tabs>
        <w:numPr>
          <w:ilvl w:val="0"/>
          <w:numId w:val="64"/>
        </w:numPr>
        <w:rPr>
          <w:rFonts w:ascii="Arial" w:cs="Arial" w:eastAsia="Arial" w:hAnsi="Arial"/>
          <w:sz w:val="8"/>
          <w:szCs w:val="8"/>
          <w:color w:val="auto"/>
        </w:rPr>
      </w:pPr>
      <w:r>
        <w:rPr>
          <w:rFonts w:ascii="Arial" w:cs="Arial" w:eastAsia="Arial" w:hAnsi="Arial"/>
          <w:sz w:val="8"/>
          <w:szCs w:val="8"/>
          <w:i w:val="1"/>
          <w:iCs w:val="1"/>
          <w:color w:val="auto"/>
        </w:rPr>
        <w:t>Adjustments are detailed as part of the “Executive Compensation Tables</w:t>
      </w:r>
      <w:r>
        <w:rPr>
          <w:rFonts w:ascii="Arial" w:cs="Arial" w:eastAsia="Arial" w:hAnsi="Arial"/>
          <w:sz w:val="8"/>
          <w:szCs w:val="8"/>
          <w:color w:val="auto"/>
        </w:rPr>
        <w:t>—</w:t>
      </w:r>
      <w:r>
        <w:rPr>
          <w:rFonts w:ascii="Arial" w:cs="Arial" w:eastAsia="Arial" w:hAnsi="Arial"/>
          <w:sz w:val="8"/>
          <w:szCs w:val="8"/>
          <w:i w:val="1"/>
          <w:iCs w:val="1"/>
          <w:color w:val="auto"/>
        </w:rPr>
        <w:t>Non-Equity Incentive Plan Awards” disclosure and a reconciliation can be found in Appendix A.</w:t>
      </w:r>
    </w:p>
    <w:p>
      <w:pPr>
        <w:spacing w:after="0" w:line="15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Establishing Performance Measures and Target Ranges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Compensation Committee establishes annual performance measures that align with our business strategy and contribute to our long-term shareholder value proposition. The Compensation Committee establishes performance measures and the scaling of the levels necessary to achieve threshold, target and maximum performance, based on strategic priorities for the organization and an assessment of expected business performance during the measurement period. The 2022 Adjusted EPS target level is based on achieving 8% growth relative to 2021 actual performance. The diversity, equity and inclusion negative modifier’s targets were set considering 2020 and 2021 actual results.</w:t>
      </w:r>
    </w:p>
    <w:p>
      <w:pPr>
        <w:spacing w:after="0" w:line="135" w:lineRule="exact"/>
        <w:rPr>
          <w:sz w:val="20"/>
          <w:szCs w:val="20"/>
          <w:color w:val="auto"/>
        </w:rPr>
      </w:pPr>
    </w:p>
    <w:p>
      <w:pPr>
        <w:ind w:left="2220" w:hanging="230"/>
        <w:spacing w:after="0"/>
        <w:tabs>
          <w:tab w:leader="none" w:pos="2220" w:val="left"/>
        </w:tabs>
        <w:numPr>
          <w:ilvl w:val="0"/>
          <w:numId w:val="65"/>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Executive Officer Short-Term Incentive Plan Results</w:t>
      </w:r>
    </w:p>
    <w:p>
      <w:pPr>
        <w:spacing w:after="0" w:line="85"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The table below illustrates CenterPoint Energy’s 2022 performance against the pre-established short-term incentive plan measures. In 2022, the executive officers achieved 200% of target under the non-GAAP Adjusted EPS metric of the short-term incentive plan reflecting the executive officers’ pivotal role in supporting the Company’s strong financial performance.</w:t>
      </w:r>
    </w:p>
    <w:p>
      <w:pPr>
        <w:spacing w:after="0" w:line="140"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3060" w:type="dxa"/>
            <w:vAlign w:val="bottom"/>
            <w:shd w:val="clear" w:color="auto" w:fill="009AD9"/>
          </w:tcPr>
          <w:p>
            <w:pPr>
              <w:spacing w:after="0"/>
              <w:rPr>
                <w:sz w:val="10"/>
                <w:szCs w:val="10"/>
                <w:color w:val="auto"/>
              </w:rPr>
            </w:pPr>
          </w:p>
        </w:tc>
        <w:tc>
          <w:tcPr>
            <w:tcW w:w="1340" w:type="dxa"/>
            <w:vAlign w:val="bottom"/>
            <w:shd w:val="clear" w:color="auto" w:fill="009AD9"/>
          </w:tcPr>
          <w:p>
            <w:pPr>
              <w:ind w:left="460"/>
              <w:spacing w:after="0"/>
              <w:rPr>
                <w:sz w:val="20"/>
                <w:szCs w:val="20"/>
                <w:color w:val="auto"/>
              </w:rPr>
            </w:pPr>
            <w:r>
              <w:rPr>
                <w:rFonts w:ascii="Arial" w:cs="Arial" w:eastAsia="Arial" w:hAnsi="Arial"/>
                <w:sz w:val="10"/>
                <w:szCs w:val="10"/>
                <w:b w:val="1"/>
                <w:bCs w:val="1"/>
                <w:color w:val="FFFFFF"/>
              </w:rPr>
              <w:t>Threshold</w:t>
            </w:r>
          </w:p>
        </w:tc>
        <w:tc>
          <w:tcPr>
            <w:tcW w:w="340" w:type="dxa"/>
            <w:vAlign w:val="bottom"/>
            <w:shd w:val="clear" w:color="auto" w:fill="009AD9"/>
          </w:tcPr>
          <w:p>
            <w:pPr>
              <w:ind w:left="20"/>
              <w:spacing w:after="0"/>
              <w:rPr>
                <w:sz w:val="20"/>
                <w:szCs w:val="20"/>
                <w:color w:val="auto"/>
              </w:rPr>
            </w:pPr>
            <w:r>
              <w:rPr>
                <w:rFonts w:ascii="Arial" w:cs="Arial" w:eastAsia="Arial" w:hAnsi="Arial"/>
                <w:sz w:val="10"/>
                <w:szCs w:val="10"/>
                <w:b w:val="1"/>
                <w:bCs w:val="1"/>
                <w:color w:val="FFFFFF"/>
                <w:w w:val="98"/>
              </w:rPr>
              <w:t>Target</w:t>
            </w:r>
          </w:p>
        </w:tc>
        <w:tc>
          <w:tcPr>
            <w:tcW w:w="1080" w:type="dxa"/>
            <w:vAlign w:val="bottom"/>
            <w:shd w:val="clear" w:color="auto" w:fill="009AD9"/>
          </w:tcPr>
          <w:p>
            <w:pPr>
              <w:jc w:val="right"/>
              <w:ind w:right="172"/>
              <w:spacing w:after="0"/>
              <w:rPr>
                <w:sz w:val="20"/>
                <w:szCs w:val="20"/>
                <w:color w:val="auto"/>
              </w:rPr>
            </w:pPr>
            <w:r>
              <w:rPr>
                <w:rFonts w:ascii="Arial" w:cs="Arial" w:eastAsia="Arial" w:hAnsi="Arial"/>
                <w:sz w:val="10"/>
                <w:szCs w:val="10"/>
                <w:b w:val="1"/>
                <w:bCs w:val="1"/>
                <w:color w:val="FFFFFF"/>
              </w:rPr>
              <w:t>Maximum</w:t>
            </w:r>
          </w:p>
        </w:tc>
        <w:tc>
          <w:tcPr>
            <w:tcW w:w="860" w:type="dxa"/>
            <w:vAlign w:val="bottom"/>
            <w:shd w:val="clear" w:color="auto" w:fill="009AD9"/>
          </w:tcPr>
          <w:p>
            <w:pPr>
              <w:jc w:val="center"/>
              <w:ind w:right="52"/>
              <w:spacing w:after="0"/>
              <w:rPr>
                <w:sz w:val="20"/>
                <w:szCs w:val="20"/>
                <w:color w:val="auto"/>
              </w:rPr>
            </w:pPr>
            <w:r>
              <w:rPr>
                <w:rFonts w:ascii="Arial" w:cs="Arial" w:eastAsia="Arial" w:hAnsi="Arial"/>
                <w:sz w:val="10"/>
                <w:szCs w:val="10"/>
                <w:b w:val="1"/>
                <w:bCs w:val="1"/>
                <w:color w:val="FFFFFF"/>
                <w:w w:val="91"/>
              </w:rPr>
              <w:t>Actual</w:t>
            </w:r>
          </w:p>
        </w:tc>
        <w:tc>
          <w:tcPr>
            <w:tcW w:w="74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8"/>
              </w:rPr>
              <w:t>Actual</w:t>
            </w:r>
          </w:p>
        </w:tc>
      </w:tr>
      <w:tr>
        <w:trPr>
          <w:trHeight w:val="143"/>
        </w:trPr>
        <w:tc>
          <w:tcPr>
            <w:tcW w:w="306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Performance Objectives</w:t>
            </w:r>
          </w:p>
        </w:tc>
        <w:tc>
          <w:tcPr>
            <w:tcW w:w="1340" w:type="dxa"/>
            <w:vAlign w:val="bottom"/>
            <w:tcBorders>
              <w:bottom w:val="single" w:sz="8" w:color="009AD9"/>
            </w:tcBorders>
            <w:shd w:val="clear" w:color="auto" w:fill="009AD9"/>
          </w:tcPr>
          <w:p>
            <w:pPr>
              <w:jc w:val="right"/>
              <w:ind w:right="472"/>
              <w:spacing w:after="0"/>
              <w:rPr>
                <w:sz w:val="20"/>
                <w:szCs w:val="20"/>
                <w:color w:val="auto"/>
              </w:rPr>
            </w:pPr>
            <w:r>
              <w:rPr>
                <w:rFonts w:ascii="Arial" w:cs="Arial" w:eastAsia="Arial" w:hAnsi="Arial"/>
                <w:sz w:val="10"/>
                <w:szCs w:val="10"/>
                <w:b w:val="1"/>
                <w:bCs w:val="1"/>
                <w:color w:val="FFFFFF"/>
              </w:rPr>
              <w:t>(75%)</w:t>
            </w:r>
          </w:p>
        </w:tc>
        <w:tc>
          <w:tcPr>
            <w:tcW w:w="34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w w:val="92"/>
              </w:rPr>
              <w:t>(125%)</w:t>
            </w:r>
          </w:p>
        </w:tc>
        <w:tc>
          <w:tcPr>
            <w:tcW w:w="1080" w:type="dxa"/>
            <w:vAlign w:val="bottom"/>
            <w:tcBorders>
              <w:bottom w:val="single" w:sz="8" w:color="009AD9"/>
            </w:tcBorders>
            <w:shd w:val="clear" w:color="auto" w:fill="009AD9"/>
          </w:tcPr>
          <w:p>
            <w:pPr>
              <w:jc w:val="right"/>
              <w:ind w:right="252"/>
              <w:spacing w:after="0"/>
              <w:rPr>
                <w:sz w:val="20"/>
                <w:szCs w:val="20"/>
                <w:color w:val="auto"/>
              </w:rPr>
            </w:pPr>
            <w:r>
              <w:rPr>
                <w:rFonts w:ascii="Arial" w:cs="Arial" w:eastAsia="Arial" w:hAnsi="Arial"/>
                <w:sz w:val="10"/>
                <w:szCs w:val="10"/>
                <w:b w:val="1"/>
                <w:bCs w:val="1"/>
                <w:color w:val="FFFFFF"/>
              </w:rPr>
              <w:t>(200%)</w:t>
            </w:r>
          </w:p>
        </w:tc>
        <w:tc>
          <w:tcPr>
            <w:tcW w:w="860" w:type="dxa"/>
            <w:vAlign w:val="bottom"/>
            <w:tcBorders>
              <w:bottom w:val="single" w:sz="8" w:color="009AD9"/>
            </w:tcBorders>
            <w:shd w:val="clear" w:color="auto" w:fill="009AD9"/>
          </w:tcPr>
          <w:p>
            <w:pPr>
              <w:jc w:val="center"/>
              <w:ind w:right="52"/>
              <w:spacing w:after="0"/>
              <w:rPr>
                <w:sz w:val="20"/>
                <w:szCs w:val="20"/>
                <w:color w:val="auto"/>
              </w:rPr>
            </w:pPr>
            <w:r>
              <w:rPr>
                <w:rFonts w:ascii="Arial" w:cs="Arial" w:eastAsia="Arial" w:hAnsi="Arial"/>
                <w:sz w:val="10"/>
                <w:szCs w:val="10"/>
                <w:b w:val="1"/>
                <w:bCs w:val="1"/>
                <w:color w:val="FFFFFF"/>
                <w:w w:val="99"/>
              </w:rPr>
              <w:t>Results</w:t>
            </w:r>
          </w:p>
        </w:tc>
        <w:tc>
          <w:tcPr>
            <w:tcW w:w="740" w:type="dxa"/>
            <w:vAlign w:val="bottom"/>
            <w:tcBorders>
              <w:bottom w:val="single" w:sz="8" w:color="009AD9"/>
            </w:tcBorders>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6"/>
              </w:rPr>
              <w:t>Achievement</w:t>
            </w:r>
          </w:p>
        </w:tc>
      </w:tr>
      <w:tr>
        <w:trPr>
          <w:trHeight w:val="137"/>
        </w:trPr>
        <w:tc>
          <w:tcPr>
            <w:tcW w:w="3060" w:type="dxa"/>
            <w:vAlign w:val="bottom"/>
          </w:tcPr>
          <w:p>
            <w:pPr>
              <w:ind w:left="40"/>
              <w:spacing w:after="0"/>
              <w:rPr>
                <w:sz w:val="20"/>
                <w:szCs w:val="20"/>
                <w:color w:val="auto"/>
              </w:rPr>
            </w:pPr>
            <w:r>
              <w:rPr>
                <w:rFonts w:ascii="Arial" w:cs="Arial" w:eastAsia="Arial" w:hAnsi="Arial"/>
                <w:sz w:val="10"/>
                <w:szCs w:val="10"/>
                <w:b w:val="1"/>
                <w:bCs w:val="1"/>
                <w:color w:val="auto"/>
              </w:rPr>
              <w:t>Adjusted EPS</w:t>
            </w:r>
          </w:p>
        </w:tc>
        <w:tc>
          <w:tcPr>
            <w:tcW w:w="1340" w:type="dxa"/>
            <w:vAlign w:val="bottom"/>
          </w:tcPr>
          <w:p>
            <w:pPr>
              <w:jc w:val="right"/>
              <w:ind w:right="472"/>
              <w:spacing w:after="0"/>
              <w:rPr>
                <w:sz w:val="20"/>
                <w:szCs w:val="20"/>
                <w:color w:val="auto"/>
              </w:rPr>
            </w:pPr>
            <w:r>
              <w:rPr>
                <w:rFonts w:ascii="Arial" w:cs="Arial" w:eastAsia="Arial" w:hAnsi="Arial"/>
                <w:sz w:val="10"/>
                <w:szCs w:val="10"/>
                <w:color w:val="auto"/>
              </w:rPr>
              <w:t>$1.36</w:t>
            </w:r>
          </w:p>
        </w:tc>
        <w:tc>
          <w:tcPr>
            <w:tcW w:w="340" w:type="dxa"/>
            <w:vAlign w:val="bottom"/>
          </w:tcPr>
          <w:p>
            <w:pPr>
              <w:jc w:val="right"/>
              <w:ind w:right="12"/>
              <w:spacing w:after="0"/>
              <w:rPr>
                <w:sz w:val="20"/>
                <w:szCs w:val="20"/>
                <w:color w:val="auto"/>
              </w:rPr>
            </w:pPr>
            <w:r>
              <w:rPr>
                <w:rFonts w:ascii="Arial" w:cs="Arial" w:eastAsia="Arial" w:hAnsi="Arial"/>
                <w:sz w:val="10"/>
                <w:szCs w:val="10"/>
                <w:color w:val="auto"/>
              </w:rPr>
              <w:t>$1.37</w:t>
            </w:r>
          </w:p>
        </w:tc>
        <w:tc>
          <w:tcPr>
            <w:tcW w:w="1080" w:type="dxa"/>
            <w:vAlign w:val="bottom"/>
          </w:tcPr>
          <w:p>
            <w:pPr>
              <w:jc w:val="right"/>
              <w:ind w:right="272"/>
              <w:spacing w:after="0"/>
              <w:rPr>
                <w:sz w:val="20"/>
                <w:szCs w:val="20"/>
                <w:color w:val="auto"/>
              </w:rPr>
            </w:pPr>
            <w:r>
              <w:rPr>
                <w:rFonts w:ascii="Arial" w:cs="Arial" w:eastAsia="Arial" w:hAnsi="Arial"/>
                <w:sz w:val="10"/>
                <w:szCs w:val="10"/>
                <w:color w:val="auto"/>
              </w:rPr>
              <w:t>$1.38</w:t>
            </w:r>
          </w:p>
        </w:tc>
        <w:tc>
          <w:tcPr>
            <w:tcW w:w="860" w:type="dxa"/>
            <w:vAlign w:val="bottom"/>
          </w:tcPr>
          <w:p>
            <w:pPr>
              <w:jc w:val="center"/>
              <w:ind w:right="52"/>
              <w:spacing w:after="0"/>
              <w:rPr>
                <w:sz w:val="20"/>
                <w:szCs w:val="20"/>
                <w:color w:val="auto"/>
              </w:rPr>
            </w:pPr>
            <w:r>
              <w:rPr>
                <w:rFonts w:ascii="Arial" w:cs="Arial" w:eastAsia="Arial" w:hAnsi="Arial"/>
                <w:sz w:val="10"/>
                <w:szCs w:val="10"/>
                <w:color w:val="auto"/>
                <w:w w:val="95"/>
              </w:rPr>
              <w:t>$1.38</w:t>
            </w:r>
          </w:p>
        </w:tc>
        <w:tc>
          <w:tcPr>
            <w:tcW w:w="740" w:type="dxa"/>
            <w:vAlign w:val="bottom"/>
          </w:tcPr>
          <w:p>
            <w:pPr>
              <w:jc w:val="right"/>
              <w:ind w:right="132"/>
              <w:spacing w:after="0"/>
              <w:rPr>
                <w:sz w:val="20"/>
                <w:szCs w:val="20"/>
                <w:color w:val="auto"/>
              </w:rPr>
            </w:pPr>
            <w:r>
              <w:rPr>
                <w:rFonts w:ascii="Arial" w:cs="Arial" w:eastAsia="Arial" w:hAnsi="Arial"/>
                <w:sz w:val="10"/>
                <w:szCs w:val="10"/>
                <w:color w:val="auto"/>
              </w:rPr>
              <w:t>200%</w:t>
            </w:r>
          </w:p>
        </w:tc>
      </w:tr>
      <w:tr>
        <w:trPr>
          <w:trHeight w:val="45"/>
        </w:trPr>
        <w:tc>
          <w:tcPr>
            <w:tcW w:w="3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00"/>
        </w:trPr>
        <w:tc>
          <w:tcPr>
            <w:tcW w:w="3060" w:type="dxa"/>
            <w:vAlign w:val="bottom"/>
            <w:shd w:val="clear" w:color="auto" w:fill="009AD9"/>
          </w:tcPr>
          <w:p>
            <w:pPr>
              <w:spacing w:after="0"/>
              <w:rPr>
                <w:sz w:val="8"/>
                <w:szCs w:val="8"/>
                <w:color w:val="auto"/>
              </w:rPr>
            </w:pPr>
          </w:p>
        </w:tc>
        <w:tc>
          <w:tcPr>
            <w:tcW w:w="1340" w:type="dxa"/>
            <w:vAlign w:val="bottom"/>
            <w:shd w:val="clear" w:color="auto" w:fill="009AD9"/>
          </w:tcPr>
          <w:p>
            <w:pPr>
              <w:spacing w:after="0"/>
              <w:rPr>
                <w:sz w:val="8"/>
                <w:szCs w:val="8"/>
                <w:color w:val="auto"/>
              </w:rPr>
            </w:pPr>
          </w:p>
        </w:tc>
        <w:tc>
          <w:tcPr>
            <w:tcW w:w="340" w:type="dxa"/>
            <w:vAlign w:val="bottom"/>
            <w:shd w:val="clear" w:color="auto" w:fill="009AD9"/>
          </w:tcPr>
          <w:p>
            <w:pPr>
              <w:spacing w:after="0"/>
              <w:rPr>
                <w:sz w:val="8"/>
                <w:szCs w:val="8"/>
                <w:color w:val="auto"/>
              </w:rPr>
            </w:pPr>
          </w:p>
        </w:tc>
        <w:tc>
          <w:tcPr>
            <w:tcW w:w="1080" w:type="dxa"/>
            <w:vAlign w:val="bottom"/>
            <w:shd w:val="clear" w:color="auto" w:fill="009AD9"/>
          </w:tcPr>
          <w:p>
            <w:pPr>
              <w:spacing w:after="0"/>
              <w:rPr>
                <w:sz w:val="8"/>
                <w:szCs w:val="8"/>
                <w:color w:val="auto"/>
              </w:rPr>
            </w:pPr>
          </w:p>
        </w:tc>
        <w:tc>
          <w:tcPr>
            <w:tcW w:w="860" w:type="dxa"/>
            <w:vAlign w:val="bottom"/>
            <w:shd w:val="clear" w:color="auto" w:fill="009AD9"/>
          </w:tcPr>
          <w:p>
            <w:pPr>
              <w:jc w:val="center"/>
              <w:ind w:left="432"/>
              <w:spacing w:after="0" w:line="101" w:lineRule="exact"/>
              <w:rPr>
                <w:sz w:val="20"/>
                <w:szCs w:val="20"/>
                <w:color w:val="auto"/>
              </w:rPr>
            </w:pPr>
            <w:r>
              <w:rPr>
                <w:rFonts w:ascii="Arial" w:cs="Arial" w:eastAsia="Arial" w:hAnsi="Arial"/>
                <w:sz w:val="10"/>
                <w:szCs w:val="10"/>
                <w:b w:val="1"/>
                <w:bCs w:val="1"/>
                <w:color w:val="FFFFFF"/>
                <w:w w:val="98"/>
              </w:rPr>
              <w:t>Actual</w:t>
            </w:r>
          </w:p>
        </w:tc>
        <w:tc>
          <w:tcPr>
            <w:tcW w:w="740" w:type="dxa"/>
            <w:vAlign w:val="bottom"/>
            <w:shd w:val="clear" w:color="auto" w:fill="009AD9"/>
          </w:tcPr>
          <w:p>
            <w:pPr>
              <w:spacing w:after="0"/>
              <w:rPr>
                <w:sz w:val="8"/>
                <w:szCs w:val="8"/>
                <w:color w:val="auto"/>
              </w:rPr>
            </w:pPr>
          </w:p>
        </w:tc>
      </w:tr>
      <w:tr>
        <w:trPr>
          <w:trHeight w:val="134"/>
        </w:trPr>
        <w:tc>
          <w:tcPr>
            <w:tcW w:w="306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Diversity, Equity and Inclusion Performance Objectives</w:t>
            </w:r>
          </w:p>
        </w:tc>
        <w:tc>
          <w:tcPr>
            <w:tcW w:w="1340" w:type="dxa"/>
            <w:vAlign w:val="bottom"/>
            <w:tcBorders>
              <w:bottom w:val="single" w:sz="8" w:color="009AD9"/>
            </w:tcBorders>
            <w:shd w:val="clear" w:color="auto" w:fill="009AD9"/>
          </w:tcPr>
          <w:p>
            <w:pPr>
              <w:spacing w:after="0"/>
              <w:rPr>
                <w:sz w:val="11"/>
                <w:szCs w:val="11"/>
                <w:color w:val="auto"/>
              </w:rPr>
            </w:pPr>
          </w:p>
        </w:tc>
        <w:tc>
          <w:tcPr>
            <w:tcW w:w="340" w:type="dxa"/>
            <w:vAlign w:val="bottom"/>
            <w:tcBorders>
              <w:bottom w:val="single" w:sz="8" w:color="009AD9"/>
            </w:tcBorders>
            <w:shd w:val="clear" w:color="auto" w:fill="009AD9"/>
          </w:tcPr>
          <w:p>
            <w:pPr>
              <w:spacing w:after="0"/>
              <w:rPr>
                <w:sz w:val="11"/>
                <w:szCs w:val="11"/>
                <w:color w:val="auto"/>
              </w:rPr>
            </w:pPr>
          </w:p>
        </w:tc>
        <w:tc>
          <w:tcPr>
            <w:tcW w:w="1080" w:type="dxa"/>
            <w:vAlign w:val="bottom"/>
            <w:tcBorders>
              <w:bottom w:val="single" w:sz="8" w:color="009AD9"/>
            </w:tcBorders>
            <w:shd w:val="clear" w:color="auto" w:fill="009AD9"/>
          </w:tcPr>
          <w:p>
            <w:pPr>
              <w:jc w:val="right"/>
              <w:ind w:right="712"/>
              <w:spacing w:after="0"/>
              <w:rPr>
                <w:sz w:val="20"/>
                <w:szCs w:val="20"/>
                <w:color w:val="auto"/>
              </w:rPr>
            </w:pPr>
            <w:r>
              <w:rPr>
                <w:rFonts w:ascii="Arial" w:cs="Arial" w:eastAsia="Arial" w:hAnsi="Arial"/>
                <w:sz w:val="10"/>
                <w:szCs w:val="10"/>
                <w:b w:val="1"/>
                <w:bCs w:val="1"/>
                <w:color w:val="FFFFFF"/>
                <w:w w:val="98"/>
              </w:rPr>
              <w:t>Target</w:t>
            </w:r>
          </w:p>
        </w:tc>
        <w:tc>
          <w:tcPr>
            <w:tcW w:w="1600" w:type="dxa"/>
            <w:vAlign w:val="bottom"/>
            <w:tcBorders>
              <w:bottom w:val="single" w:sz="8" w:color="009AD9"/>
            </w:tcBorders>
            <w:gridSpan w:val="2"/>
            <w:shd w:val="clear" w:color="auto" w:fill="009AD9"/>
          </w:tcPr>
          <w:p>
            <w:pPr>
              <w:jc w:val="center"/>
              <w:ind w:right="212"/>
              <w:spacing w:after="0"/>
              <w:rPr>
                <w:sz w:val="20"/>
                <w:szCs w:val="20"/>
                <w:color w:val="auto"/>
              </w:rPr>
            </w:pPr>
            <w:r>
              <w:rPr>
                <w:rFonts w:ascii="Arial" w:cs="Arial" w:eastAsia="Arial" w:hAnsi="Arial"/>
                <w:sz w:val="10"/>
                <w:szCs w:val="10"/>
                <w:b w:val="1"/>
                <w:bCs w:val="1"/>
                <w:color w:val="FFFFFF"/>
                <w:w w:val="99"/>
              </w:rPr>
              <w:t>Achievement</w:t>
            </w:r>
          </w:p>
        </w:tc>
      </w:tr>
      <w:tr>
        <w:trPr>
          <w:trHeight w:val="137"/>
        </w:trPr>
        <w:tc>
          <w:tcPr>
            <w:tcW w:w="3060" w:type="dxa"/>
            <w:vAlign w:val="bottom"/>
          </w:tcPr>
          <w:p>
            <w:pPr>
              <w:ind w:left="40"/>
              <w:spacing w:after="0"/>
              <w:rPr>
                <w:sz w:val="20"/>
                <w:szCs w:val="20"/>
                <w:color w:val="auto"/>
              </w:rPr>
            </w:pPr>
            <w:r>
              <w:rPr>
                <w:rFonts w:ascii="Arial" w:cs="Arial" w:eastAsia="Arial" w:hAnsi="Arial"/>
                <w:sz w:val="10"/>
                <w:szCs w:val="10"/>
                <w:b w:val="1"/>
                <w:bCs w:val="1"/>
                <w:color w:val="auto"/>
              </w:rPr>
              <w:t>Diversity of Applicants</w:t>
            </w: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45"/>
        </w:trPr>
        <w:tc>
          <w:tcPr>
            <w:tcW w:w="44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02"/>
        </w:trPr>
        <w:tc>
          <w:tcPr>
            <w:tcW w:w="4400" w:type="dxa"/>
            <w:vAlign w:val="bottom"/>
            <w:gridSpan w:val="2"/>
            <w:shd w:val="clear" w:color="auto" w:fill="D8EFF9"/>
          </w:tcPr>
          <w:p>
            <w:pPr>
              <w:ind w:left="40"/>
              <w:spacing w:after="0" w:line="103" w:lineRule="exact"/>
              <w:rPr>
                <w:sz w:val="20"/>
                <w:szCs w:val="20"/>
                <w:color w:val="auto"/>
              </w:rPr>
            </w:pPr>
            <w:r>
              <w:rPr>
                <w:rFonts w:ascii="Arial" w:cs="Arial" w:eastAsia="Arial" w:hAnsi="Arial"/>
                <w:sz w:val="10"/>
                <w:szCs w:val="10"/>
                <w:i w:val="1"/>
                <w:iCs w:val="1"/>
                <w:color w:val="auto"/>
                <w:w w:val="97"/>
              </w:rPr>
              <w:t>Represents the percentage of competitive job postings that include a gender and/or racially/ethnically</w:t>
            </w:r>
          </w:p>
        </w:tc>
        <w:tc>
          <w:tcPr>
            <w:tcW w:w="340" w:type="dxa"/>
            <w:vAlign w:val="bottom"/>
            <w:shd w:val="clear" w:color="auto" w:fill="D8EFF9"/>
          </w:tcPr>
          <w:p>
            <w:pPr>
              <w:spacing w:after="0"/>
              <w:rPr>
                <w:sz w:val="8"/>
                <w:szCs w:val="8"/>
                <w:color w:val="auto"/>
              </w:rPr>
            </w:pPr>
          </w:p>
        </w:tc>
        <w:tc>
          <w:tcPr>
            <w:tcW w:w="1080" w:type="dxa"/>
            <w:vAlign w:val="bottom"/>
            <w:shd w:val="clear" w:color="auto" w:fill="D8EFF9"/>
          </w:tcPr>
          <w:p>
            <w:pPr>
              <w:spacing w:after="0"/>
              <w:rPr>
                <w:sz w:val="8"/>
                <w:szCs w:val="8"/>
                <w:color w:val="auto"/>
              </w:rPr>
            </w:pPr>
          </w:p>
        </w:tc>
        <w:tc>
          <w:tcPr>
            <w:tcW w:w="860" w:type="dxa"/>
            <w:vAlign w:val="bottom"/>
            <w:shd w:val="clear" w:color="auto" w:fill="D8EFF9"/>
          </w:tcPr>
          <w:p>
            <w:pPr>
              <w:spacing w:after="0"/>
              <w:rPr>
                <w:sz w:val="8"/>
                <w:szCs w:val="8"/>
                <w:color w:val="auto"/>
              </w:rPr>
            </w:pPr>
          </w:p>
        </w:tc>
        <w:tc>
          <w:tcPr>
            <w:tcW w:w="740" w:type="dxa"/>
            <w:vAlign w:val="bottom"/>
            <w:shd w:val="clear" w:color="auto" w:fill="D8EFF9"/>
          </w:tcPr>
          <w:p>
            <w:pPr>
              <w:spacing w:after="0"/>
              <w:rPr>
                <w:sz w:val="8"/>
                <w:szCs w:val="8"/>
                <w:color w:val="auto"/>
              </w:rPr>
            </w:pPr>
          </w:p>
        </w:tc>
      </w:tr>
      <w:tr>
        <w:trPr>
          <w:trHeight w:val="132"/>
        </w:trPr>
        <w:tc>
          <w:tcPr>
            <w:tcW w:w="3060" w:type="dxa"/>
            <w:vAlign w:val="bottom"/>
            <w:tcBorders>
              <w:bottom w:val="single" w:sz="8" w:color="D8EFF9"/>
            </w:tcBorders>
            <w:shd w:val="clear" w:color="auto" w:fill="D8EFF9"/>
          </w:tcPr>
          <w:p>
            <w:pPr>
              <w:ind w:left="140"/>
              <w:spacing w:after="0"/>
              <w:rPr>
                <w:sz w:val="20"/>
                <w:szCs w:val="20"/>
                <w:color w:val="auto"/>
              </w:rPr>
            </w:pPr>
            <w:r>
              <w:rPr>
                <w:rFonts w:ascii="Arial" w:cs="Arial" w:eastAsia="Arial" w:hAnsi="Arial"/>
                <w:sz w:val="10"/>
                <w:szCs w:val="10"/>
                <w:i w:val="1"/>
                <w:iCs w:val="1"/>
                <w:color w:val="auto"/>
              </w:rPr>
              <w:t>diverse applicant at the interviewing stage</w:t>
            </w:r>
          </w:p>
        </w:tc>
        <w:tc>
          <w:tcPr>
            <w:tcW w:w="1340" w:type="dxa"/>
            <w:vAlign w:val="bottom"/>
            <w:tcBorders>
              <w:bottom w:val="single" w:sz="8" w:color="D8EFF9"/>
            </w:tcBorders>
            <w:shd w:val="clear" w:color="auto" w:fill="D8EFF9"/>
          </w:tcPr>
          <w:p>
            <w:pPr>
              <w:spacing w:after="0"/>
              <w:rPr>
                <w:sz w:val="11"/>
                <w:szCs w:val="11"/>
                <w:color w:val="auto"/>
              </w:rPr>
            </w:pPr>
          </w:p>
        </w:tc>
        <w:tc>
          <w:tcPr>
            <w:tcW w:w="340" w:type="dxa"/>
            <w:vAlign w:val="bottom"/>
            <w:tcBorders>
              <w:bottom w:val="single" w:sz="8" w:color="D8EFF9"/>
            </w:tcBorders>
            <w:shd w:val="clear" w:color="auto" w:fill="D8EFF9"/>
          </w:tcPr>
          <w:p>
            <w:pPr>
              <w:spacing w:after="0"/>
              <w:rPr>
                <w:sz w:val="11"/>
                <w:szCs w:val="11"/>
                <w:color w:val="auto"/>
              </w:rPr>
            </w:pPr>
          </w:p>
        </w:tc>
        <w:tc>
          <w:tcPr>
            <w:tcW w:w="1080" w:type="dxa"/>
            <w:vAlign w:val="bottom"/>
            <w:tcBorders>
              <w:bottom w:val="single" w:sz="8" w:color="D8EFF9"/>
            </w:tcBorders>
            <w:shd w:val="clear" w:color="auto" w:fill="D8EFF9"/>
          </w:tcPr>
          <w:p>
            <w:pPr>
              <w:jc w:val="right"/>
              <w:ind w:right="612"/>
              <w:spacing w:after="0"/>
              <w:rPr>
                <w:sz w:val="20"/>
                <w:szCs w:val="20"/>
                <w:color w:val="auto"/>
              </w:rPr>
            </w:pPr>
            <w:r>
              <w:rPr>
                <w:rFonts w:ascii="Arial" w:cs="Arial" w:eastAsia="Arial" w:hAnsi="Arial"/>
                <w:sz w:val="10"/>
                <w:szCs w:val="10"/>
                <w:color w:val="auto"/>
              </w:rPr>
              <w:t>&gt;85%</w:t>
            </w:r>
          </w:p>
        </w:tc>
        <w:tc>
          <w:tcPr>
            <w:tcW w:w="8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92%</w:t>
            </w:r>
          </w:p>
        </w:tc>
        <w:tc>
          <w:tcPr>
            <w:tcW w:w="740" w:type="dxa"/>
            <w:vAlign w:val="bottom"/>
            <w:tcBorders>
              <w:bottom w:val="single" w:sz="8" w:color="D8EFF9"/>
            </w:tcBorders>
            <w:shd w:val="clear" w:color="auto" w:fill="D8EFF9"/>
          </w:tcPr>
          <w:p>
            <w:pPr>
              <w:spacing w:after="0"/>
              <w:rPr>
                <w:sz w:val="11"/>
                <w:szCs w:val="11"/>
                <w:color w:val="auto"/>
              </w:rPr>
            </w:pPr>
          </w:p>
        </w:tc>
      </w:tr>
      <w:tr>
        <w:trPr>
          <w:trHeight w:val="137"/>
        </w:trPr>
        <w:tc>
          <w:tcPr>
            <w:tcW w:w="3060" w:type="dxa"/>
            <w:vAlign w:val="bottom"/>
          </w:tcPr>
          <w:p>
            <w:pPr>
              <w:ind w:left="40"/>
              <w:spacing w:after="0"/>
              <w:rPr>
                <w:sz w:val="20"/>
                <w:szCs w:val="20"/>
                <w:color w:val="auto"/>
              </w:rPr>
            </w:pPr>
            <w:r>
              <w:rPr>
                <w:rFonts w:ascii="Arial" w:cs="Arial" w:eastAsia="Arial" w:hAnsi="Arial"/>
                <w:sz w:val="10"/>
                <w:szCs w:val="10"/>
                <w:b w:val="1"/>
                <w:bCs w:val="1"/>
                <w:color w:val="auto"/>
              </w:rPr>
              <w:t>Diversity of Suppliers</w:t>
            </w: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45"/>
        </w:trPr>
        <w:tc>
          <w:tcPr>
            <w:tcW w:w="3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45"/>
        </w:trPr>
        <w:tc>
          <w:tcPr>
            <w:tcW w:w="3060" w:type="dxa"/>
            <w:vAlign w:val="bottom"/>
            <w:shd w:val="clear" w:color="auto" w:fill="D8EFF9"/>
          </w:tcPr>
          <w:p>
            <w:pPr>
              <w:ind w:left="40"/>
              <w:spacing w:after="0"/>
              <w:rPr>
                <w:sz w:val="20"/>
                <w:szCs w:val="20"/>
                <w:color w:val="auto"/>
              </w:rPr>
            </w:pPr>
            <w:r>
              <w:rPr>
                <w:rFonts w:ascii="Arial" w:cs="Arial" w:eastAsia="Arial" w:hAnsi="Arial"/>
                <w:sz w:val="10"/>
                <w:szCs w:val="10"/>
                <w:i w:val="1"/>
                <w:iCs w:val="1"/>
                <w:color w:val="auto"/>
              </w:rPr>
              <w:t>Represents the percentage of diverse spend</w:t>
            </w:r>
          </w:p>
        </w:tc>
        <w:tc>
          <w:tcPr>
            <w:tcW w:w="1340" w:type="dxa"/>
            <w:vAlign w:val="bottom"/>
            <w:shd w:val="clear" w:color="auto" w:fill="D8EFF9"/>
          </w:tcPr>
          <w:p>
            <w:pPr>
              <w:spacing w:after="0"/>
              <w:rPr>
                <w:sz w:val="12"/>
                <w:szCs w:val="12"/>
                <w:color w:val="auto"/>
              </w:rPr>
            </w:pPr>
          </w:p>
        </w:tc>
        <w:tc>
          <w:tcPr>
            <w:tcW w:w="340" w:type="dxa"/>
            <w:vAlign w:val="bottom"/>
            <w:shd w:val="clear" w:color="auto" w:fill="D8EFF9"/>
          </w:tcPr>
          <w:p>
            <w:pPr>
              <w:spacing w:after="0"/>
              <w:rPr>
                <w:sz w:val="12"/>
                <w:szCs w:val="12"/>
                <w:color w:val="auto"/>
              </w:rPr>
            </w:pPr>
          </w:p>
        </w:tc>
        <w:tc>
          <w:tcPr>
            <w:tcW w:w="1080" w:type="dxa"/>
            <w:vAlign w:val="bottom"/>
            <w:shd w:val="clear" w:color="auto" w:fill="D8EFF9"/>
          </w:tcPr>
          <w:p>
            <w:pPr>
              <w:jc w:val="right"/>
              <w:ind w:right="612"/>
              <w:spacing w:after="0"/>
              <w:rPr>
                <w:sz w:val="20"/>
                <w:szCs w:val="20"/>
                <w:color w:val="auto"/>
              </w:rPr>
            </w:pPr>
            <w:r>
              <w:rPr>
                <w:rFonts w:ascii="Arial" w:cs="Arial" w:eastAsia="Arial" w:hAnsi="Arial"/>
                <w:sz w:val="10"/>
                <w:szCs w:val="10"/>
                <w:color w:val="auto"/>
              </w:rPr>
              <w:t>&gt;9.6%</w:t>
            </w:r>
          </w:p>
        </w:tc>
        <w:tc>
          <w:tcPr>
            <w:tcW w:w="8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12.6%</w:t>
            </w:r>
          </w:p>
        </w:tc>
        <w:tc>
          <w:tcPr>
            <w:tcW w:w="740" w:type="dxa"/>
            <w:vAlign w:val="bottom"/>
            <w:shd w:val="clear" w:color="auto" w:fill="D8EFF9"/>
          </w:tcPr>
          <w:p>
            <w:pPr>
              <w:spacing w:after="0"/>
              <w:rPr>
                <w:sz w:val="12"/>
                <w:szCs w:val="12"/>
                <w:color w:val="auto"/>
              </w:rPr>
            </w:pPr>
          </w:p>
        </w:tc>
      </w:tr>
    </w:tbl>
    <w:p>
      <w:pPr>
        <w:spacing w:after="0" w:line="75" w:lineRule="exact"/>
        <w:rPr>
          <w:sz w:val="20"/>
          <w:szCs w:val="20"/>
          <w:color w:val="auto"/>
        </w:rPr>
      </w:pPr>
    </w:p>
    <w:p>
      <w:pPr>
        <w:jc w:val="both"/>
        <w:ind w:left="2160" w:right="819" w:hanging="226"/>
        <w:spacing w:after="0" w:line="239" w:lineRule="auto"/>
        <w:tabs>
          <w:tab w:leader="none" w:pos="2160" w:val="left"/>
        </w:tabs>
        <w:numPr>
          <w:ilvl w:val="0"/>
          <w:numId w:val="66"/>
        </w:numPr>
        <w:rPr>
          <w:rFonts w:ascii="Arial" w:cs="Arial" w:eastAsia="Arial" w:hAnsi="Arial"/>
          <w:sz w:val="10"/>
          <w:szCs w:val="10"/>
          <w:i w:val="1"/>
          <w:iCs w:val="1"/>
          <w:color w:val="auto"/>
        </w:rPr>
      </w:pPr>
      <w:r>
        <w:rPr>
          <w:rFonts w:ascii="Arial" w:cs="Arial" w:eastAsia="Arial" w:hAnsi="Arial"/>
          <w:sz w:val="10"/>
          <w:szCs w:val="10"/>
          <w:i w:val="1"/>
          <w:iCs w:val="1"/>
          <w:color w:val="auto"/>
        </w:rPr>
        <w:t>The diversity, equity and inclusion composite acts as a negative modifier of up to 5%. Based on the Company’s achievement with respect to these metrics, the negative modifier was not applied for 2022. However, pursuant to management’s recommendation, the Compensation Committee exercised negative discretion to reduce the overall short-term incentive achievement level for executive officers based on other considerations as described in the below paragraph.</w:t>
      </w:r>
    </w:p>
    <w:p>
      <w:pPr>
        <w:spacing w:after="0" w:line="13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Based on shareholder feedback, the Compensation Committee, with the support of management, has committed to exercise its discretion to modify the payout under the short-term incentive plan for executive officers in order to align with the payout for non-executive officer employees. Therefore, pursuant to management’s recommendation, based on the achievement of the non-financial metrics applicable to non-executive officer employees under the short-term incentive plan, the Compensation Committee exercised its discretion to modify the award to the executive officers from 200% to 165%. The Compensation Committee, based on management’s recommendation, noted the underperformance of the Company with regards to safety, including an employee fatality that occurred during 2022, and the underperformance with regards to certain reliability metrics. The table below shows the impact that the Compensation Committee’s exercise of negative discretion had on our named executive officers’ short-term incentive payout:</w:t>
      </w:r>
    </w:p>
    <w:p>
      <w:pPr>
        <w:spacing w:after="0" w:line="141"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3120" w:type="dxa"/>
            <w:vAlign w:val="bottom"/>
            <w:shd w:val="clear" w:color="auto" w:fill="009AD9"/>
          </w:tcPr>
          <w:p>
            <w:pPr>
              <w:spacing w:after="0"/>
              <w:rPr>
                <w:sz w:val="10"/>
                <w:szCs w:val="10"/>
                <w:color w:val="auto"/>
              </w:rPr>
            </w:pPr>
          </w:p>
        </w:tc>
        <w:tc>
          <w:tcPr>
            <w:tcW w:w="4300" w:type="dxa"/>
            <w:vAlign w:val="bottom"/>
            <w:shd w:val="clear" w:color="auto" w:fill="009AD9"/>
          </w:tcPr>
          <w:p>
            <w:pPr>
              <w:jc w:val="center"/>
              <w:ind w:left="2052"/>
              <w:spacing w:after="0"/>
              <w:rPr>
                <w:sz w:val="20"/>
                <w:szCs w:val="20"/>
                <w:color w:val="auto"/>
              </w:rPr>
            </w:pPr>
            <w:r>
              <w:rPr>
                <w:rFonts w:ascii="Arial" w:cs="Arial" w:eastAsia="Arial" w:hAnsi="Arial"/>
                <w:sz w:val="10"/>
                <w:szCs w:val="10"/>
                <w:b w:val="1"/>
                <w:bCs w:val="1"/>
                <w:color w:val="FFFFFF"/>
                <w:w w:val="96"/>
              </w:rPr>
              <w:t>Reduction in Short-Term Incentive Payout</w:t>
            </w:r>
          </w:p>
        </w:tc>
      </w:tr>
      <w:tr>
        <w:trPr>
          <w:trHeight w:val="109"/>
        </w:trPr>
        <w:tc>
          <w:tcPr>
            <w:tcW w:w="3120" w:type="dxa"/>
            <w:vAlign w:val="bottom"/>
            <w:shd w:val="clear" w:color="auto" w:fill="009AD9"/>
          </w:tcPr>
          <w:p>
            <w:pPr>
              <w:spacing w:after="0"/>
              <w:rPr>
                <w:sz w:val="9"/>
                <w:szCs w:val="9"/>
                <w:color w:val="auto"/>
              </w:rPr>
            </w:pPr>
          </w:p>
        </w:tc>
        <w:tc>
          <w:tcPr>
            <w:tcW w:w="4300" w:type="dxa"/>
            <w:vAlign w:val="bottom"/>
            <w:shd w:val="clear" w:color="auto" w:fill="009AD9"/>
          </w:tcPr>
          <w:p>
            <w:pPr>
              <w:jc w:val="center"/>
              <w:ind w:left="2032"/>
              <w:spacing w:after="0" w:line="109" w:lineRule="exact"/>
              <w:rPr>
                <w:sz w:val="20"/>
                <w:szCs w:val="20"/>
                <w:color w:val="auto"/>
              </w:rPr>
            </w:pPr>
            <w:r>
              <w:rPr>
                <w:rFonts w:ascii="Arial" w:cs="Arial" w:eastAsia="Arial" w:hAnsi="Arial"/>
                <w:sz w:val="10"/>
                <w:szCs w:val="10"/>
                <w:b w:val="1"/>
                <w:bCs w:val="1"/>
                <w:color w:val="FFFFFF"/>
                <w:w w:val="97"/>
              </w:rPr>
              <w:t>as a Result of Compensation Committee</w:t>
            </w:r>
          </w:p>
        </w:tc>
      </w:tr>
      <w:tr>
        <w:trPr>
          <w:trHeight w:val="134"/>
        </w:trPr>
        <w:tc>
          <w:tcPr>
            <w:tcW w:w="312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4300" w:type="dxa"/>
            <w:vAlign w:val="bottom"/>
            <w:tcBorders>
              <w:bottom w:val="single" w:sz="8" w:color="009AD9"/>
            </w:tcBorders>
            <w:shd w:val="clear" w:color="auto" w:fill="009AD9"/>
          </w:tcPr>
          <w:p>
            <w:pPr>
              <w:jc w:val="center"/>
              <w:ind w:left="2052"/>
              <w:spacing w:after="0"/>
              <w:rPr>
                <w:sz w:val="20"/>
                <w:szCs w:val="20"/>
                <w:color w:val="auto"/>
              </w:rPr>
            </w:pPr>
            <w:r>
              <w:rPr>
                <w:rFonts w:ascii="Arial" w:cs="Arial" w:eastAsia="Arial" w:hAnsi="Arial"/>
                <w:sz w:val="10"/>
                <w:szCs w:val="10"/>
                <w:b w:val="1"/>
                <w:bCs w:val="1"/>
                <w:color w:val="FFFFFF"/>
                <w:w w:val="96"/>
              </w:rPr>
              <w:t>Exercise of Negative Discretion</w:t>
            </w:r>
          </w:p>
        </w:tc>
      </w:tr>
      <w:tr>
        <w:trPr>
          <w:trHeight w:val="127"/>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David J. Lesar</w:t>
            </w:r>
          </w:p>
        </w:tc>
        <w:tc>
          <w:tcPr>
            <w:tcW w:w="4300" w:type="dxa"/>
            <w:vAlign w:val="bottom"/>
          </w:tcPr>
          <w:p>
            <w:pPr>
              <w:jc w:val="center"/>
              <w:ind w:left="2172"/>
              <w:spacing w:after="0"/>
              <w:rPr>
                <w:sz w:val="20"/>
                <w:szCs w:val="20"/>
                <w:color w:val="auto"/>
              </w:rPr>
            </w:pPr>
            <w:r>
              <w:rPr>
                <w:rFonts w:ascii="Arial" w:cs="Arial" w:eastAsia="Arial" w:hAnsi="Arial"/>
                <w:sz w:val="10"/>
                <w:szCs w:val="10"/>
                <w:color w:val="auto"/>
                <w:w w:val="95"/>
              </w:rPr>
              <w:t>$722,750</w:t>
            </w:r>
          </w:p>
        </w:tc>
      </w:tr>
      <w:tr>
        <w:trPr>
          <w:trHeight w:val="127"/>
        </w:trPr>
        <w:tc>
          <w:tcPr>
            <w:tcW w:w="31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Jason P. Wells</w:t>
            </w:r>
          </w:p>
        </w:tc>
        <w:tc>
          <w:tcPr>
            <w:tcW w:w="4300" w:type="dxa"/>
            <w:vAlign w:val="bottom"/>
            <w:shd w:val="clear" w:color="auto" w:fill="D8EFF9"/>
          </w:tcPr>
          <w:p>
            <w:pPr>
              <w:jc w:val="center"/>
              <w:ind w:left="2172"/>
              <w:spacing w:after="0"/>
              <w:rPr>
                <w:sz w:val="20"/>
                <w:szCs w:val="20"/>
                <w:color w:val="auto"/>
              </w:rPr>
            </w:pPr>
            <w:r>
              <w:rPr>
                <w:rFonts w:ascii="Arial" w:cs="Arial" w:eastAsia="Arial" w:hAnsi="Arial"/>
                <w:sz w:val="10"/>
                <w:szCs w:val="10"/>
                <w:color w:val="auto"/>
                <w:w w:val="95"/>
              </w:rPr>
              <w:t>$182,438</w:t>
            </w:r>
          </w:p>
        </w:tc>
      </w:tr>
      <w:tr>
        <w:trPr>
          <w:trHeight w:val="127"/>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Scott E. Doyle*</w:t>
            </w:r>
          </w:p>
        </w:tc>
        <w:tc>
          <w:tcPr>
            <w:tcW w:w="4300" w:type="dxa"/>
            <w:vAlign w:val="bottom"/>
          </w:tcPr>
          <w:p>
            <w:pPr>
              <w:jc w:val="center"/>
              <w:ind w:left="2172"/>
              <w:spacing w:after="0"/>
              <w:rPr>
                <w:sz w:val="20"/>
                <w:szCs w:val="20"/>
                <w:color w:val="auto"/>
              </w:rPr>
            </w:pPr>
            <w:r>
              <w:rPr>
                <w:rFonts w:ascii="Arial" w:cs="Arial" w:eastAsia="Arial" w:hAnsi="Arial"/>
                <w:sz w:val="10"/>
                <w:szCs w:val="10"/>
                <w:color w:val="auto"/>
                <w:w w:val="95"/>
              </w:rPr>
              <w:t>N/A</w:t>
            </w:r>
          </w:p>
        </w:tc>
      </w:tr>
      <w:tr>
        <w:trPr>
          <w:trHeight w:val="127"/>
        </w:trPr>
        <w:tc>
          <w:tcPr>
            <w:tcW w:w="312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Monica Karuturi</w:t>
            </w:r>
          </w:p>
        </w:tc>
        <w:tc>
          <w:tcPr>
            <w:tcW w:w="4300" w:type="dxa"/>
            <w:vAlign w:val="bottom"/>
            <w:shd w:val="clear" w:color="auto" w:fill="D8EFF9"/>
          </w:tcPr>
          <w:p>
            <w:pPr>
              <w:jc w:val="center"/>
              <w:ind w:left="2172"/>
              <w:spacing w:after="0"/>
              <w:rPr>
                <w:sz w:val="20"/>
                <w:szCs w:val="20"/>
                <w:color w:val="auto"/>
              </w:rPr>
            </w:pPr>
            <w:r>
              <w:rPr>
                <w:rFonts w:ascii="Arial" w:cs="Arial" w:eastAsia="Arial" w:hAnsi="Arial"/>
                <w:sz w:val="10"/>
                <w:szCs w:val="10"/>
                <w:color w:val="auto"/>
                <w:w w:val="95"/>
              </w:rPr>
              <w:t>$142,100</w:t>
            </w:r>
          </w:p>
        </w:tc>
      </w:tr>
      <w:tr>
        <w:trPr>
          <w:trHeight w:val="128"/>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Gregory E. Knight*</w:t>
            </w:r>
          </w:p>
        </w:tc>
        <w:tc>
          <w:tcPr>
            <w:tcW w:w="4300" w:type="dxa"/>
            <w:vAlign w:val="bottom"/>
          </w:tcPr>
          <w:p>
            <w:pPr>
              <w:jc w:val="center"/>
              <w:ind w:left="2172"/>
              <w:spacing w:after="0"/>
              <w:rPr>
                <w:sz w:val="20"/>
                <w:szCs w:val="20"/>
                <w:color w:val="auto"/>
              </w:rPr>
            </w:pPr>
            <w:r>
              <w:rPr>
                <w:rFonts w:ascii="Arial" w:cs="Arial" w:eastAsia="Arial" w:hAnsi="Arial"/>
                <w:sz w:val="10"/>
                <w:szCs w:val="10"/>
                <w:color w:val="auto"/>
                <w:w w:val="95"/>
              </w:rPr>
              <w:t>$129,850</w:t>
            </w:r>
          </w:p>
        </w:tc>
      </w:tr>
    </w:tbl>
    <w:p>
      <w:pPr>
        <w:spacing w:after="0" w:line="85" w:lineRule="exact"/>
        <w:rPr>
          <w:sz w:val="20"/>
          <w:szCs w:val="20"/>
          <w:color w:val="auto"/>
        </w:rPr>
      </w:pPr>
    </w:p>
    <w:p>
      <w:pPr>
        <w:jc w:val="both"/>
        <w:ind w:left="2160" w:right="799" w:hanging="226"/>
        <w:spacing w:after="0" w:line="230" w:lineRule="auto"/>
        <w:tabs>
          <w:tab w:leader="none" w:pos="2160" w:val="left"/>
        </w:tabs>
        <w:numPr>
          <w:ilvl w:val="0"/>
          <w:numId w:val="67"/>
        </w:numPr>
        <w:rPr>
          <w:rFonts w:ascii="Arial" w:cs="Arial" w:eastAsia="Arial" w:hAnsi="Arial"/>
          <w:sz w:val="10"/>
          <w:szCs w:val="10"/>
          <w:color w:val="auto"/>
        </w:rPr>
      </w:pPr>
      <w:r>
        <w:rPr>
          <w:rFonts w:ascii="Arial" w:cs="Arial" w:eastAsia="Arial" w:hAnsi="Arial"/>
          <w:sz w:val="10"/>
          <w:szCs w:val="10"/>
          <w:color w:val="auto"/>
        </w:rPr>
        <w:t>Mr. Doyle was separated from the Company on January 3, 2023, prior to payment of the short-term incentive awards for 2022 and prior to becoming “retirement eligible” (age 55 or greater with at least five years of service) and, accordingly, was not eligible to receive payment of his award under the short-term incentive plan for 2022. His severance pay included, however, an amount equal to his short-term incentive award for the 2022 performance year determined at the approved achievement level for other executive officers. Refer to “Execution on Succession Planning—Former Executive Vice President, Utility Operations, Scott E. Doyle” for details regarding Mr. Doyle’s severance pay. Mr. Knight was also separated from the Company on January 3, 2023 but was “retirement eligible” and, accordingly, was eligible to receive payment of his award under the short-term incentive plan for 2022 in accordance with the terms of the plan.</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Individual Short-Term Incentive Plan Awards for 2022 Performance</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Based on our approved level of achievement of the 2022 performance objectives at 165% and an assessment of each individual’s performance by the Compensation Committee, the 2022 short-term incentive awards for our named executive officers, expressed as a percentage of their individual target awards, were as follows:</w:t>
      </w:r>
    </w:p>
    <w:p>
      <w:pPr>
        <w:spacing w:after="0" w:line="140"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3180" w:type="dxa"/>
            <w:vAlign w:val="bottom"/>
            <w:shd w:val="clear" w:color="auto" w:fill="009AD9"/>
          </w:tcPr>
          <w:p>
            <w:pPr>
              <w:spacing w:after="0"/>
              <w:rPr>
                <w:sz w:val="10"/>
                <w:szCs w:val="10"/>
                <w:color w:val="auto"/>
              </w:rPr>
            </w:pPr>
          </w:p>
        </w:tc>
        <w:tc>
          <w:tcPr>
            <w:tcW w:w="4240" w:type="dxa"/>
            <w:vAlign w:val="bottom"/>
            <w:shd w:val="clear" w:color="auto" w:fill="009AD9"/>
          </w:tcPr>
          <w:p>
            <w:pPr>
              <w:ind w:left="2260"/>
              <w:spacing w:after="0"/>
              <w:rPr>
                <w:sz w:val="20"/>
                <w:szCs w:val="20"/>
                <w:color w:val="auto"/>
              </w:rPr>
            </w:pPr>
            <w:r>
              <w:rPr>
                <w:rFonts w:ascii="Arial" w:cs="Arial" w:eastAsia="Arial" w:hAnsi="Arial"/>
                <w:sz w:val="10"/>
                <w:szCs w:val="10"/>
                <w:b w:val="1"/>
                <w:bCs w:val="1"/>
                <w:color w:val="FFFFFF"/>
              </w:rPr>
              <w:t>2022 Short-Term Incentive Achievement</w:t>
            </w:r>
          </w:p>
        </w:tc>
      </w:tr>
      <w:tr>
        <w:trPr>
          <w:trHeight w:val="143"/>
        </w:trPr>
        <w:tc>
          <w:tcPr>
            <w:tcW w:w="3180" w:type="dxa"/>
            <w:vAlign w:val="bottom"/>
            <w:tcBorders>
              <w:bottom w:val="single" w:sz="8" w:color="009AD9"/>
            </w:tcBorders>
            <w:shd w:val="clear" w:color="auto" w:fill="009AD9"/>
          </w:tcPr>
          <w:p>
            <w:pPr>
              <w:ind w:left="80"/>
              <w:spacing w:after="0"/>
              <w:rPr>
                <w:sz w:val="20"/>
                <w:szCs w:val="20"/>
                <w:color w:val="auto"/>
              </w:rPr>
            </w:pPr>
            <w:r>
              <w:rPr>
                <w:rFonts w:ascii="Arial" w:cs="Arial" w:eastAsia="Arial" w:hAnsi="Arial"/>
                <w:sz w:val="10"/>
                <w:szCs w:val="10"/>
                <w:b w:val="1"/>
                <w:bCs w:val="1"/>
                <w:color w:val="FFFFFF"/>
              </w:rPr>
              <w:t>Name</w:t>
            </w:r>
          </w:p>
        </w:tc>
        <w:tc>
          <w:tcPr>
            <w:tcW w:w="4240" w:type="dxa"/>
            <w:vAlign w:val="bottom"/>
            <w:tcBorders>
              <w:bottom w:val="single" w:sz="8" w:color="009AD9"/>
            </w:tcBorders>
            <w:shd w:val="clear" w:color="auto" w:fill="009AD9"/>
          </w:tcPr>
          <w:p>
            <w:pPr>
              <w:jc w:val="center"/>
              <w:ind w:left="2192"/>
              <w:spacing w:after="0"/>
              <w:rPr>
                <w:sz w:val="20"/>
                <w:szCs w:val="20"/>
                <w:color w:val="auto"/>
              </w:rPr>
            </w:pPr>
            <w:r>
              <w:rPr>
                <w:rFonts w:ascii="Arial" w:cs="Arial" w:eastAsia="Arial" w:hAnsi="Arial"/>
                <w:sz w:val="10"/>
                <w:szCs w:val="10"/>
                <w:b w:val="1"/>
                <w:bCs w:val="1"/>
                <w:color w:val="FFFFFF"/>
                <w:w w:val="96"/>
              </w:rPr>
              <w:t>(as a Percentage of Target)</w:t>
            </w:r>
          </w:p>
        </w:tc>
      </w:tr>
      <w:tr>
        <w:trPr>
          <w:trHeight w:val="127"/>
        </w:trPr>
        <w:tc>
          <w:tcPr>
            <w:tcW w:w="3180" w:type="dxa"/>
            <w:vAlign w:val="bottom"/>
          </w:tcPr>
          <w:p>
            <w:pPr>
              <w:ind w:left="60"/>
              <w:spacing w:after="0"/>
              <w:rPr>
                <w:sz w:val="20"/>
                <w:szCs w:val="20"/>
                <w:color w:val="auto"/>
              </w:rPr>
            </w:pPr>
            <w:r>
              <w:rPr>
                <w:rFonts w:ascii="Arial" w:cs="Arial" w:eastAsia="Arial" w:hAnsi="Arial"/>
                <w:sz w:val="10"/>
                <w:szCs w:val="10"/>
                <w:b w:val="1"/>
                <w:bCs w:val="1"/>
                <w:color w:val="auto"/>
              </w:rPr>
              <w:t>David J. Lesar</w:t>
            </w:r>
          </w:p>
        </w:tc>
        <w:tc>
          <w:tcPr>
            <w:tcW w:w="4240" w:type="dxa"/>
            <w:vAlign w:val="bottom"/>
          </w:tcPr>
          <w:p>
            <w:pPr>
              <w:jc w:val="center"/>
              <w:ind w:left="2212"/>
              <w:spacing w:after="0"/>
              <w:rPr>
                <w:sz w:val="20"/>
                <w:szCs w:val="20"/>
                <w:color w:val="auto"/>
              </w:rPr>
            </w:pPr>
            <w:r>
              <w:rPr>
                <w:rFonts w:ascii="Arial" w:cs="Arial" w:eastAsia="Arial" w:hAnsi="Arial"/>
                <w:sz w:val="10"/>
                <w:szCs w:val="10"/>
                <w:color w:val="auto"/>
              </w:rPr>
              <w:t>165%</w:t>
            </w:r>
          </w:p>
        </w:tc>
      </w:tr>
      <w:tr>
        <w:trPr>
          <w:trHeight w:val="127"/>
        </w:trPr>
        <w:tc>
          <w:tcPr>
            <w:tcW w:w="3180" w:type="dxa"/>
            <w:vAlign w:val="bottom"/>
            <w:shd w:val="clear" w:color="auto" w:fill="D8EFF9"/>
          </w:tcPr>
          <w:p>
            <w:pPr>
              <w:ind w:left="60"/>
              <w:spacing w:after="0"/>
              <w:rPr>
                <w:sz w:val="20"/>
                <w:szCs w:val="20"/>
                <w:color w:val="auto"/>
              </w:rPr>
            </w:pPr>
            <w:r>
              <w:rPr>
                <w:rFonts w:ascii="Arial" w:cs="Arial" w:eastAsia="Arial" w:hAnsi="Arial"/>
                <w:sz w:val="10"/>
                <w:szCs w:val="10"/>
                <w:b w:val="1"/>
                <w:bCs w:val="1"/>
                <w:color w:val="auto"/>
              </w:rPr>
              <w:t>Jason P. Wells</w:t>
            </w:r>
          </w:p>
        </w:tc>
        <w:tc>
          <w:tcPr>
            <w:tcW w:w="4240" w:type="dxa"/>
            <w:vAlign w:val="bottom"/>
            <w:shd w:val="clear" w:color="auto" w:fill="D8EFF9"/>
          </w:tcPr>
          <w:p>
            <w:pPr>
              <w:jc w:val="center"/>
              <w:ind w:left="2212"/>
              <w:spacing w:after="0"/>
              <w:rPr>
                <w:sz w:val="20"/>
                <w:szCs w:val="20"/>
                <w:color w:val="auto"/>
              </w:rPr>
            </w:pPr>
            <w:r>
              <w:rPr>
                <w:rFonts w:ascii="Arial" w:cs="Arial" w:eastAsia="Arial" w:hAnsi="Arial"/>
                <w:sz w:val="10"/>
                <w:szCs w:val="10"/>
                <w:color w:val="auto"/>
              </w:rPr>
              <w:t>165%</w:t>
            </w:r>
          </w:p>
        </w:tc>
      </w:tr>
      <w:tr>
        <w:trPr>
          <w:trHeight w:val="127"/>
        </w:trPr>
        <w:tc>
          <w:tcPr>
            <w:tcW w:w="3180" w:type="dxa"/>
            <w:vAlign w:val="bottom"/>
          </w:tcPr>
          <w:p>
            <w:pPr>
              <w:ind w:left="60"/>
              <w:spacing w:after="0"/>
              <w:rPr>
                <w:sz w:val="20"/>
                <w:szCs w:val="20"/>
                <w:color w:val="auto"/>
              </w:rPr>
            </w:pPr>
            <w:r>
              <w:rPr>
                <w:rFonts w:ascii="Arial" w:cs="Arial" w:eastAsia="Arial" w:hAnsi="Arial"/>
                <w:sz w:val="10"/>
                <w:szCs w:val="10"/>
                <w:b w:val="1"/>
                <w:bCs w:val="1"/>
                <w:color w:val="auto"/>
              </w:rPr>
              <w:t>Scott E. Doyle*</w:t>
            </w:r>
          </w:p>
        </w:tc>
        <w:tc>
          <w:tcPr>
            <w:tcW w:w="4240" w:type="dxa"/>
            <w:vAlign w:val="bottom"/>
          </w:tcPr>
          <w:p>
            <w:pPr>
              <w:jc w:val="center"/>
              <w:ind w:left="2192"/>
              <w:spacing w:after="0"/>
              <w:rPr>
                <w:sz w:val="20"/>
                <w:szCs w:val="20"/>
                <w:color w:val="auto"/>
              </w:rPr>
            </w:pPr>
            <w:r>
              <w:rPr>
                <w:rFonts w:ascii="Arial" w:cs="Arial" w:eastAsia="Arial" w:hAnsi="Arial"/>
                <w:sz w:val="10"/>
                <w:szCs w:val="10"/>
                <w:color w:val="auto"/>
                <w:w w:val="95"/>
              </w:rPr>
              <w:t>N/A</w:t>
            </w:r>
          </w:p>
        </w:tc>
      </w:tr>
      <w:tr>
        <w:trPr>
          <w:trHeight w:val="127"/>
        </w:trPr>
        <w:tc>
          <w:tcPr>
            <w:tcW w:w="3180" w:type="dxa"/>
            <w:vAlign w:val="bottom"/>
            <w:shd w:val="clear" w:color="auto" w:fill="D8EFF9"/>
          </w:tcPr>
          <w:p>
            <w:pPr>
              <w:ind w:left="60"/>
              <w:spacing w:after="0"/>
              <w:rPr>
                <w:sz w:val="20"/>
                <w:szCs w:val="20"/>
                <w:color w:val="auto"/>
              </w:rPr>
            </w:pPr>
            <w:r>
              <w:rPr>
                <w:rFonts w:ascii="Arial" w:cs="Arial" w:eastAsia="Arial" w:hAnsi="Arial"/>
                <w:sz w:val="10"/>
                <w:szCs w:val="10"/>
                <w:b w:val="1"/>
                <w:bCs w:val="1"/>
                <w:color w:val="auto"/>
              </w:rPr>
              <w:t>Monica Karuturi</w:t>
            </w:r>
          </w:p>
        </w:tc>
        <w:tc>
          <w:tcPr>
            <w:tcW w:w="4240" w:type="dxa"/>
            <w:vAlign w:val="bottom"/>
            <w:shd w:val="clear" w:color="auto" w:fill="D8EFF9"/>
          </w:tcPr>
          <w:p>
            <w:pPr>
              <w:jc w:val="center"/>
              <w:ind w:left="2212"/>
              <w:spacing w:after="0"/>
              <w:rPr>
                <w:sz w:val="20"/>
                <w:szCs w:val="20"/>
                <w:color w:val="auto"/>
              </w:rPr>
            </w:pPr>
            <w:r>
              <w:rPr>
                <w:rFonts w:ascii="Arial" w:cs="Arial" w:eastAsia="Arial" w:hAnsi="Arial"/>
                <w:sz w:val="10"/>
                <w:szCs w:val="10"/>
                <w:color w:val="auto"/>
              </w:rPr>
              <w:t>165%</w:t>
            </w:r>
          </w:p>
        </w:tc>
      </w:tr>
      <w:tr>
        <w:trPr>
          <w:trHeight w:val="128"/>
        </w:trPr>
        <w:tc>
          <w:tcPr>
            <w:tcW w:w="3180" w:type="dxa"/>
            <w:vAlign w:val="bottom"/>
          </w:tcPr>
          <w:p>
            <w:pPr>
              <w:ind w:left="60"/>
              <w:spacing w:after="0"/>
              <w:rPr>
                <w:sz w:val="20"/>
                <w:szCs w:val="20"/>
                <w:color w:val="auto"/>
              </w:rPr>
            </w:pPr>
            <w:r>
              <w:rPr>
                <w:rFonts w:ascii="Arial" w:cs="Arial" w:eastAsia="Arial" w:hAnsi="Arial"/>
                <w:sz w:val="10"/>
                <w:szCs w:val="10"/>
                <w:b w:val="1"/>
                <w:bCs w:val="1"/>
                <w:color w:val="auto"/>
              </w:rPr>
              <w:t>Gregory E. Knight*</w:t>
            </w:r>
          </w:p>
        </w:tc>
        <w:tc>
          <w:tcPr>
            <w:tcW w:w="4240" w:type="dxa"/>
            <w:vAlign w:val="bottom"/>
          </w:tcPr>
          <w:p>
            <w:pPr>
              <w:jc w:val="center"/>
              <w:ind w:left="2212"/>
              <w:spacing w:after="0"/>
              <w:rPr>
                <w:sz w:val="20"/>
                <w:szCs w:val="20"/>
                <w:color w:val="auto"/>
              </w:rPr>
            </w:pPr>
            <w:r>
              <w:rPr>
                <w:rFonts w:ascii="Arial" w:cs="Arial" w:eastAsia="Arial" w:hAnsi="Arial"/>
                <w:sz w:val="10"/>
                <w:szCs w:val="10"/>
                <w:color w:val="auto"/>
              </w:rPr>
              <w:t>165%</w:t>
            </w:r>
          </w:p>
        </w:tc>
      </w:tr>
    </w:tbl>
    <w:p>
      <w:pPr>
        <w:spacing w:after="0" w:line="85" w:lineRule="exact"/>
        <w:rPr>
          <w:sz w:val="20"/>
          <w:szCs w:val="20"/>
          <w:color w:val="auto"/>
        </w:rPr>
      </w:pPr>
    </w:p>
    <w:p>
      <w:pPr>
        <w:jc w:val="both"/>
        <w:ind w:left="2160" w:right="799" w:hanging="226"/>
        <w:spacing w:after="0" w:line="230" w:lineRule="auto"/>
        <w:tabs>
          <w:tab w:leader="none" w:pos="2160" w:val="left"/>
        </w:tabs>
        <w:numPr>
          <w:ilvl w:val="0"/>
          <w:numId w:val="68"/>
        </w:numPr>
        <w:rPr>
          <w:rFonts w:ascii="Arial" w:cs="Arial" w:eastAsia="Arial" w:hAnsi="Arial"/>
          <w:sz w:val="10"/>
          <w:szCs w:val="10"/>
          <w:color w:val="auto"/>
        </w:rPr>
      </w:pPr>
      <w:r>
        <w:rPr>
          <w:rFonts w:ascii="Arial" w:cs="Arial" w:eastAsia="Arial" w:hAnsi="Arial"/>
          <w:sz w:val="10"/>
          <w:szCs w:val="10"/>
          <w:color w:val="auto"/>
        </w:rPr>
        <w:t>Mr. Doyle was separated from the Company on January 3, 2023, prior to payment of the short-term incentive awards for 2022 and prior to becoming “retirement eligible” (age 55 or greater with at least five years of service) and, accordingly, was not eligible to receive payment of his award under the short-term incentive plan for 2022. His severance pay included, however, an amount equal to his short-term incentive award for the 2022 performance year determined at the approved achievement level for other executive officers. Refer to “Execution on Succession Planning—Former Executive Vice President, Utility Operations, Scott E. Doyle” for details regarding Mr. Doyle’s severance pay. Mr. Knight was also separated from the Company on January 3, 2023 but was “retirement eligible” and, accordingly, was eligible to receive his award under the short-term incentive plan for 2022 in accordance with the terms of the plan.</w:t>
      </w:r>
    </w:p>
    <w:p>
      <w:pPr>
        <w:spacing w:after="0" w:line="13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In addition, from time to time, in extraordinary circumstances, we may award bonus incentives, including cash bonuses, to our executive officers. For example, in 2022, Ms. Karuturi received $100,000 as a cash bonus for leading the successful completion of the sale of the Company’s Arkansas and Oklahoma LDC businesses. The sale of the Arkansas and Oklahoma LDC businesses was a necessary step for the Company’s execution of its plan to become a premium utility and has been well received by shareholders.</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Long-Term Incentive Plan</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We provide a long-term incentive plan in which each of our named executive officers and certain other management-level employees participate. Our long-term incentive plan is designed to align the interests of our participants with those of our shareholders and reward participants for sustained improvements in our financial performance and increases in the value of our common stock and dividends over an extended period.</w:t>
      </w:r>
    </w:p>
    <w:p>
      <w:pPr>
        <w:spacing w:after="0" w:line="137"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The vesting period for long-term incentive plan awards is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New York Stock Exchange on the grant date, which is the date the Compensation Committee approves the grants.</w:t>
      </w:r>
    </w:p>
    <w:p>
      <w:pPr>
        <w:spacing w:after="0" w:line="137" w:lineRule="exact"/>
        <w:rPr>
          <w:sz w:val="20"/>
          <w:szCs w:val="20"/>
          <w:color w:val="auto"/>
        </w:rPr>
      </w:pPr>
    </w:p>
    <w:p>
      <w:pPr>
        <w:jc w:val="both"/>
        <w:ind w:left="1940" w:right="819"/>
        <w:spacing w:after="0" w:line="239" w:lineRule="auto"/>
        <w:rPr>
          <w:sz w:val="20"/>
          <w:szCs w:val="20"/>
          <w:color w:val="auto"/>
        </w:rPr>
      </w:pPr>
      <w:r>
        <w:rPr>
          <w:rFonts w:ascii="Arial" w:cs="Arial" w:eastAsia="Arial" w:hAnsi="Arial"/>
          <w:sz w:val="12"/>
          <w:szCs w:val="12"/>
          <w:color w:val="auto"/>
        </w:rPr>
        <w:t>In addition to our standard annual long-term incentive plan awards, we may from time to time recognize significant individual accomplishments and outstanding performance with equity incentives. Based on shareholder feedback, the Compensation Committee has committed to not make one-time equity awards to its executive officers absent extraordinary circumstances, except in connection with new hires or promotions. In the event the Compensation Committee determines that a one -time equity award is necessary and appropriate, such special award will have, except in the case of new hires or promotions, at least a three-year vesting period and will be primarily performance-based.</w:t>
      </w:r>
    </w:p>
    <w:p>
      <w:pPr>
        <w:spacing w:after="0" w:line="135" w:lineRule="exact"/>
        <w:rPr>
          <w:sz w:val="20"/>
          <w:szCs w:val="20"/>
          <w:color w:val="auto"/>
        </w:rPr>
      </w:pPr>
    </w:p>
    <w:p>
      <w:pPr>
        <w:ind w:left="2220" w:hanging="230"/>
        <w:spacing w:after="0"/>
        <w:tabs>
          <w:tab w:leader="none" w:pos="2220" w:val="left"/>
        </w:tabs>
        <w:numPr>
          <w:ilvl w:val="0"/>
          <w:numId w:val="6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Long-Term Incentive Plan Design</w:t>
      </w:r>
    </w:p>
    <w:p>
      <w:pPr>
        <w:spacing w:after="0" w:line="94" w:lineRule="exact"/>
        <w:rPr>
          <w:sz w:val="20"/>
          <w:szCs w:val="20"/>
          <w:color w:val="auto"/>
        </w:rPr>
      </w:pPr>
    </w:p>
    <w:p>
      <w:pPr>
        <w:jc w:val="both"/>
        <w:ind w:left="1940" w:right="3319"/>
        <w:spacing w:after="0" w:line="239" w:lineRule="auto"/>
        <w:rPr>
          <w:sz w:val="20"/>
          <w:szCs w:val="20"/>
          <w:color w:val="auto"/>
        </w:rPr>
      </w:pPr>
      <w:r>
        <w:rPr>
          <w:rFonts w:ascii="Arial" w:cs="Arial" w:eastAsia="Arial" w:hAnsi="Arial"/>
          <w:sz w:val="12"/>
          <w:szCs w:val="12"/>
          <w:color w:val="auto"/>
        </w:rPr>
        <w:t>The total long-term incentive opportunity for each executive officer is determined on an annual and individual basis, considering the executive’s position and performance and the long-term compensation provided to similar roles in the peer group. Each year, the Compensation Committee also reviews the allocation of the long-term incentive opportunity between performance share units and restricted stock unit awards. The Compensation Committee approved an allocation between performance share units and restricted stock unit awards of 75% and 25% respectively,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-609600</wp:posOffset>
            </wp:positionV>
            <wp:extent cx="866140" cy="9645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66140" cy="96456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Performance Share Unit (PSU) Awards (75% of Award Value)</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Our 2022 PSU awards were made in three separate grants, with the payout opportunity for each grant based on a different performance objective. The first is based on total TSR over the three-year performance cycle as compared to that of the other 18 companies included in our peer group. Thirty-five percent of long-term incentive compensation is based on the TSR metric. Thirty-five percent is based on achieving a specified non-GAAP Adjusted EPS goal over the three-year performance cycle. The remaining 5% is based on achieving a specified carbon emissions reduction goal over the three-year performance cycle. Based on our shareholder engagement and our internal strategy, these three metrics were identified as important indicators of our Company’s performance.</w:t>
      </w:r>
    </w:p>
    <w:p>
      <w:pPr>
        <w:spacing w:after="0" w:line="139"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total shareholder return performance objective and 50% of target for the applicable EPS performance and carbon emissions reduction objectives, and the maximum payout opportunity is 200% of target for all three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99060</wp:posOffset>
            </wp:positionV>
            <wp:extent cx="3498850" cy="20554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98850" cy="205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80" w:right="799" w:firstLine="2"/>
        <w:spacing w:after="0" w:line="250" w:lineRule="auto"/>
        <w:tabs>
          <w:tab w:leader="none" w:pos="2161" w:val="left"/>
        </w:tabs>
        <w:numPr>
          <w:ilvl w:val="0"/>
          <w:numId w:val="70"/>
        </w:numPr>
        <w:rPr>
          <w:rFonts w:ascii="Arial" w:cs="Arial" w:eastAsia="Arial" w:hAnsi="Arial"/>
          <w:sz w:val="10"/>
          <w:szCs w:val="10"/>
          <w:i w:val="1"/>
          <w:iCs w:val="1"/>
          <w:color w:val="auto"/>
        </w:rPr>
      </w:pPr>
      <w:r>
        <w:rPr>
          <w:rFonts w:ascii="Arial" w:cs="Arial" w:eastAsia="Arial" w:hAnsi="Arial"/>
          <w:sz w:val="10"/>
          <w:szCs w:val="10"/>
          <w:i w:val="1"/>
          <w:iCs w:val="1"/>
          <w:color w:val="auto"/>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94" w:lineRule="exact"/>
        <w:rPr>
          <w:sz w:val="20"/>
          <w:szCs w:val="20"/>
          <w:color w:val="auto"/>
        </w:rPr>
      </w:pPr>
    </w:p>
    <w:p>
      <w:pPr>
        <w:ind w:left="2080"/>
        <w:spacing w:after="0"/>
        <w:rPr>
          <w:sz w:val="20"/>
          <w:szCs w:val="20"/>
          <w:color w:val="auto"/>
        </w:rPr>
      </w:pPr>
      <w:r>
        <w:rPr>
          <w:rFonts w:ascii="Arial" w:cs="Arial" w:eastAsia="Arial" w:hAnsi="Arial"/>
          <w:sz w:val="10"/>
          <w:szCs w:val="10"/>
          <w:i w:val="1"/>
          <w:iCs w:val="1"/>
          <w:color w:val="auto"/>
        </w:rPr>
        <w:t>**Linear interpolation between award levels</w:t>
      </w:r>
    </w:p>
    <w:p>
      <w:pPr>
        <w:spacing w:after="0" w:line="4" w:lineRule="exact"/>
        <w:rPr>
          <w:sz w:val="20"/>
          <w:szCs w:val="20"/>
          <w:color w:val="auto"/>
        </w:rPr>
      </w:pPr>
    </w:p>
    <w:p>
      <w:pPr>
        <w:ind w:left="2080" w:right="799"/>
        <w:spacing w:after="0" w:line="234" w:lineRule="auto"/>
        <w:rPr>
          <w:sz w:val="20"/>
          <w:szCs w:val="20"/>
          <w:color w:val="auto"/>
        </w:rPr>
      </w:pPr>
      <w:r>
        <w:rPr>
          <w:rFonts w:ascii="Arial" w:cs="Arial" w:eastAsia="Arial" w:hAnsi="Arial"/>
          <w:sz w:val="10"/>
          <w:szCs w:val="10"/>
          <w:i w:val="1"/>
          <w:iCs w:val="1"/>
          <w:color w:val="auto"/>
        </w:rPr>
        <w:t>***Results will represent an average of 20 TSR calculation periods, beginning the first 20 of the last 30 trading days preceding the performance period and ending the first 20 of the last 30 trading days of the performance period</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Relative TSR (35% of Award Value)</w:t>
      </w:r>
    </w:p>
    <w:p>
      <w:pPr>
        <w:spacing w:after="0" w:line="83" w:lineRule="exact"/>
        <w:rPr>
          <w:sz w:val="20"/>
          <w:szCs w:val="20"/>
          <w:color w:val="auto"/>
        </w:rPr>
      </w:pPr>
    </w:p>
    <w:p>
      <w:pPr>
        <w:jc w:val="both"/>
        <w:ind w:left="1940" w:right="799"/>
        <w:spacing w:after="0" w:line="181" w:lineRule="auto"/>
        <w:rPr>
          <w:sz w:val="20"/>
          <w:szCs w:val="20"/>
          <w:color w:val="auto"/>
        </w:rPr>
      </w:pPr>
      <w:r>
        <w:rPr>
          <w:rFonts w:ascii="Arial" w:cs="Arial" w:eastAsia="Arial" w:hAnsi="Arial"/>
          <w:sz w:val="12"/>
          <w:szCs w:val="12"/>
          <w:color w:val="auto"/>
        </w:rPr>
        <w:t>Maximum achievement (200% of target) requires CenterPoint Energy to rank at the 85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or higher in our TSR Peer Group, and no shares would vest if the Company ranks below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in that comparison (threshold level). For this performance objective, the number of PSUs granted will vest using linear interpolation between the threshold and maximum achievement levels.</w:t>
      </w:r>
    </w:p>
    <w:p>
      <w:pPr>
        <w:spacing w:after="0" w:line="138"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18 companies utilized for measuring TSR are the same companies represented in our Peer Group disclosure below. We believe the peer group is a reasonable proxy for the universe of companies engaged in businesses similar to ours and is appropriate for measuring relative TSR.</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Cumulative Adjusted EPS (35% of Award Value)</w:t>
      </w:r>
    </w:p>
    <w:p>
      <w:pPr>
        <w:spacing w:after="0" w:line="83"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Compensation Committee established cumulative Adjusted EPS target as a performance objective for long-term incentive awards made in 2022. Adjusted EPS is a non-GAAP metric which includes consolidated net income. Both metrics are also adjusted for certain factors to reflect what we consider to be our fundamental business performance. For a detailed description of the calculation of Adjusted EPS, see “Executive Compensation Tables—Non-Equity Incentive Plan Awards.”</w:t>
      </w:r>
    </w:p>
    <w:p>
      <w:pPr>
        <w:spacing w:after="0" w:line="198"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Carbon Emissions Reduction (5% of Award Value)</w:t>
      </w:r>
    </w:p>
    <w:p>
      <w:pPr>
        <w:spacing w:after="0" w:line="83"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Compensation Committee established a carbon emissions reduction target as the third performance objective for the long-term incentive awards made in 2022. The carbon emissions reduction objective consists of a 3-year cumulative carbon emissions reduction goal under Scope 1 and 2 (4% award value) and a 3-year cumulative carbon emissions reduction goal under Scope 3 (1% award value). Cumulative carbon emissions reduction is calculated from 2021 levels.</w:t>
      </w:r>
    </w:p>
    <w:p>
      <w:pPr>
        <w:spacing w:after="0" w:line="137"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For 3-year cumulative carbon emissions reduction under our Scope 1 and 2 objective, maximum achievement (200% of target) requires CenterPoint Energy to achieve at least a 65% reduction in Scope 1 and 2 combined emissions compared to 2021 levels, and no shares would vest if the Company achieves combined emission reduction in Scope 1 and 2 of less than 10% compared to 2021 levels.</w:t>
      </w:r>
    </w:p>
    <w:p>
      <w:pPr>
        <w:spacing w:after="0" w:line="136"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For 3-year cumulative carbon emissions reduction under our Scope 3 objective, maximum achievement (200% of target) requires CenterPoint Energy to achieve at least a 6% reduction in Scope 3 emissions compared to 2021 levels, and no shares would vest if the Company achieves emission reduction in Scope 3 of less than 3.5% compared to 2021 levels.</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information regarding how we define Scope 1, 2 and 3 emissions, see “Equity Incentive Plan Awards—Additional Information” below.</w:t>
      </w:r>
    </w:p>
    <w:p>
      <w:pPr>
        <w:spacing w:after="0" w:line="20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Restricted Stock Unit Awards (25% of Award Value)</w:t>
      </w:r>
    </w:p>
    <w:p>
      <w:pPr>
        <w:spacing w:after="0" w:line="85"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The restricted stock units (RSUs or stock awards) are intended to retain executive officers and reward them for absolute long-term stock appreciation while providing some value to the recipient even if the stock price declines. In this way, the RSUs help balance against the variable, at-risk nature of the performance share unit awards and promote retention. The RSUs (other than the retention awards granted to Mr. Lesar and any sign-on awards) are subject to CenterPoint Energy achieving positive operating income in the last full calendar year of the vesting period.</w:t>
      </w:r>
    </w:p>
    <w:p>
      <w:pPr>
        <w:spacing w:after="0" w:line="133" w:lineRule="exact"/>
        <w:rPr>
          <w:sz w:val="20"/>
          <w:szCs w:val="20"/>
          <w:color w:val="auto"/>
        </w:rPr>
      </w:pPr>
    </w:p>
    <w:p>
      <w:pPr>
        <w:ind w:left="2220" w:hanging="230"/>
        <w:spacing w:after="0"/>
        <w:tabs>
          <w:tab w:leader="none" w:pos="2220" w:val="left"/>
        </w:tabs>
        <w:numPr>
          <w:ilvl w:val="0"/>
          <w:numId w:val="7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2022 Long-Term Incentive Awards for Named Executive Officers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On February 15, 2022, the Compensation Committee authorized awards as shown in the table below. Vesting and payout of the performance unit shares requires continuous service through the performance period and will be determined based on the level of achievement of each performance objective over the three-year cycle of 2022 through 2024. Vesting of stock awards requires continuous service through the vesting date and achievement of positive operating income in the last full calendar year of the vesting period. For additional detail regarding the grants, see “Executive Compensation Tables—Equity Incentive Plan Awards—Long-term Incentive Plan Awards Granted in 2022.”</w:t>
      </w:r>
    </w:p>
    <w:p>
      <w:pPr>
        <w:spacing w:after="0" w:line="158" w:lineRule="exact"/>
        <w:rPr>
          <w:sz w:val="20"/>
          <w:szCs w:val="20"/>
          <w:color w:val="auto"/>
        </w:rPr>
      </w:pPr>
    </w:p>
    <w:tbl>
      <w:tblPr>
        <w:tblLayout w:type="fixed"/>
        <w:tblInd w:w="1940" w:type="dxa"/>
        <w:tblCellMar>
          <w:top w:w="0" w:type="dxa"/>
          <w:left w:w="0" w:type="dxa"/>
          <w:bottom w:w="0" w:type="dxa"/>
          <w:right w:w="0" w:type="dxa"/>
        </w:tblCellMar>
      </w:tblPr>
      <w:tr>
        <w:trPr>
          <w:trHeight w:val="182"/>
        </w:trPr>
        <w:tc>
          <w:tcPr>
            <w:tcW w:w="3220" w:type="dxa"/>
            <w:vAlign w:val="bottom"/>
            <w:shd w:val="clear" w:color="auto" w:fill="009AD9"/>
          </w:tcPr>
          <w:p>
            <w:pPr>
              <w:ind w:left="40"/>
              <w:spacing w:after="0"/>
              <w:rPr>
                <w:sz w:val="20"/>
                <w:szCs w:val="20"/>
                <w:color w:val="auto"/>
              </w:rPr>
            </w:pPr>
            <w:r>
              <w:rPr>
                <w:rFonts w:ascii="Arial" w:cs="Arial" w:eastAsia="Arial" w:hAnsi="Arial"/>
                <w:sz w:val="10"/>
                <w:szCs w:val="10"/>
                <w:b w:val="1"/>
                <w:bCs w:val="1"/>
                <w:color w:val="FFFFFF"/>
              </w:rPr>
              <w:t>Description</w:t>
            </w:r>
          </w:p>
        </w:tc>
        <w:tc>
          <w:tcPr>
            <w:tcW w:w="1840" w:type="dxa"/>
            <w:vAlign w:val="bottom"/>
            <w:shd w:val="clear" w:color="auto" w:fill="009AD9"/>
          </w:tcPr>
          <w:p>
            <w:pPr>
              <w:jc w:val="center"/>
              <w:ind w:left="1192"/>
              <w:spacing w:after="0"/>
              <w:rPr>
                <w:sz w:val="20"/>
                <w:szCs w:val="20"/>
                <w:color w:val="auto"/>
              </w:rPr>
            </w:pPr>
            <w:r>
              <w:rPr>
                <w:rFonts w:ascii="Arial" w:cs="Arial" w:eastAsia="Arial" w:hAnsi="Arial"/>
                <w:sz w:val="10"/>
                <w:szCs w:val="10"/>
                <w:b w:val="1"/>
                <w:bCs w:val="1"/>
                <w:color w:val="FFFFFF"/>
                <w:w w:val="94"/>
              </w:rPr>
              <w:t>Lesar</w:t>
            </w:r>
            <w:r>
              <w:rPr>
                <w:rFonts w:ascii="Arial" w:cs="Arial" w:eastAsia="Arial" w:hAnsi="Arial"/>
                <w:sz w:val="14"/>
                <w:szCs w:val="14"/>
                <w:b w:val="1"/>
                <w:bCs w:val="1"/>
                <w:color w:val="FFFFFF"/>
                <w:w w:val="94"/>
                <w:vertAlign w:val="superscript"/>
              </w:rPr>
              <w:t>(1)</w:t>
            </w:r>
          </w:p>
        </w:tc>
        <w:tc>
          <w:tcPr>
            <w:tcW w:w="100" w:type="dxa"/>
            <w:vAlign w:val="bottom"/>
            <w:shd w:val="clear" w:color="auto" w:fill="009AD9"/>
          </w:tcPr>
          <w:p>
            <w:pPr>
              <w:spacing w:after="0"/>
              <w:rPr>
                <w:sz w:val="15"/>
                <w:szCs w:val="15"/>
                <w:color w:val="auto"/>
              </w:rPr>
            </w:pPr>
          </w:p>
        </w:tc>
        <w:tc>
          <w:tcPr>
            <w:tcW w:w="480" w:type="dxa"/>
            <w:vAlign w:val="bottom"/>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Wells</w:t>
            </w:r>
          </w:p>
        </w:tc>
        <w:tc>
          <w:tcPr>
            <w:tcW w:w="120" w:type="dxa"/>
            <w:vAlign w:val="bottom"/>
            <w:shd w:val="clear" w:color="auto" w:fill="009AD9"/>
          </w:tcPr>
          <w:p>
            <w:pPr>
              <w:spacing w:after="0"/>
              <w:rPr>
                <w:sz w:val="15"/>
                <w:szCs w:val="15"/>
                <w:color w:val="auto"/>
              </w:rPr>
            </w:pPr>
          </w:p>
        </w:tc>
        <w:tc>
          <w:tcPr>
            <w:tcW w:w="480" w:type="dxa"/>
            <w:vAlign w:val="bottom"/>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Doyle</w:t>
            </w:r>
          </w:p>
        </w:tc>
        <w:tc>
          <w:tcPr>
            <w:tcW w:w="100" w:type="dxa"/>
            <w:vAlign w:val="bottom"/>
            <w:shd w:val="clear" w:color="auto" w:fill="009AD9"/>
          </w:tcPr>
          <w:p>
            <w:pPr>
              <w:spacing w:after="0"/>
              <w:rPr>
                <w:sz w:val="15"/>
                <w:szCs w:val="15"/>
                <w:color w:val="auto"/>
              </w:rPr>
            </w:pPr>
          </w:p>
        </w:tc>
        <w:tc>
          <w:tcPr>
            <w:tcW w:w="460" w:type="dxa"/>
            <w:vAlign w:val="bottom"/>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w w:val="92"/>
              </w:rPr>
              <w:t>Karuturi</w:t>
            </w:r>
          </w:p>
        </w:tc>
        <w:tc>
          <w:tcPr>
            <w:tcW w:w="100" w:type="dxa"/>
            <w:vAlign w:val="bottom"/>
            <w:shd w:val="clear" w:color="auto" w:fill="009AD9"/>
          </w:tcPr>
          <w:p>
            <w:pPr>
              <w:spacing w:after="0"/>
              <w:rPr>
                <w:sz w:val="15"/>
                <w:szCs w:val="15"/>
                <w:color w:val="auto"/>
              </w:rPr>
            </w:pPr>
          </w:p>
        </w:tc>
        <w:tc>
          <w:tcPr>
            <w:tcW w:w="520" w:type="dxa"/>
            <w:vAlign w:val="bottom"/>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Knight</w:t>
            </w:r>
          </w:p>
        </w:tc>
      </w:tr>
      <w:tr>
        <w:trPr>
          <w:trHeight w:val="119"/>
        </w:trPr>
        <w:tc>
          <w:tcPr>
            <w:tcW w:w="3220" w:type="dxa"/>
            <w:vAlign w:val="bottom"/>
          </w:tcPr>
          <w:p>
            <w:pPr>
              <w:ind w:left="40"/>
              <w:spacing w:after="0"/>
              <w:rPr>
                <w:sz w:val="20"/>
                <w:szCs w:val="20"/>
                <w:color w:val="auto"/>
              </w:rPr>
            </w:pPr>
            <w:r>
              <w:rPr>
                <w:rFonts w:ascii="Arial" w:cs="Arial" w:eastAsia="Arial" w:hAnsi="Arial"/>
                <w:sz w:val="10"/>
                <w:szCs w:val="10"/>
                <w:color w:val="auto"/>
              </w:rPr>
              <w:t>Base Salary</w:t>
            </w:r>
          </w:p>
        </w:tc>
        <w:tc>
          <w:tcPr>
            <w:tcW w:w="1840" w:type="dxa"/>
            <w:vAlign w:val="bottom"/>
          </w:tcPr>
          <w:p>
            <w:pPr>
              <w:jc w:val="center"/>
              <w:ind w:left="1192"/>
              <w:spacing w:after="0"/>
              <w:rPr>
                <w:sz w:val="20"/>
                <w:szCs w:val="20"/>
                <w:color w:val="auto"/>
              </w:rPr>
            </w:pPr>
            <w:r>
              <w:rPr>
                <w:rFonts w:ascii="Arial" w:cs="Arial" w:eastAsia="Arial" w:hAnsi="Arial"/>
                <w:sz w:val="10"/>
                <w:szCs w:val="10"/>
                <w:color w:val="auto"/>
                <w:w w:val="95"/>
              </w:rPr>
              <w:t>$1,475,000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695,000</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600,000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580,000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530,000</w:t>
            </w:r>
          </w:p>
        </w:tc>
      </w:tr>
      <w:tr>
        <w:trPr>
          <w:trHeight w:val="27"/>
        </w:trPr>
        <w:tc>
          <w:tcPr>
            <w:tcW w:w="3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25"/>
        </w:trPr>
        <w:tc>
          <w:tcPr>
            <w:tcW w:w="32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Long-term incentive target</w:t>
            </w:r>
          </w:p>
        </w:tc>
        <w:tc>
          <w:tcPr>
            <w:tcW w:w="184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575%</w:t>
            </w:r>
          </w:p>
        </w:tc>
        <w:tc>
          <w:tcPr>
            <w:tcW w:w="100" w:type="dxa"/>
            <w:vAlign w:val="bottom"/>
            <w:tcBorders>
              <w:bottom w:val="single" w:sz="8" w:color="D8EFF9"/>
            </w:tcBorders>
            <w:shd w:val="clear" w:color="auto" w:fill="D8EFF9"/>
          </w:tcPr>
          <w:p>
            <w:pPr>
              <w:spacing w:after="0"/>
              <w:rPr>
                <w:sz w:val="10"/>
                <w:szCs w:val="10"/>
                <w:color w:val="auto"/>
              </w:rPr>
            </w:pPr>
          </w:p>
        </w:tc>
        <w:tc>
          <w:tcPr>
            <w:tcW w:w="48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250%</w:t>
            </w:r>
          </w:p>
        </w:tc>
        <w:tc>
          <w:tcPr>
            <w:tcW w:w="120" w:type="dxa"/>
            <w:vAlign w:val="bottom"/>
            <w:tcBorders>
              <w:bottom w:val="single" w:sz="8" w:color="D8EFF9"/>
            </w:tcBorders>
            <w:shd w:val="clear" w:color="auto" w:fill="D8EFF9"/>
          </w:tcPr>
          <w:p>
            <w:pPr>
              <w:spacing w:after="0"/>
              <w:rPr>
                <w:sz w:val="10"/>
                <w:szCs w:val="10"/>
                <w:color w:val="auto"/>
              </w:rPr>
            </w:pPr>
          </w:p>
        </w:tc>
        <w:tc>
          <w:tcPr>
            <w:tcW w:w="48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D8EFF9"/>
            </w:tcBorders>
            <w:shd w:val="clear" w:color="auto" w:fill="D8EFF9"/>
          </w:tcPr>
          <w:p>
            <w:pPr>
              <w:spacing w:after="0"/>
              <w:rPr>
                <w:sz w:val="10"/>
                <w:szCs w:val="10"/>
                <w:color w:val="auto"/>
              </w:rPr>
            </w:pPr>
          </w:p>
        </w:tc>
        <w:tc>
          <w:tcPr>
            <w:tcW w:w="46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190%</w:t>
            </w:r>
          </w:p>
        </w:tc>
        <w:tc>
          <w:tcPr>
            <w:tcW w:w="100" w:type="dxa"/>
            <w:vAlign w:val="bottom"/>
            <w:tcBorders>
              <w:bottom w:val="single" w:sz="8" w:color="D8EFF9"/>
            </w:tcBorders>
            <w:shd w:val="clear" w:color="auto" w:fill="D8EFF9"/>
          </w:tcPr>
          <w:p>
            <w:pPr>
              <w:spacing w:after="0"/>
              <w:rPr>
                <w:sz w:val="10"/>
                <w:szCs w:val="10"/>
                <w:color w:val="auto"/>
              </w:rPr>
            </w:pPr>
          </w:p>
        </w:tc>
        <w:tc>
          <w:tcPr>
            <w:tcW w:w="520" w:type="dxa"/>
            <w:vAlign w:val="bottom"/>
            <w:tcBorders>
              <w:bottom w:val="single" w:sz="8" w:color="D8EFF9"/>
            </w:tcBorders>
            <w:shd w:val="clear" w:color="auto" w:fill="D8EFF9"/>
          </w:tcPr>
          <w:p>
            <w:pPr>
              <w:jc w:val="right"/>
              <w:ind w:right="132"/>
              <w:spacing w:after="0"/>
              <w:rPr>
                <w:sz w:val="20"/>
                <w:szCs w:val="20"/>
                <w:color w:val="auto"/>
              </w:rPr>
            </w:pPr>
            <w:r>
              <w:rPr>
                <w:rFonts w:ascii="Arial" w:cs="Arial" w:eastAsia="Arial" w:hAnsi="Arial"/>
                <w:sz w:val="10"/>
                <w:szCs w:val="10"/>
                <w:color w:val="auto"/>
              </w:rPr>
              <w:t>190%</w:t>
            </w:r>
          </w:p>
        </w:tc>
      </w:tr>
      <w:tr>
        <w:trPr>
          <w:trHeight w:val="119"/>
        </w:trPr>
        <w:tc>
          <w:tcPr>
            <w:tcW w:w="3220" w:type="dxa"/>
            <w:vAlign w:val="bottom"/>
          </w:tcPr>
          <w:p>
            <w:pPr>
              <w:ind w:left="40"/>
              <w:spacing w:after="0"/>
              <w:rPr>
                <w:sz w:val="20"/>
                <w:szCs w:val="20"/>
                <w:color w:val="auto"/>
              </w:rPr>
            </w:pPr>
            <w:r>
              <w:rPr>
                <w:rFonts w:ascii="Arial" w:cs="Arial" w:eastAsia="Arial" w:hAnsi="Arial"/>
                <w:sz w:val="10"/>
                <w:szCs w:val="10"/>
                <w:color w:val="auto"/>
              </w:rPr>
              <w:t>Long-term incentive compensation at target</w:t>
            </w:r>
          </w:p>
        </w:tc>
        <w:tc>
          <w:tcPr>
            <w:tcW w:w="1840" w:type="dxa"/>
            <w:vAlign w:val="bottom"/>
          </w:tcPr>
          <w:p>
            <w:pPr>
              <w:jc w:val="center"/>
              <w:ind w:left="1192"/>
              <w:spacing w:after="0"/>
              <w:rPr>
                <w:sz w:val="20"/>
                <w:szCs w:val="20"/>
                <w:color w:val="auto"/>
              </w:rPr>
            </w:pPr>
            <w:r>
              <w:rPr>
                <w:rFonts w:ascii="Arial" w:cs="Arial" w:eastAsia="Arial" w:hAnsi="Arial"/>
                <w:sz w:val="10"/>
                <w:szCs w:val="10"/>
                <w:color w:val="auto"/>
                <w:w w:val="95"/>
              </w:rPr>
              <w:t>$8,481,250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w w:val="94"/>
              </w:rPr>
              <w:t>1,737,500</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w w:val="89"/>
              </w:rPr>
              <w:t>1,500,000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4"/>
              </w:rPr>
              <w:t>1,102,000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2"/>
              <w:spacing w:after="0"/>
              <w:rPr>
                <w:sz w:val="20"/>
                <w:szCs w:val="20"/>
                <w:color w:val="auto"/>
              </w:rPr>
            </w:pPr>
            <w:r>
              <w:rPr>
                <w:rFonts w:ascii="Arial" w:cs="Arial" w:eastAsia="Arial" w:hAnsi="Arial"/>
                <w:sz w:val="10"/>
                <w:szCs w:val="10"/>
                <w:color w:val="auto"/>
                <w:w w:val="94"/>
              </w:rPr>
              <w:t>1,007,000</w:t>
            </w:r>
          </w:p>
        </w:tc>
      </w:tr>
      <w:tr>
        <w:trPr>
          <w:trHeight w:val="27"/>
        </w:trPr>
        <w:tc>
          <w:tcPr>
            <w:tcW w:w="3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25"/>
        </w:trPr>
        <w:tc>
          <w:tcPr>
            <w:tcW w:w="32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Performance share unit portion (75%)</w:t>
            </w:r>
          </w:p>
        </w:tc>
        <w:tc>
          <w:tcPr>
            <w:tcW w:w="1840" w:type="dxa"/>
            <w:vAlign w:val="bottom"/>
            <w:tcBorders>
              <w:bottom w:val="single" w:sz="8" w:color="D8EFF9"/>
            </w:tcBorders>
            <w:shd w:val="clear" w:color="auto" w:fill="D8EFF9"/>
          </w:tcPr>
          <w:p>
            <w:pPr>
              <w:jc w:val="center"/>
              <w:ind w:left="1192"/>
              <w:spacing w:after="0"/>
              <w:rPr>
                <w:sz w:val="20"/>
                <w:szCs w:val="20"/>
                <w:color w:val="auto"/>
              </w:rPr>
            </w:pPr>
            <w:r>
              <w:rPr>
                <w:rFonts w:ascii="Arial" w:cs="Arial" w:eastAsia="Arial" w:hAnsi="Arial"/>
                <w:sz w:val="10"/>
                <w:szCs w:val="10"/>
                <w:color w:val="auto"/>
                <w:w w:val="95"/>
              </w:rPr>
              <w:t>$6,360,938</w:t>
            </w:r>
          </w:p>
        </w:tc>
        <w:tc>
          <w:tcPr>
            <w:tcW w:w="1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1,303,125</w:t>
            </w:r>
          </w:p>
        </w:tc>
        <w:tc>
          <w:tcPr>
            <w:tcW w:w="1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w w:val="89"/>
              </w:rPr>
              <w:t>1,125,000</w:t>
            </w:r>
          </w:p>
        </w:tc>
        <w:tc>
          <w:tcPr>
            <w:tcW w:w="1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826,500</w:t>
            </w:r>
          </w:p>
        </w:tc>
        <w:tc>
          <w:tcPr>
            <w:tcW w:w="1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32"/>
              <w:spacing w:after="0"/>
              <w:rPr>
                <w:sz w:val="20"/>
                <w:szCs w:val="20"/>
                <w:color w:val="auto"/>
              </w:rPr>
            </w:pPr>
            <w:r>
              <w:rPr>
                <w:rFonts w:ascii="Arial" w:cs="Arial" w:eastAsia="Arial" w:hAnsi="Arial"/>
                <w:sz w:val="10"/>
                <w:szCs w:val="10"/>
                <w:color w:val="auto"/>
              </w:rPr>
              <w:t>755,250</w:t>
            </w:r>
          </w:p>
        </w:tc>
      </w:tr>
      <w:tr>
        <w:trPr>
          <w:trHeight w:val="119"/>
        </w:trPr>
        <w:tc>
          <w:tcPr>
            <w:tcW w:w="3220" w:type="dxa"/>
            <w:vAlign w:val="bottom"/>
          </w:tcPr>
          <w:p>
            <w:pPr>
              <w:ind w:left="40"/>
              <w:spacing w:after="0"/>
              <w:rPr>
                <w:sz w:val="20"/>
                <w:szCs w:val="20"/>
                <w:color w:val="auto"/>
              </w:rPr>
            </w:pPr>
            <w:r>
              <w:rPr>
                <w:rFonts w:ascii="Arial" w:cs="Arial" w:eastAsia="Arial" w:hAnsi="Arial"/>
                <w:sz w:val="10"/>
                <w:szCs w:val="10"/>
                <w:color w:val="auto"/>
              </w:rPr>
              <w:t>Stock award portion (25%)</w:t>
            </w:r>
          </w:p>
        </w:tc>
        <w:tc>
          <w:tcPr>
            <w:tcW w:w="1840" w:type="dxa"/>
            <w:vAlign w:val="bottom"/>
          </w:tcPr>
          <w:p>
            <w:pPr>
              <w:jc w:val="center"/>
              <w:ind w:left="1192"/>
              <w:spacing w:after="0"/>
              <w:rPr>
                <w:sz w:val="20"/>
                <w:szCs w:val="20"/>
                <w:color w:val="auto"/>
              </w:rPr>
            </w:pPr>
            <w:r>
              <w:rPr>
                <w:rFonts w:ascii="Arial" w:cs="Arial" w:eastAsia="Arial" w:hAnsi="Arial"/>
                <w:sz w:val="10"/>
                <w:szCs w:val="10"/>
                <w:color w:val="auto"/>
                <w:w w:val="95"/>
              </w:rPr>
              <w:t>$2,120,313</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434,375</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375,000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275,500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251,750</w:t>
            </w:r>
          </w:p>
        </w:tc>
      </w:tr>
    </w:tbl>
    <w:p>
      <w:pPr>
        <w:spacing w:after="0" w:line="112" w:lineRule="exact"/>
        <w:rPr>
          <w:sz w:val="20"/>
          <w:szCs w:val="20"/>
          <w:color w:val="auto"/>
        </w:rPr>
      </w:pPr>
    </w:p>
    <w:p>
      <w:pPr>
        <w:jc w:val="both"/>
        <w:ind w:left="2160" w:right="799" w:hanging="226"/>
        <w:spacing w:after="0" w:line="231" w:lineRule="auto"/>
        <w:tabs>
          <w:tab w:leader="none" w:pos="2160" w:val="left"/>
        </w:tabs>
        <w:numPr>
          <w:ilvl w:val="0"/>
          <w:numId w:val="72"/>
        </w:numPr>
        <w:rPr>
          <w:rFonts w:ascii="Arial" w:cs="Arial" w:eastAsia="Arial" w:hAnsi="Arial"/>
          <w:sz w:val="10"/>
          <w:szCs w:val="10"/>
          <w:color w:val="auto"/>
        </w:rPr>
      </w:pPr>
      <w:r>
        <w:rPr>
          <w:rFonts w:ascii="Arial" w:cs="Arial" w:eastAsia="Arial" w:hAnsi="Arial"/>
          <w:sz w:val="10"/>
          <w:szCs w:val="10"/>
          <w:color w:val="auto"/>
        </w:rPr>
        <w:t>Amounts do not include the retention awards for Mr. Lesar under his Retention Incentive Agreement, pursuant to which Mr. Lesar received RSUs for a total of 1 million shares of common stock that were granted through multiple annual awards in 2021, 2022, and 2023. In February 2022, 400,000 restricted stock units were awarded to Mr. Lesar under the Retention Incentive Agreement that will vest in December 2023. For more information regarding Mr. Lesar’s retention awards, please see “</w:t>
      </w:r>
      <w:r>
        <w:rPr>
          <w:rFonts w:ascii="Arial" w:cs="Arial" w:eastAsia="Arial" w:hAnsi="Arial"/>
          <w:sz w:val="10"/>
          <w:szCs w:val="10"/>
          <w:i w:val="1"/>
          <w:iCs w:val="1"/>
          <w:color w:val="auto"/>
        </w:rPr>
        <w:t>President</w:t>
      </w:r>
      <w:r>
        <w:rPr>
          <w:rFonts w:ascii="Arial" w:cs="Arial" w:eastAsia="Arial" w:hAnsi="Arial"/>
          <w:sz w:val="10"/>
          <w:szCs w:val="10"/>
          <w:color w:val="auto"/>
        </w:rPr>
        <w:t xml:space="preserve"> </w:t>
      </w:r>
      <w:r>
        <w:rPr>
          <w:rFonts w:ascii="Arial" w:cs="Arial" w:eastAsia="Arial" w:hAnsi="Arial"/>
          <w:sz w:val="10"/>
          <w:szCs w:val="10"/>
          <w:i w:val="1"/>
          <w:iCs w:val="1"/>
          <w:color w:val="auto"/>
        </w:rPr>
        <w:t>and Chief Executive Officer, David Lesar</w:t>
      </w:r>
      <w:r>
        <w:rPr>
          <w:rFonts w:ascii="Arial" w:cs="Arial" w:eastAsia="Arial" w:hAnsi="Arial"/>
          <w:sz w:val="10"/>
          <w:szCs w:val="10"/>
          <w:color w:val="auto"/>
        </w:rPr>
        <w:t>—</w:t>
      </w:r>
      <w:r>
        <w:rPr>
          <w:rFonts w:ascii="Arial" w:cs="Arial" w:eastAsia="Arial" w:hAnsi="Arial"/>
          <w:sz w:val="10"/>
          <w:szCs w:val="10"/>
          <w:i w:val="1"/>
          <w:iCs w:val="1"/>
          <w:color w:val="auto"/>
        </w:rPr>
        <w:t>Retention Awards</w:t>
      </w:r>
      <w:r>
        <w:rPr>
          <w:rFonts w:ascii="Arial" w:cs="Arial" w:eastAsia="Arial" w:hAnsi="Arial"/>
          <w:sz w:val="10"/>
          <w:szCs w:val="10"/>
          <w:color w:val="auto"/>
        </w:rPr>
        <w:t>” in the Company’s 2022 proxy statement.</w:t>
      </w:r>
    </w:p>
    <w:p>
      <w:pPr>
        <w:spacing w:after="0" w:line="13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Both the performance share units and the stock awards accrue dividend equivalents over the performance cycle or vesting period, respectively, until they are delivered, at the same level as dividends earned by shareholders on shares of our common stock outstanding. Dividend equivalents on the shares which are vested are paid in cash when the shares are delivered. Dividend equivalents are not paid with respect to unearned and unvested shares.</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2020 – 2022 PSU Award Vesting</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calculated payout for the 2020 – 2022 PSU awards was 200% of target based on the Company’s three-year relative TSR performance and three-year cumulative non-GAAP net income. The Company exceeded the target for both cumulative non-GAAP net income and relative TSR during the performance period.</w:t>
      </w: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3200" w:type="dxa"/>
            <w:vAlign w:val="bottom"/>
            <w:shd w:val="clear" w:color="auto" w:fill="009AD9"/>
          </w:tcPr>
          <w:p>
            <w:pPr>
              <w:jc w:val="center"/>
              <w:spacing w:after="0"/>
              <w:rPr>
                <w:sz w:val="20"/>
                <w:szCs w:val="20"/>
                <w:color w:val="auto"/>
              </w:rPr>
            </w:pPr>
            <w:r>
              <w:rPr>
                <w:rFonts w:ascii="Arial" w:cs="Arial" w:eastAsia="Arial" w:hAnsi="Arial"/>
                <w:sz w:val="11"/>
                <w:szCs w:val="11"/>
                <w:b w:val="1"/>
                <w:bCs w:val="1"/>
                <w:color w:val="FFFFFF"/>
                <w:w w:val="98"/>
              </w:rPr>
              <w:t>2020 – 2022</w:t>
            </w:r>
          </w:p>
        </w:tc>
        <w:tc>
          <w:tcPr>
            <w:tcW w:w="480" w:type="dxa"/>
            <w:vAlign w:val="bottom"/>
            <w:shd w:val="clear" w:color="auto" w:fill="009AD9"/>
          </w:tcPr>
          <w:p>
            <w:pPr>
              <w:spacing w:after="0"/>
              <w:rPr>
                <w:sz w:val="13"/>
                <w:szCs w:val="13"/>
                <w:color w:val="auto"/>
              </w:rPr>
            </w:pPr>
          </w:p>
        </w:tc>
        <w:tc>
          <w:tcPr>
            <w:tcW w:w="1980" w:type="dxa"/>
            <w:vAlign w:val="bottom"/>
            <w:gridSpan w:val="3"/>
            <w:shd w:val="clear" w:color="auto" w:fill="009AD9"/>
          </w:tcPr>
          <w:p>
            <w:pPr>
              <w:jc w:val="center"/>
              <w:ind w:right="465"/>
              <w:spacing w:after="0"/>
              <w:rPr>
                <w:sz w:val="20"/>
                <w:szCs w:val="20"/>
                <w:color w:val="auto"/>
              </w:rPr>
            </w:pPr>
            <w:r>
              <w:rPr>
                <w:rFonts w:ascii="Arial" w:cs="Arial" w:eastAsia="Arial" w:hAnsi="Arial"/>
                <w:sz w:val="11"/>
                <w:szCs w:val="11"/>
                <w:b w:val="1"/>
                <w:bCs w:val="1"/>
                <w:color w:val="FFFFFF"/>
                <w:w w:val="97"/>
              </w:rPr>
              <w:t>AWARD DETERMINATION</w:t>
            </w:r>
          </w:p>
        </w:tc>
        <w:tc>
          <w:tcPr>
            <w:tcW w:w="780" w:type="dxa"/>
            <w:vAlign w:val="bottom"/>
            <w:vMerge w:val="restart"/>
            <w:shd w:val="clear" w:color="auto" w:fill="009AD9"/>
          </w:tcPr>
          <w:p>
            <w:pPr>
              <w:jc w:val="right"/>
              <w:ind w:right="25"/>
              <w:spacing w:after="0"/>
              <w:rPr>
                <w:sz w:val="20"/>
                <w:szCs w:val="20"/>
                <w:color w:val="auto"/>
              </w:rPr>
            </w:pPr>
            <w:r>
              <w:rPr>
                <w:rFonts w:ascii="Arial" w:cs="Arial" w:eastAsia="Arial" w:hAnsi="Arial"/>
                <w:sz w:val="11"/>
                <w:szCs w:val="11"/>
                <w:b w:val="1"/>
                <w:bCs w:val="1"/>
                <w:color w:val="FFFFFF"/>
              </w:rPr>
              <w:t>WEIGHTING</w:t>
            </w:r>
          </w:p>
        </w:tc>
        <w:tc>
          <w:tcPr>
            <w:tcW w:w="980" w:type="dxa"/>
            <w:vAlign w:val="bottom"/>
            <w:gridSpan w:val="2"/>
            <w:vMerge w:val="restart"/>
            <w:shd w:val="clear" w:color="auto" w:fill="009AD9"/>
          </w:tcPr>
          <w:p>
            <w:pPr>
              <w:jc w:val="right"/>
              <w:ind w:right="65"/>
              <w:spacing w:after="0"/>
              <w:rPr>
                <w:sz w:val="20"/>
                <w:szCs w:val="20"/>
                <w:color w:val="auto"/>
              </w:rPr>
            </w:pPr>
            <w:r>
              <w:rPr>
                <w:rFonts w:ascii="Arial" w:cs="Arial" w:eastAsia="Arial" w:hAnsi="Arial"/>
                <w:sz w:val="11"/>
                <w:szCs w:val="11"/>
                <w:b w:val="1"/>
                <w:bCs w:val="1"/>
                <w:color w:val="FFFFFF"/>
              </w:rPr>
              <w:t>ACHIEVEMENT</w:t>
            </w:r>
          </w:p>
        </w:tc>
        <w:tc>
          <w:tcPr>
            <w:tcW w:w="0" w:type="dxa"/>
            <w:vAlign w:val="bottom"/>
          </w:tcPr>
          <w:p>
            <w:pPr>
              <w:spacing w:after="0"/>
              <w:rPr>
                <w:sz w:val="1"/>
                <w:szCs w:val="1"/>
                <w:color w:val="auto"/>
              </w:rPr>
            </w:pPr>
          </w:p>
        </w:tc>
      </w:tr>
      <w:tr>
        <w:trPr>
          <w:trHeight w:val="79"/>
        </w:trPr>
        <w:tc>
          <w:tcPr>
            <w:tcW w:w="3200" w:type="dxa"/>
            <w:vAlign w:val="bottom"/>
            <w:vMerge w:val="restart"/>
            <w:shd w:val="clear" w:color="auto" w:fill="009AD9"/>
          </w:tcPr>
          <w:p>
            <w:pPr>
              <w:jc w:val="center"/>
              <w:spacing w:after="0"/>
              <w:rPr>
                <w:sz w:val="20"/>
                <w:szCs w:val="20"/>
                <w:color w:val="auto"/>
              </w:rPr>
            </w:pPr>
            <w:r>
              <w:rPr>
                <w:rFonts w:ascii="Arial" w:cs="Arial" w:eastAsia="Arial" w:hAnsi="Arial"/>
                <w:sz w:val="11"/>
                <w:szCs w:val="11"/>
                <w:b w:val="1"/>
                <w:bCs w:val="1"/>
                <w:color w:val="FFFFFF"/>
                <w:w w:val="98"/>
              </w:rPr>
              <w:t>PSU AWARD GOALS</w:t>
            </w:r>
          </w:p>
        </w:tc>
        <w:tc>
          <w:tcPr>
            <w:tcW w:w="480" w:type="dxa"/>
            <w:vAlign w:val="bottom"/>
            <w:shd w:val="clear" w:color="auto" w:fill="009AD9"/>
          </w:tcPr>
          <w:p>
            <w:pPr>
              <w:spacing w:after="0"/>
              <w:rPr>
                <w:sz w:val="6"/>
                <w:szCs w:val="6"/>
                <w:color w:val="auto"/>
              </w:rPr>
            </w:pPr>
          </w:p>
        </w:tc>
        <w:tc>
          <w:tcPr>
            <w:tcW w:w="1220" w:type="dxa"/>
            <w:vAlign w:val="bottom"/>
            <w:gridSpan w:val="2"/>
            <w:vMerge w:val="restart"/>
            <w:shd w:val="clear" w:color="auto" w:fill="009AD9"/>
          </w:tcPr>
          <w:p>
            <w:pPr>
              <w:jc w:val="center"/>
              <w:ind w:left="185"/>
              <w:spacing w:after="0"/>
              <w:rPr>
                <w:sz w:val="20"/>
                <w:szCs w:val="20"/>
                <w:color w:val="auto"/>
              </w:rPr>
            </w:pPr>
            <w:r>
              <w:rPr>
                <w:rFonts w:ascii="Arial" w:cs="Arial" w:eastAsia="Arial" w:hAnsi="Arial"/>
                <w:sz w:val="11"/>
                <w:szCs w:val="11"/>
                <w:b w:val="1"/>
                <w:bCs w:val="1"/>
                <w:color w:val="FFFFFF"/>
                <w:w w:val="98"/>
              </w:rPr>
              <w:t>($ in millions)</w:t>
            </w:r>
          </w:p>
        </w:tc>
        <w:tc>
          <w:tcPr>
            <w:tcW w:w="760" w:type="dxa"/>
            <w:vAlign w:val="bottom"/>
            <w:shd w:val="clear" w:color="auto" w:fill="009AD9"/>
          </w:tcPr>
          <w:p>
            <w:pPr>
              <w:spacing w:after="0"/>
              <w:rPr>
                <w:sz w:val="6"/>
                <w:szCs w:val="6"/>
                <w:color w:val="auto"/>
              </w:rPr>
            </w:pPr>
          </w:p>
        </w:tc>
        <w:tc>
          <w:tcPr>
            <w:tcW w:w="780" w:type="dxa"/>
            <w:vAlign w:val="bottom"/>
            <w:vMerge w:val="continue"/>
            <w:shd w:val="clear" w:color="auto" w:fill="009AD9"/>
          </w:tcPr>
          <w:p>
            <w:pPr>
              <w:spacing w:after="0"/>
              <w:rPr>
                <w:sz w:val="6"/>
                <w:szCs w:val="6"/>
                <w:color w:val="auto"/>
              </w:rPr>
            </w:pPr>
          </w:p>
        </w:tc>
        <w:tc>
          <w:tcPr>
            <w:tcW w:w="980" w:type="dxa"/>
            <w:vAlign w:val="bottom"/>
            <w:gridSpan w:val="2"/>
            <w:vMerge w:val="continue"/>
            <w:shd w:val="clear" w:color="auto" w:fill="009AD9"/>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200" w:type="dxa"/>
            <w:vAlign w:val="bottom"/>
            <w:tcBorders>
              <w:bottom w:val="single" w:sz="8" w:color="009AD9"/>
            </w:tcBorders>
            <w:vMerge w:val="continue"/>
            <w:shd w:val="clear" w:color="auto" w:fill="009AD9"/>
          </w:tcPr>
          <w:p>
            <w:pPr>
              <w:spacing w:after="0"/>
              <w:rPr>
                <w:sz w:val="7"/>
                <w:szCs w:val="7"/>
                <w:color w:val="auto"/>
              </w:rPr>
            </w:pPr>
          </w:p>
        </w:tc>
        <w:tc>
          <w:tcPr>
            <w:tcW w:w="480" w:type="dxa"/>
            <w:vAlign w:val="bottom"/>
            <w:tcBorders>
              <w:bottom w:val="single" w:sz="8" w:color="009AD9"/>
            </w:tcBorders>
            <w:shd w:val="clear" w:color="auto" w:fill="009AD9"/>
          </w:tcPr>
          <w:p>
            <w:pPr>
              <w:spacing w:after="0"/>
              <w:rPr>
                <w:sz w:val="7"/>
                <w:szCs w:val="7"/>
                <w:color w:val="auto"/>
              </w:rPr>
            </w:pPr>
          </w:p>
        </w:tc>
        <w:tc>
          <w:tcPr>
            <w:tcW w:w="1220" w:type="dxa"/>
            <w:vAlign w:val="bottom"/>
            <w:tcBorders>
              <w:bottom w:val="single" w:sz="8" w:color="009AD9"/>
            </w:tcBorders>
            <w:gridSpan w:val="2"/>
            <w:vMerge w:val="continue"/>
            <w:shd w:val="clear" w:color="auto" w:fill="009AD9"/>
          </w:tcPr>
          <w:p>
            <w:pPr>
              <w:spacing w:after="0"/>
              <w:rPr>
                <w:sz w:val="7"/>
                <w:szCs w:val="7"/>
                <w:color w:val="auto"/>
              </w:rPr>
            </w:pPr>
          </w:p>
        </w:tc>
        <w:tc>
          <w:tcPr>
            <w:tcW w:w="760" w:type="dxa"/>
            <w:vAlign w:val="bottom"/>
            <w:tcBorders>
              <w:bottom w:val="single" w:sz="8" w:color="009AD9"/>
            </w:tcBorders>
            <w:shd w:val="clear" w:color="auto" w:fill="009AD9"/>
          </w:tcPr>
          <w:p>
            <w:pPr>
              <w:spacing w:after="0"/>
              <w:rPr>
                <w:sz w:val="7"/>
                <w:szCs w:val="7"/>
                <w:color w:val="auto"/>
              </w:rPr>
            </w:pPr>
          </w:p>
        </w:tc>
        <w:tc>
          <w:tcPr>
            <w:tcW w:w="780" w:type="dxa"/>
            <w:vAlign w:val="bottom"/>
            <w:tcBorders>
              <w:bottom w:val="single" w:sz="8" w:color="009AD9"/>
            </w:tcBorders>
            <w:shd w:val="clear" w:color="auto" w:fill="009AD9"/>
          </w:tcPr>
          <w:p>
            <w:pPr>
              <w:spacing w:after="0"/>
              <w:rPr>
                <w:sz w:val="7"/>
                <w:szCs w:val="7"/>
                <w:color w:val="auto"/>
              </w:rPr>
            </w:pPr>
          </w:p>
        </w:tc>
        <w:tc>
          <w:tcPr>
            <w:tcW w:w="540" w:type="dxa"/>
            <w:vAlign w:val="bottom"/>
            <w:tcBorders>
              <w:bottom w:val="single" w:sz="8" w:color="009AD9"/>
            </w:tcBorders>
            <w:shd w:val="clear" w:color="auto" w:fill="009AD9"/>
          </w:tcPr>
          <w:p>
            <w:pPr>
              <w:spacing w:after="0"/>
              <w:rPr>
                <w:sz w:val="7"/>
                <w:szCs w:val="7"/>
                <w:color w:val="auto"/>
              </w:rPr>
            </w:pPr>
          </w:p>
        </w:tc>
        <w:tc>
          <w:tcPr>
            <w:tcW w:w="440" w:type="dxa"/>
            <w:vAlign w:val="bottom"/>
            <w:tcBorders>
              <w:bottom w:val="single" w:sz="8" w:color="009AD9"/>
            </w:tcBorders>
            <w:shd w:val="clear" w:color="auto" w:fill="009AD9"/>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200" w:type="dxa"/>
            <w:vAlign w:val="bottom"/>
          </w:tcPr>
          <w:p>
            <w:pPr>
              <w:ind w:left="60"/>
              <w:spacing w:after="0"/>
              <w:rPr>
                <w:sz w:val="20"/>
                <w:szCs w:val="20"/>
                <w:color w:val="auto"/>
              </w:rPr>
            </w:pPr>
            <w:r>
              <w:rPr>
                <w:rFonts w:ascii="Arial" w:cs="Arial" w:eastAsia="Arial" w:hAnsi="Arial"/>
                <w:sz w:val="11"/>
                <w:szCs w:val="11"/>
                <w:b w:val="1"/>
                <w:bCs w:val="1"/>
                <w:color w:val="auto"/>
              </w:rPr>
              <w:t>TSR Performance</w:t>
            </w:r>
          </w:p>
        </w:tc>
        <w:tc>
          <w:tcPr>
            <w:tcW w:w="1140" w:type="dxa"/>
            <w:vAlign w:val="bottom"/>
            <w:gridSpan w:val="2"/>
          </w:tcPr>
          <w:p>
            <w:pPr>
              <w:jc w:val="center"/>
              <w:spacing w:after="0"/>
              <w:rPr>
                <w:sz w:val="20"/>
                <w:szCs w:val="20"/>
                <w:color w:val="auto"/>
              </w:rPr>
            </w:pPr>
            <w:r>
              <w:rPr>
                <w:rFonts w:ascii="Arial" w:cs="Arial" w:eastAsia="Arial" w:hAnsi="Arial"/>
                <w:sz w:val="11"/>
                <w:szCs w:val="11"/>
                <w:color w:val="auto"/>
                <w:w w:val="98"/>
              </w:rPr>
              <w:t>Threshold (33%)</w:t>
            </w:r>
          </w:p>
        </w:tc>
        <w:tc>
          <w:tcPr>
            <w:tcW w:w="1320" w:type="dxa"/>
            <w:vAlign w:val="bottom"/>
            <w:gridSpan w:val="2"/>
          </w:tcPr>
          <w:p>
            <w:pPr>
              <w:ind w:left="240"/>
              <w:spacing w:after="0"/>
              <w:rPr>
                <w:sz w:val="20"/>
                <w:szCs w:val="20"/>
                <w:color w:val="auto"/>
              </w:rPr>
            </w:pPr>
            <w:r>
              <w:rPr>
                <w:rFonts w:ascii="Arial" w:cs="Arial" w:eastAsia="Arial" w:hAnsi="Arial"/>
                <w:sz w:val="11"/>
                <w:szCs w:val="11"/>
                <w:color w:val="auto"/>
              </w:rPr>
              <w:t>Maximum (200%)</w:t>
            </w:r>
          </w:p>
        </w:tc>
        <w:tc>
          <w:tcPr>
            <w:tcW w:w="780" w:type="dxa"/>
            <w:vAlign w:val="bottom"/>
            <w:vMerge w:val="restart"/>
          </w:tcPr>
          <w:p>
            <w:pPr>
              <w:jc w:val="right"/>
              <w:ind w:right="25"/>
              <w:spacing w:after="0"/>
              <w:rPr>
                <w:sz w:val="20"/>
                <w:szCs w:val="20"/>
                <w:color w:val="auto"/>
              </w:rPr>
            </w:pPr>
            <w:r>
              <w:rPr>
                <w:rFonts w:ascii="Arial" w:cs="Arial" w:eastAsia="Arial" w:hAnsi="Arial"/>
                <w:sz w:val="11"/>
                <w:szCs w:val="11"/>
                <w:color w:val="auto"/>
              </w:rPr>
              <w:t>40%</w:t>
            </w:r>
          </w:p>
        </w:tc>
        <w:tc>
          <w:tcPr>
            <w:tcW w:w="540" w:type="dxa"/>
            <w:vAlign w:val="bottom"/>
          </w:tcPr>
          <w:p>
            <w:pPr>
              <w:jc w:val="right"/>
              <w:ind w:right="149"/>
              <w:spacing w:after="0" w:line="199"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8"/>
                <w:szCs w:val="8"/>
                <w:color w:val="auto"/>
              </w:rPr>
              <w:t>st</w:t>
            </w:r>
          </w:p>
        </w:tc>
        <w:tc>
          <w:tcPr>
            <w:tcW w:w="440" w:type="dxa"/>
            <w:vAlign w:val="bottom"/>
            <w:vMerge w:val="restart"/>
          </w:tcPr>
          <w:p>
            <w:pPr>
              <w:jc w:val="right"/>
              <w:ind w:right="25"/>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70"/>
        </w:trPr>
        <w:tc>
          <w:tcPr>
            <w:tcW w:w="3200" w:type="dxa"/>
            <w:vAlign w:val="bottom"/>
          </w:tcPr>
          <w:p>
            <w:pPr>
              <w:spacing w:after="0"/>
              <w:rPr>
                <w:sz w:val="6"/>
                <w:szCs w:val="6"/>
                <w:color w:val="auto"/>
              </w:rPr>
            </w:pPr>
          </w:p>
        </w:tc>
        <w:tc>
          <w:tcPr>
            <w:tcW w:w="480" w:type="dxa"/>
            <w:vAlign w:val="bottom"/>
            <w:vMerge w:val="restart"/>
          </w:tcPr>
          <w:p>
            <w:pPr>
              <w:ind w:left="260"/>
              <w:spacing w:after="0" w:line="211" w:lineRule="exact"/>
              <w:rPr>
                <w:sz w:val="20"/>
                <w:szCs w:val="20"/>
                <w:color w:val="auto"/>
              </w:rPr>
            </w:pPr>
            <w:r>
              <w:rPr>
                <w:rFonts w:ascii="Arial" w:cs="Arial" w:eastAsia="Arial" w:hAnsi="Arial"/>
                <w:sz w:val="21"/>
                <w:szCs w:val="21"/>
                <w:color w:val="auto"/>
                <w:w w:val="89"/>
                <w:vertAlign w:val="subscript"/>
              </w:rPr>
              <w:t>14</w:t>
            </w:r>
            <w:r>
              <w:rPr>
                <w:rFonts w:ascii="Arial" w:cs="Arial" w:eastAsia="Arial" w:hAnsi="Arial"/>
                <w:sz w:val="8"/>
                <w:szCs w:val="8"/>
                <w:color w:val="auto"/>
                <w:w w:val="89"/>
              </w:rPr>
              <w:t>th</w:t>
            </w:r>
          </w:p>
        </w:tc>
        <w:tc>
          <w:tcPr>
            <w:tcW w:w="660" w:type="dxa"/>
            <w:vAlign w:val="bottom"/>
            <w:vMerge w:val="restart"/>
          </w:tcPr>
          <w:p>
            <w:pPr>
              <w:spacing w:after="0"/>
              <w:rPr>
                <w:sz w:val="20"/>
                <w:szCs w:val="20"/>
                <w:color w:val="auto"/>
              </w:rPr>
            </w:pPr>
            <w:r>
              <w:rPr>
                <w:rFonts w:ascii="Arial" w:cs="Arial" w:eastAsia="Arial" w:hAnsi="Arial"/>
                <w:sz w:val="11"/>
                <w:szCs w:val="11"/>
                <w:color w:val="auto"/>
              </w:rPr>
              <w:t>Position</w:t>
            </w:r>
          </w:p>
        </w:tc>
        <w:tc>
          <w:tcPr>
            <w:tcW w:w="560" w:type="dxa"/>
            <w:vAlign w:val="bottom"/>
            <w:vMerge w:val="restart"/>
          </w:tcPr>
          <w:p>
            <w:pPr>
              <w:ind w:left="380"/>
              <w:spacing w:after="0" w:line="211" w:lineRule="exact"/>
              <w:rPr>
                <w:sz w:val="20"/>
                <w:szCs w:val="20"/>
                <w:color w:val="auto"/>
              </w:rPr>
            </w:pPr>
            <w:r>
              <w:rPr>
                <w:rFonts w:ascii="Arial" w:cs="Arial" w:eastAsia="Arial" w:hAnsi="Arial"/>
                <w:sz w:val="21"/>
                <w:szCs w:val="21"/>
                <w:color w:val="auto"/>
                <w:w w:val="95"/>
                <w:vertAlign w:val="subscript"/>
              </w:rPr>
              <w:t>2</w:t>
            </w:r>
            <w:r>
              <w:rPr>
                <w:rFonts w:ascii="Arial" w:cs="Arial" w:eastAsia="Arial" w:hAnsi="Arial"/>
                <w:sz w:val="8"/>
                <w:szCs w:val="8"/>
                <w:color w:val="auto"/>
                <w:w w:val="95"/>
              </w:rPr>
              <w:t>nd</w:t>
            </w:r>
          </w:p>
        </w:tc>
        <w:tc>
          <w:tcPr>
            <w:tcW w:w="760" w:type="dxa"/>
            <w:vAlign w:val="bottom"/>
            <w:vMerge w:val="restart"/>
          </w:tcPr>
          <w:p>
            <w:pPr>
              <w:spacing w:after="0"/>
              <w:rPr>
                <w:sz w:val="20"/>
                <w:szCs w:val="20"/>
                <w:color w:val="auto"/>
              </w:rPr>
            </w:pPr>
            <w:r>
              <w:rPr>
                <w:rFonts w:ascii="Arial" w:cs="Arial" w:eastAsia="Arial" w:hAnsi="Arial"/>
                <w:sz w:val="11"/>
                <w:szCs w:val="11"/>
                <w:color w:val="auto"/>
              </w:rPr>
              <w:t>Position</w:t>
            </w:r>
          </w:p>
        </w:tc>
        <w:tc>
          <w:tcPr>
            <w:tcW w:w="780" w:type="dxa"/>
            <w:vAlign w:val="bottom"/>
            <w:vMerge w:val="continue"/>
          </w:tcPr>
          <w:p>
            <w:pPr>
              <w:spacing w:after="0"/>
              <w:rPr>
                <w:sz w:val="6"/>
                <w:szCs w:val="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1"/>
                <w:szCs w:val="11"/>
                <w:color w:val="auto"/>
              </w:rPr>
              <w:t>Position</w:t>
            </w: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D8EFF9"/>
          </w:tcPr>
          <w:p>
            <w:pPr>
              <w:ind w:left="60"/>
              <w:spacing w:after="0"/>
              <w:rPr>
                <w:sz w:val="20"/>
                <w:szCs w:val="20"/>
                <w:color w:val="auto"/>
              </w:rPr>
            </w:pPr>
            <w:r>
              <w:rPr>
                <w:rFonts w:ascii="Arial" w:cs="Arial" w:eastAsia="Arial" w:hAnsi="Arial"/>
                <w:sz w:val="11"/>
                <w:szCs w:val="11"/>
                <w:b w:val="1"/>
                <w:bCs w:val="1"/>
                <w:color w:val="auto"/>
              </w:rPr>
              <w:t>Cumulative non-GAAP Net Income</w:t>
            </w:r>
          </w:p>
        </w:tc>
        <w:tc>
          <w:tcPr>
            <w:tcW w:w="1140" w:type="dxa"/>
            <w:vAlign w:val="bottom"/>
            <w:gridSpan w:val="2"/>
            <w:shd w:val="clear" w:color="auto" w:fill="D8EFF9"/>
          </w:tcPr>
          <w:p>
            <w:pPr>
              <w:jc w:val="center"/>
              <w:spacing w:after="0"/>
              <w:rPr>
                <w:sz w:val="20"/>
                <w:szCs w:val="20"/>
                <w:color w:val="auto"/>
              </w:rPr>
            </w:pPr>
            <w:r>
              <w:rPr>
                <w:rFonts w:ascii="Arial" w:cs="Arial" w:eastAsia="Arial" w:hAnsi="Arial"/>
                <w:sz w:val="11"/>
                <w:szCs w:val="11"/>
                <w:color w:val="auto"/>
              </w:rPr>
              <w:t>Threshold   Target</w:t>
            </w:r>
          </w:p>
        </w:tc>
        <w:tc>
          <w:tcPr>
            <w:tcW w:w="560" w:type="dxa"/>
            <w:vAlign w:val="bottom"/>
            <w:shd w:val="clear" w:color="auto" w:fill="D8EFF9"/>
          </w:tcPr>
          <w:p>
            <w:pPr>
              <w:ind w:left="60"/>
              <w:spacing w:after="0"/>
              <w:rPr>
                <w:sz w:val="20"/>
                <w:szCs w:val="20"/>
                <w:color w:val="auto"/>
              </w:rPr>
            </w:pPr>
            <w:r>
              <w:rPr>
                <w:rFonts w:ascii="Arial" w:cs="Arial" w:eastAsia="Arial" w:hAnsi="Arial"/>
                <w:sz w:val="11"/>
                <w:szCs w:val="11"/>
                <w:color w:val="auto"/>
              </w:rPr>
              <w:t>Maximum</w:t>
            </w:r>
          </w:p>
        </w:tc>
        <w:tc>
          <w:tcPr>
            <w:tcW w:w="760" w:type="dxa"/>
            <w:vAlign w:val="bottom"/>
            <w:shd w:val="clear" w:color="auto" w:fill="D8EFF9"/>
          </w:tcPr>
          <w:p>
            <w:pPr>
              <w:ind w:left="140"/>
              <w:spacing w:after="0"/>
              <w:rPr>
                <w:sz w:val="20"/>
                <w:szCs w:val="20"/>
                <w:color w:val="auto"/>
              </w:rPr>
            </w:pPr>
            <w:r>
              <w:rPr>
                <w:rFonts w:ascii="Arial" w:cs="Arial" w:eastAsia="Arial" w:hAnsi="Arial"/>
                <w:sz w:val="11"/>
                <w:szCs w:val="11"/>
                <w:color w:val="auto"/>
              </w:rPr>
              <w:t>Exceptional</w:t>
            </w:r>
          </w:p>
        </w:tc>
        <w:tc>
          <w:tcPr>
            <w:tcW w:w="780" w:type="dxa"/>
            <w:vAlign w:val="bottom"/>
            <w:shd w:val="clear" w:color="auto" w:fill="D8EFF9"/>
          </w:tcPr>
          <w:p>
            <w:pPr>
              <w:spacing w:after="0"/>
              <w:rPr>
                <w:sz w:val="17"/>
                <w:szCs w:val="17"/>
                <w:color w:val="auto"/>
              </w:rPr>
            </w:pPr>
          </w:p>
        </w:tc>
        <w:tc>
          <w:tcPr>
            <w:tcW w:w="540" w:type="dxa"/>
            <w:vAlign w:val="bottom"/>
            <w:shd w:val="clear" w:color="auto" w:fill="D8EFF9"/>
          </w:tcPr>
          <w:p>
            <w:pPr>
              <w:spacing w:after="0"/>
              <w:rPr>
                <w:sz w:val="17"/>
                <w:szCs w:val="17"/>
                <w:color w:val="auto"/>
              </w:rPr>
            </w:pPr>
          </w:p>
        </w:tc>
        <w:tc>
          <w:tcPr>
            <w:tcW w:w="440" w:type="dxa"/>
            <w:vAlign w:val="bottom"/>
            <w:shd w:val="clear" w:color="auto" w:fill="D8EFF9"/>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3200" w:type="dxa"/>
            <w:vAlign w:val="bottom"/>
            <w:shd w:val="clear" w:color="auto" w:fill="D8EFF9"/>
          </w:tcPr>
          <w:p>
            <w:pPr>
              <w:spacing w:after="0"/>
              <w:rPr>
                <w:sz w:val="11"/>
                <w:szCs w:val="11"/>
                <w:color w:val="auto"/>
              </w:rPr>
            </w:pPr>
          </w:p>
        </w:tc>
        <w:tc>
          <w:tcPr>
            <w:tcW w:w="480" w:type="dxa"/>
            <w:vAlign w:val="bottom"/>
            <w:shd w:val="clear" w:color="auto" w:fill="D8EFF9"/>
          </w:tcPr>
          <w:p>
            <w:pPr>
              <w:jc w:val="right"/>
              <w:spacing w:after="0"/>
              <w:rPr>
                <w:sz w:val="20"/>
                <w:szCs w:val="20"/>
                <w:color w:val="auto"/>
              </w:rPr>
            </w:pPr>
            <w:r>
              <w:rPr>
                <w:rFonts w:ascii="Arial" w:cs="Arial" w:eastAsia="Arial" w:hAnsi="Arial"/>
                <w:sz w:val="11"/>
                <w:szCs w:val="11"/>
                <w:color w:val="auto"/>
              </w:rPr>
              <w:t>(50%)</w:t>
            </w:r>
          </w:p>
        </w:tc>
        <w:tc>
          <w:tcPr>
            <w:tcW w:w="660" w:type="dxa"/>
            <w:vAlign w:val="bottom"/>
            <w:shd w:val="clear" w:color="auto" w:fill="D8EFF9"/>
          </w:tcPr>
          <w:p>
            <w:pPr>
              <w:jc w:val="right"/>
              <w:ind w:right="25"/>
              <w:spacing w:after="0"/>
              <w:rPr>
                <w:sz w:val="20"/>
                <w:szCs w:val="20"/>
                <w:color w:val="auto"/>
              </w:rPr>
            </w:pPr>
            <w:r>
              <w:rPr>
                <w:rFonts w:ascii="Arial" w:cs="Arial" w:eastAsia="Arial" w:hAnsi="Arial"/>
                <w:sz w:val="11"/>
                <w:szCs w:val="11"/>
                <w:color w:val="auto"/>
              </w:rPr>
              <w:t>(100%)</w:t>
            </w:r>
          </w:p>
        </w:tc>
        <w:tc>
          <w:tcPr>
            <w:tcW w:w="560" w:type="dxa"/>
            <w:vAlign w:val="bottom"/>
            <w:shd w:val="clear" w:color="auto" w:fill="D8EFF9"/>
          </w:tcPr>
          <w:p>
            <w:pPr>
              <w:jc w:val="right"/>
              <w:ind w:right="28"/>
              <w:spacing w:after="0"/>
              <w:rPr>
                <w:sz w:val="20"/>
                <w:szCs w:val="20"/>
                <w:color w:val="auto"/>
              </w:rPr>
            </w:pPr>
            <w:r>
              <w:rPr>
                <w:rFonts w:ascii="Arial" w:cs="Arial" w:eastAsia="Arial" w:hAnsi="Arial"/>
                <w:sz w:val="11"/>
                <w:szCs w:val="11"/>
                <w:color w:val="auto"/>
              </w:rPr>
              <w:t>(150%)</w:t>
            </w:r>
          </w:p>
        </w:tc>
        <w:tc>
          <w:tcPr>
            <w:tcW w:w="760" w:type="dxa"/>
            <w:vAlign w:val="bottom"/>
            <w:shd w:val="clear" w:color="auto" w:fill="D8EFF9"/>
          </w:tcPr>
          <w:p>
            <w:pPr>
              <w:jc w:val="right"/>
              <w:ind w:right="105"/>
              <w:spacing w:after="0"/>
              <w:rPr>
                <w:sz w:val="20"/>
                <w:szCs w:val="20"/>
                <w:color w:val="auto"/>
              </w:rPr>
            </w:pPr>
            <w:r>
              <w:rPr>
                <w:rFonts w:ascii="Arial" w:cs="Arial" w:eastAsia="Arial" w:hAnsi="Arial"/>
                <w:sz w:val="11"/>
                <w:szCs w:val="11"/>
                <w:color w:val="auto"/>
              </w:rPr>
              <w:t>(200%)</w:t>
            </w:r>
          </w:p>
        </w:tc>
        <w:tc>
          <w:tcPr>
            <w:tcW w:w="780" w:type="dxa"/>
            <w:vAlign w:val="bottom"/>
            <w:shd w:val="clear" w:color="auto" w:fill="D8EFF9"/>
          </w:tcPr>
          <w:p>
            <w:pPr>
              <w:jc w:val="right"/>
              <w:ind w:right="25"/>
              <w:spacing w:after="0"/>
              <w:rPr>
                <w:sz w:val="20"/>
                <w:szCs w:val="20"/>
                <w:color w:val="auto"/>
              </w:rPr>
            </w:pPr>
            <w:r>
              <w:rPr>
                <w:rFonts w:ascii="Arial" w:cs="Arial" w:eastAsia="Arial" w:hAnsi="Arial"/>
                <w:sz w:val="11"/>
                <w:szCs w:val="11"/>
                <w:color w:val="auto"/>
              </w:rPr>
              <w:t>30%</w:t>
            </w:r>
          </w:p>
        </w:tc>
        <w:tc>
          <w:tcPr>
            <w:tcW w:w="540" w:type="dxa"/>
            <w:vAlign w:val="bottom"/>
            <w:shd w:val="clear" w:color="auto" w:fill="D8EFF9"/>
          </w:tcPr>
          <w:p>
            <w:pPr>
              <w:jc w:val="right"/>
              <w:ind w:right="9"/>
              <w:spacing w:after="0"/>
              <w:rPr>
                <w:sz w:val="20"/>
                <w:szCs w:val="20"/>
                <w:color w:val="auto"/>
              </w:rPr>
            </w:pPr>
            <w:r>
              <w:rPr>
                <w:rFonts w:ascii="Arial" w:cs="Arial" w:eastAsia="Arial" w:hAnsi="Arial"/>
                <w:sz w:val="11"/>
                <w:szCs w:val="11"/>
                <w:color w:val="auto"/>
              </w:rPr>
              <w:t>$2,210</w:t>
            </w:r>
          </w:p>
        </w:tc>
        <w:tc>
          <w:tcPr>
            <w:tcW w:w="440" w:type="dxa"/>
            <w:vAlign w:val="bottom"/>
            <w:shd w:val="clear" w:color="auto" w:fill="D8EFF9"/>
          </w:tcPr>
          <w:p>
            <w:pPr>
              <w:jc w:val="right"/>
              <w:ind w:right="25"/>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31"/>
        </w:trPr>
        <w:tc>
          <w:tcPr>
            <w:tcW w:w="3200" w:type="dxa"/>
            <w:vAlign w:val="bottom"/>
            <w:shd w:val="clear" w:color="auto" w:fill="D8EFF9"/>
          </w:tcPr>
          <w:p>
            <w:pPr>
              <w:spacing w:after="0"/>
              <w:rPr>
                <w:sz w:val="11"/>
                <w:szCs w:val="11"/>
                <w:color w:val="auto"/>
              </w:rPr>
            </w:pPr>
          </w:p>
        </w:tc>
        <w:tc>
          <w:tcPr>
            <w:tcW w:w="480" w:type="dxa"/>
            <w:vAlign w:val="bottom"/>
            <w:shd w:val="clear" w:color="auto" w:fill="D8EFF9"/>
          </w:tcPr>
          <w:p>
            <w:pPr>
              <w:jc w:val="right"/>
              <w:spacing w:after="0"/>
              <w:rPr>
                <w:sz w:val="20"/>
                <w:szCs w:val="20"/>
                <w:color w:val="auto"/>
              </w:rPr>
            </w:pPr>
            <w:r>
              <w:rPr>
                <w:rFonts w:ascii="Arial" w:cs="Arial" w:eastAsia="Arial" w:hAnsi="Arial"/>
                <w:sz w:val="11"/>
                <w:szCs w:val="11"/>
                <w:color w:val="auto"/>
              </w:rPr>
              <w:t>$1,662</w:t>
            </w:r>
          </w:p>
        </w:tc>
        <w:tc>
          <w:tcPr>
            <w:tcW w:w="660" w:type="dxa"/>
            <w:vAlign w:val="bottom"/>
            <w:shd w:val="clear" w:color="auto" w:fill="D8EFF9"/>
          </w:tcPr>
          <w:p>
            <w:pPr>
              <w:jc w:val="right"/>
              <w:ind w:right="45"/>
              <w:spacing w:after="0"/>
              <w:rPr>
                <w:sz w:val="20"/>
                <w:szCs w:val="20"/>
                <w:color w:val="auto"/>
              </w:rPr>
            </w:pPr>
            <w:r>
              <w:rPr>
                <w:rFonts w:ascii="Arial" w:cs="Arial" w:eastAsia="Arial" w:hAnsi="Arial"/>
                <w:sz w:val="11"/>
                <w:szCs w:val="11"/>
                <w:color w:val="auto"/>
              </w:rPr>
              <w:t>$1,807</w:t>
            </w:r>
          </w:p>
        </w:tc>
        <w:tc>
          <w:tcPr>
            <w:tcW w:w="560" w:type="dxa"/>
            <w:vAlign w:val="bottom"/>
            <w:shd w:val="clear" w:color="auto" w:fill="D8EFF9"/>
          </w:tcPr>
          <w:p>
            <w:pPr>
              <w:jc w:val="right"/>
              <w:ind w:right="28"/>
              <w:spacing w:after="0"/>
              <w:rPr>
                <w:sz w:val="20"/>
                <w:szCs w:val="20"/>
                <w:color w:val="auto"/>
              </w:rPr>
            </w:pPr>
            <w:r>
              <w:rPr>
                <w:rFonts w:ascii="Arial" w:cs="Arial" w:eastAsia="Arial" w:hAnsi="Arial"/>
                <w:sz w:val="11"/>
                <w:szCs w:val="11"/>
                <w:color w:val="auto"/>
              </w:rPr>
              <w:t>$1,897</w:t>
            </w:r>
          </w:p>
        </w:tc>
        <w:tc>
          <w:tcPr>
            <w:tcW w:w="760" w:type="dxa"/>
            <w:vAlign w:val="bottom"/>
            <w:shd w:val="clear" w:color="auto" w:fill="D8EFF9"/>
          </w:tcPr>
          <w:p>
            <w:pPr>
              <w:jc w:val="right"/>
              <w:ind w:right="125"/>
              <w:spacing w:after="0"/>
              <w:rPr>
                <w:sz w:val="20"/>
                <w:szCs w:val="20"/>
                <w:color w:val="auto"/>
              </w:rPr>
            </w:pPr>
            <w:r>
              <w:rPr>
                <w:rFonts w:ascii="Arial" w:cs="Arial" w:eastAsia="Arial" w:hAnsi="Arial"/>
                <w:sz w:val="11"/>
                <w:szCs w:val="11"/>
                <w:color w:val="auto"/>
              </w:rPr>
              <w:t>$1,952</w:t>
            </w:r>
          </w:p>
        </w:tc>
        <w:tc>
          <w:tcPr>
            <w:tcW w:w="780" w:type="dxa"/>
            <w:vAlign w:val="bottom"/>
            <w:shd w:val="clear" w:color="auto" w:fill="D8EFF9"/>
          </w:tcPr>
          <w:p>
            <w:pPr>
              <w:spacing w:after="0"/>
              <w:rPr>
                <w:sz w:val="11"/>
                <w:szCs w:val="11"/>
                <w:color w:val="auto"/>
              </w:rPr>
            </w:pPr>
          </w:p>
        </w:tc>
        <w:tc>
          <w:tcPr>
            <w:tcW w:w="540" w:type="dxa"/>
            <w:vAlign w:val="bottom"/>
            <w:shd w:val="clear" w:color="auto" w:fill="D8EFF9"/>
          </w:tcPr>
          <w:p>
            <w:pPr>
              <w:spacing w:after="0"/>
              <w:rPr>
                <w:sz w:val="11"/>
                <w:szCs w:val="11"/>
                <w:color w:val="auto"/>
              </w:rPr>
            </w:pPr>
          </w:p>
        </w:tc>
        <w:tc>
          <w:tcPr>
            <w:tcW w:w="440" w:type="dxa"/>
            <w:vAlign w:val="bottom"/>
            <w:shd w:val="clear" w:color="auto" w:fill="D8EFF9"/>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200" w:type="dxa"/>
            <w:vAlign w:val="bottom"/>
            <w:shd w:val="clear" w:color="auto" w:fill="D8EFF9"/>
          </w:tcPr>
          <w:p>
            <w:pPr>
              <w:spacing w:after="0"/>
              <w:rPr>
                <w:sz w:val="5"/>
                <w:szCs w:val="5"/>
                <w:color w:val="auto"/>
              </w:rPr>
            </w:pPr>
          </w:p>
        </w:tc>
        <w:tc>
          <w:tcPr>
            <w:tcW w:w="480" w:type="dxa"/>
            <w:vAlign w:val="bottom"/>
            <w:shd w:val="clear" w:color="auto" w:fill="D8EFF9"/>
          </w:tcPr>
          <w:p>
            <w:pPr>
              <w:spacing w:after="0"/>
              <w:rPr>
                <w:sz w:val="5"/>
                <w:szCs w:val="5"/>
                <w:color w:val="auto"/>
              </w:rPr>
            </w:pPr>
          </w:p>
        </w:tc>
        <w:tc>
          <w:tcPr>
            <w:tcW w:w="660" w:type="dxa"/>
            <w:vAlign w:val="bottom"/>
            <w:shd w:val="clear" w:color="auto" w:fill="D8EFF9"/>
          </w:tcPr>
          <w:p>
            <w:pPr>
              <w:spacing w:after="0"/>
              <w:rPr>
                <w:sz w:val="5"/>
                <w:szCs w:val="5"/>
                <w:color w:val="auto"/>
              </w:rPr>
            </w:pPr>
          </w:p>
        </w:tc>
        <w:tc>
          <w:tcPr>
            <w:tcW w:w="560" w:type="dxa"/>
            <w:vAlign w:val="bottom"/>
            <w:shd w:val="clear" w:color="auto" w:fill="D8EFF9"/>
          </w:tcPr>
          <w:p>
            <w:pPr>
              <w:spacing w:after="0"/>
              <w:rPr>
                <w:sz w:val="5"/>
                <w:szCs w:val="5"/>
                <w:color w:val="auto"/>
              </w:rPr>
            </w:pPr>
          </w:p>
        </w:tc>
        <w:tc>
          <w:tcPr>
            <w:tcW w:w="760" w:type="dxa"/>
            <w:vAlign w:val="bottom"/>
            <w:shd w:val="clear" w:color="auto" w:fill="D8EFF9"/>
          </w:tcPr>
          <w:p>
            <w:pPr>
              <w:spacing w:after="0"/>
              <w:rPr>
                <w:sz w:val="5"/>
                <w:szCs w:val="5"/>
                <w:color w:val="auto"/>
              </w:rPr>
            </w:pPr>
          </w:p>
        </w:tc>
        <w:tc>
          <w:tcPr>
            <w:tcW w:w="1320" w:type="dxa"/>
            <w:vAlign w:val="bottom"/>
            <w:gridSpan w:val="2"/>
            <w:shd w:val="clear" w:color="auto" w:fill="D8EFF9"/>
          </w:tcPr>
          <w:p>
            <w:pPr>
              <w:spacing w:after="0"/>
              <w:rPr>
                <w:sz w:val="5"/>
                <w:szCs w:val="5"/>
                <w:color w:val="auto"/>
              </w:rPr>
            </w:pPr>
          </w:p>
        </w:tc>
        <w:tc>
          <w:tcPr>
            <w:tcW w:w="440" w:type="dxa"/>
            <w:vAlign w:val="bottom"/>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Overall Achievement</w:t>
            </w:r>
          </w:p>
        </w:tc>
        <w:tc>
          <w:tcPr>
            <w:tcW w:w="440" w:type="dxa"/>
            <w:vAlign w:val="bottom"/>
          </w:tcPr>
          <w:p>
            <w:pPr>
              <w:jc w:val="right"/>
              <w:ind w:right="25"/>
              <w:spacing w:after="0"/>
              <w:rPr>
                <w:sz w:val="20"/>
                <w:szCs w:val="20"/>
                <w:color w:val="auto"/>
              </w:rPr>
            </w:pPr>
            <w:r>
              <w:rPr>
                <w:rFonts w:ascii="Arial" w:cs="Arial" w:eastAsia="Arial" w:hAnsi="Arial"/>
                <w:sz w:val="11"/>
                <w:szCs w:val="11"/>
                <w:b w:val="1"/>
                <w:bCs w:val="1"/>
                <w:color w:val="auto"/>
              </w:rPr>
              <w:t>200%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For a detailed description of the calculation of cumulative non-GAAP net income, see “Executive Compensation Tables—Equity Incentive Plan Awards—Additional Information” and a reconciliation can be found in Appendix A.</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2023 Performance Share Unit Awards</w:t>
      </w:r>
    </w:p>
    <w:p>
      <w:pPr>
        <w:spacing w:after="0" w:line="85"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The design of our 2023 PSU awards is consistent with the design of our 2022 PSU awards. Like our 2022 PSU awards, our 2023 PSU awards were made in three separate grants, with the payout opportunity for each grant based on a different performance objective. The first is based on total TSR over the three-year performance cycle as compared to</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that of the other 18 companies included in our peer group. Thirty-five percent of long-term incentive compensation is based on the TSR metric. Thirty-five percent is based on achieving a specified non-GAAP Adjusted EPS goal over the three-year performance cycle. The remaining 5% is based on achieving a specified carbon emissions reduction goal over the three-year performance cycle.</w:t>
      </w:r>
    </w:p>
    <w:p>
      <w:pPr>
        <w:spacing w:after="0" w:line="136"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total shareholder return performance objective and 50% of target for the applicable EPS performance and carbon emissions reduction objectives, and the maximum payout opportunity is 200% of target for all three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99060</wp:posOffset>
            </wp:positionV>
            <wp:extent cx="3493135" cy="19691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9313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80" w:right="799" w:firstLine="2"/>
        <w:spacing w:after="0" w:line="238" w:lineRule="auto"/>
        <w:tabs>
          <w:tab w:leader="none" w:pos="2161" w:val="left"/>
        </w:tabs>
        <w:numPr>
          <w:ilvl w:val="0"/>
          <w:numId w:val="73"/>
        </w:numPr>
        <w:rPr>
          <w:rFonts w:ascii="Arial" w:cs="Arial" w:eastAsia="Arial" w:hAnsi="Arial"/>
          <w:sz w:val="10"/>
          <w:szCs w:val="10"/>
          <w:i w:val="1"/>
          <w:iCs w:val="1"/>
          <w:color w:val="auto"/>
        </w:rPr>
      </w:pPr>
      <w:r>
        <w:rPr>
          <w:rFonts w:ascii="Arial" w:cs="Arial" w:eastAsia="Arial" w:hAnsi="Arial"/>
          <w:sz w:val="10"/>
          <w:szCs w:val="10"/>
          <w:i w:val="1"/>
          <w:iCs w:val="1"/>
          <w:color w:val="auto"/>
        </w:rPr>
        <w:t>Adjusted EPS is a non-GAAP metric which includes consolidated net income from Electric and Natural Gas segments, as well as after-tax Corporate and Other operating income and corporate overhead. The metric is adjusted for certain factors to reflect what we consider to be our fundamental business performance</w:t>
      </w:r>
    </w:p>
    <w:p>
      <w:pPr>
        <w:jc w:val="both"/>
        <w:ind w:left="2080" w:right="799"/>
        <w:spacing w:after="0" w:line="227" w:lineRule="auto"/>
        <w:rPr>
          <w:rFonts w:ascii="Arial" w:cs="Arial" w:eastAsia="Arial" w:hAnsi="Arial"/>
          <w:sz w:val="10"/>
          <w:szCs w:val="10"/>
          <w:i w:val="1"/>
          <w:iCs w:val="1"/>
          <w:color w:val="auto"/>
        </w:rPr>
      </w:pPr>
      <w:r>
        <w:rPr>
          <w:rFonts w:ascii="Arial" w:cs="Arial" w:eastAsia="Arial" w:hAnsi="Arial"/>
          <w:sz w:val="10"/>
          <w:szCs w:val="10"/>
          <w:i w:val="1"/>
          <w:iCs w:val="1"/>
          <w:color w:val="auto"/>
        </w:rPr>
        <w:t>** Adjusted EPS goal at each level represents 8.5% annual growth in 2023 and 2024 and 7.5% annual growth in 2025, based on 2022 (Maximum), 8% annual growth in 2023 and 2024 and 7% annual growth in 2025, based on 2022 (Target) and 7% annual growth in 2023 and 2024 and 6% annual growth in 2025, based on 2022 (Threshold)</w:t>
      </w:r>
    </w:p>
    <w:p>
      <w:pPr>
        <w:spacing w:after="0" w:line="1" w:lineRule="exact"/>
        <w:rPr>
          <w:rFonts w:ascii="Arial" w:cs="Arial" w:eastAsia="Arial" w:hAnsi="Arial"/>
          <w:sz w:val="10"/>
          <w:szCs w:val="10"/>
          <w:i w:val="1"/>
          <w:iCs w:val="1"/>
          <w:color w:val="auto"/>
        </w:rPr>
      </w:pPr>
    </w:p>
    <w:p>
      <w:pPr>
        <w:ind w:left="2080"/>
        <w:spacing w:after="0" w:line="227" w:lineRule="auto"/>
        <w:rPr>
          <w:rFonts w:ascii="Arial" w:cs="Arial" w:eastAsia="Arial" w:hAnsi="Arial"/>
          <w:sz w:val="10"/>
          <w:szCs w:val="10"/>
          <w:i w:val="1"/>
          <w:iCs w:val="1"/>
          <w:color w:val="auto"/>
        </w:rPr>
      </w:pPr>
      <w:r>
        <w:rPr>
          <w:rFonts w:ascii="Arial" w:cs="Arial" w:eastAsia="Arial" w:hAnsi="Arial"/>
          <w:sz w:val="10"/>
          <w:szCs w:val="10"/>
          <w:i w:val="1"/>
          <w:iCs w:val="1"/>
          <w:color w:val="auto"/>
        </w:rPr>
        <w:t>*** Linear interpolation between award levels</w:t>
      </w:r>
    </w:p>
    <w:p>
      <w:pPr>
        <w:ind w:left="2080" w:right="799"/>
        <w:spacing w:after="0" w:line="234" w:lineRule="auto"/>
        <w:rPr>
          <w:rFonts w:ascii="Arial" w:cs="Arial" w:eastAsia="Arial" w:hAnsi="Arial"/>
          <w:sz w:val="10"/>
          <w:szCs w:val="10"/>
          <w:i w:val="1"/>
          <w:iCs w:val="1"/>
          <w:color w:val="auto"/>
        </w:rPr>
      </w:pPr>
      <w:r>
        <w:rPr>
          <w:rFonts w:ascii="Arial" w:cs="Arial" w:eastAsia="Arial" w:hAnsi="Arial"/>
          <w:sz w:val="10"/>
          <w:szCs w:val="10"/>
          <w:i w:val="1"/>
          <w:iCs w:val="1"/>
          <w:color w:val="auto"/>
        </w:rPr>
        <w:t>**** Results will represent an average of 20 TSR calculation periods, beginning the first 20 of the last 30 trading days preceding the performance period and ending the first 20 of the last 30 trading days of the performance period</w:t>
      </w:r>
    </w:p>
    <w:p>
      <w:pPr>
        <w:spacing w:after="0" w:line="131" w:lineRule="exact"/>
        <w:rPr>
          <w:sz w:val="20"/>
          <w:szCs w:val="20"/>
          <w:color w:val="auto"/>
        </w:rPr>
      </w:pPr>
    </w:p>
    <w:p>
      <w:pPr>
        <w:ind w:left="2220" w:hanging="230"/>
        <w:spacing w:after="0"/>
        <w:tabs>
          <w:tab w:leader="none" w:pos="2220" w:val="left"/>
        </w:tabs>
        <w:numPr>
          <w:ilvl w:val="0"/>
          <w:numId w:val="74"/>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Our 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Compensation Committee of the Board of Directors oversees compensation for our named executive officers and other senior executives, including base salary and short-term and long-term incentive awards, as applicable. The Compensation Committee also administers incentive compensation plans, evaluates our Chief Executive Officer’s performance and reviews management succession planning and development. The Board of Directors has determined that the members of the Compensation Committee meet the applicable requirements for independence under the standards of the Securities and Exchange Commission and the New York Stock Exchange discussed under “Item 1. Election of Directors—Director Independence.” The following graphic and narrative depict the Compensation Committee’s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99695</wp:posOffset>
            </wp:positionV>
            <wp:extent cx="3498850" cy="9759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98850"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Role of Compensation Committee</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Compensation Committee reviews each element of compensation annually to confirm or improve alignment with stated compensation objectives. As a result of its review, the Compensation Committee may approve adjustments to base salary, short-term and long-term incentive target compensation levels for the named executive officers to better align compensation with our market-based pay philosophy. In its review, the Compensation Committee also takes into consideration whether any incentive compensation target or performance objective could lead to a decision by an executive to take an inappropriate level of risk for the Company. In establishing individual incentive targets and awards, the Compensation Committee considers the data provided by its consultant, the level and nature of the executive’s responsibility, the executive’s experience and the Compensation Committee’s own qualitative assessment of the executive’s performance and contribution to the execution of the Company’s strategy. In making these determinations, the Compensation Committee also takes into account our Chief Executive Officer’s performance evaluations of and recommendations regarding his direct reports.</w:t>
      </w:r>
    </w:p>
    <w:p>
      <w:pPr>
        <w:spacing w:after="0" w:line="136"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Annually, the Compensation Committee directs its consultant to review the base salary and short-term and long-term incentive levels of our senior or named executive officers, as applicable. To ensure that our compensation programs are market-based, the compensation consultant analyzes and matches the position and responsibilities of each named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Role of Management</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Of our named executive officers, only our Chief Executive Officer has a role in determining executive compensation policies and programs. Our Chief Executive Officer works with business unit and functional leaders along with our internal compensation staff to provide information to the Compensation Committee to help ensure that all elements of compensation support our business strategy and goals.</w:t>
      </w:r>
    </w:p>
    <w:p>
      <w:pPr>
        <w:spacing w:after="0" w:line="136"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Our Chief Executive Officer also periodically reviews and recommends specific Company performance metrics to be used in short-term and long-term incentive plans. Our Chief Executive Officer works with the various business units</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and functional departments to develop these metrics, which are then presented to the Compensation Committee for its consideration and approval.</w:t>
      </w:r>
    </w:p>
    <w:p>
      <w:pPr>
        <w:spacing w:after="0" w:line="13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Compensation Committee’s independent consultant and then presented to the Committee for its consideration and approval.</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Within the parameters of the compensation policies established by the Compensation Committee, our Chief Executive Officer also makes preliminary recommendations for base salary adjustments and short-term and long-term incentive levels for the other named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Chief Executive Officer does not make any recommendations regarding his own compensation.</w:t>
      </w:r>
    </w:p>
    <w:p>
      <w:pPr>
        <w:spacing w:after="0" w:line="12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Role of Consultant</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To assist in carrying out its responsibilities, the Compensation Committee retains a consultant to provide independent advice on executive compensation and to perform specific tasks as requested by the Compensation Committee. The Compensation Committee retained Meridian Compensation Partners, LLC (Meridian) as its independent compensation consultant due in large part to its competitive market intelligence for executive pay and governance in the utilities and energy services industries. The consultant reports directly to the Compensation Committee, which preapproves the scope of work and the fees charged. The Compensation Committee or the Governance, Environmental and Sustainability Committee may direct our compensation consultant to perform additional analyses or research related to compensation issues.</w:t>
      </w:r>
    </w:p>
    <w:p>
      <w:pPr>
        <w:spacing w:after="0" w:line="138"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Compensation Committee reviews and assesses the independence and performance of its compensation consultant in accordance with applicable Securities and Exchange Commission and New York Stock Exchange rules on an annual basis to confirm that the consultant is independent and meets all applicable regulatory requirements. In making this determination, the Compensation Committee reviewed information provided by its compensation consultant including the following factors:</w:t>
      </w:r>
    </w:p>
    <w:p>
      <w:pPr>
        <w:spacing w:after="0" w:line="73" w:lineRule="exact"/>
        <w:rPr>
          <w:sz w:val="20"/>
          <w:szCs w:val="20"/>
          <w:color w:val="auto"/>
        </w:rPr>
      </w:pPr>
    </w:p>
    <w:p>
      <w:pPr>
        <w:ind w:left="2520" w:hanging="295"/>
        <w:spacing w:after="0"/>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the provision of other services to CenterPoint Energy by the compensation consultant;</w:t>
      </w:r>
    </w:p>
    <w:p>
      <w:pPr>
        <w:spacing w:after="0" w:line="80"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the amount of fees received from CenterPoint Energy by the compensation consultant as a percentage of total revenue of the compensation consultant;</w:t>
      </w:r>
    </w:p>
    <w:p>
      <w:pPr>
        <w:spacing w:after="0" w:line="67" w:lineRule="exact"/>
        <w:rPr>
          <w:rFonts w:ascii="Arial" w:cs="Arial" w:eastAsia="Arial" w:hAnsi="Arial"/>
          <w:sz w:val="12"/>
          <w:szCs w:val="12"/>
          <w:color w:val="009AD9"/>
        </w:rPr>
      </w:pPr>
    </w:p>
    <w:p>
      <w:pPr>
        <w:ind w:left="2520" w:hanging="295"/>
        <w:spacing w:after="0"/>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the policies and procedures of the compensation consultant that are designed to prevent conflicts of interest;</w:t>
      </w:r>
    </w:p>
    <w:p>
      <w:pPr>
        <w:spacing w:after="0" w:line="80"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any business or personal relationship of the Compensation Committee’s advisor (i.e., the employees of the compensation consultant that work on the CenterPoint Energy team) with a member of the Compensation Committee;</w:t>
      </w:r>
    </w:p>
    <w:p>
      <w:pPr>
        <w:spacing w:after="0" w:line="67"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any stock of CenterPoint Energy owned by the Compensation Committee’s advisor or the advisor’s immediate family members; and</w:t>
      </w:r>
    </w:p>
    <w:p>
      <w:pPr>
        <w:spacing w:after="0" w:line="67"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75"/>
        </w:numPr>
        <w:rPr>
          <w:rFonts w:ascii="Arial" w:cs="Arial" w:eastAsia="Arial" w:hAnsi="Arial"/>
          <w:sz w:val="12"/>
          <w:szCs w:val="12"/>
          <w:color w:val="009AD9"/>
        </w:rPr>
      </w:pPr>
      <w:r>
        <w:rPr>
          <w:rFonts w:ascii="Arial" w:cs="Arial" w:eastAsia="Arial" w:hAnsi="Arial"/>
          <w:sz w:val="12"/>
          <w:szCs w:val="12"/>
          <w:color w:val="auto"/>
        </w:rPr>
        <w:t>any business or personal relationship of the Compensation Committee’s advisor or any other employee of the compensation consultant with an executive officer at CenterPoint Energy.</w:t>
      </w:r>
    </w:p>
    <w:p>
      <w:pPr>
        <w:spacing w:after="0" w:line="131"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In particular, except for certain services provided to the Governance, Environmental and Sustainability Committee of the type detailed above, with respect to director compensation, the Compensation Committee noted that Meridian provided no other services to CenterPoint Energy.</w:t>
      </w:r>
    </w:p>
    <w:p>
      <w:pPr>
        <w:spacing w:after="0" w:line="131" w:lineRule="exact"/>
        <w:rPr>
          <w:sz w:val="20"/>
          <w:szCs w:val="20"/>
          <w:color w:val="auto"/>
        </w:rPr>
      </w:pPr>
    </w:p>
    <w:p>
      <w:pPr>
        <w:ind w:left="2220" w:hanging="230"/>
        <w:spacing w:after="0"/>
        <w:tabs>
          <w:tab w:leader="none" w:pos="2220" w:val="left"/>
        </w:tabs>
        <w:numPr>
          <w:ilvl w:val="0"/>
          <w:numId w:val="7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Our 2022 Peer Group</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In making decisions about executive pay programs and levels, the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p>
    <w:p>
      <w:pPr>
        <w:spacing w:after="0" w:line="13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Our peer group stayed the same from 2021 to 2022. This group of companies was identical to the group of companies used for measuring our relative total shareholder return under our 2022 long-term incentive compensation awards. For 2022, the peer group for proxy statement data consisted of the following 18 publicly traded utility companies:</w:t>
      </w:r>
    </w:p>
    <w:p>
      <w:pPr>
        <w:spacing w:after="0" w:line="138"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3660" w:type="dxa"/>
            <w:vAlign w:val="bottom"/>
            <w:gridSpan w:val="2"/>
          </w:tcPr>
          <w:p>
            <w:pPr>
              <w:ind w:left="580"/>
              <w:spacing w:after="0"/>
              <w:rPr>
                <w:sz w:val="20"/>
                <w:szCs w:val="20"/>
                <w:color w:val="auto"/>
              </w:rPr>
            </w:pPr>
            <w:r>
              <w:rPr>
                <w:rFonts w:ascii="Arial" w:cs="Arial" w:eastAsia="Arial" w:hAnsi="Arial"/>
                <w:sz w:val="12"/>
                <w:szCs w:val="12"/>
                <w:b w:val="1"/>
                <w:bCs w:val="1"/>
                <w:color w:val="009AD9"/>
              </w:rPr>
              <w:t>Alliant Energy Corporation</w:t>
            </w:r>
          </w:p>
        </w:tc>
        <w:tc>
          <w:tcPr>
            <w:tcW w:w="1760" w:type="dxa"/>
            <w:vAlign w:val="bottom"/>
          </w:tcPr>
          <w:p>
            <w:pPr>
              <w:ind w:left="240"/>
              <w:spacing w:after="0"/>
              <w:rPr>
                <w:sz w:val="20"/>
                <w:szCs w:val="20"/>
                <w:color w:val="auto"/>
              </w:rPr>
            </w:pPr>
            <w:r>
              <w:rPr>
                <w:rFonts w:ascii="Arial" w:cs="Arial" w:eastAsia="Arial" w:hAnsi="Arial"/>
                <w:sz w:val="12"/>
                <w:szCs w:val="12"/>
                <w:b w:val="1"/>
                <w:bCs w:val="1"/>
                <w:color w:val="009AD9"/>
              </w:rPr>
              <w:t>Entergy Corporation</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Ameren Corporation</w:t>
            </w:r>
          </w:p>
        </w:tc>
        <w:tc>
          <w:tcPr>
            <w:tcW w:w="1760" w:type="dxa"/>
            <w:vAlign w:val="bottom"/>
          </w:tcPr>
          <w:p>
            <w:pPr>
              <w:ind w:left="240"/>
              <w:spacing w:after="0" w:line="137" w:lineRule="exact"/>
              <w:rPr>
                <w:sz w:val="20"/>
                <w:szCs w:val="20"/>
                <w:color w:val="auto"/>
              </w:rPr>
            </w:pPr>
            <w:r>
              <w:rPr>
                <w:rFonts w:ascii="Arial" w:cs="Arial" w:eastAsia="Arial" w:hAnsi="Arial"/>
                <w:sz w:val="12"/>
                <w:szCs w:val="12"/>
                <w:b w:val="1"/>
                <w:bCs w:val="1"/>
                <w:color w:val="009AD9"/>
              </w:rPr>
              <w:t>Evergy, Inc.</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American Electric Power Company, Inc.</w:t>
            </w:r>
          </w:p>
        </w:tc>
        <w:tc>
          <w:tcPr>
            <w:tcW w:w="1760" w:type="dxa"/>
            <w:vAlign w:val="bottom"/>
          </w:tcPr>
          <w:p>
            <w:pPr>
              <w:ind w:left="240"/>
              <w:spacing w:after="0" w:line="137" w:lineRule="exact"/>
              <w:rPr>
                <w:sz w:val="20"/>
                <w:szCs w:val="20"/>
                <w:color w:val="auto"/>
              </w:rPr>
            </w:pPr>
            <w:r>
              <w:rPr>
                <w:rFonts w:ascii="Arial" w:cs="Arial" w:eastAsia="Arial" w:hAnsi="Arial"/>
                <w:sz w:val="12"/>
                <w:szCs w:val="12"/>
                <w:b w:val="1"/>
                <w:bCs w:val="1"/>
                <w:color w:val="009AD9"/>
              </w:rPr>
              <w:t>Eversource Energy</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Atmos Energy Corporation</w:t>
            </w:r>
          </w:p>
        </w:tc>
        <w:tc>
          <w:tcPr>
            <w:tcW w:w="1760" w:type="dxa"/>
            <w:vAlign w:val="bottom"/>
          </w:tcPr>
          <w:p>
            <w:pPr>
              <w:ind w:left="240"/>
              <w:spacing w:after="0" w:line="137" w:lineRule="exact"/>
              <w:rPr>
                <w:sz w:val="20"/>
                <w:szCs w:val="20"/>
                <w:color w:val="auto"/>
              </w:rPr>
            </w:pPr>
            <w:r>
              <w:rPr>
                <w:rFonts w:ascii="Arial" w:cs="Arial" w:eastAsia="Arial" w:hAnsi="Arial"/>
                <w:sz w:val="12"/>
                <w:szCs w:val="12"/>
                <w:b w:val="1"/>
                <w:bCs w:val="1"/>
                <w:color w:val="009AD9"/>
              </w:rPr>
              <w:t>NiSource Inc.</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Avangrid, Inc.</w:t>
            </w:r>
          </w:p>
        </w:tc>
        <w:tc>
          <w:tcPr>
            <w:tcW w:w="2880" w:type="dxa"/>
            <w:vAlign w:val="bottom"/>
            <w:gridSpan w:val="3"/>
          </w:tcPr>
          <w:p>
            <w:pPr>
              <w:ind w:left="240"/>
              <w:spacing w:after="0" w:line="137" w:lineRule="exact"/>
              <w:rPr>
                <w:sz w:val="20"/>
                <w:szCs w:val="20"/>
                <w:color w:val="auto"/>
              </w:rPr>
            </w:pPr>
            <w:r>
              <w:rPr>
                <w:rFonts w:ascii="Arial" w:cs="Arial" w:eastAsia="Arial" w:hAnsi="Arial"/>
                <w:sz w:val="12"/>
                <w:szCs w:val="12"/>
                <w:b w:val="1"/>
                <w:bCs w:val="1"/>
                <w:color w:val="009AD9"/>
              </w:rPr>
              <w:t>Pinnacle West Capital Corporation</w:t>
            </w: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CMS Energy Corporation</w:t>
            </w:r>
          </w:p>
        </w:tc>
        <w:tc>
          <w:tcPr>
            <w:tcW w:w="2880" w:type="dxa"/>
            <w:vAlign w:val="bottom"/>
            <w:gridSpan w:val="3"/>
          </w:tcPr>
          <w:p>
            <w:pPr>
              <w:ind w:left="240"/>
              <w:spacing w:after="0" w:line="137" w:lineRule="exact"/>
              <w:rPr>
                <w:sz w:val="20"/>
                <w:szCs w:val="20"/>
                <w:color w:val="auto"/>
              </w:rPr>
            </w:pPr>
            <w:r>
              <w:rPr>
                <w:rFonts w:ascii="Arial" w:cs="Arial" w:eastAsia="Arial" w:hAnsi="Arial"/>
                <w:sz w:val="12"/>
                <w:szCs w:val="12"/>
                <w:b w:val="1"/>
                <w:bCs w:val="1"/>
                <w:color w:val="009AD9"/>
              </w:rPr>
              <w:t>Public Service Enterprise Group Incorporated</w:t>
            </w: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Consolidated Edison, Inc.</w:t>
            </w:r>
          </w:p>
        </w:tc>
        <w:tc>
          <w:tcPr>
            <w:tcW w:w="1760" w:type="dxa"/>
            <w:vAlign w:val="bottom"/>
          </w:tcPr>
          <w:p>
            <w:pPr>
              <w:ind w:left="240"/>
              <w:spacing w:after="0" w:line="137" w:lineRule="exact"/>
              <w:rPr>
                <w:sz w:val="20"/>
                <w:szCs w:val="20"/>
                <w:color w:val="auto"/>
              </w:rPr>
            </w:pPr>
            <w:r>
              <w:rPr>
                <w:rFonts w:ascii="Arial" w:cs="Arial" w:eastAsia="Arial" w:hAnsi="Arial"/>
                <w:sz w:val="12"/>
                <w:szCs w:val="12"/>
                <w:b w:val="1"/>
                <w:bCs w:val="1"/>
                <w:color w:val="009AD9"/>
              </w:rPr>
              <w:t>Sempra Energy</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660" w:type="dxa"/>
            <w:vAlign w:val="bottom"/>
            <w:gridSpan w:val="2"/>
          </w:tcPr>
          <w:p>
            <w:pPr>
              <w:ind w:left="580"/>
              <w:spacing w:after="0" w:line="137" w:lineRule="exact"/>
              <w:rPr>
                <w:sz w:val="20"/>
                <w:szCs w:val="20"/>
                <w:color w:val="auto"/>
              </w:rPr>
            </w:pPr>
            <w:r>
              <w:rPr>
                <w:rFonts w:ascii="Arial" w:cs="Arial" w:eastAsia="Arial" w:hAnsi="Arial"/>
                <w:sz w:val="12"/>
                <w:szCs w:val="12"/>
                <w:b w:val="1"/>
                <w:bCs w:val="1"/>
                <w:color w:val="009AD9"/>
              </w:rPr>
              <w:t>DTE Energy Company</w:t>
            </w:r>
          </w:p>
        </w:tc>
        <w:tc>
          <w:tcPr>
            <w:tcW w:w="1760" w:type="dxa"/>
            <w:vAlign w:val="bottom"/>
          </w:tcPr>
          <w:p>
            <w:pPr>
              <w:ind w:left="240"/>
              <w:spacing w:after="0" w:line="137" w:lineRule="exact"/>
              <w:rPr>
                <w:sz w:val="20"/>
                <w:szCs w:val="20"/>
                <w:color w:val="auto"/>
              </w:rPr>
            </w:pPr>
            <w:r>
              <w:rPr>
                <w:rFonts w:ascii="Arial" w:cs="Arial" w:eastAsia="Arial" w:hAnsi="Arial"/>
                <w:sz w:val="12"/>
                <w:szCs w:val="12"/>
                <w:b w:val="1"/>
                <w:bCs w:val="1"/>
                <w:color w:val="009AD9"/>
              </w:rPr>
              <w:t>WEC Energy Group, Inc.</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0"/>
        </w:trPr>
        <w:tc>
          <w:tcPr>
            <w:tcW w:w="3660" w:type="dxa"/>
            <w:vAlign w:val="bottom"/>
            <w:gridSpan w:val="2"/>
          </w:tcPr>
          <w:p>
            <w:pPr>
              <w:ind w:left="580"/>
              <w:spacing w:after="0"/>
              <w:rPr>
                <w:sz w:val="20"/>
                <w:szCs w:val="20"/>
                <w:color w:val="auto"/>
              </w:rPr>
            </w:pPr>
            <w:r>
              <w:rPr>
                <w:rFonts w:ascii="Arial" w:cs="Arial" w:eastAsia="Arial" w:hAnsi="Arial"/>
                <w:sz w:val="12"/>
                <w:szCs w:val="12"/>
                <w:b w:val="1"/>
                <w:bCs w:val="1"/>
                <w:color w:val="009AD9"/>
              </w:rPr>
              <w:t>Edison International</w:t>
            </w:r>
          </w:p>
        </w:tc>
        <w:tc>
          <w:tcPr>
            <w:tcW w:w="1760" w:type="dxa"/>
            <w:vAlign w:val="bottom"/>
          </w:tcPr>
          <w:p>
            <w:pPr>
              <w:ind w:left="240"/>
              <w:spacing w:after="0"/>
              <w:rPr>
                <w:sz w:val="20"/>
                <w:szCs w:val="20"/>
                <w:color w:val="auto"/>
              </w:rPr>
            </w:pPr>
            <w:r>
              <w:rPr>
                <w:rFonts w:ascii="Arial" w:cs="Arial" w:eastAsia="Arial" w:hAnsi="Arial"/>
                <w:sz w:val="12"/>
                <w:szCs w:val="12"/>
                <w:b w:val="1"/>
                <w:bCs w:val="1"/>
                <w:color w:val="009AD9"/>
              </w:rPr>
              <w:t>Xcel Energy Inc.</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2"/>
        </w:trPr>
        <w:tc>
          <w:tcPr>
            <w:tcW w:w="5420" w:type="dxa"/>
            <w:vAlign w:val="bottom"/>
            <w:gridSpan w:val="3"/>
          </w:tcPr>
          <w:p>
            <w:pPr>
              <w:spacing w:after="0"/>
              <w:rPr>
                <w:sz w:val="20"/>
                <w:szCs w:val="20"/>
                <w:color w:val="auto"/>
              </w:rPr>
            </w:pPr>
            <w:r>
              <w:rPr>
                <w:rFonts w:ascii="Arial" w:cs="Arial" w:eastAsia="Arial" w:hAnsi="Arial"/>
                <w:sz w:val="12"/>
                <w:szCs w:val="12"/>
                <w:color w:val="auto"/>
              </w:rPr>
              <w:t>This peer group had median revenues and assets comparable to CenterPoint Energy.</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55"/>
        </w:trPr>
        <w:tc>
          <w:tcPr>
            <w:tcW w:w="1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2660" w:type="dxa"/>
            <w:vAlign w:val="bottom"/>
            <w:shd w:val="clear" w:color="auto" w:fill="009AD9"/>
          </w:tcPr>
          <w:p>
            <w:pPr>
              <w:spacing w:after="0"/>
              <w:rPr>
                <w:sz w:val="14"/>
                <w:szCs w:val="14"/>
                <w:color w:val="auto"/>
              </w:rPr>
            </w:pPr>
          </w:p>
        </w:tc>
        <w:tc>
          <w:tcPr>
            <w:tcW w:w="1760" w:type="dxa"/>
            <w:vAlign w:val="bottom"/>
            <w:shd w:val="clear" w:color="auto" w:fill="009AD9"/>
          </w:tcPr>
          <w:p>
            <w:pPr>
              <w:ind w:left="320"/>
              <w:spacing w:after="0"/>
              <w:rPr>
                <w:sz w:val="20"/>
                <w:szCs w:val="20"/>
                <w:color w:val="auto"/>
              </w:rPr>
            </w:pPr>
            <w:r>
              <w:rPr>
                <w:rFonts w:ascii="Arial" w:cs="Arial" w:eastAsia="Arial" w:hAnsi="Arial"/>
                <w:sz w:val="11"/>
                <w:szCs w:val="11"/>
                <w:b w:val="1"/>
                <w:bCs w:val="1"/>
                <w:color w:val="FFFFFF"/>
              </w:rPr>
              <w:t>TOTAL REVENUE</w:t>
            </w:r>
          </w:p>
        </w:tc>
        <w:tc>
          <w:tcPr>
            <w:tcW w:w="980" w:type="dxa"/>
            <w:vAlign w:val="bottom"/>
            <w:shd w:val="clear" w:color="auto" w:fill="009AD9"/>
          </w:tcPr>
          <w:p>
            <w:pPr>
              <w:ind w:left="120"/>
              <w:spacing w:after="0"/>
              <w:rPr>
                <w:sz w:val="20"/>
                <w:szCs w:val="20"/>
                <w:color w:val="auto"/>
              </w:rPr>
            </w:pPr>
            <w:r>
              <w:rPr>
                <w:rFonts w:ascii="Arial" w:cs="Arial" w:eastAsia="Arial" w:hAnsi="Arial"/>
                <w:sz w:val="11"/>
                <w:szCs w:val="11"/>
                <w:b w:val="1"/>
                <w:bCs w:val="1"/>
                <w:color w:val="FFFFFF"/>
              </w:rPr>
              <w:t>TOTAL ASSETS</w:t>
            </w:r>
          </w:p>
        </w:tc>
        <w:tc>
          <w:tcPr>
            <w:tcW w:w="140" w:type="dxa"/>
            <w:vAlign w:val="bottom"/>
          </w:tcPr>
          <w:p>
            <w:pPr>
              <w:spacing w:after="0"/>
              <w:rPr>
                <w:sz w:val="14"/>
                <w:szCs w:val="14"/>
                <w:color w:val="auto"/>
              </w:rPr>
            </w:pPr>
          </w:p>
        </w:tc>
      </w:tr>
      <w:tr>
        <w:trPr>
          <w:trHeight w:val="145"/>
        </w:trPr>
        <w:tc>
          <w:tcPr>
            <w:tcW w:w="1000" w:type="dxa"/>
            <w:vAlign w:val="bottom"/>
          </w:tcPr>
          <w:p>
            <w:pPr>
              <w:spacing w:after="0"/>
              <w:rPr>
                <w:sz w:val="12"/>
                <w:szCs w:val="12"/>
                <w:color w:val="auto"/>
              </w:rPr>
            </w:pPr>
          </w:p>
        </w:tc>
        <w:tc>
          <w:tcPr>
            <w:tcW w:w="2660" w:type="dxa"/>
            <w:vAlign w:val="bottom"/>
            <w:shd w:val="clear" w:color="auto" w:fill="009AD9"/>
          </w:tcPr>
          <w:p>
            <w:pPr>
              <w:spacing w:after="0"/>
              <w:rPr>
                <w:sz w:val="12"/>
                <w:szCs w:val="12"/>
                <w:color w:val="auto"/>
              </w:rPr>
            </w:pPr>
          </w:p>
        </w:tc>
        <w:tc>
          <w:tcPr>
            <w:tcW w:w="2740" w:type="dxa"/>
            <w:vAlign w:val="bottom"/>
            <w:gridSpan w:val="2"/>
            <w:shd w:val="clear" w:color="auto" w:fill="009AD9"/>
          </w:tcPr>
          <w:p>
            <w:pPr>
              <w:ind w:left="700"/>
              <w:spacing w:after="0"/>
              <w:rPr>
                <w:sz w:val="20"/>
                <w:szCs w:val="20"/>
                <w:color w:val="auto"/>
              </w:rPr>
            </w:pPr>
            <w:r>
              <w:rPr>
                <w:rFonts w:ascii="Arial" w:cs="Arial" w:eastAsia="Arial" w:hAnsi="Arial"/>
                <w:sz w:val="10"/>
                <w:szCs w:val="10"/>
                <w:b w:val="1"/>
                <w:bCs w:val="1"/>
                <w:color w:val="FFFFFF"/>
              </w:rPr>
              <w:t>(in millions, except for percentages)</w:t>
            </w:r>
          </w:p>
        </w:tc>
        <w:tc>
          <w:tcPr>
            <w:tcW w:w="140" w:type="dxa"/>
            <w:vAlign w:val="bottom"/>
          </w:tcPr>
          <w:p>
            <w:pPr>
              <w:spacing w:after="0"/>
              <w:rPr>
                <w:sz w:val="12"/>
                <w:szCs w:val="12"/>
                <w:color w:val="auto"/>
              </w:rPr>
            </w:pPr>
          </w:p>
        </w:tc>
      </w:tr>
      <w:tr>
        <w:trPr>
          <w:trHeight w:val="143"/>
        </w:trPr>
        <w:tc>
          <w:tcPr>
            <w:tcW w:w="1000" w:type="dxa"/>
            <w:vAlign w:val="bottom"/>
          </w:tcPr>
          <w:p>
            <w:pPr>
              <w:spacing w:after="0"/>
              <w:rPr>
                <w:sz w:val="12"/>
                <w:szCs w:val="12"/>
                <w:color w:val="auto"/>
              </w:rPr>
            </w:pPr>
          </w:p>
        </w:tc>
        <w:tc>
          <w:tcPr>
            <w:tcW w:w="2660" w:type="dxa"/>
            <w:vAlign w:val="bottom"/>
          </w:tcPr>
          <w:p>
            <w:pPr>
              <w:ind w:left="60"/>
              <w:spacing w:after="0"/>
              <w:rPr>
                <w:sz w:val="20"/>
                <w:szCs w:val="20"/>
                <w:color w:val="auto"/>
              </w:rPr>
            </w:pPr>
            <w:r>
              <w:rPr>
                <w:rFonts w:ascii="Arial" w:cs="Arial" w:eastAsia="Arial" w:hAnsi="Arial"/>
                <w:sz w:val="11"/>
                <w:szCs w:val="11"/>
                <w:b w:val="1"/>
                <w:bCs w:val="1"/>
                <w:color w:val="auto"/>
              </w:rPr>
              <w:t>CenterPoint Energy, Inc.</w:t>
            </w:r>
          </w:p>
        </w:tc>
        <w:tc>
          <w:tcPr>
            <w:tcW w:w="1760" w:type="dxa"/>
            <w:vAlign w:val="bottom"/>
          </w:tcPr>
          <w:p>
            <w:pPr>
              <w:jc w:val="right"/>
              <w:ind w:right="762"/>
              <w:spacing w:after="0"/>
              <w:rPr>
                <w:sz w:val="20"/>
                <w:szCs w:val="20"/>
                <w:color w:val="auto"/>
              </w:rPr>
            </w:pPr>
            <w:r>
              <w:rPr>
                <w:rFonts w:ascii="Arial" w:cs="Arial" w:eastAsia="Arial" w:hAnsi="Arial"/>
                <w:sz w:val="11"/>
                <w:szCs w:val="11"/>
                <w:color w:val="auto"/>
              </w:rPr>
              <w:t>$8,770</w:t>
            </w:r>
          </w:p>
        </w:tc>
        <w:tc>
          <w:tcPr>
            <w:tcW w:w="980" w:type="dxa"/>
            <w:vAlign w:val="bottom"/>
          </w:tcPr>
          <w:p>
            <w:pPr>
              <w:jc w:val="right"/>
              <w:ind w:right="185"/>
              <w:spacing w:after="0"/>
              <w:rPr>
                <w:sz w:val="20"/>
                <w:szCs w:val="20"/>
                <w:color w:val="auto"/>
              </w:rPr>
            </w:pPr>
            <w:r>
              <w:rPr>
                <w:rFonts w:ascii="Arial" w:cs="Arial" w:eastAsia="Arial" w:hAnsi="Arial"/>
                <w:sz w:val="11"/>
                <w:szCs w:val="11"/>
                <w:color w:val="auto"/>
              </w:rPr>
              <w:t>$36,216</w:t>
            </w:r>
          </w:p>
        </w:tc>
        <w:tc>
          <w:tcPr>
            <w:tcW w:w="140" w:type="dxa"/>
            <w:vAlign w:val="bottom"/>
          </w:tcPr>
          <w:p>
            <w:pPr>
              <w:spacing w:after="0"/>
              <w:rPr>
                <w:sz w:val="12"/>
                <w:szCs w:val="12"/>
                <w:color w:val="auto"/>
              </w:rPr>
            </w:pPr>
          </w:p>
        </w:tc>
      </w:tr>
      <w:tr>
        <w:trPr>
          <w:trHeight w:val="57"/>
        </w:trPr>
        <w:tc>
          <w:tcPr>
            <w:tcW w:w="10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43"/>
        </w:trPr>
        <w:tc>
          <w:tcPr>
            <w:tcW w:w="1000" w:type="dxa"/>
            <w:vAlign w:val="bottom"/>
          </w:tcPr>
          <w:p>
            <w:pPr>
              <w:spacing w:after="0"/>
              <w:rPr>
                <w:sz w:val="12"/>
                <w:szCs w:val="12"/>
                <w:color w:val="auto"/>
              </w:rPr>
            </w:pPr>
          </w:p>
        </w:tc>
        <w:tc>
          <w:tcPr>
            <w:tcW w:w="2660" w:type="dxa"/>
            <w:vAlign w:val="bottom"/>
            <w:shd w:val="clear" w:color="auto" w:fill="D8EFF9"/>
          </w:tcPr>
          <w:p>
            <w:pPr>
              <w:ind w:left="60"/>
              <w:spacing w:after="0"/>
              <w:rPr>
                <w:sz w:val="20"/>
                <w:szCs w:val="20"/>
                <w:color w:val="auto"/>
              </w:rPr>
            </w:pPr>
            <w:r>
              <w:rPr>
                <w:rFonts w:ascii="Arial" w:cs="Arial" w:eastAsia="Arial" w:hAnsi="Arial"/>
                <w:sz w:val="11"/>
                <w:szCs w:val="11"/>
                <w:b w:val="1"/>
                <w:bCs w:val="1"/>
                <w:color w:val="auto"/>
              </w:rPr>
              <w:t>Relative Percentile Rank Position</w:t>
            </w:r>
          </w:p>
        </w:tc>
        <w:tc>
          <w:tcPr>
            <w:tcW w:w="1760" w:type="dxa"/>
            <w:vAlign w:val="bottom"/>
            <w:shd w:val="clear" w:color="auto" w:fill="D8EFF9"/>
          </w:tcPr>
          <w:p>
            <w:pPr>
              <w:jc w:val="right"/>
              <w:ind w:right="822"/>
              <w:spacing w:after="0"/>
              <w:rPr>
                <w:sz w:val="20"/>
                <w:szCs w:val="20"/>
                <w:color w:val="auto"/>
              </w:rPr>
            </w:pPr>
            <w:r>
              <w:rPr>
                <w:rFonts w:ascii="Arial" w:cs="Arial" w:eastAsia="Arial" w:hAnsi="Arial"/>
                <w:sz w:val="11"/>
                <w:szCs w:val="11"/>
                <w:color w:val="auto"/>
              </w:rPr>
              <w:t>44%</w:t>
            </w:r>
          </w:p>
        </w:tc>
        <w:tc>
          <w:tcPr>
            <w:tcW w:w="980" w:type="dxa"/>
            <w:vAlign w:val="bottom"/>
            <w:shd w:val="clear" w:color="auto" w:fill="D8EFF9"/>
          </w:tcPr>
          <w:p>
            <w:pPr>
              <w:jc w:val="right"/>
              <w:ind w:right="265"/>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2"/>
                <w:szCs w:val="12"/>
                <w:color w:val="auto"/>
              </w:rPr>
            </w:pPr>
          </w:p>
        </w:tc>
      </w:tr>
      <w:tr>
        <w:trPr>
          <w:trHeight w:val="57"/>
        </w:trPr>
        <w:tc>
          <w:tcPr>
            <w:tcW w:w="1000" w:type="dxa"/>
            <w:vAlign w:val="bottom"/>
          </w:tcPr>
          <w:p>
            <w:pPr>
              <w:spacing w:after="0"/>
              <w:rPr>
                <w:sz w:val="4"/>
                <w:szCs w:val="4"/>
                <w:color w:val="auto"/>
              </w:rPr>
            </w:pPr>
          </w:p>
        </w:tc>
        <w:tc>
          <w:tcPr>
            <w:tcW w:w="2660" w:type="dxa"/>
            <w:vAlign w:val="bottom"/>
            <w:shd w:val="clear" w:color="auto" w:fill="D8EFF9"/>
          </w:tcPr>
          <w:p>
            <w:pPr>
              <w:spacing w:after="0"/>
              <w:rPr>
                <w:sz w:val="4"/>
                <w:szCs w:val="4"/>
                <w:color w:val="auto"/>
              </w:rPr>
            </w:pPr>
          </w:p>
        </w:tc>
        <w:tc>
          <w:tcPr>
            <w:tcW w:w="1760" w:type="dxa"/>
            <w:vAlign w:val="bottom"/>
            <w:shd w:val="clear" w:color="auto" w:fill="D8EFF9"/>
          </w:tcPr>
          <w:p>
            <w:pPr>
              <w:spacing w:after="0"/>
              <w:rPr>
                <w:sz w:val="4"/>
                <w:szCs w:val="4"/>
                <w:color w:val="auto"/>
              </w:rPr>
            </w:pPr>
          </w:p>
        </w:tc>
        <w:tc>
          <w:tcPr>
            <w:tcW w:w="980" w:type="dxa"/>
            <w:vAlign w:val="bottom"/>
            <w:shd w:val="clear" w:color="auto" w:fill="D8EFF9"/>
          </w:tcPr>
          <w:p>
            <w:pPr>
              <w:spacing w:after="0"/>
              <w:rPr>
                <w:sz w:val="4"/>
                <w:szCs w:val="4"/>
                <w:color w:val="auto"/>
              </w:rPr>
            </w:pPr>
          </w:p>
        </w:tc>
        <w:tc>
          <w:tcPr>
            <w:tcW w:w="140" w:type="dxa"/>
            <w:vAlign w:val="bottom"/>
          </w:tcPr>
          <w:p>
            <w:pPr>
              <w:spacing w:after="0"/>
              <w:rPr>
                <w:sz w:val="4"/>
                <w:szCs w:val="4"/>
                <w:color w:val="auto"/>
              </w:rPr>
            </w:pPr>
          </w:p>
        </w:tc>
      </w:tr>
    </w:tbl>
    <w:p>
      <w:pPr>
        <w:ind w:left="2980"/>
        <w:spacing w:after="0" w:line="234" w:lineRule="auto"/>
        <w:rPr>
          <w:sz w:val="20"/>
          <w:szCs w:val="20"/>
          <w:color w:val="auto"/>
        </w:rPr>
      </w:pPr>
      <w:r>
        <w:rPr>
          <w:rFonts w:ascii="Arial" w:cs="Arial" w:eastAsia="Arial" w:hAnsi="Arial"/>
          <w:sz w:val="10"/>
          <w:szCs w:val="10"/>
          <w:i w:val="1"/>
          <w:iCs w:val="1"/>
          <w:color w:val="auto"/>
        </w:rPr>
        <w:t>Data is presented as of June 30, 2022 and sourced from FactSet</w:t>
      </w:r>
    </w:p>
    <w:p>
      <w:pPr>
        <w:ind w:left="2980"/>
        <w:spacing w:after="0"/>
        <w:rPr>
          <w:sz w:val="20"/>
          <w:szCs w:val="20"/>
          <w:color w:val="auto"/>
        </w:rPr>
      </w:pPr>
      <w:r>
        <w:rPr>
          <w:rFonts w:ascii="Arial" w:cs="Arial" w:eastAsia="Arial" w:hAnsi="Arial"/>
          <w:sz w:val="10"/>
          <w:szCs w:val="10"/>
          <w:i w:val="1"/>
          <w:iCs w:val="1"/>
          <w:color w:val="auto"/>
        </w:rPr>
        <w:t>Revenue represents trailing twelve months ended June 30, 2022</w:t>
      </w:r>
    </w:p>
    <w:p>
      <w:pPr>
        <w:spacing w:after="0" w:line="195"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Review of Tally Sheets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At least annually, the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Compensation Committee to show how various compensation and benefits amounts are interrelated and how changes in one component of compensation impact other components and to enable Compensation Committee members to quantify amounts payable upon various termination scenarios.</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Other Compensation Programs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Benefits</w:t>
      </w:r>
    </w:p>
    <w:p>
      <w:pPr>
        <w:spacing w:after="0" w:line="85"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We have maintained a defined benefit plan for eligible employees since 1953 to help employees provide for retirement and to retain employees. This plan is closed to all employees hired or rehired on or after January 1, 2020</w:t>
      </w:r>
    </w:p>
    <w:p>
      <w:pPr>
        <w:spacing w:after="0" w:line="154"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0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(or January 1, 2021 with respect to certain union employees).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Tables—Pension Benefits” for a description of the retirement plan and benefit restoration plan. The present value of the accumulated benefits under the plans for each named executive officer is set forth in the Pension Benefits table.</w:t>
      </w:r>
    </w:p>
    <w:p>
      <w:pPr>
        <w:spacing w:after="0" w:line="139"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We maintain a savings plan, which includes employer contributions, designed to encourage all employees to help provide for their own retirement and to attract and retain employees. We also have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Employer contributions to the plans for the named executive officers are included in the footnote to the All Other Compensation column of the Summary Compensation Table.</w:t>
      </w:r>
    </w:p>
    <w:p>
      <w:pPr>
        <w:spacing w:after="0" w:line="272"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Prior to January 1, 2023, our named executive officers could defer salary and short-term incentive compensation under our deferred compensation plan. The plan was frozen as of January 1, 2023 such that no further compensation may be deferred under the plan after that date. For further information and a description of the plan, see “Executive Compensation Tables— Deferred Compensation Plans.” The above-market portion of the 2022 aggregate earnings is reported in the Change in Pension Value and Nonqualified Deferred Compensation Earnings column of the Summary Compensation Table.</w:t>
      </w:r>
    </w:p>
    <w:p>
      <w:pPr>
        <w:spacing w:after="0" w:line="138"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Termination Benefits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As described later in the section titled “Executive Compensation Tables—Potential Payments upon Change in Control or Termination,” CenterPoint Energy has a change in control plan that is intended to help ensure that our officers, including our named executive officers,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w:t>
      </w:r>
    </w:p>
    <w:p>
      <w:pPr>
        <w:spacing w:after="0" w:line="139"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We do not maintain individual employee agreements or a separate non-change-in-control severance plan for executives. However, in response to shareholder feedback, the Compensation Committee has adopted executive severance guidelines that set forth appropriate limits on any severance payments to our named executive officers. The guidelines do not entitle any executive to severance benefits upon termination. The Compensation Committee continues to have discretion to determine a named executive officer’s eligibility for severance benefits, and the amounts of any benefits, and has committed to applying the limitations set forth in the guidelines in its determination. For a more detailed discussion, refer to “Executive Compensation Tables—Potential Payments upon Change in Control or Termination.”</w:t>
      </w:r>
    </w:p>
    <w:p>
      <w:pPr>
        <w:spacing w:after="0" w:line="135" w:lineRule="exact"/>
        <w:rPr>
          <w:sz w:val="20"/>
          <w:szCs w:val="20"/>
          <w:color w:val="auto"/>
        </w:rPr>
      </w:pPr>
    </w:p>
    <w:p>
      <w:pPr>
        <w:ind w:left="2220" w:hanging="230"/>
        <w:spacing w:after="0"/>
        <w:tabs>
          <w:tab w:leader="none" w:pos="2220" w:val="left"/>
        </w:tabs>
        <w:numPr>
          <w:ilvl w:val="0"/>
          <w:numId w:val="77"/>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Perquisites</w:t>
      </w:r>
    </w:p>
    <w:p>
      <w:pPr>
        <w:spacing w:after="0" w:line="85"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We do not consider perquisites to be a material component of our executive compensation. In 2022, certain of our named executive officers received certain perquisites and limited personal benefits that we view as having a sound value to our business.</w:t>
      </w:r>
    </w:p>
    <w:p>
      <w:pPr>
        <w:spacing w:after="0" w:line="53" w:lineRule="exact"/>
        <w:rPr>
          <w:sz w:val="20"/>
          <w:szCs w:val="20"/>
          <w:color w:val="auto"/>
        </w:rPr>
      </w:pPr>
    </w:p>
    <w:p>
      <w:pPr>
        <w:jc w:val="both"/>
        <w:ind w:left="2520" w:right="799" w:hanging="295"/>
        <w:spacing w:after="0" w:line="244" w:lineRule="auto"/>
        <w:tabs>
          <w:tab w:leader="none" w:pos="2520" w:val="left"/>
        </w:tabs>
        <w:numPr>
          <w:ilvl w:val="0"/>
          <w:numId w:val="78"/>
        </w:numPr>
        <w:rPr>
          <w:rFonts w:ascii="Arial" w:cs="Arial" w:eastAsia="Arial" w:hAnsi="Arial"/>
          <w:sz w:val="12"/>
          <w:szCs w:val="12"/>
          <w:color w:val="009AD9"/>
        </w:rPr>
      </w:pPr>
      <w:r>
        <w:rPr>
          <w:rFonts w:ascii="Arial" w:cs="Arial" w:eastAsia="Arial" w:hAnsi="Arial"/>
          <w:sz w:val="12"/>
          <w:szCs w:val="12"/>
          <w:b w:val="1"/>
          <w:bCs w:val="1"/>
          <w:color w:val="auto"/>
        </w:rPr>
        <w:t>Security-related Services</w:t>
      </w:r>
      <w:r>
        <w:rPr>
          <w:rFonts w:ascii="Arial" w:cs="Arial" w:eastAsia="Arial" w:hAnsi="Arial"/>
          <w:sz w:val="12"/>
          <w:szCs w:val="12"/>
          <w:color w:val="auto"/>
        </w:rPr>
        <w:t>. Upon Mr. Lesar’s appointment as President and Chief Executive Officer, the Company obtained a</w:t>
      </w:r>
      <w:r>
        <w:rPr>
          <w:rFonts w:ascii="Arial" w:cs="Arial" w:eastAsia="Arial" w:hAnsi="Arial"/>
          <w:sz w:val="12"/>
          <w:szCs w:val="12"/>
          <w:b w:val="1"/>
          <w:bCs w:val="1"/>
          <w:color w:val="auto"/>
        </w:rPr>
        <w:t xml:space="preserve"> </w:t>
      </w:r>
      <w:r>
        <w:rPr>
          <w:rFonts w:ascii="Arial" w:cs="Arial" w:eastAsia="Arial" w:hAnsi="Arial"/>
          <w:sz w:val="12"/>
          <w:szCs w:val="12"/>
          <w:color w:val="auto"/>
        </w:rPr>
        <w:t>comprehensive security risk assessment conducted by an independent security consultant. As a result of such security consultant’s recommendations, the Company determined that Mr. Lesar should receive certain security-related services during 2022, most notably the use of a car and security driver and for security personnel as accompaniment on business-related travel. The Company believes the provision of these security-related services mitigates risk to the Company by supporting Mr. Lesar’s safety, health and well-being.</w:t>
      </w:r>
    </w:p>
    <w:p>
      <w:pPr>
        <w:spacing w:after="0" w:line="58" w:lineRule="exact"/>
        <w:rPr>
          <w:rFonts w:ascii="Arial" w:cs="Arial" w:eastAsia="Arial" w:hAnsi="Arial"/>
          <w:sz w:val="12"/>
          <w:szCs w:val="12"/>
          <w:color w:val="009AD9"/>
        </w:rPr>
      </w:pPr>
    </w:p>
    <w:p>
      <w:pPr>
        <w:jc w:val="both"/>
        <w:ind w:left="2520" w:right="799" w:hanging="295"/>
        <w:spacing w:after="0" w:line="244" w:lineRule="auto"/>
        <w:tabs>
          <w:tab w:leader="none" w:pos="2520" w:val="left"/>
        </w:tabs>
        <w:numPr>
          <w:ilvl w:val="0"/>
          <w:numId w:val="78"/>
        </w:numPr>
        <w:rPr>
          <w:rFonts w:ascii="Arial" w:cs="Arial" w:eastAsia="Arial" w:hAnsi="Arial"/>
          <w:sz w:val="12"/>
          <w:szCs w:val="12"/>
          <w:color w:val="009AD9"/>
        </w:rPr>
      </w:pPr>
      <w:r>
        <w:rPr>
          <w:rFonts w:ascii="Arial" w:cs="Arial" w:eastAsia="Arial" w:hAnsi="Arial"/>
          <w:sz w:val="12"/>
          <w:szCs w:val="12"/>
          <w:b w:val="1"/>
          <w:bCs w:val="1"/>
          <w:color w:val="auto"/>
        </w:rPr>
        <w:t>Aircraft Usage</w:t>
      </w:r>
      <w:r>
        <w:rPr>
          <w:rFonts w:ascii="Arial" w:cs="Arial" w:eastAsia="Arial" w:hAnsi="Arial"/>
          <w:sz w:val="12"/>
          <w:szCs w:val="12"/>
          <w:color w:val="auto"/>
        </w:rPr>
        <w:t>. Mr. Lesar occasionally utilized for personal travel purposes the company aircraft maintained for executive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travel. During times when company aircraft was unavailable, the Company contracted with a third-party aircraft charter company to provide executive travel services, which were utilized by Messrs. Lesar and Wells for personal travel purposes. Use of company aircraft as well as the third-party aircraft charter company for personal trips was intended for efficiency, security and personal safety. On occasion, family members and guests of named executive officers travel on non-commercial aircraft when the aircraft is already going to a specific destination for a business purpose.</w:t>
      </w:r>
    </w:p>
    <w:p>
      <w:pPr>
        <w:spacing w:after="0" w:line="58" w:lineRule="exact"/>
        <w:rPr>
          <w:rFonts w:ascii="Arial" w:cs="Arial" w:eastAsia="Arial" w:hAnsi="Arial"/>
          <w:sz w:val="12"/>
          <w:szCs w:val="12"/>
          <w:color w:val="009AD9"/>
        </w:rPr>
      </w:pPr>
    </w:p>
    <w:p>
      <w:pPr>
        <w:ind w:left="2520" w:hanging="295"/>
        <w:spacing w:after="0"/>
        <w:tabs>
          <w:tab w:leader="none" w:pos="2520" w:val="left"/>
        </w:tabs>
        <w:numPr>
          <w:ilvl w:val="0"/>
          <w:numId w:val="78"/>
        </w:numPr>
        <w:rPr>
          <w:rFonts w:ascii="Arial" w:cs="Arial" w:eastAsia="Arial" w:hAnsi="Arial"/>
          <w:sz w:val="12"/>
          <w:szCs w:val="12"/>
          <w:color w:val="009AD9"/>
        </w:rPr>
      </w:pPr>
      <w:r>
        <w:rPr>
          <w:rFonts w:ascii="Arial" w:cs="Arial" w:eastAsia="Arial" w:hAnsi="Arial"/>
          <w:sz w:val="12"/>
          <w:szCs w:val="12"/>
          <w:b w:val="1"/>
          <w:bCs w:val="1"/>
          <w:color w:val="auto"/>
        </w:rPr>
        <w:t>Financial Planning Services</w:t>
      </w:r>
      <w:r>
        <w:rPr>
          <w:rFonts w:ascii="Arial" w:cs="Arial" w:eastAsia="Arial" w:hAnsi="Arial"/>
          <w:sz w:val="12"/>
          <w:szCs w:val="12"/>
          <w:color w:val="auto"/>
        </w:rPr>
        <w:t>. Our executives are eligible to receive certain financial planning services.</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We do not provide tax gross-ups on perquisites, except on certain relocation-related benefits that are generally available to all employees.</w:t>
      </w:r>
    </w:p>
    <w:p>
      <w:pPr>
        <w:spacing w:after="0" w:line="20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Risk Assessment</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Compensation Committee, together with Meridian, conducts a compensation risk assessment, including review of performance metrics, pay mix, pay leverage, checks and balances, external market references and goal setting, and no areas of concern were identified in the assessment. The Compensation Committee considers the results of this assessment in developing and evaluating compensation program design.</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Hedging Policy</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Recoupment of Awards</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Board has implemented a policy for the recoupment of short-term and long-term incentive payments in the event 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60"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Compensation Discussion and Analysis (continued)</w:t>
      </w: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Executive Stock Ownership Guidelines</w:t>
      </w:r>
    </w:p>
    <w:p>
      <w:pPr>
        <w:spacing w:after="0" w:line="85"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We believe that our Executive Stock Ownership Guidelines align the interests of our officers, including our named executive officers, with the interests of shareholders. The guidelines provide that our executives maintain common stock ownership as follows:</w:t>
      </w:r>
    </w:p>
    <w:p>
      <w:pPr>
        <w:spacing w:after="0" w:line="150" w:lineRule="exact"/>
        <w:rPr>
          <w:sz w:val="20"/>
          <w:szCs w:val="20"/>
          <w:color w:val="auto"/>
        </w:rPr>
      </w:pPr>
    </w:p>
    <w:tbl>
      <w:tblPr>
        <w:tblLayout w:type="fixed"/>
        <w:tblInd w:w="2530" w:type="dxa"/>
        <w:tblCellMar>
          <w:top w:w="0" w:type="dxa"/>
          <w:left w:w="0" w:type="dxa"/>
          <w:bottom w:w="0" w:type="dxa"/>
          <w:right w:w="0" w:type="dxa"/>
        </w:tblCellMar>
      </w:tblPr>
      <w:tr>
        <w:trPr>
          <w:trHeight w:val="182"/>
        </w:trPr>
        <w:tc>
          <w:tcPr>
            <w:tcW w:w="1640" w:type="dxa"/>
            <w:vAlign w:val="bottom"/>
            <w:tcBorders>
              <w:left w:val="single" w:sz="8" w:color="009AD9"/>
              <w:right w:val="single" w:sz="8" w:color="009AD9"/>
            </w:tcBorders>
            <w:shd w:val="clear" w:color="auto" w:fill="009AD9"/>
          </w:tcPr>
          <w:p>
            <w:pPr>
              <w:jc w:val="center"/>
              <w:ind w:left="39"/>
              <w:spacing w:after="0"/>
              <w:rPr>
                <w:sz w:val="20"/>
                <w:szCs w:val="20"/>
                <w:color w:val="auto"/>
              </w:rPr>
            </w:pPr>
            <w:r>
              <w:rPr>
                <w:rFonts w:ascii="Arial" w:cs="Arial" w:eastAsia="Arial" w:hAnsi="Arial"/>
                <w:sz w:val="12"/>
                <w:szCs w:val="12"/>
                <w:b w:val="1"/>
                <w:bCs w:val="1"/>
                <w:color w:val="FFFFFF"/>
              </w:rPr>
              <w:t>EXECUTIVE</w:t>
            </w:r>
          </w:p>
        </w:tc>
        <w:tc>
          <w:tcPr>
            <w:tcW w:w="600" w:type="dxa"/>
            <w:vAlign w:val="bottom"/>
            <w:tcBorders>
              <w:right w:val="single" w:sz="8" w:color="009AD9"/>
            </w:tcBorders>
            <w:shd w:val="clear" w:color="auto" w:fill="009AD9"/>
          </w:tcPr>
          <w:p>
            <w:pPr>
              <w:spacing w:after="0"/>
              <w:rPr>
                <w:sz w:val="15"/>
                <w:szCs w:val="15"/>
                <w:color w:val="auto"/>
              </w:rPr>
            </w:pPr>
          </w:p>
        </w:tc>
        <w:tc>
          <w:tcPr>
            <w:tcW w:w="402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rPr>
              <w:t>GUIDELINES FOR OWNERSHIP OF COMMON STOCK</w:t>
            </w:r>
          </w:p>
        </w:tc>
      </w:tr>
      <w:tr>
        <w:trPr>
          <w:trHeight w:val="191"/>
        </w:trPr>
        <w:tc>
          <w:tcPr>
            <w:tcW w:w="1640" w:type="dxa"/>
            <w:vAlign w:val="bottom"/>
            <w:tcBorders>
              <w:left w:val="single" w:sz="8" w:color="009AD9"/>
              <w:right w:val="single" w:sz="8" w:color="009AD9"/>
            </w:tcBorders>
          </w:tcPr>
          <w:p>
            <w:pPr>
              <w:jc w:val="center"/>
              <w:ind w:left="39"/>
              <w:spacing w:after="0"/>
              <w:rPr>
                <w:sz w:val="20"/>
                <w:szCs w:val="20"/>
                <w:color w:val="auto"/>
              </w:rPr>
            </w:pPr>
            <w:r>
              <w:rPr>
                <w:rFonts w:ascii="Arial" w:cs="Arial" w:eastAsia="Arial" w:hAnsi="Arial"/>
                <w:sz w:val="12"/>
                <w:szCs w:val="12"/>
                <w:b w:val="1"/>
                <w:bCs w:val="1"/>
                <w:color w:val="auto"/>
              </w:rPr>
              <w:t>Chief Executive Officer</w:t>
            </w:r>
          </w:p>
        </w:tc>
        <w:tc>
          <w:tcPr>
            <w:tcW w:w="600" w:type="dxa"/>
            <w:vAlign w:val="bottom"/>
            <w:tcBorders>
              <w:right w:val="single" w:sz="8" w:color="009AD9"/>
            </w:tcBorders>
          </w:tcPr>
          <w:p>
            <w:pPr>
              <w:ind w:left="300"/>
              <w:spacing w:after="0"/>
              <w:rPr>
                <w:sz w:val="20"/>
                <w:szCs w:val="20"/>
                <w:color w:val="auto"/>
              </w:rPr>
            </w:pPr>
            <w:r>
              <w:rPr>
                <w:rFonts w:ascii="Arial" w:cs="Arial" w:eastAsia="Arial" w:hAnsi="Arial"/>
                <w:sz w:val="12"/>
                <w:szCs w:val="12"/>
                <w:b w:val="1"/>
                <w:bCs w:val="1"/>
                <w:color w:val="auto"/>
              </w:rPr>
              <w:t>5X</w:t>
            </w:r>
          </w:p>
        </w:tc>
        <w:tc>
          <w:tcPr>
            <w:tcW w:w="4020" w:type="dxa"/>
            <w:vAlign w:val="bottom"/>
            <w:tcBorders>
              <w:right w:val="single" w:sz="8" w:color="009AD9"/>
            </w:tcBorders>
          </w:tcPr>
          <w:p>
            <w:pPr>
              <w:jc w:val="center"/>
              <w:spacing w:after="0"/>
              <w:rPr>
                <w:sz w:val="20"/>
                <w:szCs w:val="20"/>
                <w:color w:val="auto"/>
              </w:rPr>
            </w:pPr>
            <w:r>
              <w:rPr>
                <w:rFonts w:ascii="Arial" w:cs="Arial" w:eastAsia="Arial" w:hAnsi="Arial"/>
                <w:sz w:val="12"/>
                <w:szCs w:val="12"/>
                <w:color w:val="auto"/>
              </w:rPr>
              <w:t>Market value of five times base salary</w:t>
            </w:r>
          </w:p>
        </w:tc>
      </w:tr>
      <w:tr>
        <w:trPr>
          <w:trHeight w:val="37"/>
        </w:trPr>
        <w:tc>
          <w:tcPr>
            <w:tcW w:w="1640" w:type="dxa"/>
            <w:vAlign w:val="bottom"/>
            <w:tcBorders>
              <w:left w:val="single" w:sz="8" w:color="009AD9"/>
              <w:bottom w:val="single" w:sz="8" w:color="009AD9"/>
              <w:right w:val="single" w:sz="8" w:color="009AD9"/>
            </w:tcBorders>
          </w:tcPr>
          <w:p>
            <w:pPr>
              <w:spacing w:after="0"/>
              <w:rPr>
                <w:sz w:val="3"/>
                <w:szCs w:val="3"/>
                <w:color w:val="auto"/>
              </w:rPr>
            </w:pPr>
          </w:p>
        </w:tc>
        <w:tc>
          <w:tcPr>
            <w:tcW w:w="600" w:type="dxa"/>
            <w:vAlign w:val="bottom"/>
            <w:tcBorders>
              <w:bottom w:val="single" w:sz="8" w:color="009AD9"/>
              <w:right w:val="single" w:sz="8" w:color="009AD9"/>
            </w:tcBorders>
          </w:tcPr>
          <w:p>
            <w:pPr>
              <w:spacing w:after="0"/>
              <w:rPr>
                <w:sz w:val="3"/>
                <w:szCs w:val="3"/>
                <w:color w:val="auto"/>
              </w:rPr>
            </w:pPr>
          </w:p>
        </w:tc>
        <w:tc>
          <w:tcPr>
            <w:tcW w:w="4020" w:type="dxa"/>
            <w:vAlign w:val="bottom"/>
            <w:tcBorders>
              <w:bottom w:val="single" w:sz="8" w:color="009AD9"/>
              <w:right w:val="single" w:sz="8" w:color="009AD9"/>
            </w:tcBorders>
          </w:tcPr>
          <w:p>
            <w:pPr>
              <w:spacing w:after="0"/>
              <w:rPr>
                <w:sz w:val="3"/>
                <w:szCs w:val="3"/>
                <w:color w:val="auto"/>
              </w:rPr>
            </w:pPr>
          </w:p>
        </w:tc>
      </w:tr>
      <w:tr>
        <w:trPr>
          <w:trHeight w:val="240"/>
        </w:trPr>
        <w:tc>
          <w:tcPr>
            <w:tcW w:w="1640" w:type="dxa"/>
            <w:vAlign w:val="bottom"/>
            <w:tcBorders>
              <w:left w:val="single" w:sz="8" w:color="009AD9"/>
              <w:bottom w:val="single" w:sz="8" w:color="D8EFF9"/>
              <w:right w:val="single" w:sz="8" w:color="009AD9"/>
            </w:tcBorders>
            <w:shd w:val="clear" w:color="auto" w:fill="D8EFF9"/>
          </w:tcPr>
          <w:p>
            <w:pPr>
              <w:jc w:val="center"/>
              <w:ind w:left="39"/>
              <w:spacing w:after="0"/>
              <w:rPr>
                <w:sz w:val="20"/>
                <w:szCs w:val="20"/>
                <w:color w:val="auto"/>
              </w:rPr>
            </w:pPr>
            <w:r>
              <w:rPr>
                <w:rFonts w:ascii="Arial" w:cs="Arial" w:eastAsia="Arial" w:hAnsi="Arial"/>
                <w:sz w:val="12"/>
                <w:szCs w:val="12"/>
                <w:b w:val="1"/>
                <w:bCs w:val="1"/>
                <w:color w:val="auto"/>
              </w:rPr>
              <w:t>Executive Vice Presidents</w:t>
            </w:r>
          </w:p>
        </w:tc>
        <w:tc>
          <w:tcPr>
            <w:tcW w:w="600" w:type="dxa"/>
            <w:vAlign w:val="bottom"/>
            <w:tcBorders>
              <w:bottom w:val="single" w:sz="8" w:color="D8EFF9"/>
              <w:right w:val="single" w:sz="8" w:color="009AD9"/>
            </w:tcBorders>
            <w:shd w:val="clear" w:color="auto" w:fill="D8EFF9"/>
          </w:tcPr>
          <w:p>
            <w:pPr>
              <w:ind w:left="300"/>
              <w:spacing w:after="0"/>
              <w:rPr>
                <w:sz w:val="20"/>
                <w:szCs w:val="20"/>
                <w:color w:val="auto"/>
              </w:rPr>
            </w:pPr>
            <w:r>
              <w:rPr>
                <w:rFonts w:ascii="Arial" w:cs="Arial" w:eastAsia="Arial" w:hAnsi="Arial"/>
                <w:sz w:val="12"/>
                <w:szCs w:val="12"/>
                <w:b w:val="1"/>
                <w:bCs w:val="1"/>
                <w:color w:val="auto"/>
              </w:rPr>
              <w:t>3X</w:t>
            </w:r>
          </w:p>
        </w:tc>
        <w:tc>
          <w:tcPr>
            <w:tcW w:w="4020" w:type="dxa"/>
            <w:vAlign w:val="bottom"/>
            <w:tcBorders>
              <w:bottom w:val="single" w:sz="8" w:color="D8EFF9"/>
              <w:right w:val="single" w:sz="8" w:color="009AD9"/>
            </w:tcBorders>
            <w:shd w:val="clear" w:color="auto" w:fill="D8EFF9"/>
          </w:tcPr>
          <w:p>
            <w:pPr>
              <w:jc w:val="center"/>
              <w:spacing w:after="0"/>
              <w:rPr>
                <w:sz w:val="20"/>
                <w:szCs w:val="20"/>
                <w:color w:val="auto"/>
              </w:rPr>
            </w:pPr>
            <w:r>
              <w:rPr>
                <w:rFonts w:ascii="Arial" w:cs="Arial" w:eastAsia="Arial" w:hAnsi="Arial"/>
                <w:sz w:val="12"/>
                <w:szCs w:val="12"/>
                <w:color w:val="auto"/>
              </w:rPr>
              <w:t>Market value of three times base salary</w:t>
            </w:r>
          </w:p>
        </w:tc>
      </w:tr>
      <w:tr>
        <w:trPr>
          <w:trHeight w:val="198"/>
        </w:trPr>
        <w:tc>
          <w:tcPr>
            <w:tcW w:w="1640" w:type="dxa"/>
            <w:vAlign w:val="bottom"/>
            <w:tcBorders>
              <w:top w:val="single" w:sz="8" w:color="009AD9"/>
              <w:left w:val="single" w:sz="8" w:color="009AD9"/>
              <w:right w:val="single" w:sz="8" w:color="009AD9"/>
            </w:tcBorders>
          </w:tcPr>
          <w:p>
            <w:pPr>
              <w:jc w:val="center"/>
              <w:ind w:left="39"/>
              <w:spacing w:after="0"/>
              <w:rPr>
                <w:sz w:val="20"/>
                <w:szCs w:val="20"/>
                <w:color w:val="auto"/>
              </w:rPr>
            </w:pPr>
            <w:r>
              <w:rPr>
                <w:rFonts w:ascii="Arial" w:cs="Arial" w:eastAsia="Arial" w:hAnsi="Arial"/>
                <w:sz w:val="12"/>
                <w:szCs w:val="12"/>
                <w:b w:val="1"/>
                <w:bCs w:val="1"/>
                <w:color w:val="auto"/>
                <w:w w:val="99"/>
              </w:rPr>
              <w:t>Senior Vice Presidents</w:t>
            </w:r>
          </w:p>
        </w:tc>
        <w:tc>
          <w:tcPr>
            <w:tcW w:w="600" w:type="dxa"/>
            <w:vAlign w:val="bottom"/>
            <w:tcBorders>
              <w:top w:val="single" w:sz="8" w:color="009AD9"/>
              <w:right w:val="single" w:sz="8" w:color="009AD9"/>
            </w:tcBorders>
          </w:tcPr>
          <w:p>
            <w:pPr>
              <w:ind w:left="300"/>
              <w:spacing w:after="0"/>
              <w:rPr>
                <w:sz w:val="20"/>
                <w:szCs w:val="20"/>
                <w:color w:val="auto"/>
              </w:rPr>
            </w:pPr>
            <w:r>
              <w:rPr>
                <w:rFonts w:ascii="Arial" w:cs="Arial" w:eastAsia="Arial" w:hAnsi="Arial"/>
                <w:sz w:val="12"/>
                <w:szCs w:val="12"/>
                <w:b w:val="1"/>
                <w:bCs w:val="1"/>
                <w:color w:val="auto"/>
              </w:rPr>
              <w:t>2X</w:t>
            </w:r>
          </w:p>
        </w:tc>
        <w:tc>
          <w:tcPr>
            <w:tcW w:w="4020" w:type="dxa"/>
            <w:vAlign w:val="bottom"/>
            <w:tcBorders>
              <w:top w:val="single" w:sz="8" w:color="009AD9"/>
              <w:right w:val="single" w:sz="8" w:color="009AD9"/>
            </w:tcBorders>
          </w:tcPr>
          <w:p>
            <w:pPr>
              <w:jc w:val="center"/>
              <w:spacing w:after="0"/>
              <w:rPr>
                <w:sz w:val="20"/>
                <w:szCs w:val="20"/>
                <w:color w:val="auto"/>
              </w:rPr>
            </w:pPr>
            <w:r>
              <w:rPr>
                <w:rFonts w:ascii="Arial" w:cs="Arial" w:eastAsia="Arial" w:hAnsi="Arial"/>
                <w:sz w:val="12"/>
                <w:szCs w:val="12"/>
                <w:color w:val="auto"/>
              </w:rPr>
              <w:t>Market value of two times base salary</w:t>
            </w:r>
          </w:p>
        </w:tc>
      </w:tr>
      <w:tr>
        <w:trPr>
          <w:trHeight w:val="37"/>
        </w:trPr>
        <w:tc>
          <w:tcPr>
            <w:tcW w:w="1640" w:type="dxa"/>
            <w:vAlign w:val="bottom"/>
            <w:tcBorders>
              <w:left w:val="single" w:sz="8" w:color="009AD9"/>
              <w:bottom w:val="single" w:sz="8" w:color="009AD9"/>
              <w:right w:val="single" w:sz="8" w:color="009AD9"/>
            </w:tcBorders>
          </w:tcPr>
          <w:p>
            <w:pPr>
              <w:spacing w:after="0"/>
              <w:rPr>
                <w:sz w:val="3"/>
                <w:szCs w:val="3"/>
                <w:color w:val="auto"/>
              </w:rPr>
            </w:pPr>
          </w:p>
        </w:tc>
        <w:tc>
          <w:tcPr>
            <w:tcW w:w="600" w:type="dxa"/>
            <w:vAlign w:val="bottom"/>
            <w:tcBorders>
              <w:bottom w:val="single" w:sz="8" w:color="009AD9"/>
              <w:right w:val="single" w:sz="8" w:color="009AD9"/>
            </w:tcBorders>
          </w:tcPr>
          <w:p>
            <w:pPr>
              <w:spacing w:after="0"/>
              <w:rPr>
                <w:sz w:val="3"/>
                <w:szCs w:val="3"/>
                <w:color w:val="auto"/>
              </w:rPr>
            </w:pPr>
          </w:p>
        </w:tc>
        <w:tc>
          <w:tcPr>
            <w:tcW w:w="4020" w:type="dxa"/>
            <w:vAlign w:val="bottom"/>
            <w:tcBorders>
              <w:bottom w:val="single" w:sz="8" w:color="009AD9"/>
              <w:right w:val="single" w:sz="8" w:color="009AD9"/>
            </w:tcBorders>
          </w:tcPr>
          <w:p>
            <w:pPr>
              <w:spacing w:after="0"/>
              <w:rPr>
                <w:sz w:val="3"/>
                <w:szCs w:val="3"/>
                <w:color w:val="auto"/>
              </w:rPr>
            </w:pPr>
          </w:p>
        </w:tc>
      </w:tr>
    </w:tbl>
    <w:p>
      <w:pPr>
        <w:spacing w:after="0" w:line="14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Compensation Committee reviews our officers’ stock holdings annually to monitor compliance with these guidelines. We have also adopted a policy prohibiting directors and corporate and senior division officers from pledging shares of our common and preferred stock to secure loans, subject to grandfathering of existing arrangements, or otherwise holding shares of our common stock in margin accounts.</w:t>
      </w:r>
    </w:p>
    <w:p>
      <w:pPr>
        <w:spacing w:after="0" w:line="136"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Although we do not conduct formal benchmarking studies of ownership guidelines, the ownership guidelines and the administration of the program are reviewed annually by the Compensation Committee with advice from the Compensation Committee’s consultant.</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009AD9"/>
        </w:rPr>
        <w:t>Tax Considerations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Section 162(m) of the Internal Revenue Code generally limits the tax deductibility of compensation in excess of $1 million for any covered employee.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exception for qualified performance-based compensation. The Compensation Committee believes that, in establishing the compensation program for our executives, the potential deductibility of the compensation should be only one of a number of relevant factors taken into consideration. The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p>
    <w:p>
      <w:pPr>
        <w:spacing w:after="0" w:line="13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Our change in control plan described above for our named executive officers does not provide a gross-up payment to cover any excise tax an executive is determined to owe on an “excess parachute payment.” For additional discussion about our change in control plan, refer to “Executive Compensation Tables—Potential Payments upon Change in Control or Termination.”</w:t>
      </w:r>
    </w:p>
    <w:p>
      <w:pPr>
        <w:spacing w:after="0" w:line="136"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Our executive plans and agreements that are subject to Section 409A of the Internal Revenue Code are intended to comply with Section 409A of the Internal Revenue Code.</w:t>
      </w:r>
    </w:p>
    <w:p>
      <w:pPr>
        <w:spacing w:after="0" w:line="126" w:lineRule="exact"/>
        <w:rPr>
          <w:sz w:val="20"/>
          <w:szCs w:val="20"/>
          <w:color w:val="auto"/>
        </w:rPr>
      </w:pPr>
    </w:p>
    <w:p>
      <w:pPr>
        <w:ind w:left="2220" w:hanging="230"/>
        <w:spacing w:after="0"/>
        <w:tabs>
          <w:tab w:leader="none" w:pos="2220" w:val="left"/>
        </w:tabs>
        <w:numPr>
          <w:ilvl w:val="0"/>
          <w:numId w:val="7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EXECUTIVE COMPENSATION TABLES</w:t>
      </w:r>
    </w:p>
    <w:p>
      <w:pPr>
        <w:spacing w:after="0" w:line="243"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following tables show compensation information for: (i) our Chief Executive Officer, our President, Chief Operating Officer and Chief Financial Officer, our Former Executive Vice President, Utility Operations and our Former Executive Vice President, Customer Transformation and Business Services for the periods ended December 31, 2022, 2021 and 2020; and (ii) our Executive Vice President and General Counsel for the periods ended December 31, 2022 and 2021.</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Summary Compensation Table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221"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1840" w:type="dxa"/>
            <w:vAlign w:val="bottom"/>
            <w:shd w:val="clear" w:color="auto" w:fill="009AD9"/>
          </w:tcPr>
          <w:p>
            <w:pPr>
              <w:spacing w:after="0"/>
              <w:rPr>
                <w:sz w:val="11"/>
                <w:szCs w:val="11"/>
                <w:color w:val="auto"/>
              </w:rPr>
            </w:pPr>
          </w:p>
        </w:tc>
        <w:tc>
          <w:tcPr>
            <w:tcW w:w="380" w:type="dxa"/>
            <w:vAlign w:val="bottom"/>
            <w:shd w:val="clear" w:color="auto" w:fill="009AD9"/>
          </w:tcPr>
          <w:p>
            <w:pPr>
              <w:spacing w:after="0"/>
              <w:rPr>
                <w:sz w:val="11"/>
                <w:szCs w:val="11"/>
                <w:color w:val="auto"/>
              </w:rPr>
            </w:pPr>
          </w:p>
        </w:tc>
        <w:tc>
          <w:tcPr>
            <w:tcW w:w="520" w:type="dxa"/>
            <w:vAlign w:val="bottom"/>
            <w:shd w:val="clear" w:color="auto" w:fill="009AD9"/>
          </w:tcPr>
          <w:p>
            <w:pPr>
              <w:spacing w:after="0"/>
              <w:rPr>
                <w:sz w:val="11"/>
                <w:szCs w:val="11"/>
                <w:color w:val="auto"/>
              </w:rPr>
            </w:pPr>
          </w:p>
        </w:tc>
        <w:tc>
          <w:tcPr>
            <w:tcW w:w="480" w:type="dxa"/>
            <w:vAlign w:val="bottom"/>
            <w:shd w:val="clear" w:color="auto" w:fill="009AD9"/>
          </w:tcPr>
          <w:p>
            <w:pPr>
              <w:spacing w:after="0"/>
              <w:rPr>
                <w:sz w:val="11"/>
                <w:szCs w:val="11"/>
                <w:color w:val="auto"/>
              </w:rPr>
            </w:pPr>
          </w:p>
        </w:tc>
        <w:tc>
          <w:tcPr>
            <w:tcW w:w="580" w:type="dxa"/>
            <w:vAlign w:val="bottom"/>
            <w:shd w:val="clear" w:color="auto" w:fill="009AD9"/>
          </w:tcPr>
          <w:p>
            <w:pPr>
              <w:spacing w:after="0"/>
              <w:rPr>
                <w:sz w:val="11"/>
                <w:szCs w:val="11"/>
                <w:color w:val="auto"/>
              </w:rPr>
            </w:pPr>
          </w:p>
        </w:tc>
        <w:tc>
          <w:tcPr>
            <w:tcW w:w="520" w:type="dxa"/>
            <w:vAlign w:val="bottom"/>
            <w:shd w:val="clear" w:color="auto" w:fill="009AD9"/>
          </w:tcPr>
          <w:p>
            <w:pPr>
              <w:spacing w:after="0"/>
              <w:rPr>
                <w:sz w:val="11"/>
                <w:szCs w:val="11"/>
                <w:color w:val="auto"/>
              </w:rPr>
            </w:pPr>
          </w:p>
        </w:tc>
        <w:tc>
          <w:tcPr>
            <w:tcW w:w="840" w:type="dxa"/>
            <w:vAlign w:val="bottom"/>
            <w:shd w:val="clear" w:color="auto" w:fill="009AD9"/>
          </w:tcPr>
          <w:p>
            <w:pPr>
              <w:spacing w:after="0"/>
              <w:rPr>
                <w:sz w:val="11"/>
                <w:szCs w:val="11"/>
                <w:color w:val="auto"/>
              </w:rPr>
            </w:pPr>
          </w:p>
        </w:tc>
        <w:tc>
          <w:tcPr>
            <w:tcW w:w="78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Change in</w:t>
            </w:r>
          </w:p>
        </w:tc>
        <w:tc>
          <w:tcPr>
            <w:tcW w:w="860" w:type="dxa"/>
            <w:vAlign w:val="bottom"/>
            <w:shd w:val="clear" w:color="auto" w:fill="009AD9"/>
          </w:tcPr>
          <w:p>
            <w:pPr>
              <w:spacing w:after="0"/>
              <w:rPr>
                <w:sz w:val="11"/>
                <w:szCs w:val="11"/>
                <w:color w:val="auto"/>
              </w:rPr>
            </w:pPr>
          </w:p>
        </w:tc>
        <w:tc>
          <w:tcPr>
            <w:tcW w:w="62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840" w:type="dxa"/>
            <w:vAlign w:val="bottom"/>
            <w:shd w:val="clear" w:color="auto" w:fill="009AD9"/>
          </w:tcPr>
          <w:p>
            <w:pPr>
              <w:spacing w:after="0"/>
              <w:rPr>
                <w:sz w:val="9"/>
                <w:szCs w:val="9"/>
                <w:color w:val="auto"/>
              </w:rPr>
            </w:pPr>
          </w:p>
        </w:tc>
        <w:tc>
          <w:tcPr>
            <w:tcW w:w="3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8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840" w:type="dxa"/>
            <w:vAlign w:val="bottom"/>
            <w:shd w:val="clear" w:color="auto" w:fill="009AD9"/>
          </w:tcPr>
          <w:p>
            <w:pPr>
              <w:spacing w:after="0"/>
              <w:rPr>
                <w:sz w:val="9"/>
                <w:szCs w:val="9"/>
                <w:color w:val="auto"/>
              </w:rPr>
            </w:pP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Pension</w:t>
            </w:r>
          </w:p>
        </w:tc>
        <w:tc>
          <w:tcPr>
            <w:tcW w:w="8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40" w:type="dxa"/>
            <w:vAlign w:val="bottom"/>
            <w:shd w:val="clear" w:color="auto" w:fill="009AD9"/>
          </w:tcPr>
          <w:p>
            <w:pPr>
              <w:spacing w:after="0"/>
              <w:rPr>
                <w:sz w:val="9"/>
                <w:szCs w:val="9"/>
                <w:color w:val="auto"/>
              </w:rPr>
            </w:pPr>
          </w:p>
        </w:tc>
        <w:tc>
          <w:tcPr>
            <w:tcW w:w="3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8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840" w:type="dxa"/>
            <w:vAlign w:val="bottom"/>
            <w:shd w:val="clear" w:color="auto" w:fill="009AD9"/>
          </w:tcPr>
          <w:p>
            <w:pPr>
              <w:spacing w:after="0"/>
              <w:rPr>
                <w:sz w:val="9"/>
                <w:szCs w:val="9"/>
                <w:color w:val="auto"/>
              </w:rPr>
            </w:pP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Value and</w:t>
            </w:r>
          </w:p>
        </w:tc>
        <w:tc>
          <w:tcPr>
            <w:tcW w:w="8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40" w:type="dxa"/>
            <w:vAlign w:val="bottom"/>
            <w:shd w:val="clear" w:color="auto" w:fill="009AD9"/>
          </w:tcPr>
          <w:p>
            <w:pPr>
              <w:spacing w:after="0"/>
              <w:rPr>
                <w:sz w:val="9"/>
                <w:szCs w:val="9"/>
                <w:color w:val="auto"/>
              </w:rPr>
            </w:pPr>
          </w:p>
        </w:tc>
        <w:tc>
          <w:tcPr>
            <w:tcW w:w="3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8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8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Non-Equity</w:t>
            </w:r>
          </w:p>
        </w:tc>
        <w:tc>
          <w:tcPr>
            <w:tcW w:w="7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Nonqualified</w:t>
            </w:r>
          </w:p>
        </w:tc>
        <w:tc>
          <w:tcPr>
            <w:tcW w:w="8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40" w:type="dxa"/>
            <w:vAlign w:val="bottom"/>
            <w:shd w:val="clear" w:color="auto" w:fill="009AD9"/>
          </w:tcPr>
          <w:p>
            <w:pPr>
              <w:spacing w:after="0"/>
              <w:rPr>
                <w:sz w:val="9"/>
                <w:szCs w:val="9"/>
                <w:color w:val="auto"/>
              </w:rPr>
            </w:pPr>
          </w:p>
        </w:tc>
        <w:tc>
          <w:tcPr>
            <w:tcW w:w="3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8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8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Incentive</w:t>
            </w:r>
          </w:p>
        </w:tc>
        <w:tc>
          <w:tcPr>
            <w:tcW w:w="780" w:type="dxa"/>
            <w:vAlign w:val="bottom"/>
            <w:shd w:val="clear" w:color="auto" w:fill="009AD9"/>
          </w:tcPr>
          <w:p>
            <w:pPr>
              <w:jc w:val="center"/>
              <w:ind w:right="12"/>
              <w:spacing w:after="0" w:line="109" w:lineRule="exact"/>
              <w:rPr>
                <w:sz w:val="20"/>
                <w:szCs w:val="20"/>
                <w:color w:val="auto"/>
              </w:rPr>
            </w:pPr>
            <w:r>
              <w:rPr>
                <w:rFonts w:ascii="Arial" w:cs="Arial" w:eastAsia="Arial" w:hAnsi="Arial"/>
                <w:sz w:val="10"/>
                <w:szCs w:val="10"/>
                <w:b w:val="1"/>
                <w:bCs w:val="1"/>
                <w:color w:val="FFFFFF"/>
                <w:w w:val="97"/>
              </w:rPr>
              <w:t>Deferred</w:t>
            </w:r>
          </w:p>
        </w:tc>
        <w:tc>
          <w:tcPr>
            <w:tcW w:w="8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shd w:val="clear" w:color="auto" w:fill="009AD9"/>
          </w:tcPr>
          <w:p>
            <w:pPr>
              <w:spacing w:after="0"/>
              <w:rPr>
                <w:sz w:val="9"/>
                <w:szCs w:val="9"/>
                <w:color w:val="auto"/>
              </w:rPr>
            </w:pPr>
          </w:p>
        </w:tc>
        <w:tc>
          <w:tcPr>
            <w:tcW w:w="38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8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Stock</w:t>
            </w:r>
          </w:p>
        </w:tc>
        <w:tc>
          <w:tcPr>
            <w:tcW w:w="520" w:type="dxa"/>
            <w:vAlign w:val="bottom"/>
            <w:shd w:val="clear" w:color="auto" w:fill="009AD9"/>
          </w:tcPr>
          <w:p>
            <w:pPr>
              <w:jc w:val="right"/>
              <w:ind w:right="52"/>
              <w:spacing w:after="0" w:line="108" w:lineRule="exact"/>
              <w:rPr>
                <w:sz w:val="20"/>
                <w:szCs w:val="20"/>
                <w:color w:val="auto"/>
              </w:rPr>
            </w:pPr>
            <w:r>
              <w:rPr>
                <w:rFonts w:ascii="Arial" w:cs="Arial" w:eastAsia="Arial" w:hAnsi="Arial"/>
                <w:sz w:val="10"/>
                <w:szCs w:val="10"/>
                <w:b w:val="1"/>
                <w:bCs w:val="1"/>
                <w:color w:val="FFFFFF"/>
              </w:rPr>
              <w:t>Option</w:t>
            </w:r>
          </w:p>
        </w:tc>
        <w:tc>
          <w:tcPr>
            <w:tcW w:w="8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Plan</w:t>
            </w:r>
          </w:p>
        </w:tc>
        <w:tc>
          <w:tcPr>
            <w:tcW w:w="7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4"/>
              </w:rPr>
              <w:t>Compensation</w:t>
            </w:r>
          </w:p>
        </w:tc>
        <w:tc>
          <w:tcPr>
            <w:tcW w:w="8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4"/>
              </w:rPr>
              <w:t>All Other</w:t>
            </w:r>
          </w:p>
        </w:tc>
        <w:tc>
          <w:tcPr>
            <w:tcW w:w="620" w:type="dxa"/>
            <w:vAlign w:val="bottom"/>
            <w:vMerge w:val="restart"/>
            <w:shd w:val="clear" w:color="auto" w:fill="009AD9"/>
          </w:tcPr>
          <w:p>
            <w:pPr>
              <w:jc w:val="right"/>
              <w:ind w:right="152"/>
              <w:spacing w:after="0"/>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01"/>
        </w:trPr>
        <w:tc>
          <w:tcPr>
            <w:tcW w:w="1840" w:type="dxa"/>
            <w:vAlign w:val="bottom"/>
            <w:shd w:val="clear" w:color="auto" w:fill="009AD9"/>
          </w:tcPr>
          <w:p>
            <w:pPr>
              <w:spacing w:after="0"/>
              <w:rPr>
                <w:sz w:val="8"/>
                <w:szCs w:val="8"/>
                <w:color w:val="auto"/>
              </w:rPr>
            </w:pPr>
          </w:p>
        </w:tc>
        <w:tc>
          <w:tcPr>
            <w:tcW w:w="380" w:type="dxa"/>
            <w:vAlign w:val="bottom"/>
            <w:shd w:val="clear" w:color="auto" w:fill="009AD9"/>
          </w:tcPr>
          <w:p>
            <w:pPr>
              <w:spacing w:after="0"/>
              <w:rPr>
                <w:sz w:val="8"/>
                <w:szCs w:val="8"/>
                <w:color w:val="auto"/>
              </w:rPr>
            </w:pPr>
          </w:p>
        </w:tc>
        <w:tc>
          <w:tcPr>
            <w:tcW w:w="520" w:type="dxa"/>
            <w:vAlign w:val="bottom"/>
            <w:shd w:val="clear" w:color="auto" w:fill="009AD9"/>
          </w:tcPr>
          <w:p>
            <w:pPr>
              <w:jc w:val="right"/>
              <w:ind w:right="72"/>
              <w:spacing w:after="0" w:line="102" w:lineRule="exact"/>
              <w:rPr>
                <w:sz w:val="20"/>
                <w:szCs w:val="20"/>
                <w:color w:val="auto"/>
              </w:rPr>
            </w:pPr>
            <w:r>
              <w:rPr>
                <w:rFonts w:ascii="Arial" w:cs="Arial" w:eastAsia="Arial" w:hAnsi="Arial"/>
                <w:sz w:val="10"/>
                <w:szCs w:val="10"/>
                <w:b w:val="1"/>
                <w:bCs w:val="1"/>
                <w:color w:val="FFFFFF"/>
              </w:rPr>
              <w:t>Salary</w:t>
            </w:r>
          </w:p>
        </w:tc>
        <w:tc>
          <w:tcPr>
            <w:tcW w:w="480" w:type="dxa"/>
            <w:vAlign w:val="bottom"/>
            <w:shd w:val="clear" w:color="auto" w:fill="009AD9"/>
          </w:tcPr>
          <w:p>
            <w:pPr>
              <w:jc w:val="right"/>
              <w:ind w:right="12"/>
              <w:spacing w:after="0" w:line="102" w:lineRule="exact"/>
              <w:rPr>
                <w:sz w:val="20"/>
                <w:szCs w:val="20"/>
                <w:color w:val="auto"/>
              </w:rPr>
            </w:pPr>
            <w:r>
              <w:rPr>
                <w:rFonts w:ascii="Arial" w:cs="Arial" w:eastAsia="Arial" w:hAnsi="Arial"/>
                <w:sz w:val="8"/>
                <w:szCs w:val="8"/>
                <w:b w:val="1"/>
                <w:bCs w:val="1"/>
                <w:color w:val="FFFFFF"/>
              </w:rPr>
              <w:t>Bonus</w:t>
            </w:r>
            <w:r>
              <w:rPr>
                <w:rFonts w:ascii="Arial" w:cs="Arial" w:eastAsia="Arial" w:hAnsi="Arial"/>
                <w:sz w:val="11"/>
                <w:szCs w:val="11"/>
                <w:b w:val="1"/>
                <w:bCs w:val="1"/>
                <w:color w:val="FFFFFF"/>
                <w:vertAlign w:val="superscript"/>
              </w:rPr>
              <w:t>(1)</w:t>
            </w:r>
          </w:p>
        </w:tc>
        <w:tc>
          <w:tcPr>
            <w:tcW w:w="580" w:type="dxa"/>
            <w:vAlign w:val="bottom"/>
            <w:shd w:val="clear" w:color="auto" w:fill="009AD9"/>
          </w:tcPr>
          <w:p>
            <w:pPr>
              <w:jc w:val="center"/>
              <w:spacing w:after="0" w:line="102" w:lineRule="exact"/>
              <w:rPr>
                <w:sz w:val="20"/>
                <w:szCs w:val="20"/>
                <w:color w:val="auto"/>
              </w:rPr>
            </w:pPr>
            <w:r>
              <w:rPr>
                <w:rFonts w:ascii="Arial" w:cs="Arial" w:eastAsia="Arial" w:hAnsi="Arial"/>
                <w:sz w:val="8"/>
                <w:szCs w:val="8"/>
                <w:b w:val="1"/>
                <w:bCs w:val="1"/>
                <w:color w:val="FFFFFF"/>
              </w:rPr>
              <w:t>Awards</w:t>
            </w:r>
            <w:r>
              <w:rPr>
                <w:rFonts w:ascii="Arial" w:cs="Arial" w:eastAsia="Arial" w:hAnsi="Arial"/>
                <w:sz w:val="11"/>
                <w:szCs w:val="11"/>
                <w:b w:val="1"/>
                <w:bCs w:val="1"/>
                <w:color w:val="FFFFFF"/>
                <w:vertAlign w:val="superscript"/>
              </w:rPr>
              <w:t>(2)</w:t>
            </w:r>
          </w:p>
        </w:tc>
        <w:tc>
          <w:tcPr>
            <w:tcW w:w="520" w:type="dxa"/>
            <w:vAlign w:val="bottom"/>
            <w:shd w:val="clear" w:color="auto" w:fill="009AD9"/>
          </w:tcPr>
          <w:p>
            <w:pPr>
              <w:jc w:val="right"/>
              <w:spacing w:after="0" w:line="102" w:lineRule="exact"/>
              <w:rPr>
                <w:sz w:val="20"/>
                <w:szCs w:val="20"/>
                <w:color w:val="auto"/>
              </w:rPr>
            </w:pPr>
            <w:r>
              <w:rPr>
                <w:rFonts w:ascii="Arial" w:cs="Arial" w:eastAsia="Arial" w:hAnsi="Arial"/>
                <w:sz w:val="8"/>
                <w:szCs w:val="8"/>
                <w:b w:val="1"/>
                <w:bCs w:val="1"/>
                <w:color w:val="FFFFFF"/>
              </w:rPr>
              <w:t>Awards</w:t>
            </w:r>
            <w:r>
              <w:rPr>
                <w:rFonts w:ascii="Arial" w:cs="Arial" w:eastAsia="Arial" w:hAnsi="Arial"/>
                <w:sz w:val="11"/>
                <w:szCs w:val="11"/>
                <w:b w:val="1"/>
                <w:bCs w:val="1"/>
                <w:color w:val="FFFFFF"/>
                <w:vertAlign w:val="superscript"/>
              </w:rPr>
              <w:t>(3)</w:t>
            </w:r>
          </w:p>
        </w:tc>
        <w:tc>
          <w:tcPr>
            <w:tcW w:w="840" w:type="dxa"/>
            <w:vAlign w:val="bottom"/>
            <w:shd w:val="clear" w:color="auto" w:fill="009AD9"/>
          </w:tcPr>
          <w:p>
            <w:pPr>
              <w:jc w:val="center"/>
              <w:spacing w:after="0" w:line="102" w:lineRule="exact"/>
              <w:rPr>
                <w:sz w:val="20"/>
                <w:szCs w:val="20"/>
                <w:color w:val="auto"/>
              </w:rPr>
            </w:pPr>
            <w:r>
              <w:rPr>
                <w:rFonts w:ascii="Arial" w:cs="Arial" w:eastAsia="Arial" w:hAnsi="Arial"/>
                <w:sz w:val="8"/>
                <w:szCs w:val="8"/>
                <w:b w:val="1"/>
                <w:bCs w:val="1"/>
                <w:color w:val="FFFFFF"/>
              </w:rPr>
              <w:t>Compensation</w:t>
            </w:r>
            <w:r>
              <w:rPr>
                <w:rFonts w:ascii="Arial" w:cs="Arial" w:eastAsia="Arial" w:hAnsi="Arial"/>
                <w:sz w:val="11"/>
                <w:szCs w:val="11"/>
                <w:b w:val="1"/>
                <w:bCs w:val="1"/>
                <w:color w:val="FFFFFF"/>
                <w:vertAlign w:val="superscript"/>
              </w:rPr>
              <w:t>(4)</w:t>
            </w:r>
          </w:p>
        </w:tc>
        <w:tc>
          <w:tcPr>
            <w:tcW w:w="780" w:type="dxa"/>
            <w:vAlign w:val="bottom"/>
            <w:shd w:val="clear" w:color="auto" w:fill="009AD9"/>
          </w:tcPr>
          <w:p>
            <w:pPr>
              <w:jc w:val="center"/>
              <w:spacing w:after="0" w:line="102" w:lineRule="exact"/>
              <w:rPr>
                <w:sz w:val="20"/>
                <w:szCs w:val="20"/>
                <w:color w:val="auto"/>
              </w:rPr>
            </w:pPr>
            <w:r>
              <w:rPr>
                <w:rFonts w:ascii="Arial" w:cs="Arial" w:eastAsia="Arial" w:hAnsi="Arial"/>
                <w:sz w:val="8"/>
                <w:szCs w:val="8"/>
                <w:b w:val="1"/>
                <w:bCs w:val="1"/>
                <w:color w:val="FFFFFF"/>
              </w:rPr>
              <w:t>Earnings</w:t>
            </w:r>
            <w:r>
              <w:rPr>
                <w:rFonts w:ascii="Arial" w:cs="Arial" w:eastAsia="Arial" w:hAnsi="Arial"/>
                <w:sz w:val="11"/>
                <w:szCs w:val="11"/>
                <w:b w:val="1"/>
                <w:bCs w:val="1"/>
                <w:color w:val="FFFFFF"/>
                <w:vertAlign w:val="superscript"/>
              </w:rPr>
              <w:t>(5)</w:t>
            </w:r>
          </w:p>
        </w:tc>
        <w:tc>
          <w:tcPr>
            <w:tcW w:w="860" w:type="dxa"/>
            <w:vAlign w:val="bottom"/>
            <w:shd w:val="clear" w:color="auto" w:fill="009AD9"/>
          </w:tcPr>
          <w:p>
            <w:pPr>
              <w:jc w:val="center"/>
              <w:spacing w:after="0" w:line="102" w:lineRule="exact"/>
              <w:rPr>
                <w:sz w:val="20"/>
                <w:szCs w:val="20"/>
                <w:color w:val="auto"/>
              </w:rPr>
            </w:pPr>
            <w:r>
              <w:rPr>
                <w:rFonts w:ascii="Arial" w:cs="Arial" w:eastAsia="Arial" w:hAnsi="Arial"/>
                <w:sz w:val="8"/>
                <w:szCs w:val="8"/>
                <w:b w:val="1"/>
                <w:bCs w:val="1"/>
                <w:color w:val="FFFFFF"/>
              </w:rPr>
              <w:t>Compensation</w:t>
            </w:r>
            <w:r>
              <w:rPr>
                <w:rFonts w:ascii="Arial" w:cs="Arial" w:eastAsia="Arial" w:hAnsi="Arial"/>
                <w:sz w:val="11"/>
                <w:szCs w:val="11"/>
                <w:b w:val="1"/>
                <w:bCs w:val="1"/>
                <w:color w:val="FFFFFF"/>
                <w:vertAlign w:val="superscript"/>
              </w:rPr>
              <w:t>(6)</w:t>
            </w:r>
          </w:p>
        </w:tc>
        <w:tc>
          <w:tcPr>
            <w:tcW w:w="620" w:type="dxa"/>
            <w:vAlign w:val="bottom"/>
            <w:vMerge w:val="continue"/>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84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Name and Principal Position</w:t>
            </w:r>
          </w:p>
        </w:tc>
        <w:tc>
          <w:tcPr>
            <w:tcW w:w="380" w:type="dxa"/>
            <w:vAlign w:val="bottom"/>
            <w:tcBorders>
              <w:bottom w:val="single" w:sz="8" w:color="009AD9"/>
            </w:tcBorders>
            <w:shd w:val="clear" w:color="auto" w:fill="009AD9"/>
          </w:tcPr>
          <w:p>
            <w:pPr>
              <w:ind w:left="120"/>
              <w:spacing w:after="0"/>
              <w:rPr>
                <w:sz w:val="20"/>
                <w:szCs w:val="20"/>
                <w:color w:val="auto"/>
              </w:rPr>
            </w:pPr>
            <w:r>
              <w:rPr>
                <w:rFonts w:ascii="Arial" w:cs="Arial" w:eastAsia="Arial" w:hAnsi="Arial"/>
                <w:sz w:val="10"/>
                <w:szCs w:val="10"/>
                <w:b w:val="1"/>
                <w:bCs w:val="1"/>
                <w:color w:val="FFFFFF"/>
              </w:rPr>
              <w:t>Year</w:t>
            </w:r>
          </w:p>
        </w:tc>
        <w:tc>
          <w:tcPr>
            <w:tcW w:w="520" w:type="dxa"/>
            <w:vAlign w:val="bottom"/>
            <w:tcBorders>
              <w:bottom w:val="single" w:sz="8" w:color="009AD9"/>
            </w:tcBorders>
            <w:shd w:val="clear" w:color="auto" w:fill="009AD9"/>
          </w:tcPr>
          <w:p>
            <w:pPr>
              <w:jc w:val="right"/>
              <w:ind w:right="152"/>
              <w:spacing w:after="0"/>
              <w:rPr>
                <w:sz w:val="20"/>
                <w:szCs w:val="20"/>
                <w:color w:val="auto"/>
              </w:rPr>
            </w:pPr>
            <w:r>
              <w:rPr>
                <w:rFonts w:ascii="Arial" w:cs="Arial" w:eastAsia="Arial" w:hAnsi="Arial"/>
                <w:sz w:val="10"/>
                <w:szCs w:val="10"/>
                <w:b w:val="1"/>
                <w:bCs w:val="1"/>
                <w:color w:val="FFFFFF"/>
              </w:rPr>
              <w:t>($)</w:t>
            </w:r>
          </w:p>
        </w:tc>
        <w:tc>
          <w:tcPr>
            <w:tcW w:w="480" w:type="dxa"/>
            <w:vAlign w:val="bottom"/>
            <w:tcBorders>
              <w:bottom w:val="single" w:sz="8" w:color="009AD9"/>
            </w:tcBorders>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w:t>
            </w:r>
          </w:p>
        </w:tc>
        <w:tc>
          <w:tcPr>
            <w:tcW w:w="5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20" w:type="dxa"/>
            <w:vAlign w:val="bottom"/>
            <w:tcBorders>
              <w:bottom w:val="single" w:sz="8" w:color="009AD9"/>
            </w:tcBorders>
            <w:shd w:val="clear" w:color="auto" w:fill="009AD9"/>
          </w:tcPr>
          <w:p>
            <w:pPr>
              <w:jc w:val="right"/>
              <w:ind w:right="152"/>
              <w:spacing w:after="0"/>
              <w:rPr>
                <w:sz w:val="20"/>
                <w:szCs w:val="20"/>
                <w:color w:val="auto"/>
              </w:rPr>
            </w:pPr>
            <w:r>
              <w:rPr>
                <w:rFonts w:ascii="Arial" w:cs="Arial" w:eastAsia="Arial" w:hAnsi="Arial"/>
                <w:sz w:val="10"/>
                <w:szCs w:val="10"/>
                <w:b w:val="1"/>
                <w:bCs w:val="1"/>
                <w:color w:val="FFFFFF"/>
              </w:rPr>
              <w:t>($)</w:t>
            </w:r>
          </w:p>
        </w:tc>
        <w:tc>
          <w:tcPr>
            <w:tcW w:w="8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780" w:type="dxa"/>
            <w:vAlign w:val="bottom"/>
            <w:tcBorders>
              <w:bottom w:val="single" w:sz="8" w:color="009AD9"/>
            </w:tcBorders>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7"/>
              </w:rPr>
              <w:t>($)</w:t>
            </w:r>
          </w:p>
        </w:tc>
        <w:tc>
          <w:tcPr>
            <w:tcW w:w="8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620" w:type="dxa"/>
            <w:vAlign w:val="bottom"/>
            <w:tcBorders>
              <w:bottom w:val="single" w:sz="8" w:color="009AD9"/>
            </w:tcBorders>
            <w:shd w:val="clear" w:color="auto" w:fill="009AD9"/>
          </w:tcPr>
          <w:p>
            <w:pPr>
              <w:jc w:val="right"/>
              <w:ind w:right="192"/>
              <w:spacing w:after="0"/>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12"/>
        </w:trPr>
        <w:tc>
          <w:tcPr>
            <w:tcW w:w="1840" w:type="dxa"/>
            <w:vAlign w:val="bottom"/>
          </w:tcPr>
          <w:p>
            <w:pPr>
              <w:ind w:left="60"/>
              <w:spacing w:after="0" w:line="113" w:lineRule="exact"/>
              <w:rPr>
                <w:sz w:val="20"/>
                <w:szCs w:val="20"/>
                <w:color w:val="auto"/>
              </w:rPr>
            </w:pPr>
            <w:r>
              <w:rPr>
                <w:rFonts w:ascii="Arial" w:cs="Arial" w:eastAsia="Arial" w:hAnsi="Arial"/>
                <w:sz w:val="10"/>
                <w:szCs w:val="10"/>
                <w:color w:val="auto"/>
              </w:rPr>
              <w:t>David J. Lesar</w:t>
            </w:r>
          </w:p>
        </w:tc>
        <w:tc>
          <w:tcPr>
            <w:tcW w:w="380" w:type="dxa"/>
            <w:vAlign w:val="bottom"/>
          </w:tcPr>
          <w:p>
            <w:pPr>
              <w:ind w:left="120"/>
              <w:spacing w:after="0" w:line="113" w:lineRule="exact"/>
              <w:rPr>
                <w:sz w:val="20"/>
                <w:szCs w:val="20"/>
                <w:color w:val="auto"/>
              </w:rPr>
            </w:pPr>
            <w:r>
              <w:rPr>
                <w:rFonts w:ascii="Arial" w:cs="Arial" w:eastAsia="Arial" w:hAnsi="Arial"/>
                <w:sz w:val="10"/>
                <w:szCs w:val="10"/>
                <w:color w:val="auto"/>
              </w:rPr>
              <w:t>2022</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1,423,241</w:t>
            </w:r>
          </w:p>
        </w:tc>
        <w:tc>
          <w:tcPr>
            <w:tcW w:w="4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8,481,240</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3,407,250</w:t>
            </w:r>
          </w:p>
        </w:tc>
        <w:tc>
          <w:tcPr>
            <w:tcW w:w="780" w:type="dxa"/>
            <w:vAlign w:val="bottom"/>
          </w:tcPr>
          <w:p>
            <w:pPr>
              <w:jc w:val="right"/>
              <w:ind w:right="32"/>
              <w:spacing w:after="0" w:line="113"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12"/>
              <w:spacing w:after="0" w:line="113" w:lineRule="exact"/>
              <w:rPr>
                <w:sz w:val="20"/>
                <w:szCs w:val="20"/>
                <w:color w:val="auto"/>
              </w:rPr>
            </w:pPr>
            <w:r>
              <w:rPr>
                <w:rFonts w:ascii="Arial" w:cs="Arial" w:eastAsia="Arial" w:hAnsi="Arial"/>
                <w:sz w:val="10"/>
                <w:szCs w:val="10"/>
                <w:color w:val="auto"/>
              </w:rPr>
              <w:t>556,144</w:t>
            </w:r>
          </w:p>
        </w:tc>
        <w:tc>
          <w:tcPr>
            <w:tcW w:w="620" w:type="dxa"/>
            <w:vAlign w:val="bottom"/>
          </w:tcPr>
          <w:p>
            <w:pPr>
              <w:jc w:val="right"/>
              <w:ind w:right="32"/>
              <w:spacing w:after="0" w:line="113" w:lineRule="exact"/>
              <w:rPr>
                <w:sz w:val="20"/>
                <w:szCs w:val="20"/>
                <w:color w:val="auto"/>
              </w:rPr>
            </w:pPr>
            <w:r>
              <w:rPr>
                <w:rFonts w:ascii="Arial" w:cs="Arial" w:eastAsia="Arial" w:hAnsi="Arial"/>
                <w:sz w:val="10"/>
                <w:szCs w:val="10"/>
                <w:color w:val="auto"/>
              </w:rPr>
              <w:t>13,867,875</w:t>
            </w:r>
          </w:p>
        </w:tc>
        <w:tc>
          <w:tcPr>
            <w:tcW w:w="0" w:type="dxa"/>
            <w:vAlign w:val="bottom"/>
          </w:tcPr>
          <w:p>
            <w:pPr>
              <w:spacing w:after="0"/>
              <w:rPr>
                <w:sz w:val="1"/>
                <w:szCs w:val="1"/>
                <w:color w:val="auto"/>
              </w:rPr>
            </w:pPr>
          </w:p>
        </w:tc>
      </w:tr>
      <w:tr>
        <w:trPr>
          <w:trHeight w:val="109"/>
        </w:trPr>
        <w:tc>
          <w:tcPr>
            <w:tcW w:w="1840" w:type="dxa"/>
            <w:vAlign w:val="bottom"/>
          </w:tcPr>
          <w:p>
            <w:pPr>
              <w:ind w:left="160"/>
              <w:spacing w:after="0" w:line="109" w:lineRule="exact"/>
              <w:rPr>
                <w:sz w:val="20"/>
                <w:szCs w:val="20"/>
                <w:color w:val="auto"/>
              </w:rPr>
            </w:pPr>
            <w:r>
              <w:rPr>
                <w:rFonts w:ascii="Arial" w:cs="Arial" w:eastAsia="Arial" w:hAnsi="Arial"/>
                <w:sz w:val="10"/>
                <w:szCs w:val="10"/>
                <w:color w:val="auto"/>
              </w:rPr>
              <w:t>Chief Executive Officer</w:t>
            </w:r>
          </w:p>
        </w:tc>
        <w:tc>
          <w:tcPr>
            <w:tcW w:w="380" w:type="dxa"/>
            <w:vAlign w:val="bottom"/>
          </w:tcPr>
          <w:p>
            <w:pPr>
              <w:ind w:left="120"/>
              <w:spacing w:after="0" w:line="109" w:lineRule="exact"/>
              <w:rPr>
                <w:sz w:val="20"/>
                <w:szCs w:val="20"/>
                <w:color w:val="auto"/>
              </w:rPr>
            </w:pPr>
            <w:r>
              <w:rPr>
                <w:rFonts w:ascii="Arial" w:cs="Arial" w:eastAsia="Arial" w:hAnsi="Arial"/>
                <w:sz w:val="10"/>
                <w:szCs w:val="10"/>
                <w:color w:val="auto"/>
              </w:rPr>
              <w:t>2021</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1,425,000</w:t>
            </w:r>
          </w:p>
        </w:tc>
        <w:tc>
          <w:tcPr>
            <w:tcW w:w="4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33,359,999</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2,116,125</w:t>
            </w:r>
          </w:p>
        </w:tc>
        <w:tc>
          <w:tcPr>
            <w:tcW w:w="780" w:type="dxa"/>
            <w:vAlign w:val="bottom"/>
          </w:tcPr>
          <w:p>
            <w:pPr>
              <w:jc w:val="right"/>
              <w:ind w:right="32"/>
              <w:spacing w:after="0" w:line="109"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908,686</w:t>
            </w:r>
          </w:p>
        </w:tc>
        <w:tc>
          <w:tcPr>
            <w:tcW w:w="620" w:type="dxa"/>
            <w:vAlign w:val="bottom"/>
          </w:tcPr>
          <w:p>
            <w:pPr>
              <w:jc w:val="right"/>
              <w:ind w:right="32"/>
              <w:spacing w:after="0" w:line="109" w:lineRule="exact"/>
              <w:rPr>
                <w:sz w:val="20"/>
                <w:szCs w:val="20"/>
                <w:color w:val="auto"/>
              </w:rPr>
            </w:pPr>
            <w:r>
              <w:rPr>
                <w:rFonts w:ascii="Arial" w:cs="Arial" w:eastAsia="Arial" w:hAnsi="Arial"/>
                <w:sz w:val="10"/>
                <w:szCs w:val="10"/>
                <w:color w:val="auto"/>
              </w:rPr>
              <w:t>37,809,810</w:t>
            </w:r>
          </w:p>
        </w:tc>
        <w:tc>
          <w:tcPr>
            <w:tcW w:w="0" w:type="dxa"/>
            <w:vAlign w:val="bottom"/>
          </w:tcPr>
          <w:p>
            <w:pPr>
              <w:spacing w:after="0"/>
              <w:rPr>
                <w:sz w:val="1"/>
                <w:szCs w:val="1"/>
                <w:color w:val="auto"/>
              </w:rPr>
            </w:pPr>
          </w:p>
        </w:tc>
      </w:tr>
      <w:tr>
        <w:trPr>
          <w:trHeight w:val="106"/>
        </w:trPr>
        <w:tc>
          <w:tcPr>
            <w:tcW w:w="1840" w:type="dxa"/>
            <w:vAlign w:val="bottom"/>
          </w:tcPr>
          <w:p>
            <w:pPr>
              <w:spacing w:after="0"/>
              <w:rPr>
                <w:sz w:val="9"/>
                <w:szCs w:val="9"/>
                <w:color w:val="auto"/>
              </w:rPr>
            </w:pPr>
          </w:p>
        </w:tc>
        <w:tc>
          <w:tcPr>
            <w:tcW w:w="380" w:type="dxa"/>
            <w:vAlign w:val="bottom"/>
          </w:tcPr>
          <w:p>
            <w:pPr>
              <w:ind w:left="120"/>
              <w:spacing w:after="0" w:line="106" w:lineRule="exact"/>
              <w:rPr>
                <w:sz w:val="20"/>
                <w:szCs w:val="20"/>
                <w:color w:val="auto"/>
              </w:rPr>
            </w:pPr>
            <w:r>
              <w:rPr>
                <w:rFonts w:ascii="Arial" w:cs="Arial" w:eastAsia="Arial" w:hAnsi="Arial"/>
                <w:sz w:val="10"/>
                <w:szCs w:val="10"/>
                <w:color w:val="auto"/>
              </w:rPr>
              <w:t>2020</w:t>
            </w: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675,000</w:t>
            </w:r>
          </w:p>
        </w:tc>
        <w:tc>
          <w:tcPr>
            <w:tcW w:w="480" w:type="dxa"/>
            <w:vAlign w:val="bottom"/>
          </w:tcPr>
          <w:p>
            <w:pPr>
              <w:jc w:val="right"/>
              <w:ind w:right="12"/>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8,169,996</w:t>
            </w: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2,463,750</w:t>
            </w:r>
          </w:p>
        </w:tc>
        <w:tc>
          <w:tcPr>
            <w:tcW w:w="780" w:type="dxa"/>
            <w:vAlign w:val="bottom"/>
          </w:tcPr>
          <w:p>
            <w:pPr>
              <w:jc w:val="right"/>
              <w:ind w:right="32"/>
              <w:spacing w:after="0" w:line="106"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12"/>
              <w:spacing w:after="0" w:line="106" w:lineRule="exact"/>
              <w:rPr>
                <w:sz w:val="20"/>
                <w:szCs w:val="20"/>
                <w:color w:val="auto"/>
              </w:rPr>
            </w:pPr>
            <w:r>
              <w:rPr>
                <w:rFonts w:ascii="Arial" w:cs="Arial" w:eastAsia="Arial" w:hAnsi="Arial"/>
                <w:sz w:val="10"/>
                <w:szCs w:val="10"/>
                <w:color w:val="auto"/>
              </w:rPr>
              <w:t>637,549</w:t>
            </w:r>
          </w:p>
        </w:tc>
        <w:tc>
          <w:tcPr>
            <w:tcW w:w="620" w:type="dxa"/>
            <w:vAlign w:val="bottom"/>
          </w:tcPr>
          <w:p>
            <w:pPr>
              <w:jc w:val="right"/>
              <w:ind w:right="32"/>
              <w:spacing w:after="0" w:line="106" w:lineRule="exact"/>
              <w:rPr>
                <w:sz w:val="20"/>
                <w:szCs w:val="20"/>
                <w:color w:val="auto"/>
              </w:rPr>
            </w:pPr>
            <w:r>
              <w:rPr>
                <w:rFonts w:ascii="Arial" w:cs="Arial" w:eastAsia="Arial" w:hAnsi="Arial"/>
                <w:sz w:val="10"/>
                <w:szCs w:val="10"/>
                <w:color w:val="auto"/>
              </w:rPr>
              <w:t>11,946,295</w:t>
            </w:r>
          </w:p>
        </w:tc>
        <w:tc>
          <w:tcPr>
            <w:tcW w:w="0" w:type="dxa"/>
            <w:vAlign w:val="bottom"/>
          </w:tcPr>
          <w:p>
            <w:pPr>
              <w:spacing w:after="0"/>
              <w:rPr>
                <w:sz w:val="1"/>
                <w:szCs w:val="1"/>
                <w:color w:val="auto"/>
              </w:rPr>
            </w:pPr>
          </w:p>
        </w:tc>
      </w:tr>
      <w:tr>
        <w:trPr>
          <w:trHeight w:val="109"/>
        </w:trPr>
        <w:tc>
          <w:tcPr>
            <w:tcW w:w="1840" w:type="dxa"/>
            <w:vAlign w:val="bottom"/>
            <w:shd w:val="clear" w:color="auto" w:fill="D8EFF9"/>
          </w:tcPr>
          <w:p>
            <w:pPr>
              <w:ind w:left="60"/>
              <w:spacing w:after="0" w:line="109" w:lineRule="exact"/>
              <w:rPr>
                <w:sz w:val="20"/>
                <w:szCs w:val="20"/>
                <w:color w:val="auto"/>
              </w:rPr>
            </w:pPr>
            <w:r>
              <w:rPr>
                <w:rFonts w:ascii="Arial" w:cs="Arial" w:eastAsia="Arial" w:hAnsi="Arial"/>
                <w:sz w:val="10"/>
                <w:szCs w:val="10"/>
                <w:color w:val="auto"/>
              </w:rPr>
              <w:t>Jason P. Wells</w:t>
            </w:r>
          </w:p>
        </w:tc>
        <w:tc>
          <w:tcPr>
            <w:tcW w:w="380" w:type="dxa"/>
            <w:vAlign w:val="bottom"/>
            <w:shd w:val="clear" w:color="auto" w:fill="D8EFF9"/>
          </w:tcPr>
          <w:p>
            <w:pPr>
              <w:ind w:left="120"/>
              <w:spacing w:after="0" w:line="109" w:lineRule="exact"/>
              <w:rPr>
                <w:sz w:val="20"/>
                <w:szCs w:val="20"/>
                <w:color w:val="auto"/>
              </w:rPr>
            </w:pPr>
            <w:r>
              <w:rPr>
                <w:rFonts w:ascii="Arial" w:cs="Arial" w:eastAsia="Arial" w:hAnsi="Arial"/>
                <w:sz w:val="10"/>
                <w:szCs w:val="10"/>
                <w:color w:val="auto"/>
              </w:rPr>
              <w:t>2022</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667,463</w:t>
            </w:r>
          </w:p>
        </w:tc>
        <w:tc>
          <w:tcPr>
            <w:tcW w:w="48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1,737,497</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860,063</w:t>
            </w:r>
          </w:p>
        </w:tc>
        <w:tc>
          <w:tcPr>
            <w:tcW w:w="7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193,847</w:t>
            </w:r>
          </w:p>
        </w:tc>
        <w:tc>
          <w:tcPr>
            <w:tcW w:w="62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3,458,870</w:t>
            </w:r>
          </w:p>
        </w:tc>
        <w:tc>
          <w:tcPr>
            <w:tcW w:w="0" w:type="dxa"/>
            <w:vAlign w:val="bottom"/>
          </w:tcPr>
          <w:p>
            <w:pPr>
              <w:spacing w:after="0"/>
              <w:rPr>
                <w:sz w:val="1"/>
                <w:szCs w:val="1"/>
                <w:color w:val="auto"/>
              </w:rPr>
            </w:pPr>
          </w:p>
        </w:tc>
      </w:tr>
      <w:tr>
        <w:trPr>
          <w:trHeight w:val="109"/>
        </w:trPr>
        <w:tc>
          <w:tcPr>
            <w:tcW w:w="1840" w:type="dxa"/>
            <w:vAlign w:val="bottom"/>
            <w:shd w:val="clear" w:color="auto" w:fill="D8EFF9"/>
          </w:tcPr>
          <w:p>
            <w:pPr>
              <w:ind w:left="160"/>
              <w:spacing w:after="0" w:line="109" w:lineRule="exact"/>
              <w:rPr>
                <w:sz w:val="20"/>
                <w:szCs w:val="20"/>
                <w:color w:val="auto"/>
              </w:rPr>
            </w:pPr>
            <w:r>
              <w:rPr>
                <w:rFonts w:ascii="Arial" w:cs="Arial" w:eastAsia="Arial" w:hAnsi="Arial"/>
                <w:sz w:val="10"/>
                <w:szCs w:val="10"/>
                <w:color w:val="auto"/>
                <w:w w:val="97"/>
              </w:rPr>
              <w:t>President, Chief Operating Officer and</w:t>
            </w:r>
          </w:p>
        </w:tc>
        <w:tc>
          <w:tcPr>
            <w:tcW w:w="380" w:type="dxa"/>
            <w:vAlign w:val="bottom"/>
            <w:shd w:val="clear" w:color="auto" w:fill="D8EFF9"/>
          </w:tcPr>
          <w:p>
            <w:pPr>
              <w:ind w:left="120"/>
              <w:spacing w:after="0" w:line="109" w:lineRule="exact"/>
              <w:rPr>
                <w:sz w:val="20"/>
                <w:szCs w:val="20"/>
                <w:color w:val="auto"/>
              </w:rPr>
            </w:pPr>
            <w:r>
              <w:rPr>
                <w:rFonts w:ascii="Arial" w:cs="Arial" w:eastAsia="Arial" w:hAnsi="Arial"/>
                <w:sz w:val="10"/>
                <w:szCs w:val="10"/>
                <w:color w:val="auto"/>
              </w:rPr>
              <w:t>2021</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665,000</w:t>
            </w:r>
          </w:p>
        </w:tc>
        <w:tc>
          <w:tcPr>
            <w:tcW w:w="48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1,675,003</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548,625</w:t>
            </w:r>
          </w:p>
        </w:tc>
        <w:tc>
          <w:tcPr>
            <w:tcW w:w="7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362,752</w:t>
            </w:r>
          </w:p>
        </w:tc>
        <w:tc>
          <w:tcPr>
            <w:tcW w:w="62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3,251,380</w:t>
            </w:r>
          </w:p>
        </w:tc>
        <w:tc>
          <w:tcPr>
            <w:tcW w:w="0" w:type="dxa"/>
            <w:vAlign w:val="bottom"/>
          </w:tcPr>
          <w:p>
            <w:pPr>
              <w:spacing w:after="0"/>
              <w:rPr>
                <w:sz w:val="1"/>
                <w:szCs w:val="1"/>
                <w:color w:val="auto"/>
              </w:rPr>
            </w:pPr>
          </w:p>
        </w:tc>
      </w:tr>
      <w:tr>
        <w:trPr>
          <w:trHeight w:val="109"/>
        </w:trPr>
        <w:tc>
          <w:tcPr>
            <w:tcW w:w="1840" w:type="dxa"/>
            <w:vAlign w:val="bottom"/>
            <w:shd w:val="clear" w:color="auto" w:fill="D8EFF9"/>
          </w:tcPr>
          <w:p>
            <w:pPr>
              <w:ind w:left="160"/>
              <w:spacing w:after="0" w:line="109" w:lineRule="exact"/>
              <w:rPr>
                <w:sz w:val="20"/>
                <w:szCs w:val="20"/>
                <w:color w:val="auto"/>
              </w:rPr>
            </w:pPr>
            <w:r>
              <w:rPr>
                <w:rFonts w:ascii="Arial" w:cs="Arial" w:eastAsia="Arial" w:hAnsi="Arial"/>
                <w:sz w:val="10"/>
                <w:szCs w:val="10"/>
                <w:color w:val="auto"/>
              </w:rPr>
              <w:t>Chief Financial Officer</w:t>
            </w:r>
          </w:p>
        </w:tc>
        <w:tc>
          <w:tcPr>
            <w:tcW w:w="380" w:type="dxa"/>
            <w:vAlign w:val="bottom"/>
            <w:shd w:val="clear" w:color="auto" w:fill="D8EFF9"/>
          </w:tcPr>
          <w:p>
            <w:pPr>
              <w:ind w:left="120"/>
              <w:spacing w:after="0" w:line="109" w:lineRule="exact"/>
              <w:rPr>
                <w:sz w:val="20"/>
                <w:szCs w:val="20"/>
                <w:color w:val="auto"/>
              </w:rPr>
            </w:pPr>
            <w:r>
              <w:rPr>
                <w:rFonts w:ascii="Arial" w:cs="Arial" w:eastAsia="Arial" w:hAnsi="Arial"/>
                <w:sz w:val="10"/>
                <w:szCs w:val="10"/>
                <w:color w:val="auto"/>
              </w:rPr>
              <w:t>2020</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169,886</w:t>
            </w:r>
          </w:p>
        </w:tc>
        <w:tc>
          <w:tcPr>
            <w:tcW w:w="48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2,625,007</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711,800</w:t>
            </w:r>
          </w:p>
        </w:tc>
        <w:tc>
          <w:tcPr>
            <w:tcW w:w="7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136,813</w:t>
            </w:r>
          </w:p>
        </w:tc>
        <w:tc>
          <w:tcPr>
            <w:tcW w:w="62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3,643,507</w:t>
            </w:r>
          </w:p>
        </w:tc>
        <w:tc>
          <w:tcPr>
            <w:tcW w:w="0" w:type="dxa"/>
            <w:vAlign w:val="bottom"/>
          </w:tcPr>
          <w:p>
            <w:pPr>
              <w:spacing w:after="0"/>
              <w:rPr>
                <w:sz w:val="1"/>
                <w:szCs w:val="1"/>
                <w:color w:val="auto"/>
              </w:rPr>
            </w:pPr>
          </w:p>
        </w:tc>
      </w:tr>
      <w:tr>
        <w:trPr>
          <w:trHeight w:val="91"/>
        </w:trPr>
        <w:tc>
          <w:tcPr>
            <w:tcW w:w="1840" w:type="dxa"/>
            <w:vAlign w:val="bottom"/>
            <w:shd w:val="clear" w:color="auto" w:fill="D8EFF9"/>
          </w:tcPr>
          <w:p>
            <w:pPr>
              <w:spacing w:after="0"/>
              <w:rPr>
                <w:sz w:val="7"/>
                <w:szCs w:val="7"/>
                <w:color w:val="auto"/>
              </w:rPr>
            </w:pPr>
          </w:p>
        </w:tc>
        <w:tc>
          <w:tcPr>
            <w:tcW w:w="380" w:type="dxa"/>
            <w:vAlign w:val="bottom"/>
            <w:shd w:val="clear" w:color="auto" w:fill="D8EFF9"/>
          </w:tcPr>
          <w:p>
            <w:pPr>
              <w:spacing w:after="0"/>
              <w:rPr>
                <w:sz w:val="7"/>
                <w:szCs w:val="7"/>
                <w:color w:val="auto"/>
              </w:rPr>
            </w:pPr>
          </w:p>
        </w:tc>
        <w:tc>
          <w:tcPr>
            <w:tcW w:w="520" w:type="dxa"/>
            <w:vAlign w:val="bottom"/>
            <w:shd w:val="clear" w:color="auto" w:fill="D8EFF9"/>
          </w:tcPr>
          <w:p>
            <w:pPr>
              <w:spacing w:after="0"/>
              <w:rPr>
                <w:sz w:val="7"/>
                <w:szCs w:val="7"/>
                <w:color w:val="auto"/>
              </w:rPr>
            </w:pPr>
          </w:p>
        </w:tc>
        <w:tc>
          <w:tcPr>
            <w:tcW w:w="480" w:type="dxa"/>
            <w:vAlign w:val="bottom"/>
            <w:shd w:val="clear" w:color="auto" w:fill="D8EFF9"/>
          </w:tcPr>
          <w:p>
            <w:pPr>
              <w:spacing w:after="0"/>
              <w:rPr>
                <w:sz w:val="7"/>
                <w:szCs w:val="7"/>
                <w:color w:val="auto"/>
              </w:rPr>
            </w:pPr>
          </w:p>
        </w:tc>
        <w:tc>
          <w:tcPr>
            <w:tcW w:w="580" w:type="dxa"/>
            <w:vAlign w:val="bottom"/>
            <w:shd w:val="clear" w:color="auto" w:fill="D8EFF9"/>
          </w:tcPr>
          <w:p>
            <w:pPr>
              <w:spacing w:after="0"/>
              <w:rPr>
                <w:sz w:val="7"/>
                <w:szCs w:val="7"/>
                <w:color w:val="auto"/>
              </w:rPr>
            </w:pPr>
          </w:p>
        </w:tc>
        <w:tc>
          <w:tcPr>
            <w:tcW w:w="520" w:type="dxa"/>
            <w:vAlign w:val="bottom"/>
            <w:shd w:val="clear" w:color="auto" w:fill="D8EFF9"/>
          </w:tcPr>
          <w:p>
            <w:pPr>
              <w:spacing w:after="0"/>
              <w:rPr>
                <w:sz w:val="7"/>
                <w:szCs w:val="7"/>
                <w:color w:val="auto"/>
              </w:rPr>
            </w:pPr>
          </w:p>
        </w:tc>
        <w:tc>
          <w:tcPr>
            <w:tcW w:w="840" w:type="dxa"/>
            <w:vAlign w:val="bottom"/>
            <w:shd w:val="clear" w:color="auto" w:fill="D8EFF9"/>
          </w:tcPr>
          <w:p>
            <w:pPr>
              <w:spacing w:after="0"/>
              <w:rPr>
                <w:sz w:val="7"/>
                <w:szCs w:val="7"/>
                <w:color w:val="auto"/>
              </w:rPr>
            </w:pPr>
          </w:p>
        </w:tc>
        <w:tc>
          <w:tcPr>
            <w:tcW w:w="780" w:type="dxa"/>
            <w:vAlign w:val="bottom"/>
            <w:shd w:val="clear" w:color="auto" w:fill="D8EFF9"/>
          </w:tcPr>
          <w:p>
            <w:pPr>
              <w:spacing w:after="0"/>
              <w:rPr>
                <w:sz w:val="7"/>
                <w:szCs w:val="7"/>
                <w:color w:val="auto"/>
              </w:rPr>
            </w:pPr>
          </w:p>
        </w:tc>
        <w:tc>
          <w:tcPr>
            <w:tcW w:w="860" w:type="dxa"/>
            <w:vAlign w:val="bottom"/>
            <w:shd w:val="clear" w:color="auto" w:fill="D8EFF9"/>
          </w:tcPr>
          <w:p>
            <w:pPr>
              <w:spacing w:after="0"/>
              <w:rPr>
                <w:sz w:val="7"/>
                <w:szCs w:val="7"/>
                <w:color w:val="auto"/>
              </w:rPr>
            </w:pPr>
          </w:p>
        </w:tc>
        <w:tc>
          <w:tcPr>
            <w:tcW w:w="620" w:type="dxa"/>
            <w:vAlign w:val="bottom"/>
            <w:shd w:val="clear" w:color="auto" w:fill="D8EFF9"/>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840" w:type="dxa"/>
            <w:vAlign w:val="bottom"/>
          </w:tcPr>
          <w:p>
            <w:pPr>
              <w:ind w:left="60"/>
              <w:spacing w:after="0" w:line="113" w:lineRule="exact"/>
              <w:rPr>
                <w:sz w:val="20"/>
                <w:szCs w:val="20"/>
                <w:color w:val="auto"/>
              </w:rPr>
            </w:pPr>
            <w:r>
              <w:rPr>
                <w:rFonts w:ascii="Arial" w:cs="Arial" w:eastAsia="Arial" w:hAnsi="Arial"/>
                <w:sz w:val="10"/>
                <w:szCs w:val="10"/>
                <w:color w:val="auto"/>
              </w:rPr>
              <w:t>Scott E. Doyle</w:t>
            </w:r>
          </w:p>
        </w:tc>
        <w:tc>
          <w:tcPr>
            <w:tcW w:w="380" w:type="dxa"/>
            <w:vAlign w:val="bottom"/>
          </w:tcPr>
          <w:p>
            <w:pPr>
              <w:ind w:left="120"/>
              <w:spacing w:after="0" w:line="113" w:lineRule="exact"/>
              <w:rPr>
                <w:sz w:val="20"/>
                <w:szCs w:val="20"/>
                <w:color w:val="auto"/>
              </w:rPr>
            </w:pPr>
            <w:r>
              <w:rPr>
                <w:rFonts w:ascii="Arial" w:cs="Arial" w:eastAsia="Arial" w:hAnsi="Arial"/>
                <w:sz w:val="10"/>
                <w:szCs w:val="10"/>
                <w:color w:val="auto"/>
              </w:rPr>
              <w:t>2022</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563,504</w:t>
            </w:r>
          </w:p>
        </w:tc>
        <w:tc>
          <w:tcPr>
            <w:tcW w:w="4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1,500,005</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(119,284)</w:t>
            </w:r>
          </w:p>
        </w:tc>
        <w:tc>
          <w:tcPr>
            <w:tcW w:w="860" w:type="dxa"/>
            <w:vAlign w:val="bottom"/>
          </w:tcPr>
          <w:p>
            <w:pPr>
              <w:jc w:val="right"/>
              <w:ind w:right="12"/>
              <w:spacing w:after="0" w:line="113" w:lineRule="exact"/>
              <w:rPr>
                <w:sz w:val="20"/>
                <w:szCs w:val="20"/>
                <w:color w:val="auto"/>
              </w:rPr>
            </w:pPr>
            <w:r>
              <w:rPr>
                <w:rFonts w:ascii="Arial" w:cs="Arial" w:eastAsia="Arial" w:hAnsi="Arial"/>
                <w:sz w:val="10"/>
                <w:szCs w:val="10"/>
                <w:color w:val="auto"/>
              </w:rPr>
              <w:t>90,477</w:t>
            </w:r>
          </w:p>
        </w:tc>
        <w:tc>
          <w:tcPr>
            <w:tcW w:w="620" w:type="dxa"/>
            <w:vAlign w:val="bottom"/>
          </w:tcPr>
          <w:p>
            <w:pPr>
              <w:jc w:val="right"/>
              <w:ind w:right="32"/>
              <w:spacing w:after="0" w:line="113" w:lineRule="exact"/>
              <w:rPr>
                <w:sz w:val="20"/>
                <w:szCs w:val="20"/>
                <w:color w:val="auto"/>
              </w:rPr>
            </w:pPr>
            <w:r>
              <w:rPr>
                <w:rFonts w:ascii="Arial" w:cs="Arial" w:eastAsia="Arial" w:hAnsi="Arial"/>
                <w:sz w:val="10"/>
                <w:szCs w:val="10"/>
                <w:color w:val="auto"/>
              </w:rPr>
              <w:t>2,034,702</w:t>
            </w:r>
          </w:p>
        </w:tc>
        <w:tc>
          <w:tcPr>
            <w:tcW w:w="0" w:type="dxa"/>
            <w:vAlign w:val="bottom"/>
          </w:tcPr>
          <w:p>
            <w:pPr>
              <w:spacing w:after="0"/>
              <w:rPr>
                <w:sz w:val="1"/>
                <w:szCs w:val="1"/>
                <w:color w:val="auto"/>
              </w:rPr>
            </w:pPr>
          </w:p>
        </w:tc>
      </w:tr>
      <w:tr>
        <w:trPr>
          <w:trHeight w:val="109"/>
        </w:trPr>
        <w:tc>
          <w:tcPr>
            <w:tcW w:w="1840" w:type="dxa"/>
            <w:vAlign w:val="bottom"/>
          </w:tcPr>
          <w:p>
            <w:pPr>
              <w:ind w:left="160"/>
              <w:spacing w:after="0" w:line="109" w:lineRule="exact"/>
              <w:rPr>
                <w:sz w:val="20"/>
                <w:szCs w:val="20"/>
                <w:color w:val="auto"/>
              </w:rPr>
            </w:pPr>
            <w:r>
              <w:rPr>
                <w:rFonts w:ascii="Arial" w:cs="Arial" w:eastAsia="Arial" w:hAnsi="Arial"/>
                <w:sz w:val="10"/>
                <w:szCs w:val="10"/>
                <w:color w:val="auto"/>
              </w:rPr>
              <w:t>Former Executive Vice President,</w:t>
            </w:r>
          </w:p>
        </w:tc>
        <w:tc>
          <w:tcPr>
            <w:tcW w:w="380" w:type="dxa"/>
            <w:vAlign w:val="bottom"/>
          </w:tcPr>
          <w:p>
            <w:pPr>
              <w:ind w:left="120"/>
              <w:spacing w:after="0" w:line="109" w:lineRule="exact"/>
              <w:rPr>
                <w:sz w:val="20"/>
                <w:szCs w:val="20"/>
                <w:color w:val="auto"/>
              </w:rPr>
            </w:pPr>
            <w:r>
              <w:rPr>
                <w:rFonts w:ascii="Arial" w:cs="Arial" w:eastAsia="Arial" w:hAnsi="Arial"/>
                <w:sz w:val="10"/>
                <w:szCs w:val="10"/>
                <w:color w:val="auto"/>
              </w:rPr>
              <w:t>2021</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518,750</w:t>
            </w:r>
          </w:p>
        </w:tc>
        <w:tc>
          <w:tcPr>
            <w:tcW w:w="4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997,503</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399,437</w:t>
            </w:r>
          </w:p>
        </w:tc>
        <w:tc>
          <w:tcPr>
            <w:tcW w:w="780" w:type="dxa"/>
            <w:vAlign w:val="bottom"/>
          </w:tcPr>
          <w:p>
            <w:pPr>
              <w:jc w:val="right"/>
              <w:ind w:right="32"/>
              <w:spacing w:after="0" w:line="109" w:lineRule="exact"/>
              <w:rPr>
                <w:sz w:val="20"/>
                <w:szCs w:val="20"/>
                <w:color w:val="auto"/>
              </w:rPr>
            </w:pPr>
            <w:r>
              <w:rPr>
                <w:rFonts w:ascii="Arial" w:cs="Arial" w:eastAsia="Arial" w:hAnsi="Arial"/>
                <w:sz w:val="10"/>
                <w:szCs w:val="10"/>
                <w:color w:val="auto"/>
              </w:rPr>
              <w:t>34,944</w:t>
            </w:r>
          </w:p>
        </w:tc>
        <w:tc>
          <w:tcPr>
            <w:tcW w:w="8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100,381</w:t>
            </w:r>
          </w:p>
        </w:tc>
        <w:tc>
          <w:tcPr>
            <w:tcW w:w="620" w:type="dxa"/>
            <w:vAlign w:val="bottom"/>
          </w:tcPr>
          <w:p>
            <w:pPr>
              <w:jc w:val="right"/>
              <w:ind w:right="32"/>
              <w:spacing w:after="0" w:line="109" w:lineRule="exact"/>
              <w:rPr>
                <w:sz w:val="20"/>
                <w:szCs w:val="20"/>
                <w:color w:val="auto"/>
              </w:rPr>
            </w:pPr>
            <w:r>
              <w:rPr>
                <w:rFonts w:ascii="Arial" w:cs="Arial" w:eastAsia="Arial" w:hAnsi="Arial"/>
                <w:sz w:val="10"/>
                <w:szCs w:val="10"/>
                <w:color w:val="auto"/>
              </w:rPr>
              <w:t>2,051,015</w:t>
            </w:r>
          </w:p>
        </w:tc>
        <w:tc>
          <w:tcPr>
            <w:tcW w:w="0" w:type="dxa"/>
            <w:vAlign w:val="bottom"/>
          </w:tcPr>
          <w:p>
            <w:pPr>
              <w:spacing w:after="0"/>
              <w:rPr>
                <w:sz w:val="1"/>
                <w:szCs w:val="1"/>
                <w:color w:val="auto"/>
              </w:rPr>
            </w:pPr>
          </w:p>
        </w:tc>
      </w:tr>
      <w:tr>
        <w:trPr>
          <w:trHeight w:val="120"/>
        </w:trPr>
        <w:tc>
          <w:tcPr>
            <w:tcW w:w="1840" w:type="dxa"/>
            <w:vAlign w:val="bottom"/>
          </w:tcPr>
          <w:p>
            <w:pPr>
              <w:ind w:left="160"/>
              <w:spacing w:after="0"/>
              <w:rPr>
                <w:sz w:val="20"/>
                <w:szCs w:val="20"/>
                <w:color w:val="auto"/>
              </w:rPr>
            </w:pPr>
            <w:r>
              <w:rPr>
                <w:rFonts w:ascii="Arial" w:cs="Arial" w:eastAsia="Arial" w:hAnsi="Arial"/>
                <w:sz w:val="10"/>
                <w:szCs w:val="10"/>
                <w:color w:val="auto"/>
              </w:rPr>
              <w:t>Utility Operations</w:t>
            </w:r>
          </w:p>
        </w:tc>
        <w:tc>
          <w:tcPr>
            <w:tcW w:w="380" w:type="dxa"/>
            <w:vAlign w:val="bottom"/>
          </w:tcPr>
          <w:p>
            <w:pPr>
              <w:ind w:left="120"/>
              <w:spacing w:after="0"/>
              <w:rPr>
                <w:sz w:val="20"/>
                <w:szCs w:val="20"/>
                <w:color w:val="auto"/>
              </w:rPr>
            </w:pPr>
            <w:r>
              <w:rPr>
                <w:rFonts w:ascii="Arial" w:cs="Arial" w:eastAsia="Arial" w:hAnsi="Arial"/>
                <w:sz w:val="10"/>
                <w:szCs w:val="10"/>
                <w:color w:val="auto"/>
              </w:rPr>
              <w:t>2020</w:t>
            </w:r>
          </w:p>
        </w:tc>
        <w:tc>
          <w:tcPr>
            <w:tcW w:w="520" w:type="dxa"/>
            <w:vAlign w:val="bottom"/>
          </w:tcPr>
          <w:p>
            <w:pPr>
              <w:jc w:val="right"/>
              <w:spacing w:after="0"/>
              <w:rPr>
                <w:sz w:val="20"/>
                <w:szCs w:val="20"/>
                <w:color w:val="auto"/>
              </w:rPr>
            </w:pPr>
            <w:r>
              <w:rPr>
                <w:rFonts w:ascii="Arial" w:cs="Arial" w:eastAsia="Arial" w:hAnsi="Arial"/>
                <w:sz w:val="10"/>
                <w:szCs w:val="10"/>
                <w:color w:val="auto"/>
              </w:rPr>
              <w:t>487,500</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849,989</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462,600</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113,597</w:t>
            </w: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61,067</w:t>
            </w: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1,974,753</w:t>
            </w:r>
          </w:p>
        </w:tc>
        <w:tc>
          <w:tcPr>
            <w:tcW w:w="0" w:type="dxa"/>
            <w:vAlign w:val="bottom"/>
          </w:tcPr>
          <w:p>
            <w:pPr>
              <w:spacing w:after="0"/>
              <w:rPr>
                <w:sz w:val="1"/>
                <w:szCs w:val="1"/>
                <w:color w:val="auto"/>
              </w:rPr>
            </w:pPr>
          </w:p>
        </w:tc>
      </w:tr>
      <w:tr>
        <w:trPr>
          <w:trHeight w:val="113"/>
        </w:trPr>
        <w:tc>
          <w:tcPr>
            <w:tcW w:w="1840" w:type="dxa"/>
            <w:vAlign w:val="bottom"/>
            <w:shd w:val="clear" w:color="auto" w:fill="D8EFF9"/>
          </w:tcPr>
          <w:p>
            <w:pPr>
              <w:ind w:left="60"/>
              <w:spacing w:after="0" w:line="114" w:lineRule="exact"/>
              <w:rPr>
                <w:sz w:val="20"/>
                <w:szCs w:val="20"/>
                <w:color w:val="auto"/>
              </w:rPr>
            </w:pPr>
            <w:r>
              <w:rPr>
                <w:rFonts w:ascii="Arial" w:cs="Arial" w:eastAsia="Arial" w:hAnsi="Arial"/>
                <w:sz w:val="10"/>
                <w:szCs w:val="10"/>
                <w:color w:val="auto"/>
              </w:rPr>
              <w:t>Monica Karuturi</w:t>
            </w:r>
          </w:p>
        </w:tc>
        <w:tc>
          <w:tcPr>
            <w:tcW w:w="380" w:type="dxa"/>
            <w:vAlign w:val="bottom"/>
            <w:shd w:val="clear" w:color="auto" w:fill="D8EFF9"/>
          </w:tcPr>
          <w:p>
            <w:pPr>
              <w:ind w:left="120"/>
              <w:spacing w:after="0" w:line="114" w:lineRule="exact"/>
              <w:rPr>
                <w:sz w:val="20"/>
                <w:szCs w:val="20"/>
                <w:color w:val="auto"/>
              </w:rPr>
            </w:pPr>
            <w:r>
              <w:rPr>
                <w:rFonts w:ascii="Arial" w:cs="Arial" w:eastAsia="Arial" w:hAnsi="Arial"/>
                <w:sz w:val="10"/>
                <w:szCs w:val="10"/>
                <w:color w:val="auto"/>
              </w:rPr>
              <w:t>2022</w:t>
            </w:r>
          </w:p>
        </w:tc>
        <w:tc>
          <w:tcPr>
            <w:tcW w:w="520" w:type="dxa"/>
            <w:vAlign w:val="bottom"/>
            <w:shd w:val="clear" w:color="auto" w:fill="D8EFF9"/>
          </w:tcPr>
          <w:p>
            <w:pPr>
              <w:jc w:val="right"/>
              <w:spacing w:after="0" w:line="114" w:lineRule="exact"/>
              <w:rPr>
                <w:sz w:val="20"/>
                <w:szCs w:val="20"/>
                <w:color w:val="auto"/>
              </w:rPr>
            </w:pPr>
            <w:r>
              <w:rPr>
                <w:rFonts w:ascii="Arial" w:cs="Arial" w:eastAsia="Arial" w:hAnsi="Arial"/>
                <w:sz w:val="10"/>
                <w:szCs w:val="10"/>
                <w:color w:val="auto"/>
              </w:rPr>
              <w:t>552,462</w:t>
            </w:r>
          </w:p>
        </w:tc>
        <w:tc>
          <w:tcPr>
            <w:tcW w:w="480" w:type="dxa"/>
            <w:vAlign w:val="bottom"/>
            <w:shd w:val="clear" w:color="auto" w:fill="D8EFF9"/>
          </w:tcPr>
          <w:p>
            <w:pPr>
              <w:jc w:val="right"/>
              <w:ind w:right="12"/>
              <w:spacing w:after="0" w:line="114" w:lineRule="exact"/>
              <w:rPr>
                <w:sz w:val="20"/>
                <w:szCs w:val="20"/>
                <w:color w:val="auto"/>
              </w:rPr>
            </w:pPr>
            <w:r>
              <w:rPr>
                <w:rFonts w:ascii="Arial" w:cs="Arial" w:eastAsia="Arial" w:hAnsi="Arial"/>
                <w:sz w:val="10"/>
                <w:szCs w:val="10"/>
                <w:color w:val="auto"/>
              </w:rPr>
              <w:t>100,000</w:t>
            </w:r>
          </w:p>
        </w:tc>
        <w:tc>
          <w:tcPr>
            <w:tcW w:w="580" w:type="dxa"/>
            <w:vAlign w:val="bottom"/>
            <w:shd w:val="clear" w:color="auto" w:fill="D8EFF9"/>
          </w:tcPr>
          <w:p>
            <w:pPr>
              <w:jc w:val="right"/>
              <w:spacing w:after="0" w:line="114" w:lineRule="exact"/>
              <w:rPr>
                <w:sz w:val="20"/>
                <w:szCs w:val="20"/>
                <w:color w:val="auto"/>
              </w:rPr>
            </w:pPr>
            <w:r>
              <w:rPr>
                <w:rFonts w:ascii="Arial" w:cs="Arial" w:eastAsia="Arial" w:hAnsi="Arial"/>
                <w:sz w:val="10"/>
                <w:szCs w:val="10"/>
                <w:color w:val="auto"/>
              </w:rPr>
              <w:t>1,102,006</w:t>
            </w:r>
          </w:p>
        </w:tc>
        <w:tc>
          <w:tcPr>
            <w:tcW w:w="520" w:type="dxa"/>
            <w:vAlign w:val="bottom"/>
            <w:shd w:val="clear" w:color="auto" w:fill="D8EFF9"/>
          </w:tcPr>
          <w:p>
            <w:pPr>
              <w:jc w:val="right"/>
              <w:spacing w:after="0" w:line="114" w:lineRule="exact"/>
              <w:rPr>
                <w:sz w:val="20"/>
                <w:szCs w:val="20"/>
                <w:color w:val="auto"/>
              </w:rPr>
            </w:pPr>
            <w:r>
              <w:rPr>
                <w:rFonts w:ascii="Arial" w:cs="Arial" w:eastAsia="Arial" w:hAnsi="Arial"/>
                <w:sz w:val="10"/>
                <w:szCs w:val="10"/>
                <w:color w:val="auto"/>
              </w:rPr>
              <w:t>—</w:t>
            </w:r>
          </w:p>
        </w:tc>
        <w:tc>
          <w:tcPr>
            <w:tcW w:w="840" w:type="dxa"/>
            <w:vAlign w:val="bottom"/>
            <w:shd w:val="clear" w:color="auto" w:fill="D8EFF9"/>
          </w:tcPr>
          <w:p>
            <w:pPr>
              <w:jc w:val="right"/>
              <w:spacing w:after="0" w:line="114" w:lineRule="exact"/>
              <w:rPr>
                <w:sz w:val="20"/>
                <w:szCs w:val="20"/>
                <w:color w:val="auto"/>
              </w:rPr>
            </w:pPr>
            <w:r>
              <w:rPr>
                <w:rFonts w:ascii="Arial" w:cs="Arial" w:eastAsia="Arial" w:hAnsi="Arial"/>
                <w:sz w:val="10"/>
                <w:szCs w:val="10"/>
                <w:color w:val="auto"/>
              </w:rPr>
              <w:t>669,900</w:t>
            </w:r>
          </w:p>
        </w:tc>
        <w:tc>
          <w:tcPr>
            <w:tcW w:w="780" w:type="dxa"/>
            <w:vAlign w:val="bottom"/>
            <w:shd w:val="clear" w:color="auto" w:fill="D8EFF9"/>
          </w:tcPr>
          <w:p>
            <w:pPr>
              <w:jc w:val="right"/>
              <w:ind w:right="32"/>
              <w:spacing w:after="0" w:line="114" w:lineRule="exact"/>
              <w:rPr>
                <w:sz w:val="20"/>
                <w:szCs w:val="20"/>
                <w:color w:val="auto"/>
              </w:rPr>
            </w:pPr>
            <w:r>
              <w:rPr>
                <w:rFonts w:ascii="Arial" w:cs="Arial" w:eastAsia="Arial" w:hAnsi="Arial"/>
                <w:sz w:val="10"/>
                <w:szCs w:val="10"/>
                <w:color w:val="auto"/>
              </w:rPr>
              <w:t>9,454</w:t>
            </w:r>
          </w:p>
        </w:tc>
        <w:tc>
          <w:tcPr>
            <w:tcW w:w="860" w:type="dxa"/>
            <w:vAlign w:val="bottom"/>
            <w:shd w:val="clear" w:color="auto" w:fill="D8EFF9"/>
          </w:tcPr>
          <w:p>
            <w:pPr>
              <w:jc w:val="right"/>
              <w:ind w:right="12"/>
              <w:spacing w:after="0" w:line="114" w:lineRule="exact"/>
              <w:rPr>
                <w:sz w:val="20"/>
                <w:szCs w:val="20"/>
                <w:color w:val="auto"/>
              </w:rPr>
            </w:pPr>
            <w:r>
              <w:rPr>
                <w:rFonts w:ascii="Arial" w:cs="Arial" w:eastAsia="Arial" w:hAnsi="Arial"/>
                <w:sz w:val="10"/>
                <w:szCs w:val="10"/>
                <w:color w:val="auto"/>
              </w:rPr>
              <w:t>71,527</w:t>
            </w:r>
          </w:p>
        </w:tc>
        <w:tc>
          <w:tcPr>
            <w:tcW w:w="620" w:type="dxa"/>
            <w:vAlign w:val="bottom"/>
            <w:shd w:val="clear" w:color="auto" w:fill="D8EFF9"/>
          </w:tcPr>
          <w:p>
            <w:pPr>
              <w:jc w:val="right"/>
              <w:ind w:right="32"/>
              <w:spacing w:after="0" w:line="114" w:lineRule="exact"/>
              <w:rPr>
                <w:sz w:val="20"/>
                <w:szCs w:val="20"/>
                <w:color w:val="auto"/>
              </w:rPr>
            </w:pPr>
            <w:r>
              <w:rPr>
                <w:rFonts w:ascii="Arial" w:cs="Arial" w:eastAsia="Arial" w:hAnsi="Arial"/>
                <w:sz w:val="10"/>
                <w:szCs w:val="10"/>
                <w:color w:val="auto"/>
              </w:rPr>
              <w:t>2,505,350</w:t>
            </w:r>
          </w:p>
        </w:tc>
        <w:tc>
          <w:tcPr>
            <w:tcW w:w="0" w:type="dxa"/>
            <w:vAlign w:val="bottom"/>
          </w:tcPr>
          <w:p>
            <w:pPr>
              <w:spacing w:after="0"/>
              <w:rPr>
                <w:sz w:val="1"/>
                <w:szCs w:val="1"/>
                <w:color w:val="auto"/>
              </w:rPr>
            </w:pPr>
          </w:p>
        </w:tc>
      </w:tr>
      <w:tr>
        <w:trPr>
          <w:trHeight w:val="109"/>
        </w:trPr>
        <w:tc>
          <w:tcPr>
            <w:tcW w:w="1840" w:type="dxa"/>
            <w:vAlign w:val="bottom"/>
            <w:shd w:val="clear" w:color="auto" w:fill="D8EFF9"/>
          </w:tcPr>
          <w:p>
            <w:pPr>
              <w:ind w:left="160"/>
              <w:spacing w:after="0" w:line="109" w:lineRule="exact"/>
              <w:rPr>
                <w:sz w:val="20"/>
                <w:szCs w:val="20"/>
                <w:color w:val="auto"/>
              </w:rPr>
            </w:pPr>
            <w:r>
              <w:rPr>
                <w:rFonts w:ascii="Arial" w:cs="Arial" w:eastAsia="Arial" w:hAnsi="Arial"/>
                <w:sz w:val="10"/>
                <w:szCs w:val="10"/>
                <w:color w:val="auto"/>
                <w:w w:val="98"/>
              </w:rPr>
              <w:t>Executive Vice President and General</w:t>
            </w:r>
          </w:p>
        </w:tc>
        <w:tc>
          <w:tcPr>
            <w:tcW w:w="380" w:type="dxa"/>
            <w:vAlign w:val="bottom"/>
            <w:shd w:val="clear" w:color="auto" w:fill="D8EFF9"/>
          </w:tcPr>
          <w:p>
            <w:pPr>
              <w:ind w:left="120"/>
              <w:spacing w:after="0" w:line="109" w:lineRule="exact"/>
              <w:rPr>
                <w:sz w:val="20"/>
                <w:szCs w:val="20"/>
                <w:color w:val="auto"/>
              </w:rPr>
            </w:pPr>
            <w:r>
              <w:rPr>
                <w:rFonts w:ascii="Arial" w:cs="Arial" w:eastAsia="Arial" w:hAnsi="Arial"/>
                <w:sz w:val="10"/>
                <w:szCs w:val="10"/>
                <w:color w:val="auto"/>
              </w:rPr>
              <w:t>2021</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527,500</w:t>
            </w:r>
          </w:p>
        </w:tc>
        <w:tc>
          <w:tcPr>
            <w:tcW w:w="48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80,000</w:t>
            </w:r>
          </w:p>
        </w:tc>
        <w:tc>
          <w:tcPr>
            <w:tcW w:w="58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971,997</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377,163</w:t>
            </w:r>
          </w:p>
        </w:tc>
        <w:tc>
          <w:tcPr>
            <w:tcW w:w="7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30,437</w:t>
            </w:r>
          </w:p>
        </w:tc>
        <w:tc>
          <w:tcPr>
            <w:tcW w:w="86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65,754</w:t>
            </w:r>
          </w:p>
        </w:tc>
        <w:tc>
          <w:tcPr>
            <w:tcW w:w="62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2,052,851</w:t>
            </w:r>
          </w:p>
        </w:tc>
        <w:tc>
          <w:tcPr>
            <w:tcW w:w="0" w:type="dxa"/>
            <w:vAlign w:val="bottom"/>
          </w:tcPr>
          <w:p>
            <w:pPr>
              <w:spacing w:after="0"/>
              <w:rPr>
                <w:sz w:val="1"/>
                <w:szCs w:val="1"/>
                <w:color w:val="auto"/>
              </w:rPr>
            </w:pPr>
          </w:p>
        </w:tc>
      </w:tr>
      <w:tr>
        <w:trPr>
          <w:trHeight w:val="109"/>
        </w:trPr>
        <w:tc>
          <w:tcPr>
            <w:tcW w:w="1840" w:type="dxa"/>
            <w:vAlign w:val="bottom"/>
            <w:shd w:val="clear" w:color="auto" w:fill="D8EFF9"/>
          </w:tcPr>
          <w:p>
            <w:pPr>
              <w:ind w:left="160"/>
              <w:spacing w:after="0" w:line="109" w:lineRule="exact"/>
              <w:rPr>
                <w:sz w:val="20"/>
                <w:szCs w:val="20"/>
                <w:color w:val="auto"/>
              </w:rPr>
            </w:pPr>
            <w:r>
              <w:rPr>
                <w:rFonts w:ascii="Arial" w:cs="Arial" w:eastAsia="Arial" w:hAnsi="Arial"/>
                <w:sz w:val="10"/>
                <w:szCs w:val="10"/>
                <w:color w:val="auto"/>
              </w:rPr>
              <w:t>Counsel</w:t>
            </w:r>
          </w:p>
        </w:tc>
        <w:tc>
          <w:tcPr>
            <w:tcW w:w="3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48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840" w:type="dxa"/>
            <w:vAlign w:val="bottom"/>
            <w:shd w:val="clear" w:color="auto" w:fill="D8EFF9"/>
          </w:tcPr>
          <w:p>
            <w:pPr>
              <w:spacing w:after="0"/>
              <w:rPr>
                <w:sz w:val="9"/>
                <w:szCs w:val="9"/>
                <w:color w:val="auto"/>
              </w:rPr>
            </w:pPr>
          </w:p>
        </w:tc>
        <w:tc>
          <w:tcPr>
            <w:tcW w:w="780" w:type="dxa"/>
            <w:vAlign w:val="bottom"/>
            <w:shd w:val="clear" w:color="auto" w:fill="D8EFF9"/>
          </w:tcPr>
          <w:p>
            <w:pPr>
              <w:spacing w:after="0"/>
              <w:rPr>
                <w:sz w:val="9"/>
                <w:szCs w:val="9"/>
                <w:color w:val="auto"/>
              </w:rPr>
            </w:pPr>
          </w:p>
        </w:tc>
        <w:tc>
          <w:tcPr>
            <w:tcW w:w="860" w:type="dxa"/>
            <w:vAlign w:val="bottom"/>
            <w:shd w:val="clear" w:color="auto" w:fill="D8EFF9"/>
          </w:tcPr>
          <w:p>
            <w:pPr>
              <w:spacing w:after="0"/>
              <w:rPr>
                <w:sz w:val="9"/>
                <w:szCs w:val="9"/>
                <w:color w:val="auto"/>
              </w:rPr>
            </w:pPr>
          </w:p>
        </w:tc>
        <w:tc>
          <w:tcPr>
            <w:tcW w:w="620" w:type="dxa"/>
            <w:vAlign w:val="bottom"/>
            <w:shd w:val="clear" w:color="auto" w:fill="D8EFF9"/>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840" w:type="dxa"/>
            <w:vAlign w:val="bottom"/>
          </w:tcPr>
          <w:p>
            <w:pPr>
              <w:ind w:left="60"/>
              <w:spacing w:after="0" w:line="113" w:lineRule="exact"/>
              <w:rPr>
                <w:sz w:val="20"/>
                <w:szCs w:val="20"/>
                <w:color w:val="auto"/>
              </w:rPr>
            </w:pPr>
            <w:r>
              <w:rPr>
                <w:rFonts w:ascii="Arial" w:cs="Arial" w:eastAsia="Arial" w:hAnsi="Arial"/>
                <w:sz w:val="10"/>
                <w:szCs w:val="10"/>
                <w:color w:val="auto"/>
              </w:rPr>
              <w:t>Gregory E. Knight</w:t>
            </w:r>
          </w:p>
        </w:tc>
        <w:tc>
          <w:tcPr>
            <w:tcW w:w="380" w:type="dxa"/>
            <w:vAlign w:val="bottom"/>
          </w:tcPr>
          <w:p>
            <w:pPr>
              <w:ind w:left="120"/>
              <w:spacing w:after="0" w:line="113" w:lineRule="exact"/>
              <w:rPr>
                <w:sz w:val="20"/>
                <w:szCs w:val="20"/>
                <w:color w:val="auto"/>
              </w:rPr>
            </w:pPr>
            <w:r>
              <w:rPr>
                <w:rFonts w:ascii="Arial" w:cs="Arial" w:eastAsia="Arial" w:hAnsi="Arial"/>
                <w:sz w:val="10"/>
                <w:szCs w:val="10"/>
                <w:color w:val="auto"/>
              </w:rPr>
              <w:t>2022</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506,396</w:t>
            </w:r>
          </w:p>
        </w:tc>
        <w:tc>
          <w:tcPr>
            <w:tcW w:w="48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1,006,977</w:t>
            </w:r>
          </w:p>
        </w:tc>
        <w:tc>
          <w:tcPr>
            <w:tcW w:w="52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612,150</w:t>
            </w:r>
          </w:p>
        </w:tc>
        <w:tc>
          <w:tcPr>
            <w:tcW w:w="780" w:type="dxa"/>
            <w:vAlign w:val="bottom"/>
          </w:tcPr>
          <w:p>
            <w:pPr>
              <w:jc w:val="right"/>
              <w:spacing w:after="0" w:line="113" w:lineRule="exact"/>
              <w:rPr>
                <w:sz w:val="20"/>
                <w:szCs w:val="20"/>
                <w:color w:val="auto"/>
              </w:rPr>
            </w:pPr>
            <w:r>
              <w:rPr>
                <w:rFonts w:ascii="Arial" w:cs="Arial" w:eastAsia="Arial" w:hAnsi="Arial"/>
                <w:sz w:val="10"/>
                <w:szCs w:val="10"/>
                <w:color w:val="auto"/>
              </w:rPr>
              <w:t>(15,660)</w:t>
            </w:r>
          </w:p>
        </w:tc>
        <w:tc>
          <w:tcPr>
            <w:tcW w:w="860" w:type="dxa"/>
            <w:vAlign w:val="bottom"/>
          </w:tcPr>
          <w:p>
            <w:pPr>
              <w:jc w:val="right"/>
              <w:ind w:right="12"/>
              <w:spacing w:after="0" w:line="113" w:lineRule="exact"/>
              <w:rPr>
                <w:sz w:val="20"/>
                <w:szCs w:val="20"/>
                <w:color w:val="auto"/>
              </w:rPr>
            </w:pPr>
            <w:r>
              <w:rPr>
                <w:rFonts w:ascii="Arial" w:cs="Arial" w:eastAsia="Arial" w:hAnsi="Arial"/>
                <w:sz w:val="10"/>
                <w:szCs w:val="10"/>
                <w:color w:val="auto"/>
              </w:rPr>
              <w:t>95,624</w:t>
            </w:r>
          </w:p>
        </w:tc>
        <w:tc>
          <w:tcPr>
            <w:tcW w:w="620" w:type="dxa"/>
            <w:vAlign w:val="bottom"/>
          </w:tcPr>
          <w:p>
            <w:pPr>
              <w:jc w:val="right"/>
              <w:ind w:right="32"/>
              <w:spacing w:after="0" w:line="113" w:lineRule="exact"/>
              <w:rPr>
                <w:sz w:val="20"/>
                <w:szCs w:val="20"/>
                <w:color w:val="auto"/>
              </w:rPr>
            </w:pPr>
            <w:r>
              <w:rPr>
                <w:rFonts w:ascii="Arial" w:cs="Arial" w:eastAsia="Arial" w:hAnsi="Arial"/>
                <w:sz w:val="10"/>
                <w:szCs w:val="10"/>
                <w:color w:val="auto"/>
              </w:rPr>
              <w:t>2,205,487</w:t>
            </w:r>
          </w:p>
        </w:tc>
        <w:tc>
          <w:tcPr>
            <w:tcW w:w="0" w:type="dxa"/>
            <w:vAlign w:val="bottom"/>
          </w:tcPr>
          <w:p>
            <w:pPr>
              <w:spacing w:after="0"/>
              <w:rPr>
                <w:sz w:val="1"/>
                <w:szCs w:val="1"/>
                <w:color w:val="auto"/>
              </w:rPr>
            </w:pPr>
          </w:p>
        </w:tc>
      </w:tr>
      <w:tr>
        <w:trPr>
          <w:trHeight w:val="109"/>
        </w:trPr>
        <w:tc>
          <w:tcPr>
            <w:tcW w:w="1840" w:type="dxa"/>
            <w:vAlign w:val="bottom"/>
          </w:tcPr>
          <w:p>
            <w:pPr>
              <w:ind w:left="160"/>
              <w:spacing w:after="0" w:line="109" w:lineRule="exact"/>
              <w:rPr>
                <w:sz w:val="20"/>
                <w:szCs w:val="20"/>
                <w:color w:val="auto"/>
              </w:rPr>
            </w:pPr>
            <w:r>
              <w:rPr>
                <w:rFonts w:ascii="Arial" w:cs="Arial" w:eastAsia="Arial" w:hAnsi="Arial"/>
                <w:sz w:val="10"/>
                <w:szCs w:val="10"/>
                <w:color w:val="auto"/>
              </w:rPr>
              <w:t>Former Executive Vice President,</w:t>
            </w:r>
          </w:p>
        </w:tc>
        <w:tc>
          <w:tcPr>
            <w:tcW w:w="380" w:type="dxa"/>
            <w:vAlign w:val="bottom"/>
          </w:tcPr>
          <w:p>
            <w:pPr>
              <w:ind w:left="120"/>
              <w:spacing w:after="0" w:line="109" w:lineRule="exact"/>
              <w:rPr>
                <w:sz w:val="20"/>
                <w:szCs w:val="20"/>
                <w:color w:val="auto"/>
              </w:rPr>
            </w:pPr>
            <w:r>
              <w:rPr>
                <w:rFonts w:ascii="Arial" w:cs="Arial" w:eastAsia="Arial" w:hAnsi="Arial"/>
                <w:sz w:val="10"/>
                <w:szCs w:val="10"/>
                <w:color w:val="auto"/>
              </w:rPr>
              <w:t>2021</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496,249</w:t>
            </w:r>
          </w:p>
        </w:tc>
        <w:tc>
          <w:tcPr>
            <w:tcW w:w="4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949,979</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382,112</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(1,831)</w:t>
            </w:r>
          </w:p>
        </w:tc>
        <w:tc>
          <w:tcPr>
            <w:tcW w:w="8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74,775</w:t>
            </w:r>
          </w:p>
        </w:tc>
        <w:tc>
          <w:tcPr>
            <w:tcW w:w="620" w:type="dxa"/>
            <w:vAlign w:val="bottom"/>
          </w:tcPr>
          <w:p>
            <w:pPr>
              <w:jc w:val="right"/>
              <w:ind w:right="32"/>
              <w:spacing w:after="0" w:line="109" w:lineRule="exact"/>
              <w:rPr>
                <w:sz w:val="20"/>
                <w:szCs w:val="20"/>
                <w:color w:val="auto"/>
              </w:rPr>
            </w:pPr>
            <w:r>
              <w:rPr>
                <w:rFonts w:ascii="Arial" w:cs="Arial" w:eastAsia="Arial" w:hAnsi="Arial"/>
                <w:sz w:val="10"/>
                <w:szCs w:val="10"/>
                <w:color w:val="auto"/>
              </w:rPr>
              <w:t>1,866,547</w:t>
            </w:r>
          </w:p>
        </w:tc>
        <w:tc>
          <w:tcPr>
            <w:tcW w:w="0" w:type="dxa"/>
            <w:vAlign w:val="bottom"/>
          </w:tcPr>
          <w:p>
            <w:pPr>
              <w:spacing w:after="0"/>
              <w:rPr>
                <w:sz w:val="1"/>
                <w:szCs w:val="1"/>
                <w:color w:val="auto"/>
              </w:rPr>
            </w:pPr>
          </w:p>
        </w:tc>
      </w:tr>
      <w:tr>
        <w:trPr>
          <w:trHeight w:val="109"/>
        </w:trPr>
        <w:tc>
          <w:tcPr>
            <w:tcW w:w="1840" w:type="dxa"/>
            <w:vAlign w:val="bottom"/>
          </w:tcPr>
          <w:p>
            <w:pPr>
              <w:ind w:left="160"/>
              <w:spacing w:after="0" w:line="109" w:lineRule="exact"/>
              <w:rPr>
                <w:sz w:val="20"/>
                <w:szCs w:val="20"/>
                <w:color w:val="auto"/>
              </w:rPr>
            </w:pPr>
            <w:r>
              <w:rPr>
                <w:rFonts w:ascii="Arial" w:cs="Arial" w:eastAsia="Arial" w:hAnsi="Arial"/>
                <w:sz w:val="10"/>
                <w:szCs w:val="10"/>
                <w:color w:val="auto"/>
              </w:rPr>
              <w:t>Customer Transformation and</w:t>
            </w:r>
          </w:p>
        </w:tc>
        <w:tc>
          <w:tcPr>
            <w:tcW w:w="380" w:type="dxa"/>
            <w:vAlign w:val="bottom"/>
          </w:tcPr>
          <w:p>
            <w:pPr>
              <w:ind w:left="120"/>
              <w:spacing w:after="0" w:line="109" w:lineRule="exact"/>
              <w:rPr>
                <w:sz w:val="20"/>
                <w:szCs w:val="20"/>
                <w:color w:val="auto"/>
              </w:rPr>
            </w:pPr>
            <w:r>
              <w:rPr>
                <w:rFonts w:ascii="Arial" w:cs="Arial" w:eastAsia="Arial" w:hAnsi="Arial"/>
                <w:sz w:val="10"/>
                <w:szCs w:val="10"/>
                <w:color w:val="auto"/>
              </w:rPr>
              <w:t>2020</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181,875</w:t>
            </w:r>
          </w:p>
        </w:tc>
        <w:tc>
          <w:tcPr>
            <w:tcW w:w="480" w:type="dxa"/>
            <w:vAlign w:val="bottom"/>
          </w:tcPr>
          <w:p>
            <w:pPr>
              <w:jc w:val="right"/>
              <w:ind w:right="12"/>
              <w:spacing w:after="0" w:line="109" w:lineRule="exact"/>
              <w:rPr>
                <w:sz w:val="20"/>
                <w:szCs w:val="20"/>
                <w:color w:val="auto"/>
              </w:rPr>
            </w:pPr>
            <w:r>
              <w:rPr>
                <w:rFonts w:ascii="Arial" w:cs="Arial" w:eastAsia="Arial" w:hAnsi="Arial"/>
                <w:sz w:val="10"/>
                <w:szCs w:val="10"/>
                <w:color w:val="auto"/>
              </w:rPr>
              <w:t>400,000</w:t>
            </w: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1,076,010</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840" w:type="dxa"/>
            <w:vAlign w:val="bottom"/>
          </w:tcPr>
          <w:p>
            <w:pPr>
              <w:jc w:val="right"/>
              <w:spacing w:after="0" w:line="109" w:lineRule="exact"/>
              <w:rPr>
                <w:sz w:val="20"/>
                <w:szCs w:val="20"/>
                <w:color w:val="auto"/>
              </w:rPr>
            </w:pPr>
            <w:r>
              <w:rPr>
                <w:rFonts w:ascii="Arial" w:cs="Arial" w:eastAsia="Arial" w:hAnsi="Arial"/>
                <w:sz w:val="10"/>
                <w:szCs w:val="10"/>
                <w:color w:val="auto"/>
              </w:rPr>
              <w:t>172,600</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(982)</w:t>
            </w:r>
          </w:p>
        </w:tc>
        <w:tc>
          <w:tcPr>
            <w:tcW w:w="860" w:type="dxa"/>
            <w:vAlign w:val="bottom"/>
          </w:tcPr>
          <w:p>
            <w:pPr>
              <w:jc w:val="right"/>
              <w:ind w:right="12"/>
              <w:spacing w:after="0" w:line="109" w:lineRule="exact"/>
              <w:rPr>
                <w:sz w:val="20"/>
                <w:szCs w:val="20"/>
                <w:color w:val="auto"/>
              </w:rPr>
            </w:pPr>
            <w:r>
              <w:rPr>
                <w:rFonts w:ascii="Arial" w:cs="Arial" w:eastAsia="Arial" w:hAnsi="Arial"/>
                <w:sz w:val="10"/>
                <w:szCs w:val="10"/>
                <w:color w:val="auto"/>
              </w:rPr>
              <w:t>180,392</w:t>
            </w:r>
          </w:p>
        </w:tc>
        <w:tc>
          <w:tcPr>
            <w:tcW w:w="620" w:type="dxa"/>
            <w:vAlign w:val="bottom"/>
          </w:tcPr>
          <w:p>
            <w:pPr>
              <w:jc w:val="right"/>
              <w:ind w:right="32"/>
              <w:spacing w:after="0" w:line="109" w:lineRule="exact"/>
              <w:rPr>
                <w:sz w:val="20"/>
                <w:szCs w:val="20"/>
                <w:color w:val="auto"/>
              </w:rPr>
            </w:pPr>
            <w:r>
              <w:rPr>
                <w:rFonts w:ascii="Arial" w:cs="Arial" w:eastAsia="Arial" w:hAnsi="Arial"/>
                <w:sz w:val="10"/>
                <w:szCs w:val="10"/>
                <w:color w:val="auto"/>
              </w:rPr>
              <w:t>2,009,894</w:t>
            </w:r>
          </w:p>
        </w:tc>
        <w:tc>
          <w:tcPr>
            <w:tcW w:w="0" w:type="dxa"/>
            <w:vAlign w:val="bottom"/>
          </w:tcPr>
          <w:p>
            <w:pPr>
              <w:spacing w:after="0"/>
              <w:rPr>
                <w:sz w:val="1"/>
                <w:szCs w:val="1"/>
                <w:color w:val="auto"/>
              </w:rPr>
            </w:pPr>
          </w:p>
        </w:tc>
      </w:tr>
      <w:tr>
        <w:trPr>
          <w:trHeight w:val="116"/>
        </w:trPr>
        <w:tc>
          <w:tcPr>
            <w:tcW w:w="1840" w:type="dxa"/>
            <w:vAlign w:val="bottom"/>
          </w:tcPr>
          <w:p>
            <w:pPr>
              <w:ind w:left="160"/>
              <w:spacing w:after="0"/>
              <w:rPr>
                <w:sz w:val="20"/>
                <w:szCs w:val="20"/>
                <w:color w:val="auto"/>
              </w:rPr>
            </w:pPr>
            <w:r>
              <w:rPr>
                <w:rFonts w:ascii="Arial" w:cs="Arial" w:eastAsia="Arial" w:hAnsi="Arial"/>
                <w:sz w:val="10"/>
                <w:szCs w:val="10"/>
                <w:color w:val="auto"/>
              </w:rPr>
              <w:t>Business Services</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2160" w:right="819" w:hanging="226"/>
        <w:spacing w:after="0" w:line="232" w:lineRule="auto"/>
        <w:tabs>
          <w:tab w:leader="none" w:pos="2160" w:val="left"/>
        </w:tabs>
        <w:numPr>
          <w:ilvl w:val="0"/>
          <w:numId w:val="80"/>
        </w:numPr>
        <w:rPr>
          <w:rFonts w:ascii="Arial" w:cs="Arial" w:eastAsia="Arial" w:hAnsi="Arial"/>
          <w:sz w:val="10"/>
          <w:szCs w:val="10"/>
          <w:color w:val="auto"/>
        </w:rPr>
      </w:pPr>
      <w:r>
        <w:rPr>
          <w:rFonts w:ascii="Arial" w:cs="Arial" w:eastAsia="Arial" w:hAnsi="Arial"/>
          <w:sz w:val="10"/>
          <w:szCs w:val="10"/>
          <w:color w:val="auto"/>
        </w:rPr>
        <w:t>For 2021, amounts for Ms. Karuturi include a retention cash bonus of $80,000. For 2022, amounts for Ms. Karuturi include a cash bonus of $100,000. For 2020, amounts for Mr. Knight include a sign-on bonus of $400,000 approved by the Compensation Committee in connection with Mr. Knight’s appointment as the Company’s Executive Vice President, Customer Transformation and Business Services effective August 17, 2020.</w:t>
      </w:r>
    </w:p>
    <w:p>
      <w:pPr>
        <w:spacing w:after="0" w:line="39" w:lineRule="exact"/>
        <w:rPr>
          <w:rFonts w:ascii="Arial" w:cs="Arial" w:eastAsia="Arial" w:hAnsi="Arial"/>
          <w:sz w:val="10"/>
          <w:szCs w:val="10"/>
          <w:color w:val="auto"/>
        </w:rPr>
      </w:pPr>
    </w:p>
    <w:p>
      <w:pPr>
        <w:jc w:val="both"/>
        <w:ind w:left="2160" w:right="799" w:hanging="226"/>
        <w:spacing w:after="0" w:line="296" w:lineRule="auto"/>
        <w:tabs>
          <w:tab w:leader="none" w:pos="2160" w:val="left"/>
        </w:tabs>
        <w:numPr>
          <w:ilvl w:val="0"/>
          <w:numId w:val="80"/>
        </w:numPr>
        <w:rPr>
          <w:rFonts w:ascii="Arial" w:cs="Arial" w:eastAsia="Arial" w:hAnsi="Arial"/>
          <w:sz w:val="8"/>
          <w:szCs w:val="8"/>
          <w:color w:val="auto"/>
        </w:rPr>
      </w:pPr>
      <w:r>
        <w:rPr>
          <w:rFonts w:ascii="Arial" w:cs="Arial" w:eastAsia="Arial" w:hAnsi="Arial"/>
          <w:sz w:val="8"/>
          <w:szCs w:val="8"/>
          <w:color w:val="auto"/>
        </w:rPr>
        <w:t>Reported amounts for our named executive officers represent the aggregate grant date fair value of awards computed in accordance with FASB ASC Topic 718 based on the probable achievement level of the underlying performance conditions as of the grant date. For 2021, amounts for Mr. Lesar include the retention awards under Mr. Lesar’s Retention Incentive Agreement, pursuant to which Mr. Lesar received RSUs for a total of 1 million shares of Common stock that were granted through multiple annual awards in 2021, 2022, and 2023. The retention awards were valued at $25,240,000 as of the date of Retention Incentive Agreement (July 20,2021). Assumptions, where applicable, are the same assumptions disclosed in “Stock-Based Incentive Compensation Plans and Employee Benefit Plans” in Note 8 to our consolidated financial statements included in our annual report on Form 10-K for the year ended December 31, 2022. For purposes of the tables above and below, the effects of estimated forfeitures are excluded. Please also refer to the Grants of Plan-Based Awards for Fiscal Year 2022 table and the accompanying footnotes.</w:t>
      </w:r>
    </w:p>
    <w:p>
      <w:pPr>
        <w:spacing w:after="0" w:line="248"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4" w:lineRule="exact"/>
        <w:rPr>
          <w:sz w:val="20"/>
          <w:szCs w:val="20"/>
          <w:color w:val="auto"/>
        </w:rPr>
      </w:pPr>
    </w:p>
    <w:p>
      <w:pPr>
        <w:ind w:left="1940" w:right="819"/>
        <w:spacing w:after="0" w:line="234" w:lineRule="auto"/>
        <w:rPr>
          <w:sz w:val="20"/>
          <w:szCs w:val="20"/>
          <w:color w:val="auto"/>
        </w:rPr>
      </w:pPr>
      <w:r>
        <w:rPr>
          <w:rFonts w:ascii="Arial" w:cs="Arial" w:eastAsia="Arial" w:hAnsi="Arial"/>
          <w:sz w:val="10"/>
          <w:szCs w:val="10"/>
          <w:color w:val="auto"/>
        </w:rPr>
        <w:t>The maximum value at the grant date of stock awards for each of our named executive officers assuming the highest level of performance conditions is achieved is as follows:</w:t>
      </w:r>
    </w:p>
    <w:p>
      <w:pPr>
        <w:spacing w:after="0" w:line="154"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5180" w:type="dxa"/>
            <w:vAlign w:val="bottom"/>
            <w:shd w:val="clear" w:color="auto" w:fill="009AD9"/>
          </w:tcPr>
          <w:p>
            <w:pPr>
              <w:spacing w:after="0"/>
              <w:rPr>
                <w:sz w:val="11"/>
                <w:szCs w:val="11"/>
                <w:color w:val="auto"/>
              </w:rPr>
            </w:pPr>
          </w:p>
        </w:tc>
        <w:tc>
          <w:tcPr>
            <w:tcW w:w="540" w:type="dxa"/>
            <w:vAlign w:val="bottom"/>
            <w:shd w:val="clear" w:color="auto" w:fill="009AD9"/>
          </w:tcPr>
          <w:p>
            <w:pPr>
              <w:spacing w:after="0"/>
              <w:rPr>
                <w:sz w:val="11"/>
                <w:szCs w:val="11"/>
                <w:color w:val="auto"/>
              </w:rPr>
            </w:pPr>
          </w:p>
        </w:tc>
        <w:tc>
          <w:tcPr>
            <w:tcW w:w="1260" w:type="dxa"/>
            <w:vAlign w:val="bottom"/>
            <w:shd w:val="clear" w:color="auto" w:fill="009AD9"/>
          </w:tcPr>
          <w:p>
            <w:pPr>
              <w:jc w:val="center"/>
              <w:ind w:right="52"/>
              <w:spacing w:after="0"/>
              <w:rPr>
                <w:sz w:val="20"/>
                <w:szCs w:val="20"/>
                <w:color w:val="auto"/>
              </w:rPr>
            </w:pPr>
            <w:r>
              <w:rPr>
                <w:rFonts w:ascii="Arial" w:cs="Arial" w:eastAsia="Arial" w:hAnsi="Arial"/>
                <w:sz w:val="10"/>
                <w:szCs w:val="10"/>
                <w:b w:val="1"/>
                <w:bCs w:val="1"/>
                <w:color w:val="FFFFFF"/>
                <w:w w:val="95"/>
              </w:rPr>
              <w:t>Maximum Value of</w:t>
            </w:r>
          </w:p>
        </w:tc>
      </w:tr>
      <w:tr>
        <w:trPr>
          <w:trHeight w:val="109"/>
        </w:trPr>
        <w:tc>
          <w:tcPr>
            <w:tcW w:w="518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1260" w:type="dxa"/>
            <w:vAlign w:val="bottom"/>
            <w:shd w:val="clear" w:color="auto" w:fill="009AD9"/>
          </w:tcPr>
          <w:p>
            <w:pPr>
              <w:jc w:val="center"/>
              <w:ind w:right="52"/>
              <w:spacing w:after="0" w:line="109" w:lineRule="exact"/>
              <w:rPr>
                <w:sz w:val="20"/>
                <w:szCs w:val="20"/>
                <w:color w:val="auto"/>
              </w:rPr>
            </w:pPr>
            <w:r>
              <w:rPr>
                <w:rFonts w:ascii="Arial" w:cs="Arial" w:eastAsia="Arial" w:hAnsi="Arial"/>
                <w:sz w:val="10"/>
                <w:szCs w:val="10"/>
                <w:b w:val="1"/>
                <w:bCs w:val="1"/>
                <w:color w:val="FFFFFF"/>
                <w:w w:val="96"/>
              </w:rPr>
              <w:t>Stock Awards</w:t>
            </w:r>
          </w:p>
        </w:tc>
      </w:tr>
      <w:tr>
        <w:trPr>
          <w:trHeight w:val="143"/>
        </w:trPr>
        <w:tc>
          <w:tcPr>
            <w:tcW w:w="518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Name</w:t>
            </w:r>
          </w:p>
        </w:tc>
        <w:tc>
          <w:tcPr>
            <w:tcW w:w="540" w:type="dxa"/>
            <w:vAlign w:val="bottom"/>
            <w:tcBorders>
              <w:bottom w:val="single" w:sz="8" w:color="009AD9"/>
            </w:tcBorders>
            <w:shd w:val="clear" w:color="auto" w:fill="009AD9"/>
          </w:tcPr>
          <w:p>
            <w:pPr>
              <w:jc w:val="right"/>
              <w:ind w:right="152"/>
              <w:spacing w:after="0"/>
              <w:rPr>
                <w:sz w:val="20"/>
                <w:szCs w:val="20"/>
                <w:color w:val="auto"/>
              </w:rPr>
            </w:pPr>
            <w:r>
              <w:rPr>
                <w:rFonts w:ascii="Arial" w:cs="Arial" w:eastAsia="Arial" w:hAnsi="Arial"/>
                <w:sz w:val="10"/>
                <w:szCs w:val="10"/>
                <w:b w:val="1"/>
                <w:bCs w:val="1"/>
                <w:color w:val="FFFFFF"/>
              </w:rPr>
              <w:t>Year</w:t>
            </w:r>
          </w:p>
        </w:tc>
        <w:tc>
          <w:tcPr>
            <w:tcW w:w="1260" w:type="dxa"/>
            <w:vAlign w:val="bottom"/>
            <w:tcBorders>
              <w:bottom w:val="single" w:sz="8" w:color="009AD9"/>
            </w:tcBorders>
            <w:shd w:val="clear" w:color="auto" w:fill="009AD9"/>
          </w:tcPr>
          <w:p>
            <w:pPr>
              <w:jc w:val="center"/>
              <w:ind w:right="52"/>
              <w:spacing w:after="0"/>
              <w:rPr>
                <w:sz w:val="20"/>
                <w:szCs w:val="20"/>
                <w:color w:val="auto"/>
              </w:rPr>
            </w:pPr>
            <w:r>
              <w:rPr>
                <w:rFonts w:ascii="Arial" w:cs="Arial" w:eastAsia="Arial" w:hAnsi="Arial"/>
                <w:sz w:val="10"/>
                <w:szCs w:val="10"/>
                <w:b w:val="1"/>
                <w:bCs w:val="1"/>
                <w:color w:val="FFFFFF"/>
                <w:w w:val="97"/>
              </w:rPr>
              <w:t>($)</w:t>
            </w:r>
          </w:p>
        </w:tc>
      </w:tr>
      <w:tr>
        <w:trPr>
          <w:trHeight w:val="137"/>
        </w:trPr>
        <w:tc>
          <w:tcPr>
            <w:tcW w:w="5180" w:type="dxa"/>
            <w:vAlign w:val="bottom"/>
          </w:tcPr>
          <w:p>
            <w:pPr>
              <w:ind w:left="40"/>
              <w:spacing w:after="0"/>
              <w:rPr>
                <w:sz w:val="20"/>
                <w:szCs w:val="20"/>
                <w:color w:val="auto"/>
              </w:rPr>
            </w:pPr>
            <w:r>
              <w:rPr>
                <w:rFonts w:ascii="Arial" w:cs="Arial" w:eastAsia="Arial" w:hAnsi="Arial"/>
                <w:sz w:val="10"/>
                <w:szCs w:val="10"/>
                <w:color w:val="auto"/>
              </w:rPr>
              <w:t>Lesar</w:t>
            </w: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2022</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14,842,178</w:t>
            </w:r>
          </w:p>
        </w:tc>
      </w:tr>
      <w:tr>
        <w:trPr>
          <w:trHeight w:val="145"/>
        </w:trPr>
        <w:tc>
          <w:tcPr>
            <w:tcW w:w="5180" w:type="dxa"/>
            <w:vAlign w:val="bottom"/>
          </w:tcPr>
          <w:p>
            <w:pPr>
              <w:spacing w:after="0"/>
              <w:rPr>
                <w:sz w:val="12"/>
                <w:szCs w:val="12"/>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2021</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38,232,004</w:t>
            </w:r>
          </w:p>
        </w:tc>
      </w:tr>
      <w:tr>
        <w:trPr>
          <w:trHeight w:val="150"/>
        </w:trPr>
        <w:tc>
          <w:tcPr>
            <w:tcW w:w="5180" w:type="dxa"/>
            <w:vAlign w:val="bottom"/>
          </w:tcPr>
          <w:p>
            <w:pPr>
              <w:spacing w:after="0"/>
              <w:rPr>
                <w:sz w:val="13"/>
                <w:szCs w:val="13"/>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2020</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12,934,005</w:t>
            </w:r>
          </w:p>
        </w:tc>
      </w:tr>
      <w:tr>
        <w:trPr>
          <w:trHeight w:val="141"/>
        </w:trPr>
        <w:tc>
          <w:tcPr>
            <w:tcW w:w="5180" w:type="dxa"/>
            <w:vAlign w:val="bottom"/>
            <w:shd w:val="clear" w:color="auto" w:fill="D8EFF9"/>
          </w:tcPr>
          <w:p>
            <w:pPr>
              <w:ind w:left="40"/>
              <w:spacing w:after="0"/>
              <w:rPr>
                <w:sz w:val="20"/>
                <w:szCs w:val="20"/>
                <w:color w:val="auto"/>
              </w:rPr>
            </w:pPr>
            <w:r>
              <w:rPr>
                <w:rFonts w:ascii="Arial" w:cs="Arial" w:eastAsia="Arial" w:hAnsi="Arial"/>
                <w:sz w:val="10"/>
                <w:szCs w:val="10"/>
                <w:color w:val="auto"/>
              </w:rPr>
              <w:t>Wells</w:t>
            </w:r>
          </w:p>
        </w:tc>
        <w:tc>
          <w:tcPr>
            <w:tcW w:w="54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2022</w:t>
            </w:r>
          </w:p>
        </w:tc>
        <w:tc>
          <w:tcPr>
            <w:tcW w:w="126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3,040,614</w:t>
            </w:r>
          </w:p>
        </w:tc>
      </w:tr>
      <w:tr>
        <w:trPr>
          <w:trHeight w:val="145"/>
        </w:trPr>
        <w:tc>
          <w:tcPr>
            <w:tcW w:w="5180" w:type="dxa"/>
            <w:vAlign w:val="bottom"/>
            <w:shd w:val="clear" w:color="auto" w:fill="D8EFF9"/>
          </w:tcPr>
          <w:p>
            <w:pPr>
              <w:spacing w:after="0"/>
              <w:rPr>
                <w:sz w:val="12"/>
                <w:szCs w:val="12"/>
                <w:color w:val="auto"/>
              </w:rPr>
            </w:pPr>
          </w:p>
        </w:tc>
        <w:tc>
          <w:tcPr>
            <w:tcW w:w="54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2021</w:t>
            </w:r>
          </w:p>
        </w:tc>
        <w:tc>
          <w:tcPr>
            <w:tcW w:w="126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2,680,005</w:t>
            </w:r>
          </w:p>
        </w:tc>
      </w:tr>
      <w:tr>
        <w:trPr>
          <w:trHeight w:val="154"/>
        </w:trPr>
        <w:tc>
          <w:tcPr>
            <w:tcW w:w="5180" w:type="dxa"/>
            <w:vAlign w:val="bottom"/>
            <w:shd w:val="clear" w:color="auto" w:fill="D8EFF9"/>
          </w:tcPr>
          <w:p>
            <w:pPr>
              <w:spacing w:after="0"/>
              <w:rPr>
                <w:sz w:val="13"/>
                <w:szCs w:val="13"/>
                <w:color w:val="auto"/>
              </w:rPr>
            </w:pPr>
          </w:p>
        </w:tc>
        <w:tc>
          <w:tcPr>
            <w:tcW w:w="54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2020</w:t>
            </w:r>
          </w:p>
        </w:tc>
        <w:tc>
          <w:tcPr>
            <w:tcW w:w="126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3,762,517</w:t>
            </w:r>
          </w:p>
        </w:tc>
      </w:tr>
      <w:tr>
        <w:trPr>
          <w:trHeight w:val="137"/>
        </w:trPr>
        <w:tc>
          <w:tcPr>
            <w:tcW w:w="5180" w:type="dxa"/>
            <w:vAlign w:val="bottom"/>
          </w:tcPr>
          <w:p>
            <w:pPr>
              <w:ind w:left="40"/>
              <w:spacing w:after="0"/>
              <w:rPr>
                <w:sz w:val="20"/>
                <w:szCs w:val="20"/>
                <w:color w:val="auto"/>
              </w:rPr>
            </w:pPr>
            <w:r>
              <w:rPr>
                <w:rFonts w:ascii="Arial" w:cs="Arial" w:eastAsia="Arial" w:hAnsi="Arial"/>
                <w:sz w:val="10"/>
                <w:szCs w:val="10"/>
                <w:color w:val="auto"/>
              </w:rPr>
              <w:t>Doyle</w:t>
            </w: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2022</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2,625,002</w:t>
            </w:r>
          </w:p>
        </w:tc>
      </w:tr>
      <w:tr>
        <w:trPr>
          <w:trHeight w:val="145"/>
        </w:trPr>
        <w:tc>
          <w:tcPr>
            <w:tcW w:w="5180" w:type="dxa"/>
            <w:vAlign w:val="bottom"/>
          </w:tcPr>
          <w:p>
            <w:pPr>
              <w:spacing w:after="0"/>
              <w:rPr>
                <w:sz w:val="12"/>
                <w:szCs w:val="12"/>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2021</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1,596,011</w:t>
            </w:r>
          </w:p>
        </w:tc>
      </w:tr>
      <w:tr>
        <w:trPr>
          <w:trHeight w:val="150"/>
        </w:trPr>
        <w:tc>
          <w:tcPr>
            <w:tcW w:w="5180" w:type="dxa"/>
            <w:vAlign w:val="bottom"/>
          </w:tcPr>
          <w:p>
            <w:pPr>
              <w:spacing w:after="0"/>
              <w:rPr>
                <w:sz w:val="13"/>
                <w:szCs w:val="13"/>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2020</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1,444,981</w:t>
            </w:r>
          </w:p>
        </w:tc>
      </w:tr>
      <w:tr>
        <w:trPr>
          <w:trHeight w:val="141"/>
        </w:trPr>
        <w:tc>
          <w:tcPr>
            <w:tcW w:w="5180" w:type="dxa"/>
            <w:vAlign w:val="bottom"/>
            <w:shd w:val="clear" w:color="auto" w:fill="D8EFF9"/>
          </w:tcPr>
          <w:p>
            <w:pPr>
              <w:ind w:left="40"/>
              <w:spacing w:after="0"/>
              <w:rPr>
                <w:sz w:val="20"/>
                <w:szCs w:val="20"/>
                <w:color w:val="auto"/>
              </w:rPr>
            </w:pPr>
            <w:r>
              <w:rPr>
                <w:rFonts w:ascii="Arial" w:cs="Arial" w:eastAsia="Arial" w:hAnsi="Arial"/>
                <w:sz w:val="10"/>
                <w:szCs w:val="10"/>
                <w:color w:val="auto"/>
              </w:rPr>
              <w:t>Karuturi</w:t>
            </w:r>
          </w:p>
        </w:tc>
        <w:tc>
          <w:tcPr>
            <w:tcW w:w="54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2022</w:t>
            </w:r>
          </w:p>
        </w:tc>
        <w:tc>
          <w:tcPr>
            <w:tcW w:w="126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1,928,524</w:t>
            </w:r>
          </w:p>
        </w:tc>
      </w:tr>
      <w:tr>
        <w:trPr>
          <w:trHeight w:val="154"/>
        </w:trPr>
        <w:tc>
          <w:tcPr>
            <w:tcW w:w="5180" w:type="dxa"/>
            <w:vAlign w:val="bottom"/>
            <w:shd w:val="clear" w:color="auto" w:fill="D8EFF9"/>
          </w:tcPr>
          <w:p>
            <w:pPr>
              <w:spacing w:after="0"/>
              <w:rPr>
                <w:sz w:val="13"/>
                <w:szCs w:val="13"/>
                <w:color w:val="auto"/>
              </w:rPr>
            </w:pPr>
          </w:p>
        </w:tc>
        <w:tc>
          <w:tcPr>
            <w:tcW w:w="54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2021</w:t>
            </w:r>
          </w:p>
        </w:tc>
        <w:tc>
          <w:tcPr>
            <w:tcW w:w="1260" w:type="dxa"/>
            <w:vAlign w:val="bottom"/>
            <w:shd w:val="clear" w:color="auto" w:fill="D8EFF9"/>
          </w:tcPr>
          <w:p>
            <w:pPr>
              <w:jc w:val="right"/>
              <w:ind w:right="332"/>
              <w:spacing w:after="0"/>
              <w:rPr>
                <w:sz w:val="20"/>
                <w:szCs w:val="20"/>
                <w:color w:val="auto"/>
              </w:rPr>
            </w:pPr>
            <w:r>
              <w:rPr>
                <w:rFonts w:ascii="Arial" w:cs="Arial" w:eastAsia="Arial" w:hAnsi="Arial"/>
                <w:sz w:val="10"/>
                <w:szCs w:val="10"/>
                <w:color w:val="auto"/>
              </w:rPr>
              <w:t>1,555,190</w:t>
            </w:r>
          </w:p>
        </w:tc>
      </w:tr>
      <w:tr>
        <w:trPr>
          <w:trHeight w:val="137"/>
        </w:trPr>
        <w:tc>
          <w:tcPr>
            <w:tcW w:w="5180" w:type="dxa"/>
            <w:vAlign w:val="bottom"/>
          </w:tcPr>
          <w:p>
            <w:pPr>
              <w:ind w:left="40"/>
              <w:spacing w:after="0"/>
              <w:rPr>
                <w:sz w:val="20"/>
                <w:szCs w:val="20"/>
                <w:color w:val="auto"/>
              </w:rPr>
            </w:pPr>
            <w:r>
              <w:rPr>
                <w:rFonts w:ascii="Arial" w:cs="Arial" w:eastAsia="Arial" w:hAnsi="Arial"/>
                <w:sz w:val="10"/>
                <w:szCs w:val="10"/>
                <w:color w:val="auto"/>
              </w:rPr>
              <w:t>Knight</w:t>
            </w: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2022</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1,762,209</w:t>
            </w:r>
          </w:p>
        </w:tc>
      </w:tr>
      <w:tr>
        <w:trPr>
          <w:trHeight w:val="145"/>
        </w:trPr>
        <w:tc>
          <w:tcPr>
            <w:tcW w:w="5180" w:type="dxa"/>
            <w:vAlign w:val="bottom"/>
          </w:tcPr>
          <w:p>
            <w:pPr>
              <w:spacing w:after="0"/>
              <w:rPr>
                <w:sz w:val="12"/>
                <w:szCs w:val="12"/>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2021</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1,519,972</w:t>
            </w:r>
          </w:p>
        </w:tc>
      </w:tr>
      <w:tr>
        <w:trPr>
          <w:trHeight w:val="145"/>
        </w:trPr>
        <w:tc>
          <w:tcPr>
            <w:tcW w:w="5180" w:type="dxa"/>
            <w:vAlign w:val="bottom"/>
          </w:tcPr>
          <w:p>
            <w:pPr>
              <w:spacing w:after="0"/>
              <w:rPr>
                <w:sz w:val="12"/>
                <w:szCs w:val="12"/>
                <w:color w:val="auto"/>
              </w:rPr>
            </w:pPr>
          </w:p>
        </w:tc>
        <w:tc>
          <w:tcPr>
            <w:tcW w:w="540" w:type="dxa"/>
            <w:vAlign w:val="bottom"/>
          </w:tcPr>
          <w:p>
            <w:pPr>
              <w:jc w:val="right"/>
              <w:ind w:right="112"/>
              <w:spacing w:after="0"/>
              <w:rPr>
                <w:sz w:val="20"/>
                <w:szCs w:val="20"/>
                <w:color w:val="auto"/>
              </w:rPr>
            </w:pPr>
            <w:r>
              <w:rPr>
                <w:rFonts w:ascii="Arial" w:cs="Arial" w:eastAsia="Arial" w:hAnsi="Arial"/>
                <w:sz w:val="10"/>
                <w:szCs w:val="10"/>
                <w:color w:val="auto"/>
              </w:rPr>
              <w:t>2020</w:t>
            </w:r>
          </w:p>
        </w:tc>
        <w:tc>
          <w:tcPr>
            <w:tcW w:w="1260" w:type="dxa"/>
            <w:vAlign w:val="bottom"/>
          </w:tcPr>
          <w:p>
            <w:pPr>
              <w:jc w:val="right"/>
              <w:ind w:right="332"/>
              <w:spacing w:after="0"/>
              <w:rPr>
                <w:sz w:val="20"/>
                <w:szCs w:val="20"/>
                <w:color w:val="auto"/>
              </w:rPr>
            </w:pPr>
            <w:r>
              <w:rPr>
                <w:rFonts w:ascii="Arial" w:cs="Arial" w:eastAsia="Arial" w:hAnsi="Arial"/>
                <w:sz w:val="10"/>
                <w:szCs w:val="10"/>
                <w:color w:val="auto"/>
              </w:rPr>
              <w:t>1,619,208</w:t>
            </w:r>
          </w:p>
        </w:tc>
      </w:tr>
    </w:tbl>
    <w:p>
      <w:pPr>
        <w:spacing w:after="0" w:line="93" w:lineRule="exact"/>
        <w:rPr>
          <w:sz w:val="20"/>
          <w:szCs w:val="20"/>
          <w:color w:val="auto"/>
        </w:rPr>
      </w:pPr>
    </w:p>
    <w:p>
      <w:pPr>
        <w:ind w:left="2160" w:hanging="226"/>
        <w:spacing w:after="0"/>
        <w:tabs>
          <w:tab w:leader="none" w:pos="2160" w:val="left"/>
        </w:tabs>
        <w:numPr>
          <w:ilvl w:val="0"/>
          <w:numId w:val="81"/>
        </w:numPr>
        <w:rPr>
          <w:rFonts w:ascii="Arial" w:cs="Arial" w:eastAsia="Arial" w:hAnsi="Arial"/>
          <w:sz w:val="10"/>
          <w:szCs w:val="10"/>
          <w:color w:val="auto"/>
        </w:rPr>
      </w:pPr>
      <w:r>
        <w:rPr>
          <w:rFonts w:ascii="Arial" w:cs="Arial" w:eastAsia="Arial" w:hAnsi="Arial"/>
          <w:sz w:val="10"/>
          <w:szCs w:val="10"/>
          <w:color w:val="auto"/>
        </w:rPr>
        <w:t>CenterPoint Energy has not granted stock options since 2004.</w:t>
      </w:r>
    </w:p>
    <w:p>
      <w:pPr>
        <w:spacing w:after="0" w:line="39" w:lineRule="exact"/>
        <w:rPr>
          <w:rFonts w:ascii="Arial" w:cs="Arial" w:eastAsia="Arial" w:hAnsi="Arial"/>
          <w:sz w:val="10"/>
          <w:szCs w:val="10"/>
          <w:color w:val="auto"/>
        </w:rPr>
      </w:pPr>
    </w:p>
    <w:p>
      <w:pPr>
        <w:jc w:val="both"/>
        <w:ind w:left="2160" w:right="819" w:hanging="226"/>
        <w:spacing w:after="0" w:line="305" w:lineRule="auto"/>
        <w:tabs>
          <w:tab w:leader="none" w:pos="2160" w:val="left"/>
        </w:tabs>
        <w:numPr>
          <w:ilvl w:val="0"/>
          <w:numId w:val="81"/>
        </w:numPr>
        <w:rPr>
          <w:rFonts w:ascii="Arial" w:cs="Arial" w:eastAsia="Arial" w:hAnsi="Arial"/>
          <w:sz w:val="8"/>
          <w:szCs w:val="8"/>
          <w:color w:val="auto"/>
        </w:rPr>
      </w:pPr>
      <w:r>
        <w:rPr>
          <w:rFonts w:ascii="Arial" w:cs="Arial" w:eastAsia="Arial" w:hAnsi="Arial"/>
          <w:sz w:val="8"/>
          <w:szCs w:val="8"/>
          <w:color w:val="auto"/>
        </w:rPr>
        <w:t>Non-Equity Incentive Plan Compensation represents short-term incentive awards earned with respect to performance in the designated year and paid in the following year. For more information on the 2022 short-term incentive awards, refer to the Grants of Plan-Based Awards for Fiscal Year 2022 table and the accompanying footnotes. Under the terms of our short-term incentive plan, an individual age 55 or older with at least five years of service satisfies certain vesting provisions under the plan. If the individual terminates employment during the plan year, he or she is eligible for a pro rata payment at the target level of achievement.</w:t>
      </w:r>
    </w:p>
    <w:p>
      <w:pPr>
        <w:spacing w:after="0" w:line="14" w:lineRule="exact"/>
        <w:rPr>
          <w:rFonts w:ascii="Arial" w:cs="Arial" w:eastAsia="Arial" w:hAnsi="Arial"/>
          <w:sz w:val="8"/>
          <w:szCs w:val="8"/>
          <w:color w:val="auto"/>
        </w:rPr>
      </w:pPr>
    </w:p>
    <w:p>
      <w:pPr>
        <w:ind w:left="2160" w:hanging="226"/>
        <w:spacing w:after="0"/>
        <w:tabs>
          <w:tab w:leader="none" w:pos="2160" w:val="left"/>
        </w:tabs>
        <w:numPr>
          <w:ilvl w:val="0"/>
          <w:numId w:val="81"/>
        </w:numPr>
        <w:rPr>
          <w:rFonts w:ascii="Arial" w:cs="Arial" w:eastAsia="Arial" w:hAnsi="Arial"/>
          <w:sz w:val="10"/>
          <w:szCs w:val="10"/>
          <w:color w:val="auto"/>
        </w:rPr>
      </w:pPr>
      <w:r>
        <w:rPr>
          <w:rFonts w:ascii="Arial" w:cs="Arial" w:eastAsia="Arial" w:hAnsi="Arial"/>
          <w:sz w:val="10"/>
          <w:szCs w:val="10"/>
          <w:color w:val="auto"/>
        </w:rPr>
        <w:t>The two components of the 2022 Change in Pension Value and Nonqualified Deferred Compensation Earnings are as follows:</w:t>
      </w:r>
    </w:p>
    <w:p>
      <w:pPr>
        <w:spacing w:after="0" w:line="155"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3900" w:type="dxa"/>
            <w:vAlign w:val="bottom"/>
            <w:shd w:val="clear" w:color="auto" w:fill="009AD9"/>
          </w:tcPr>
          <w:p>
            <w:pPr>
              <w:spacing w:after="0"/>
              <w:rPr>
                <w:sz w:val="11"/>
                <w:szCs w:val="11"/>
                <w:color w:val="auto"/>
              </w:rPr>
            </w:pPr>
          </w:p>
        </w:tc>
        <w:tc>
          <w:tcPr>
            <w:tcW w:w="1100" w:type="dxa"/>
            <w:vAlign w:val="bottom"/>
            <w:shd w:val="clear" w:color="auto" w:fill="009AD9"/>
          </w:tcPr>
          <w:p>
            <w:pPr>
              <w:spacing w:after="0"/>
              <w:rPr>
                <w:sz w:val="11"/>
                <w:szCs w:val="11"/>
                <w:color w:val="auto"/>
              </w:rPr>
            </w:pPr>
          </w:p>
        </w:tc>
        <w:tc>
          <w:tcPr>
            <w:tcW w:w="146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Above Market Earnings on</w:t>
            </w:r>
          </w:p>
        </w:tc>
        <w:tc>
          <w:tcPr>
            <w:tcW w:w="520" w:type="dxa"/>
            <w:vAlign w:val="bottom"/>
            <w:shd w:val="clear" w:color="auto" w:fill="009AD9"/>
          </w:tcPr>
          <w:p>
            <w:pPr>
              <w:spacing w:after="0"/>
              <w:rPr>
                <w:sz w:val="11"/>
                <w:szCs w:val="11"/>
                <w:color w:val="auto"/>
              </w:rPr>
            </w:pPr>
          </w:p>
        </w:tc>
      </w:tr>
      <w:tr>
        <w:trPr>
          <w:trHeight w:val="108"/>
        </w:trPr>
        <w:tc>
          <w:tcPr>
            <w:tcW w:w="3900" w:type="dxa"/>
            <w:vAlign w:val="bottom"/>
            <w:shd w:val="clear" w:color="auto" w:fill="009AD9"/>
          </w:tcPr>
          <w:p>
            <w:pPr>
              <w:spacing w:after="0"/>
              <w:rPr>
                <w:sz w:val="9"/>
                <w:szCs w:val="9"/>
                <w:color w:val="auto"/>
              </w:rPr>
            </w:pPr>
          </w:p>
        </w:tc>
        <w:tc>
          <w:tcPr>
            <w:tcW w:w="1100" w:type="dxa"/>
            <w:vAlign w:val="bottom"/>
            <w:shd w:val="clear" w:color="auto" w:fill="009AD9"/>
          </w:tcPr>
          <w:p>
            <w:pPr>
              <w:jc w:val="center"/>
              <w:ind w:left="32"/>
              <w:spacing w:after="0" w:line="108" w:lineRule="exact"/>
              <w:rPr>
                <w:sz w:val="20"/>
                <w:szCs w:val="20"/>
                <w:color w:val="auto"/>
              </w:rPr>
            </w:pPr>
            <w:r>
              <w:rPr>
                <w:rFonts w:ascii="Arial" w:cs="Arial" w:eastAsia="Arial" w:hAnsi="Arial"/>
                <w:sz w:val="10"/>
                <w:szCs w:val="10"/>
                <w:b w:val="1"/>
                <w:bCs w:val="1"/>
                <w:color w:val="FFFFFF"/>
                <w:w w:val="95"/>
              </w:rPr>
              <w:t>Change in</w:t>
            </w:r>
          </w:p>
        </w:tc>
        <w:tc>
          <w:tcPr>
            <w:tcW w:w="14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5"/>
              </w:rPr>
              <w:t>Nonqualified Deferred</w:t>
            </w:r>
          </w:p>
        </w:tc>
        <w:tc>
          <w:tcPr>
            <w:tcW w:w="520" w:type="dxa"/>
            <w:vAlign w:val="bottom"/>
            <w:shd w:val="clear" w:color="auto" w:fill="009AD9"/>
          </w:tcPr>
          <w:p>
            <w:pPr>
              <w:spacing w:after="0"/>
              <w:rPr>
                <w:sz w:val="9"/>
                <w:szCs w:val="9"/>
                <w:color w:val="auto"/>
              </w:rPr>
            </w:pPr>
          </w:p>
        </w:tc>
      </w:tr>
      <w:tr>
        <w:trPr>
          <w:trHeight w:val="111"/>
        </w:trPr>
        <w:tc>
          <w:tcPr>
            <w:tcW w:w="3900" w:type="dxa"/>
            <w:vAlign w:val="bottom"/>
            <w:shd w:val="clear" w:color="auto" w:fill="009AD9"/>
          </w:tcPr>
          <w:p>
            <w:pPr>
              <w:spacing w:after="0"/>
              <w:rPr>
                <w:sz w:val="9"/>
                <w:szCs w:val="9"/>
                <w:color w:val="auto"/>
              </w:rPr>
            </w:pPr>
          </w:p>
        </w:tc>
        <w:tc>
          <w:tcPr>
            <w:tcW w:w="1100" w:type="dxa"/>
            <w:vAlign w:val="bottom"/>
            <w:shd w:val="clear" w:color="auto" w:fill="009AD9"/>
          </w:tcPr>
          <w:p>
            <w:pPr>
              <w:jc w:val="center"/>
              <w:ind w:left="32"/>
              <w:spacing w:after="0" w:line="111" w:lineRule="exact"/>
              <w:rPr>
                <w:sz w:val="20"/>
                <w:szCs w:val="20"/>
                <w:color w:val="auto"/>
              </w:rPr>
            </w:pPr>
            <w:r>
              <w:rPr>
                <w:rFonts w:ascii="Arial" w:cs="Arial" w:eastAsia="Arial" w:hAnsi="Arial"/>
                <w:sz w:val="8"/>
                <w:szCs w:val="8"/>
                <w:b w:val="1"/>
                <w:bCs w:val="1"/>
                <w:color w:val="FFFFFF"/>
              </w:rPr>
              <w:t>Pension Value</w:t>
            </w:r>
            <w:r>
              <w:rPr>
                <w:rFonts w:ascii="Arial" w:cs="Arial" w:eastAsia="Arial" w:hAnsi="Arial"/>
                <w:sz w:val="12"/>
                <w:szCs w:val="12"/>
                <w:b w:val="1"/>
                <w:bCs w:val="1"/>
                <w:color w:val="FFFFFF"/>
                <w:vertAlign w:val="superscript"/>
              </w:rPr>
              <w:t>(a)</w:t>
            </w:r>
          </w:p>
        </w:tc>
        <w:tc>
          <w:tcPr>
            <w:tcW w:w="146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Compensation</w:t>
            </w:r>
            <w:r>
              <w:rPr>
                <w:rFonts w:ascii="Arial" w:cs="Arial" w:eastAsia="Arial" w:hAnsi="Arial"/>
                <w:sz w:val="12"/>
                <w:szCs w:val="12"/>
                <w:b w:val="1"/>
                <w:bCs w:val="1"/>
                <w:color w:val="FFFFFF"/>
                <w:vertAlign w:val="superscript"/>
              </w:rPr>
              <w:t>(b)</w:t>
            </w:r>
          </w:p>
        </w:tc>
        <w:tc>
          <w:tcPr>
            <w:tcW w:w="520" w:type="dxa"/>
            <w:vAlign w:val="bottom"/>
            <w:shd w:val="clear" w:color="auto" w:fill="009AD9"/>
          </w:tcPr>
          <w:p>
            <w:pPr>
              <w:jc w:val="right"/>
              <w:ind w:right="92"/>
              <w:spacing w:after="0" w:line="111" w:lineRule="exact"/>
              <w:rPr>
                <w:sz w:val="20"/>
                <w:szCs w:val="20"/>
                <w:color w:val="auto"/>
              </w:rPr>
            </w:pPr>
            <w:r>
              <w:rPr>
                <w:rFonts w:ascii="Arial" w:cs="Arial" w:eastAsia="Arial" w:hAnsi="Arial"/>
                <w:sz w:val="10"/>
                <w:szCs w:val="10"/>
                <w:b w:val="1"/>
                <w:bCs w:val="1"/>
                <w:color w:val="FFFFFF"/>
              </w:rPr>
              <w:t>Total</w:t>
            </w:r>
          </w:p>
        </w:tc>
      </w:tr>
      <w:tr>
        <w:trPr>
          <w:trHeight w:val="143"/>
        </w:trPr>
        <w:tc>
          <w:tcPr>
            <w:tcW w:w="390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Name</w:t>
            </w:r>
          </w:p>
        </w:tc>
        <w:tc>
          <w:tcPr>
            <w:tcW w:w="1100" w:type="dxa"/>
            <w:vAlign w:val="bottom"/>
            <w:tcBorders>
              <w:bottom w:val="single" w:sz="8" w:color="009AD9"/>
            </w:tcBorders>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7"/>
              </w:rPr>
              <w:t>($)</w:t>
            </w:r>
          </w:p>
        </w:tc>
        <w:tc>
          <w:tcPr>
            <w:tcW w:w="14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20" w:type="dxa"/>
            <w:vAlign w:val="bottom"/>
            <w:tcBorders>
              <w:bottom w:val="single" w:sz="8" w:color="009AD9"/>
            </w:tcBorders>
            <w:shd w:val="clear" w:color="auto" w:fill="009AD9"/>
          </w:tcPr>
          <w:p>
            <w:pPr>
              <w:jc w:val="right"/>
              <w:ind w:right="152"/>
              <w:spacing w:after="0"/>
              <w:rPr>
                <w:sz w:val="20"/>
                <w:szCs w:val="20"/>
                <w:color w:val="auto"/>
              </w:rPr>
            </w:pPr>
            <w:r>
              <w:rPr>
                <w:rFonts w:ascii="Arial" w:cs="Arial" w:eastAsia="Arial" w:hAnsi="Arial"/>
                <w:sz w:val="10"/>
                <w:szCs w:val="10"/>
                <w:b w:val="1"/>
                <w:bCs w:val="1"/>
                <w:color w:val="FFFFFF"/>
              </w:rPr>
              <w:t>($)</w:t>
            </w:r>
          </w:p>
        </w:tc>
      </w:tr>
      <w:tr>
        <w:trPr>
          <w:trHeight w:val="109"/>
        </w:trPr>
        <w:tc>
          <w:tcPr>
            <w:tcW w:w="3900" w:type="dxa"/>
            <w:vAlign w:val="bottom"/>
          </w:tcPr>
          <w:p>
            <w:pPr>
              <w:ind w:left="40"/>
              <w:spacing w:after="0" w:line="109" w:lineRule="exact"/>
              <w:rPr>
                <w:sz w:val="20"/>
                <w:szCs w:val="20"/>
                <w:color w:val="auto"/>
              </w:rPr>
            </w:pPr>
            <w:r>
              <w:rPr>
                <w:rFonts w:ascii="Arial" w:cs="Arial" w:eastAsia="Arial" w:hAnsi="Arial"/>
                <w:sz w:val="10"/>
                <w:szCs w:val="10"/>
                <w:color w:val="auto"/>
              </w:rPr>
              <w:t>Lesar</w:t>
            </w:r>
          </w:p>
        </w:tc>
        <w:tc>
          <w:tcPr>
            <w:tcW w:w="1100" w:type="dxa"/>
            <w:vAlign w:val="bottom"/>
          </w:tcPr>
          <w:p>
            <w:pPr>
              <w:jc w:val="right"/>
              <w:ind w:right="252"/>
              <w:spacing w:after="0" w:line="109" w:lineRule="exact"/>
              <w:rPr>
                <w:sz w:val="20"/>
                <w:szCs w:val="20"/>
                <w:color w:val="auto"/>
              </w:rPr>
            </w:pPr>
            <w:r>
              <w:rPr>
                <w:rFonts w:ascii="Arial" w:cs="Arial" w:eastAsia="Arial" w:hAnsi="Arial"/>
                <w:sz w:val="10"/>
                <w:szCs w:val="10"/>
                <w:color w:val="auto"/>
              </w:rPr>
              <w:t>—</w:t>
            </w:r>
          </w:p>
        </w:tc>
        <w:tc>
          <w:tcPr>
            <w:tcW w:w="1460" w:type="dxa"/>
            <w:vAlign w:val="bottom"/>
          </w:tcPr>
          <w:p>
            <w:pPr>
              <w:jc w:val="right"/>
              <w:ind w:right="512"/>
              <w:spacing w:after="0" w:line="109"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39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Wells</w:t>
            </w:r>
          </w:p>
        </w:tc>
        <w:tc>
          <w:tcPr>
            <w:tcW w:w="1100" w:type="dxa"/>
            <w:vAlign w:val="bottom"/>
            <w:shd w:val="clear" w:color="auto" w:fill="D8EFF9"/>
          </w:tcPr>
          <w:p>
            <w:pPr>
              <w:jc w:val="right"/>
              <w:ind w:right="252"/>
              <w:spacing w:after="0" w:line="109" w:lineRule="exact"/>
              <w:rPr>
                <w:sz w:val="20"/>
                <w:szCs w:val="20"/>
                <w:color w:val="auto"/>
              </w:rPr>
            </w:pPr>
            <w:r>
              <w:rPr>
                <w:rFonts w:ascii="Arial" w:cs="Arial" w:eastAsia="Arial" w:hAnsi="Arial"/>
                <w:sz w:val="10"/>
                <w:szCs w:val="10"/>
                <w:color w:val="auto"/>
              </w:rPr>
              <w:t>—</w:t>
            </w:r>
          </w:p>
        </w:tc>
        <w:tc>
          <w:tcPr>
            <w:tcW w:w="1460" w:type="dxa"/>
            <w:vAlign w:val="bottom"/>
            <w:shd w:val="clear" w:color="auto" w:fill="D8EFF9"/>
          </w:tcPr>
          <w:p>
            <w:pPr>
              <w:jc w:val="right"/>
              <w:ind w:right="512"/>
              <w:spacing w:after="0" w:line="109" w:lineRule="exact"/>
              <w:rPr>
                <w:sz w:val="20"/>
                <w:szCs w:val="20"/>
                <w:color w:val="auto"/>
              </w:rPr>
            </w:pPr>
            <w:r>
              <w:rPr>
                <w:rFonts w:ascii="Arial" w:cs="Arial" w:eastAsia="Arial" w:hAnsi="Arial"/>
                <w:sz w:val="10"/>
                <w:szCs w:val="10"/>
                <w:color w:val="auto"/>
              </w:rPr>
              <w:t>—</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w:t>
            </w:r>
          </w:p>
        </w:tc>
      </w:tr>
      <w:tr>
        <w:trPr>
          <w:trHeight w:val="109"/>
        </w:trPr>
        <w:tc>
          <w:tcPr>
            <w:tcW w:w="3900" w:type="dxa"/>
            <w:vAlign w:val="bottom"/>
          </w:tcPr>
          <w:p>
            <w:pPr>
              <w:ind w:left="40"/>
              <w:spacing w:after="0" w:line="109" w:lineRule="exact"/>
              <w:rPr>
                <w:sz w:val="20"/>
                <w:szCs w:val="20"/>
                <w:color w:val="auto"/>
              </w:rPr>
            </w:pPr>
            <w:r>
              <w:rPr>
                <w:rFonts w:ascii="Arial" w:cs="Arial" w:eastAsia="Arial" w:hAnsi="Arial"/>
                <w:sz w:val="10"/>
                <w:szCs w:val="10"/>
                <w:color w:val="auto"/>
              </w:rPr>
              <w:t>Doyle</w:t>
            </w:r>
          </w:p>
        </w:tc>
        <w:tc>
          <w:tcPr>
            <w:tcW w:w="1100" w:type="dxa"/>
            <w:vAlign w:val="bottom"/>
          </w:tcPr>
          <w:p>
            <w:pPr>
              <w:jc w:val="right"/>
              <w:ind w:right="212"/>
              <w:spacing w:after="0" w:line="109" w:lineRule="exact"/>
              <w:rPr>
                <w:sz w:val="20"/>
                <w:szCs w:val="20"/>
                <w:color w:val="auto"/>
              </w:rPr>
            </w:pPr>
            <w:r>
              <w:rPr>
                <w:rFonts w:ascii="Arial" w:cs="Arial" w:eastAsia="Arial" w:hAnsi="Arial"/>
                <w:sz w:val="10"/>
                <w:szCs w:val="10"/>
                <w:color w:val="auto"/>
              </w:rPr>
              <w:t>(141,946)</w:t>
            </w:r>
          </w:p>
        </w:tc>
        <w:tc>
          <w:tcPr>
            <w:tcW w:w="1460" w:type="dxa"/>
            <w:vAlign w:val="bottom"/>
          </w:tcPr>
          <w:p>
            <w:pPr>
              <w:jc w:val="right"/>
              <w:ind w:right="512"/>
              <w:spacing w:after="0" w:line="109" w:lineRule="exact"/>
              <w:rPr>
                <w:sz w:val="20"/>
                <w:szCs w:val="20"/>
                <w:color w:val="auto"/>
              </w:rPr>
            </w:pPr>
            <w:r>
              <w:rPr>
                <w:rFonts w:ascii="Arial" w:cs="Arial" w:eastAsia="Arial" w:hAnsi="Arial"/>
                <w:sz w:val="10"/>
                <w:szCs w:val="10"/>
                <w:color w:val="auto"/>
              </w:rPr>
              <w:t>22,662</w:t>
            </w:r>
          </w:p>
        </w:tc>
        <w:tc>
          <w:tcPr>
            <w:tcW w:w="520" w:type="dxa"/>
            <w:vAlign w:val="bottom"/>
          </w:tcPr>
          <w:p>
            <w:pPr>
              <w:jc w:val="right"/>
              <w:spacing w:after="0" w:line="109" w:lineRule="exact"/>
              <w:rPr>
                <w:sz w:val="20"/>
                <w:szCs w:val="20"/>
                <w:color w:val="auto"/>
              </w:rPr>
            </w:pPr>
            <w:r>
              <w:rPr>
                <w:rFonts w:ascii="Arial" w:cs="Arial" w:eastAsia="Arial" w:hAnsi="Arial"/>
                <w:sz w:val="10"/>
                <w:szCs w:val="10"/>
                <w:color w:val="auto"/>
              </w:rPr>
              <w:t>(119,284)</w:t>
            </w:r>
          </w:p>
        </w:tc>
      </w:tr>
      <w:tr>
        <w:trPr>
          <w:trHeight w:val="109"/>
        </w:trPr>
        <w:tc>
          <w:tcPr>
            <w:tcW w:w="39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Karuturi</w:t>
            </w:r>
          </w:p>
        </w:tc>
        <w:tc>
          <w:tcPr>
            <w:tcW w:w="1100" w:type="dxa"/>
            <w:vAlign w:val="bottom"/>
            <w:shd w:val="clear" w:color="auto" w:fill="D8EFF9"/>
          </w:tcPr>
          <w:p>
            <w:pPr>
              <w:jc w:val="right"/>
              <w:ind w:right="252"/>
              <w:spacing w:after="0" w:line="109" w:lineRule="exact"/>
              <w:rPr>
                <w:sz w:val="20"/>
                <w:szCs w:val="20"/>
                <w:color w:val="auto"/>
              </w:rPr>
            </w:pPr>
            <w:r>
              <w:rPr>
                <w:rFonts w:ascii="Arial" w:cs="Arial" w:eastAsia="Arial" w:hAnsi="Arial"/>
                <w:sz w:val="10"/>
                <w:szCs w:val="10"/>
                <w:color w:val="auto"/>
              </w:rPr>
              <w:t>9,454</w:t>
            </w:r>
          </w:p>
        </w:tc>
        <w:tc>
          <w:tcPr>
            <w:tcW w:w="1460" w:type="dxa"/>
            <w:vAlign w:val="bottom"/>
            <w:shd w:val="clear" w:color="auto" w:fill="D8EFF9"/>
          </w:tcPr>
          <w:p>
            <w:pPr>
              <w:jc w:val="right"/>
              <w:ind w:right="512"/>
              <w:spacing w:after="0" w:line="109" w:lineRule="exact"/>
              <w:rPr>
                <w:sz w:val="20"/>
                <w:szCs w:val="20"/>
                <w:color w:val="auto"/>
              </w:rPr>
            </w:pPr>
            <w:r>
              <w:rPr>
                <w:rFonts w:ascii="Arial" w:cs="Arial" w:eastAsia="Arial" w:hAnsi="Arial"/>
                <w:sz w:val="10"/>
                <w:szCs w:val="10"/>
                <w:color w:val="auto"/>
              </w:rPr>
              <w:t>—</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9,454</w:t>
            </w:r>
          </w:p>
        </w:tc>
      </w:tr>
      <w:tr>
        <w:trPr>
          <w:trHeight w:val="119"/>
        </w:trPr>
        <w:tc>
          <w:tcPr>
            <w:tcW w:w="3900" w:type="dxa"/>
            <w:vAlign w:val="bottom"/>
          </w:tcPr>
          <w:p>
            <w:pPr>
              <w:ind w:left="40"/>
              <w:spacing w:after="0"/>
              <w:rPr>
                <w:sz w:val="20"/>
                <w:szCs w:val="20"/>
                <w:color w:val="auto"/>
              </w:rPr>
            </w:pPr>
            <w:r>
              <w:rPr>
                <w:rFonts w:ascii="Arial" w:cs="Arial" w:eastAsia="Arial" w:hAnsi="Arial"/>
                <w:sz w:val="10"/>
                <w:szCs w:val="10"/>
                <w:color w:val="auto"/>
              </w:rPr>
              <w:t>Knight</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(15,660)</w:t>
            </w:r>
          </w:p>
        </w:tc>
        <w:tc>
          <w:tcPr>
            <w:tcW w:w="1460" w:type="dxa"/>
            <w:vAlign w:val="bottom"/>
          </w:tcPr>
          <w:p>
            <w:pPr>
              <w:jc w:val="right"/>
              <w:ind w:right="512"/>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(15,660)</w:t>
            </w:r>
          </w:p>
        </w:tc>
      </w:tr>
    </w:tbl>
    <w:p>
      <w:pPr>
        <w:spacing w:after="0" w:line="75" w:lineRule="exact"/>
        <w:rPr>
          <w:sz w:val="20"/>
          <w:szCs w:val="20"/>
          <w:color w:val="auto"/>
        </w:rPr>
      </w:pPr>
    </w:p>
    <w:p>
      <w:pPr>
        <w:jc w:val="both"/>
        <w:ind w:left="2300" w:right="799" w:hanging="148"/>
        <w:spacing w:after="0" w:line="304" w:lineRule="auto"/>
        <w:tabs>
          <w:tab w:leader="none" w:pos="2300" w:val="left"/>
        </w:tabs>
        <w:numPr>
          <w:ilvl w:val="0"/>
          <w:numId w:val="82"/>
        </w:numPr>
        <w:rPr>
          <w:rFonts w:ascii="Arial" w:cs="Arial" w:eastAsia="Arial" w:hAnsi="Arial"/>
          <w:sz w:val="8"/>
          <w:szCs w:val="8"/>
          <w:color w:val="auto"/>
        </w:rPr>
      </w:pPr>
      <w:r>
        <w:rPr>
          <w:rFonts w:ascii="Arial" w:cs="Arial" w:eastAsia="Arial" w:hAnsi="Arial"/>
          <w:sz w:val="8"/>
          <w:szCs w:val="8"/>
          <w:color w:val="auto"/>
        </w:rPr>
        <w:t>The Change in Pension Value is the increase or decrease in the present value of accumulated benefits under our retirement plan and the related benefit restoration plans from December 31, 2021 to December 31, 2022. Benefits are assumed to commence as of the earliest age that an individual could retire without a reduction in benefits. The present value as of December 31, 2022 assumed a discount rate of 5.15% and lump sum conversion interest rate of 5.15% for benefits paid in all future years. The present value as of December 31, 2021 assumed a discount rate of 2.8% and lump sum conversion interest rate of 2.8% for benefits paid in all future years. Refer to the narrative accompanying the Pension Benefits table for a more detailed discussion of the present value calculation.</w:t>
      </w:r>
    </w:p>
    <w:p>
      <w:pPr>
        <w:spacing w:after="0" w:line="124" w:lineRule="exact"/>
        <w:rPr>
          <w:rFonts w:ascii="Arial" w:cs="Arial" w:eastAsia="Arial" w:hAnsi="Arial"/>
          <w:sz w:val="8"/>
          <w:szCs w:val="8"/>
          <w:color w:val="auto"/>
        </w:rPr>
      </w:pPr>
    </w:p>
    <w:p>
      <w:pPr>
        <w:ind w:left="2300" w:hanging="148"/>
        <w:spacing w:after="0"/>
        <w:tabs>
          <w:tab w:leader="none" w:pos="2300" w:val="left"/>
        </w:tabs>
        <w:numPr>
          <w:ilvl w:val="0"/>
          <w:numId w:val="82"/>
        </w:numPr>
        <w:rPr>
          <w:rFonts w:ascii="Arial" w:cs="Arial" w:eastAsia="Arial" w:hAnsi="Arial"/>
          <w:sz w:val="10"/>
          <w:szCs w:val="10"/>
          <w:color w:val="auto"/>
        </w:rPr>
      </w:pPr>
      <w:r>
        <w:rPr>
          <w:rFonts w:ascii="Arial" w:cs="Arial" w:eastAsia="Arial" w:hAnsi="Arial"/>
          <w:sz w:val="10"/>
          <w:szCs w:val="10"/>
          <w:color w:val="auto"/>
        </w:rPr>
        <w:t>Above Market Earnings consist of the amounts that exceed 120% of the applicable federal long-term rate at the time the interest rate was set.</w:t>
      </w:r>
    </w:p>
    <w:p>
      <w:pPr>
        <w:spacing w:after="0" w:line="131" w:lineRule="exact"/>
        <w:rPr>
          <w:sz w:val="20"/>
          <w:szCs w:val="20"/>
          <w:color w:val="auto"/>
        </w:rPr>
      </w:pPr>
    </w:p>
    <w:p>
      <w:pPr>
        <w:ind w:left="2220" w:hanging="230"/>
        <w:spacing w:after="0"/>
        <w:tabs>
          <w:tab w:leader="none" w:pos="2220" w:val="left"/>
        </w:tabs>
        <w:numPr>
          <w:ilvl w:val="0"/>
          <w:numId w:val="8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8" w:lineRule="exact"/>
        <w:rPr>
          <w:sz w:val="20"/>
          <w:szCs w:val="20"/>
          <w:color w:val="auto"/>
        </w:rPr>
      </w:pPr>
    </w:p>
    <w:p>
      <w:pPr>
        <w:ind w:left="2160" w:hanging="226"/>
        <w:spacing w:after="0"/>
        <w:tabs>
          <w:tab w:leader="none" w:pos="2160" w:val="left"/>
        </w:tabs>
        <w:numPr>
          <w:ilvl w:val="0"/>
          <w:numId w:val="84"/>
        </w:numPr>
        <w:rPr>
          <w:rFonts w:ascii="Arial" w:cs="Arial" w:eastAsia="Arial" w:hAnsi="Arial"/>
          <w:sz w:val="10"/>
          <w:szCs w:val="10"/>
          <w:color w:val="auto"/>
        </w:rPr>
      </w:pPr>
      <w:r>
        <w:rPr>
          <w:rFonts w:ascii="Arial" w:cs="Arial" w:eastAsia="Arial" w:hAnsi="Arial"/>
          <w:sz w:val="10"/>
          <w:szCs w:val="10"/>
          <w:color w:val="auto"/>
        </w:rPr>
        <w:t>The following table sets forth the elements of All Other Compensation for 2022:</w:t>
      </w:r>
    </w:p>
    <w:p>
      <w:pPr>
        <w:spacing w:after="0" w:line="155"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760" w:type="dxa"/>
            <w:vAlign w:val="bottom"/>
            <w:shd w:val="clear" w:color="auto" w:fill="009AD9"/>
          </w:tcPr>
          <w:p>
            <w:pPr>
              <w:spacing w:after="0"/>
              <w:rPr>
                <w:sz w:val="11"/>
                <w:szCs w:val="11"/>
                <w:color w:val="auto"/>
              </w:rPr>
            </w:pPr>
          </w:p>
        </w:tc>
        <w:tc>
          <w:tcPr>
            <w:tcW w:w="800" w:type="dxa"/>
            <w:vAlign w:val="bottom"/>
            <w:shd w:val="clear" w:color="auto" w:fill="009AD9"/>
          </w:tcPr>
          <w:p>
            <w:pPr>
              <w:spacing w:after="0"/>
              <w:rPr>
                <w:sz w:val="11"/>
                <w:szCs w:val="11"/>
                <w:color w:val="auto"/>
              </w:rPr>
            </w:pPr>
          </w:p>
        </w:tc>
        <w:tc>
          <w:tcPr>
            <w:tcW w:w="960" w:type="dxa"/>
            <w:vAlign w:val="bottom"/>
            <w:shd w:val="clear" w:color="auto" w:fill="009AD9"/>
          </w:tcPr>
          <w:p>
            <w:pPr>
              <w:spacing w:after="0"/>
              <w:rPr>
                <w:sz w:val="11"/>
                <w:szCs w:val="11"/>
                <w:color w:val="auto"/>
              </w:rPr>
            </w:pPr>
          </w:p>
        </w:tc>
        <w:tc>
          <w:tcPr>
            <w:tcW w:w="860" w:type="dxa"/>
            <w:vAlign w:val="bottom"/>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7"/>
              </w:rPr>
              <w:t>Contributions</w:t>
            </w:r>
          </w:p>
        </w:tc>
        <w:tc>
          <w:tcPr>
            <w:tcW w:w="980" w:type="dxa"/>
            <w:vAlign w:val="bottom"/>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7"/>
              </w:rPr>
              <w:t>Contributions</w:t>
            </w:r>
          </w:p>
        </w:tc>
        <w:tc>
          <w:tcPr>
            <w:tcW w:w="62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960" w:type="dxa"/>
            <w:vAlign w:val="bottom"/>
            <w:shd w:val="clear" w:color="auto" w:fill="009AD9"/>
          </w:tcPr>
          <w:p>
            <w:pPr>
              <w:spacing w:after="0"/>
              <w:rPr>
                <w:sz w:val="11"/>
                <w:szCs w:val="11"/>
                <w:color w:val="auto"/>
              </w:rPr>
            </w:pPr>
          </w:p>
        </w:tc>
        <w:tc>
          <w:tcPr>
            <w:tcW w:w="1080" w:type="dxa"/>
            <w:vAlign w:val="bottom"/>
            <w:shd w:val="clear" w:color="auto" w:fill="009AD9"/>
          </w:tcPr>
          <w:p>
            <w:pPr>
              <w:spacing w:after="0"/>
              <w:rPr>
                <w:sz w:val="11"/>
                <w:szCs w:val="11"/>
                <w:color w:val="auto"/>
              </w:rPr>
            </w:pPr>
          </w:p>
        </w:tc>
      </w:tr>
      <w:tr>
        <w:trPr>
          <w:trHeight w:val="109"/>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860" w:type="dxa"/>
            <w:vAlign w:val="bottom"/>
            <w:shd w:val="clear" w:color="auto" w:fill="009AD9"/>
          </w:tcPr>
          <w:p>
            <w:pPr>
              <w:jc w:val="center"/>
              <w:ind w:right="12"/>
              <w:spacing w:after="0" w:line="109" w:lineRule="exact"/>
              <w:rPr>
                <w:sz w:val="20"/>
                <w:szCs w:val="20"/>
                <w:color w:val="auto"/>
              </w:rPr>
            </w:pPr>
            <w:r>
              <w:rPr>
                <w:rFonts w:ascii="Arial" w:cs="Arial" w:eastAsia="Arial" w:hAnsi="Arial"/>
                <w:sz w:val="10"/>
                <w:szCs w:val="10"/>
                <w:b w:val="1"/>
                <w:bCs w:val="1"/>
                <w:color w:val="FFFFFF"/>
                <w:w w:val="97"/>
              </w:rPr>
              <w:t>to Vested and</w:t>
            </w:r>
          </w:p>
        </w:tc>
        <w:tc>
          <w:tcPr>
            <w:tcW w:w="98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7"/>
              </w:rPr>
              <w:t>to Vested and</w:t>
            </w:r>
          </w:p>
        </w:tc>
        <w:tc>
          <w:tcPr>
            <w:tcW w:w="620" w:type="dxa"/>
            <w:vAlign w:val="bottom"/>
            <w:shd w:val="clear" w:color="auto" w:fill="009AD9"/>
          </w:tcPr>
          <w:p>
            <w:pPr>
              <w:spacing w:after="0"/>
              <w:rPr>
                <w:sz w:val="9"/>
                <w:szCs w:val="9"/>
                <w:color w:val="auto"/>
              </w:rPr>
            </w:pPr>
          </w:p>
        </w:tc>
        <w:tc>
          <w:tcPr>
            <w:tcW w:w="4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1080" w:type="dxa"/>
            <w:vAlign w:val="bottom"/>
            <w:shd w:val="clear" w:color="auto" w:fill="009AD9"/>
          </w:tcPr>
          <w:p>
            <w:pPr>
              <w:spacing w:after="0"/>
              <w:rPr>
                <w:sz w:val="9"/>
                <w:szCs w:val="9"/>
                <w:color w:val="auto"/>
              </w:rPr>
            </w:pPr>
          </w:p>
        </w:tc>
      </w:tr>
      <w:tr>
        <w:trPr>
          <w:trHeight w:val="109"/>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860" w:type="dxa"/>
            <w:vAlign w:val="bottom"/>
            <w:shd w:val="clear" w:color="auto" w:fill="009AD9"/>
          </w:tcPr>
          <w:p>
            <w:pPr>
              <w:jc w:val="center"/>
              <w:ind w:right="12"/>
              <w:spacing w:after="0" w:line="109" w:lineRule="exact"/>
              <w:rPr>
                <w:sz w:val="20"/>
                <w:szCs w:val="20"/>
                <w:color w:val="auto"/>
              </w:rPr>
            </w:pPr>
            <w:r>
              <w:rPr>
                <w:rFonts w:ascii="Arial" w:cs="Arial" w:eastAsia="Arial" w:hAnsi="Arial"/>
                <w:sz w:val="10"/>
                <w:szCs w:val="10"/>
                <w:b w:val="1"/>
                <w:bCs w:val="1"/>
                <w:color w:val="FFFFFF"/>
                <w:w w:val="97"/>
              </w:rPr>
              <w:t>Unvested</w:t>
            </w:r>
          </w:p>
        </w:tc>
        <w:tc>
          <w:tcPr>
            <w:tcW w:w="98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7"/>
              </w:rPr>
              <w:t>Unvested</w:t>
            </w:r>
          </w:p>
        </w:tc>
        <w:tc>
          <w:tcPr>
            <w:tcW w:w="620" w:type="dxa"/>
            <w:vAlign w:val="bottom"/>
            <w:shd w:val="clear" w:color="auto" w:fill="009AD9"/>
          </w:tcPr>
          <w:p>
            <w:pPr>
              <w:spacing w:after="0"/>
              <w:rPr>
                <w:sz w:val="9"/>
                <w:szCs w:val="9"/>
                <w:color w:val="auto"/>
              </w:rPr>
            </w:pPr>
          </w:p>
        </w:tc>
        <w:tc>
          <w:tcPr>
            <w:tcW w:w="4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1080" w:type="dxa"/>
            <w:vAlign w:val="bottom"/>
            <w:shd w:val="clear" w:color="auto" w:fill="009AD9"/>
          </w:tcPr>
          <w:p>
            <w:pPr>
              <w:spacing w:after="0"/>
              <w:rPr>
                <w:sz w:val="9"/>
                <w:szCs w:val="9"/>
                <w:color w:val="auto"/>
              </w:rPr>
            </w:pPr>
          </w:p>
        </w:tc>
      </w:tr>
      <w:tr>
        <w:trPr>
          <w:trHeight w:val="109"/>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32"/>
              <w:spacing w:after="0" w:line="109" w:lineRule="exact"/>
              <w:rPr>
                <w:sz w:val="20"/>
                <w:szCs w:val="20"/>
                <w:color w:val="auto"/>
              </w:rPr>
            </w:pPr>
            <w:r>
              <w:rPr>
                <w:rFonts w:ascii="Arial" w:cs="Arial" w:eastAsia="Arial" w:hAnsi="Arial"/>
                <w:sz w:val="10"/>
                <w:szCs w:val="10"/>
                <w:b w:val="1"/>
                <w:bCs w:val="1"/>
                <w:color w:val="FFFFFF"/>
                <w:w w:val="96"/>
              </w:rPr>
              <w:t>Perquisites</w:t>
            </w:r>
          </w:p>
        </w:tc>
        <w:tc>
          <w:tcPr>
            <w:tcW w:w="960" w:type="dxa"/>
            <w:vAlign w:val="bottom"/>
            <w:shd w:val="clear" w:color="auto" w:fill="009AD9"/>
          </w:tcPr>
          <w:p>
            <w:pPr>
              <w:spacing w:after="0"/>
              <w:rPr>
                <w:sz w:val="9"/>
                <w:szCs w:val="9"/>
                <w:color w:val="auto"/>
              </w:rPr>
            </w:pPr>
          </w:p>
        </w:tc>
        <w:tc>
          <w:tcPr>
            <w:tcW w:w="860" w:type="dxa"/>
            <w:vAlign w:val="bottom"/>
            <w:shd w:val="clear" w:color="auto" w:fill="009AD9"/>
          </w:tcPr>
          <w:p>
            <w:pPr>
              <w:jc w:val="center"/>
              <w:ind w:right="12"/>
              <w:spacing w:after="0" w:line="109" w:lineRule="exact"/>
              <w:rPr>
                <w:sz w:val="20"/>
                <w:szCs w:val="20"/>
                <w:color w:val="auto"/>
              </w:rPr>
            </w:pPr>
            <w:r>
              <w:rPr>
                <w:rFonts w:ascii="Arial" w:cs="Arial" w:eastAsia="Arial" w:hAnsi="Arial"/>
                <w:sz w:val="10"/>
                <w:szCs w:val="10"/>
                <w:b w:val="1"/>
                <w:bCs w:val="1"/>
                <w:color w:val="FFFFFF"/>
                <w:w w:val="98"/>
              </w:rPr>
              <w:t>Defined</w:t>
            </w:r>
          </w:p>
        </w:tc>
        <w:tc>
          <w:tcPr>
            <w:tcW w:w="98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8"/>
              </w:rPr>
              <w:t>Defined</w:t>
            </w:r>
          </w:p>
        </w:tc>
        <w:tc>
          <w:tcPr>
            <w:tcW w:w="620" w:type="dxa"/>
            <w:vAlign w:val="bottom"/>
            <w:shd w:val="clear" w:color="auto" w:fill="009AD9"/>
          </w:tcPr>
          <w:p>
            <w:pPr>
              <w:spacing w:after="0"/>
              <w:rPr>
                <w:sz w:val="9"/>
                <w:szCs w:val="9"/>
                <w:color w:val="auto"/>
              </w:rPr>
            </w:pPr>
          </w:p>
        </w:tc>
        <w:tc>
          <w:tcPr>
            <w:tcW w:w="4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1080" w:type="dxa"/>
            <w:vAlign w:val="bottom"/>
            <w:shd w:val="clear" w:color="auto" w:fill="009AD9"/>
          </w:tcPr>
          <w:p>
            <w:pPr>
              <w:spacing w:after="0"/>
              <w:rPr>
                <w:sz w:val="9"/>
                <w:szCs w:val="9"/>
                <w:color w:val="auto"/>
              </w:rPr>
            </w:pPr>
          </w:p>
        </w:tc>
      </w:tr>
      <w:tr>
        <w:trPr>
          <w:trHeight w:val="109"/>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7"/>
              </w:rPr>
              <w:t>and Other</w:t>
            </w:r>
          </w:p>
        </w:tc>
        <w:tc>
          <w:tcPr>
            <w:tcW w:w="960" w:type="dxa"/>
            <w:vAlign w:val="bottom"/>
            <w:shd w:val="clear" w:color="auto" w:fill="009AD9"/>
          </w:tcPr>
          <w:p>
            <w:pPr>
              <w:spacing w:after="0"/>
              <w:rPr>
                <w:sz w:val="9"/>
                <w:szCs w:val="9"/>
                <w:color w:val="auto"/>
              </w:rPr>
            </w:pPr>
          </w:p>
        </w:tc>
        <w:tc>
          <w:tcPr>
            <w:tcW w:w="8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Contribution</w:t>
            </w:r>
          </w:p>
        </w:tc>
        <w:tc>
          <w:tcPr>
            <w:tcW w:w="9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Contribution</w:t>
            </w:r>
          </w:p>
        </w:tc>
        <w:tc>
          <w:tcPr>
            <w:tcW w:w="620" w:type="dxa"/>
            <w:vAlign w:val="bottom"/>
            <w:shd w:val="clear" w:color="auto" w:fill="009AD9"/>
          </w:tcPr>
          <w:p>
            <w:pPr>
              <w:spacing w:after="0"/>
              <w:rPr>
                <w:sz w:val="9"/>
                <w:szCs w:val="9"/>
                <w:color w:val="auto"/>
              </w:rPr>
            </w:pPr>
          </w:p>
        </w:tc>
        <w:tc>
          <w:tcPr>
            <w:tcW w:w="400" w:type="dxa"/>
            <w:vAlign w:val="bottom"/>
            <w:shd w:val="clear" w:color="auto" w:fill="009AD9"/>
          </w:tcPr>
          <w:p>
            <w:pPr>
              <w:spacing w:after="0"/>
              <w:rPr>
                <w:sz w:val="9"/>
                <w:szCs w:val="9"/>
                <w:color w:val="auto"/>
              </w:rPr>
            </w:pPr>
          </w:p>
        </w:tc>
        <w:tc>
          <w:tcPr>
            <w:tcW w:w="960" w:type="dxa"/>
            <w:vAlign w:val="bottom"/>
            <w:shd w:val="clear" w:color="auto" w:fill="009AD9"/>
          </w:tcPr>
          <w:p>
            <w:pPr>
              <w:spacing w:after="0"/>
              <w:rPr>
                <w:sz w:val="9"/>
                <w:szCs w:val="9"/>
                <w:color w:val="auto"/>
              </w:rPr>
            </w:pPr>
          </w:p>
        </w:tc>
        <w:tc>
          <w:tcPr>
            <w:tcW w:w="10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Total All</w:t>
            </w:r>
          </w:p>
        </w:tc>
      </w:tr>
      <w:tr>
        <w:trPr>
          <w:trHeight w:val="108"/>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32"/>
              <w:spacing w:after="0" w:line="108" w:lineRule="exact"/>
              <w:rPr>
                <w:sz w:val="20"/>
                <w:szCs w:val="20"/>
                <w:color w:val="auto"/>
              </w:rPr>
            </w:pPr>
            <w:r>
              <w:rPr>
                <w:rFonts w:ascii="Arial" w:cs="Arial" w:eastAsia="Arial" w:hAnsi="Arial"/>
                <w:sz w:val="10"/>
                <w:szCs w:val="10"/>
                <w:b w:val="1"/>
                <w:bCs w:val="1"/>
                <w:color w:val="FFFFFF"/>
                <w:w w:val="94"/>
              </w:rPr>
              <w:t>Personal</w:t>
            </w:r>
          </w:p>
        </w:tc>
        <w:tc>
          <w:tcPr>
            <w:tcW w:w="960" w:type="dxa"/>
            <w:vAlign w:val="bottom"/>
            <w:shd w:val="clear" w:color="auto" w:fill="009AD9"/>
          </w:tcPr>
          <w:p>
            <w:pPr>
              <w:jc w:val="right"/>
              <w:ind w:right="352"/>
              <w:spacing w:after="0" w:line="108" w:lineRule="exact"/>
              <w:rPr>
                <w:sz w:val="20"/>
                <w:szCs w:val="20"/>
                <w:color w:val="auto"/>
              </w:rPr>
            </w:pPr>
            <w:r>
              <w:rPr>
                <w:rFonts w:ascii="Arial" w:cs="Arial" w:eastAsia="Arial" w:hAnsi="Arial"/>
                <w:sz w:val="10"/>
                <w:szCs w:val="10"/>
                <w:b w:val="1"/>
                <w:bCs w:val="1"/>
                <w:color w:val="FFFFFF"/>
              </w:rPr>
              <w:t>Tax</w:t>
            </w:r>
          </w:p>
        </w:tc>
        <w:tc>
          <w:tcPr>
            <w:tcW w:w="8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Plans</w:t>
            </w:r>
          </w:p>
        </w:tc>
        <w:tc>
          <w:tcPr>
            <w:tcW w:w="9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Plans</w:t>
            </w:r>
          </w:p>
        </w:tc>
        <w:tc>
          <w:tcPr>
            <w:tcW w:w="620" w:type="dxa"/>
            <w:vAlign w:val="bottom"/>
            <w:shd w:val="clear" w:color="auto" w:fill="009AD9"/>
          </w:tcPr>
          <w:p>
            <w:pPr>
              <w:jc w:val="right"/>
              <w:ind w:right="12"/>
              <w:spacing w:after="0" w:line="108" w:lineRule="exact"/>
              <w:rPr>
                <w:sz w:val="20"/>
                <w:szCs w:val="20"/>
                <w:color w:val="auto"/>
              </w:rPr>
            </w:pPr>
            <w:r>
              <w:rPr>
                <w:rFonts w:ascii="Arial" w:cs="Arial" w:eastAsia="Arial" w:hAnsi="Arial"/>
                <w:sz w:val="10"/>
                <w:szCs w:val="10"/>
                <w:b w:val="1"/>
                <w:bCs w:val="1"/>
                <w:color w:val="FFFFFF"/>
              </w:rPr>
              <w:t>Insurance</w:t>
            </w:r>
          </w:p>
        </w:tc>
        <w:tc>
          <w:tcPr>
            <w:tcW w:w="400" w:type="dxa"/>
            <w:vAlign w:val="bottom"/>
            <w:shd w:val="clear" w:color="auto" w:fill="009AD9"/>
          </w:tcPr>
          <w:p>
            <w:pPr>
              <w:spacing w:after="0"/>
              <w:rPr>
                <w:sz w:val="9"/>
                <w:szCs w:val="9"/>
                <w:color w:val="auto"/>
              </w:rPr>
            </w:pPr>
          </w:p>
        </w:tc>
        <w:tc>
          <w:tcPr>
            <w:tcW w:w="960" w:type="dxa"/>
            <w:vAlign w:val="bottom"/>
            <w:shd w:val="clear" w:color="auto" w:fill="009AD9"/>
          </w:tcPr>
          <w:p>
            <w:pPr>
              <w:jc w:val="center"/>
              <w:ind w:right="12"/>
              <w:spacing w:after="0" w:line="108" w:lineRule="exact"/>
              <w:rPr>
                <w:sz w:val="20"/>
                <w:szCs w:val="20"/>
                <w:color w:val="auto"/>
              </w:rPr>
            </w:pPr>
            <w:r>
              <w:rPr>
                <w:rFonts w:ascii="Arial" w:cs="Arial" w:eastAsia="Arial" w:hAnsi="Arial"/>
                <w:sz w:val="10"/>
                <w:szCs w:val="10"/>
                <w:b w:val="1"/>
                <w:bCs w:val="1"/>
                <w:color w:val="FFFFFF"/>
                <w:w w:val="93"/>
              </w:rPr>
              <w:t>Charitable</w:t>
            </w:r>
          </w:p>
        </w:tc>
        <w:tc>
          <w:tcPr>
            <w:tcW w:w="10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Other</w:t>
            </w:r>
          </w:p>
        </w:tc>
      </w:tr>
      <w:tr>
        <w:trPr>
          <w:trHeight w:val="111"/>
        </w:trPr>
        <w:tc>
          <w:tcPr>
            <w:tcW w:w="76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32"/>
              <w:spacing w:after="0" w:line="111" w:lineRule="exact"/>
              <w:rPr>
                <w:sz w:val="20"/>
                <w:szCs w:val="20"/>
                <w:color w:val="auto"/>
              </w:rPr>
            </w:pPr>
            <w:r>
              <w:rPr>
                <w:rFonts w:ascii="Arial" w:cs="Arial" w:eastAsia="Arial" w:hAnsi="Arial"/>
                <w:sz w:val="8"/>
                <w:szCs w:val="8"/>
                <w:b w:val="1"/>
                <w:bCs w:val="1"/>
                <w:color w:val="FFFFFF"/>
              </w:rPr>
              <w:t>Benefits</w:t>
            </w:r>
            <w:r>
              <w:rPr>
                <w:rFonts w:ascii="Arial" w:cs="Arial" w:eastAsia="Arial" w:hAnsi="Arial"/>
                <w:sz w:val="12"/>
                <w:szCs w:val="12"/>
                <w:b w:val="1"/>
                <w:bCs w:val="1"/>
                <w:color w:val="FFFFFF"/>
                <w:vertAlign w:val="superscript"/>
              </w:rPr>
              <w:t>(a)</w:t>
            </w:r>
          </w:p>
        </w:tc>
        <w:tc>
          <w:tcPr>
            <w:tcW w:w="960" w:type="dxa"/>
            <w:vAlign w:val="bottom"/>
            <w:shd w:val="clear" w:color="auto" w:fill="009AD9"/>
          </w:tcPr>
          <w:p>
            <w:pPr>
              <w:jc w:val="right"/>
              <w:ind w:right="32"/>
              <w:spacing w:after="0" w:line="111" w:lineRule="exact"/>
              <w:rPr>
                <w:sz w:val="20"/>
                <w:szCs w:val="20"/>
                <w:color w:val="auto"/>
              </w:rPr>
            </w:pPr>
            <w:r>
              <w:rPr>
                <w:rFonts w:ascii="Arial" w:cs="Arial" w:eastAsia="Arial" w:hAnsi="Arial"/>
                <w:sz w:val="10"/>
                <w:szCs w:val="10"/>
                <w:b w:val="1"/>
                <w:bCs w:val="1"/>
                <w:color w:val="FFFFFF"/>
              </w:rPr>
              <w:t>Reimbursements</w:t>
            </w:r>
          </w:p>
        </w:tc>
        <w:tc>
          <w:tcPr>
            <w:tcW w:w="860" w:type="dxa"/>
            <w:vAlign w:val="bottom"/>
            <w:shd w:val="clear" w:color="auto" w:fill="009AD9"/>
          </w:tcPr>
          <w:p>
            <w:pPr>
              <w:jc w:val="center"/>
              <w:ind w:right="12"/>
              <w:spacing w:after="0" w:line="111" w:lineRule="exact"/>
              <w:rPr>
                <w:sz w:val="20"/>
                <w:szCs w:val="20"/>
                <w:color w:val="auto"/>
              </w:rPr>
            </w:pPr>
            <w:r>
              <w:rPr>
                <w:rFonts w:ascii="Arial" w:cs="Arial" w:eastAsia="Arial" w:hAnsi="Arial"/>
                <w:sz w:val="8"/>
                <w:szCs w:val="8"/>
                <w:b w:val="1"/>
                <w:bCs w:val="1"/>
                <w:color w:val="FFFFFF"/>
              </w:rPr>
              <w:t>(qualified)</w:t>
            </w:r>
            <w:r>
              <w:rPr>
                <w:rFonts w:ascii="Arial" w:cs="Arial" w:eastAsia="Arial" w:hAnsi="Arial"/>
                <w:sz w:val="12"/>
                <w:szCs w:val="12"/>
                <w:b w:val="1"/>
                <w:bCs w:val="1"/>
                <w:color w:val="FFFFFF"/>
                <w:vertAlign w:val="superscript"/>
              </w:rPr>
              <w:t>(b)</w:t>
            </w:r>
          </w:p>
        </w:tc>
        <w:tc>
          <w:tcPr>
            <w:tcW w:w="980" w:type="dxa"/>
            <w:vAlign w:val="bottom"/>
            <w:shd w:val="clear" w:color="auto" w:fill="009AD9"/>
          </w:tcPr>
          <w:p>
            <w:pPr>
              <w:jc w:val="center"/>
              <w:ind w:left="12"/>
              <w:spacing w:after="0" w:line="111" w:lineRule="exact"/>
              <w:rPr>
                <w:sz w:val="20"/>
                <w:szCs w:val="20"/>
                <w:color w:val="auto"/>
              </w:rPr>
            </w:pPr>
            <w:r>
              <w:rPr>
                <w:rFonts w:ascii="Arial" w:cs="Arial" w:eastAsia="Arial" w:hAnsi="Arial"/>
                <w:sz w:val="8"/>
                <w:szCs w:val="8"/>
                <w:b w:val="1"/>
                <w:bCs w:val="1"/>
                <w:color w:val="FFFFFF"/>
              </w:rPr>
              <w:t>(nonqualified)</w:t>
            </w:r>
            <w:r>
              <w:rPr>
                <w:rFonts w:ascii="Arial" w:cs="Arial" w:eastAsia="Arial" w:hAnsi="Arial"/>
                <w:sz w:val="12"/>
                <w:szCs w:val="12"/>
                <w:b w:val="1"/>
                <w:bCs w:val="1"/>
                <w:color w:val="FFFFFF"/>
                <w:vertAlign w:val="superscript"/>
              </w:rPr>
              <w:t>(c)</w:t>
            </w:r>
          </w:p>
        </w:tc>
        <w:tc>
          <w:tcPr>
            <w:tcW w:w="620" w:type="dxa"/>
            <w:vAlign w:val="bottom"/>
            <w:shd w:val="clear" w:color="auto" w:fill="009AD9"/>
          </w:tcPr>
          <w:p>
            <w:pPr>
              <w:jc w:val="right"/>
              <w:ind w:right="12"/>
              <w:spacing w:after="0" w:line="111" w:lineRule="exact"/>
              <w:rPr>
                <w:sz w:val="20"/>
                <w:szCs w:val="20"/>
                <w:color w:val="auto"/>
              </w:rPr>
            </w:pPr>
            <w:r>
              <w:rPr>
                <w:rFonts w:ascii="Arial" w:cs="Arial" w:eastAsia="Arial" w:hAnsi="Arial"/>
                <w:sz w:val="10"/>
                <w:szCs w:val="10"/>
                <w:b w:val="1"/>
                <w:bCs w:val="1"/>
                <w:color w:val="FFFFFF"/>
              </w:rPr>
              <w:t>Premiums</w:t>
            </w:r>
          </w:p>
        </w:tc>
        <w:tc>
          <w:tcPr>
            <w:tcW w:w="400" w:type="dxa"/>
            <w:vAlign w:val="bottom"/>
            <w:shd w:val="clear" w:color="auto" w:fill="009AD9"/>
          </w:tcPr>
          <w:p>
            <w:pPr>
              <w:jc w:val="right"/>
              <w:ind w:right="52"/>
              <w:spacing w:after="0" w:line="111" w:lineRule="exact"/>
              <w:rPr>
                <w:sz w:val="20"/>
                <w:szCs w:val="20"/>
                <w:color w:val="auto"/>
              </w:rPr>
            </w:pPr>
            <w:r>
              <w:rPr>
                <w:rFonts w:ascii="Arial" w:cs="Arial" w:eastAsia="Arial" w:hAnsi="Arial"/>
                <w:sz w:val="10"/>
                <w:szCs w:val="10"/>
                <w:b w:val="1"/>
                <w:bCs w:val="1"/>
                <w:color w:val="FFFFFF"/>
              </w:rPr>
              <w:t>Other</w:t>
            </w:r>
          </w:p>
        </w:tc>
        <w:tc>
          <w:tcPr>
            <w:tcW w:w="960" w:type="dxa"/>
            <w:vAlign w:val="bottom"/>
            <w:shd w:val="clear" w:color="auto" w:fill="009AD9"/>
          </w:tcPr>
          <w:p>
            <w:pPr>
              <w:jc w:val="center"/>
              <w:ind w:right="12"/>
              <w:spacing w:after="0" w:line="111" w:lineRule="exact"/>
              <w:rPr>
                <w:sz w:val="20"/>
                <w:szCs w:val="20"/>
                <w:color w:val="auto"/>
              </w:rPr>
            </w:pPr>
            <w:r>
              <w:rPr>
                <w:rFonts w:ascii="Arial" w:cs="Arial" w:eastAsia="Arial" w:hAnsi="Arial"/>
                <w:sz w:val="8"/>
                <w:szCs w:val="8"/>
                <w:b w:val="1"/>
                <w:bCs w:val="1"/>
                <w:color w:val="FFFFFF"/>
              </w:rPr>
              <w:t>Contributions</w:t>
            </w:r>
            <w:r>
              <w:rPr>
                <w:rFonts w:ascii="Arial" w:cs="Arial" w:eastAsia="Arial" w:hAnsi="Arial"/>
                <w:sz w:val="12"/>
                <w:szCs w:val="12"/>
                <w:b w:val="1"/>
                <w:bCs w:val="1"/>
                <w:color w:val="FFFFFF"/>
                <w:vertAlign w:val="superscript"/>
              </w:rPr>
              <w:t>(d)</w:t>
            </w:r>
          </w:p>
        </w:tc>
        <w:tc>
          <w:tcPr>
            <w:tcW w:w="1080" w:type="dxa"/>
            <w:vAlign w:val="bottom"/>
            <w:shd w:val="clear" w:color="auto" w:fill="009AD9"/>
          </w:tcPr>
          <w:p>
            <w:pPr>
              <w:jc w:val="right"/>
              <w:ind w:right="192"/>
              <w:spacing w:after="0" w:line="111" w:lineRule="exact"/>
              <w:rPr>
                <w:sz w:val="20"/>
                <w:szCs w:val="20"/>
                <w:color w:val="auto"/>
              </w:rPr>
            </w:pPr>
            <w:r>
              <w:rPr>
                <w:rFonts w:ascii="Arial" w:cs="Arial" w:eastAsia="Arial" w:hAnsi="Arial"/>
                <w:sz w:val="10"/>
                <w:szCs w:val="10"/>
                <w:b w:val="1"/>
                <w:bCs w:val="1"/>
                <w:color w:val="FFFFFF"/>
              </w:rPr>
              <w:t>Compensation</w:t>
            </w:r>
          </w:p>
        </w:tc>
      </w:tr>
      <w:tr>
        <w:trPr>
          <w:trHeight w:val="143"/>
        </w:trPr>
        <w:tc>
          <w:tcPr>
            <w:tcW w:w="76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800" w:type="dxa"/>
            <w:vAlign w:val="bottom"/>
            <w:tcBorders>
              <w:bottom w:val="single" w:sz="8" w:color="009AD9"/>
            </w:tcBorders>
            <w:shd w:val="clear" w:color="auto" w:fill="009AD9"/>
          </w:tcPr>
          <w:p>
            <w:pPr>
              <w:jc w:val="center"/>
              <w:ind w:left="32"/>
              <w:spacing w:after="0"/>
              <w:rPr>
                <w:sz w:val="20"/>
                <w:szCs w:val="20"/>
                <w:color w:val="auto"/>
              </w:rPr>
            </w:pPr>
            <w:r>
              <w:rPr>
                <w:rFonts w:ascii="Arial" w:cs="Arial" w:eastAsia="Arial" w:hAnsi="Arial"/>
                <w:sz w:val="10"/>
                <w:szCs w:val="10"/>
                <w:b w:val="1"/>
                <w:bCs w:val="1"/>
                <w:color w:val="FFFFFF"/>
                <w:w w:val="97"/>
              </w:rPr>
              <w:t>($)</w:t>
            </w:r>
          </w:p>
        </w:tc>
        <w:tc>
          <w:tcPr>
            <w:tcW w:w="960" w:type="dxa"/>
            <w:vAlign w:val="bottom"/>
            <w:tcBorders>
              <w:bottom w:val="single" w:sz="8" w:color="009AD9"/>
            </w:tcBorders>
            <w:shd w:val="clear" w:color="auto" w:fill="009AD9"/>
          </w:tcPr>
          <w:p>
            <w:pPr>
              <w:jc w:val="right"/>
              <w:ind w:right="372"/>
              <w:spacing w:after="0"/>
              <w:rPr>
                <w:sz w:val="20"/>
                <w:szCs w:val="20"/>
                <w:color w:val="auto"/>
              </w:rPr>
            </w:pPr>
            <w:r>
              <w:rPr>
                <w:rFonts w:ascii="Arial" w:cs="Arial" w:eastAsia="Arial" w:hAnsi="Arial"/>
                <w:sz w:val="10"/>
                <w:szCs w:val="10"/>
                <w:b w:val="1"/>
                <w:bCs w:val="1"/>
                <w:color w:val="FFFFFF"/>
              </w:rPr>
              <w:t>($)</w:t>
            </w:r>
          </w:p>
        </w:tc>
        <w:tc>
          <w:tcPr>
            <w:tcW w:w="860" w:type="dxa"/>
            <w:vAlign w:val="bottom"/>
            <w:tcBorders>
              <w:bottom w:val="single" w:sz="8" w:color="009AD9"/>
            </w:tcBorders>
            <w:shd w:val="clear" w:color="auto" w:fill="009AD9"/>
          </w:tcPr>
          <w:p>
            <w:pPr>
              <w:jc w:val="center"/>
              <w:ind w:right="12"/>
              <w:spacing w:after="0"/>
              <w:rPr>
                <w:sz w:val="20"/>
                <w:szCs w:val="20"/>
                <w:color w:val="auto"/>
              </w:rPr>
            </w:pPr>
            <w:r>
              <w:rPr>
                <w:rFonts w:ascii="Arial" w:cs="Arial" w:eastAsia="Arial" w:hAnsi="Arial"/>
                <w:sz w:val="10"/>
                <w:szCs w:val="10"/>
                <w:b w:val="1"/>
                <w:bCs w:val="1"/>
                <w:color w:val="FFFFFF"/>
                <w:w w:val="97"/>
              </w:rPr>
              <w:t>($)</w:t>
            </w:r>
          </w:p>
        </w:tc>
        <w:tc>
          <w:tcPr>
            <w:tcW w:w="980" w:type="dxa"/>
            <w:vAlign w:val="bottom"/>
            <w:tcBorders>
              <w:bottom w:val="single" w:sz="8" w:color="009AD9"/>
            </w:tcBorders>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7"/>
              </w:rPr>
              <w:t>($)</w:t>
            </w:r>
          </w:p>
        </w:tc>
        <w:tc>
          <w:tcPr>
            <w:tcW w:w="620" w:type="dxa"/>
            <w:vAlign w:val="bottom"/>
            <w:tcBorders>
              <w:bottom w:val="single" w:sz="8" w:color="009AD9"/>
            </w:tcBorders>
            <w:shd w:val="clear" w:color="auto" w:fill="009AD9"/>
          </w:tcPr>
          <w:p>
            <w:pPr>
              <w:jc w:val="right"/>
              <w:ind w:right="192"/>
              <w:spacing w:after="0"/>
              <w:rPr>
                <w:sz w:val="20"/>
                <w:szCs w:val="20"/>
                <w:color w:val="auto"/>
              </w:rPr>
            </w:pPr>
            <w:r>
              <w:rPr>
                <w:rFonts w:ascii="Arial" w:cs="Arial" w:eastAsia="Arial" w:hAnsi="Arial"/>
                <w:sz w:val="10"/>
                <w:szCs w:val="10"/>
                <w:b w:val="1"/>
                <w:bCs w:val="1"/>
                <w:color w:val="FFFFFF"/>
              </w:rPr>
              <w:t>($)</w:t>
            </w:r>
          </w:p>
        </w:tc>
        <w:tc>
          <w:tcPr>
            <w:tcW w:w="400" w:type="dxa"/>
            <w:vAlign w:val="bottom"/>
            <w:tcBorders>
              <w:bottom w:val="single" w:sz="8" w:color="009AD9"/>
            </w:tcBorders>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w:t>
            </w:r>
          </w:p>
        </w:tc>
        <w:tc>
          <w:tcPr>
            <w:tcW w:w="9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0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r>
      <w:tr>
        <w:trPr>
          <w:trHeight w:val="109"/>
        </w:trPr>
        <w:tc>
          <w:tcPr>
            <w:tcW w:w="76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Lesar</w:t>
            </w:r>
          </w:p>
        </w:tc>
        <w:tc>
          <w:tcPr>
            <w:tcW w:w="8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187,601</w:t>
            </w:r>
          </w:p>
        </w:tc>
        <w:tc>
          <w:tcPr>
            <w:tcW w:w="960" w:type="dxa"/>
            <w:vAlign w:val="bottom"/>
            <w:shd w:val="clear" w:color="auto" w:fill="D8EFF9"/>
          </w:tcPr>
          <w:p>
            <w:pPr>
              <w:jc w:val="right"/>
              <w:ind w:right="35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252"/>
              <w:spacing w:after="0" w:line="109" w:lineRule="exact"/>
              <w:rPr>
                <w:sz w:val="20"/>
                <w:szCs w:val="20"/>
                <w:color w:val="auto"/>
              </w:rPr>
            </w:pPr>
            <w:r>
              <w:rPr>
                <w:rFonts w:ascii="Arial" w:cs="Arial" w:eastAsia="Arial" w:hAnsi="Arial"/>
                <w:sz w:val="10"/>
                <w:szCs w:val="10"/>
                <w:color w:val="auto"/>
              </w:rPr>
              <w:t>27,450</w:t>
            </w:r>
          </w:p>
        </w:tc>
        <w:tc>
          <w:tcPr>
            <w:tcW w:w="980" w:type="dxa"/>
            <w:vAlign w:val="bottom"/>
            <w:shd w:val="clear" w:color="auto" w:fill="D8EFF9"/>
          </w:tcPr>
          <w:p>
            <w:pPr>
              <w:jc w:val="right"/>
              <w:ind w:right="232"/>
              <w:spacing w:after="0" w:line="109" w:lineRule="exact"/>
              <w:rPr>
                <w:sz w:val="20"/>
                <w:szCs w:val="20"/>
                <w:color w:val="auto"/>
              </w:rPr>
            </w:pPr>
            <w:r>
              <w:rPr>
                <w:rFonts w:ascii="Arial" w:cs="Arial" w:eastAsia="Arial" w:hAnsi="Arial"/>
                <w:sz w:val="10"/>
                <w:szCs w:val="10"/>
                <w:color w:val="auto"/>
              </w:rPr>
              <w:t>291,093</w:t>
            </w:r>
          </w:p>
        </w:tc>
        <w:tc>
          <w:tcPr>
            <w:tcW w:w="620" w:type="dxa"/>
            <w:vAlign w:val="bottom"/>
            <w:shd w:val="clear" w:color="auto" w:fill="D8EFF9"/>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4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292"/>
              <w:spacing w:after="0" w:line="109" w:lineRule="exact"/>
              <w:rPr>
                <w:sz w:val="20"/>
                <w:szCs w:val="20"/>
                <w:color w:val="auto"/>
              </w:rPr>
            </w:pPr>
            <w:r>
              <w:rPr>
                <w:rFonts w:ascii="Arial" w:cs="Arial" w:eastAsia="Arial" w:hAnsi="Arial"/>
                <w:sz w:val="10"/>
                <w:szCs w:val="10"/>
                <w:color w:val="auto"/>
              </w:rPr>
              <w:t>50,000</w:t>
            </w:r>
          </w:p>
        </w:tc>
        <w:tc>
          <w:tcPr>
            <w:tcW w:w="1080" w:type="dxa"/>
            <w:vAlign w:val="bottom"/>
            <w:shd w:val="clear" w:color="auto" w:fill="D8EFF9"/>
          </w:tcPr>
          <w:p>
            <w:pPr>
              <w:jc w:val="right"/>
              <w:ind w:right="312"/>
              <w:spacing w:after="0" w:line="109" w:lineRule="exact"/>
              <w:rPr>
                <w:sz w:val="20"/>
                <w:szCs w:val="20"/>
                <w:color w:val="auto"/>
              </w:rPr>
            </w:pPr>
            <w:r>
              <w:rPr>
                <w:rFonts w:ascii="Arial" w:cs="Arial" w:eastAsia="Arial" w:hAnsi="Arial"/>
                <w:sz w:val="10"/>
                <w:szCs w:val="10"/>
                <w:color w:val="auto"/>
              </w:rPr>
              <w:t>556,144</w:t>
            </w:r>
          </w:p>
        </w:tc>
      </w:tr>
      <w:tr>
        <w:trPr>
          <w:trHeight w:val="109"/>
        </w:trPr>
        <w:tc>
          <w:tcPr>
            <w:tcW w:w="760" w:type="dxa"/>
            <w:vAlign w:val="bottom"/>
          </w:tcPr>
          <w:p>
            <w:pPr>
              <w:ind w:left="40"/>
              <w:spacing w:after="0" w:line="109" w:lineRule="exact"/>
              <w:rPr>
                <w:sz w:val="20"/>
                <w:szCs w:val="20"/>
                <w:color w:val="auto"/>
              </w:rPr>
            </w:pPr>
            <w:r>
              <w:rPr>
                <w:rFonts w:ascii="Arial" w:cs="Arial" w:eastAsia="Arial" w:hAnsi="Arial"/>
                <w:sz w:val="10"/>
                <w:szCs w:val="10"/>
                <w:color w:val="auto"/>
              </w:rPr>
              <w:t>Wells</w:t>
            </w:r>
          </w:p>
        </w:tc>
        <w:tc>
          <w:tcPr>
            <w:tcW w:w="80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59,399</w:t>
            </w:r>
          </w:p>
        </w:tc>
        <w:tc>
          <w:tcPr>
            <w:tcW w:w="960" w:type="dxa"/>
            <w:vAlign w:val="bottom"/>
          </w:tcPr>
          <w:p>
            <w:pPr>
              <w:jc w:val="right"/>
              <w:ind w:right="352"/>
              <w:spacing w:after="0" w:line="109"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52"/>
              <w:spacing w:after="0" w:line="109" w:lineRule="exact"/>
              <w:rPr>
                <w:sz w:val="20"/>
                <w:szCs w:val="20"/>
                <w:color w:val="auto"/>
              </w:rPr>
            </w:pPr>
            <w:r>
              <w:rPr>
                <w:rFonts w:ascii="Arial" w:cs="Arial" w:eastAsia="Arial" w:hAnsi="Arial"/>
                <w:sz w:val="10"/>
                <w:szCs w:val="10"/>
                <w:color w:val="auto"/>
              </w:rPr>
              <w:t>27,450</w:t>
            </w:r>
          </w:p>
        </w:tc>
        <w:tc>
          <w:tcPr>
            <w:tcW w:w="980" w:type="dxa"/>
            <w:vAlign w:val="bottom"/>
          </w:tcPr>
          <w:p>
            <w:pPr>
              <w:jc w:val="right"/>
              <w:ind w:right="232"/>
              <w:spacing w:after="0" w:line="109" w:lineRule="exact"/>
              <w:rPr>
                <w:sz w:val="20"/>
                <w:szCs w:val="20"/>
                <w:color w:val="auto"/>
              </w:rPr>
            </w:pPr>
            <w:r>
              <w:rPr>
                <w:rFonts w:ascii="Arial" w:cs="Arial" w:eastAsia="Arial" w:hAnsi="Arial"/>
                <w:sz w:val="10"/>
                <w:szCs w:val="10"/>
                <w:color w:val="auto"/>
              </w:rPr>
              <w:t>81,998</w:t>
            </w:r>
          </w:p>
        </w:tc>
        <w:tc>
          <w:tcPr>
            <w:tcW w:w="620" w:type="dxa"/>
            <w:vAlign w:val="bottom"/>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92"/>
              <w:spacing w:after="0" w:line="109" w:lineRule="exact"/>
              <w:rPr>
                <w:sz w:val="20"/>
                <w:szCs w:val="20"/>
                <w:color w:val="auto"/>
              </w:rPr>
            </w:pPr>
            <w:r>
              <w:rPr>
                <w:rFonts w:ascii="Arial" w:cs="Arial" w:eastAsia="Arial" w:hAnsi="Arial"/>
                <w:sz w:val="10"/>
                <w:szCs w:val="10"/>
                <w:color w:val="auto"/>
              </w:rPr>
              <w:t>25,000</w:t>
            </w:r>
          </w:p>
        </w:tc>
        <w:tc>
          <w:tcPr>
            <w:tcW w:w="1080" w:type="dxa"/>
            <w:vAlign w:val="bottom"/>
          </w:tcPr>
          <w:p>
            <w:pPr>
              <w:jc w:val="right"/>
              <w:ind w:right="312"/>
              <w:spacing w:after="0" w:line="109" w:lineRule="exact"/>
              <w:rPr>
                <w:sz w:val="20"/>
                <w:szCs w:val="20"/>
                <w:color w:val="auto"/>
              </w:rPr>
            </w:pPr>
            <w:r>
              <w:rPr>
                <w:rFonts w:ascii="Arial" w:cs="Arial" w:eastAsia="Arial" w:hAnsi="Arial"/>
                <w:sz w:val="10"/>
                <w:szCs w:val="10"/>
                <w:color w:val="auto"/>
              </w:rPr>
              <w:t>193,847</w:t>
            </w:r>
          </w:p>
        </w:tc>
      </w:tr>
      <w:tr>
        <w:trPr>
          <w:trHeight w:val="109"/>
        </w:trPr>
        <w:tc>
          <w:tcPr>
            <w:tcW w:w="76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Doyle</w:t>
            </w:r>
          </w:p>
        </w:tc>
        <w:tc>
          <w:tcPr>
            <w:tcW w:w="8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17,279</w:t>
            </w:r>
          </w:p>
        </w:tc>
        <w:tc>
          <w:tcPr>
            <w:tcW w:w="960" w:type="dxa"/>
            <w:vAlign w:val="bottom"/>
            <w:shd w:val="clear" w:color="auto" w:fill="D8EFF9"/>
          </w:tcPr>
          <w:p>
            <w:pPr>
              <w:jc w:val="right"/>
              <w:ind w:right="35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252"/>
              <w:spacing w:after="0" w:line="109" w:lineRule="exact"/>
              <w:rPr>
                <w:sz w:val="20"/>
                <w:szCs w:val="20"/>
                <w:color w:val="auto"/>
              </w:rPr>
            </w:pPr>
            <w:r>
              <w:rPr>
                <w:rFonts w:ascii="Arial" w:cs="Arial" w:eastAsia="Arial" w:hAnsi="Arial"/>
                <w:sz w:val="10"/>
                <w:szCs w:val="10"/>
                <w:color w:val="auto"/>
              </w:rPr>
              <w:t>18,300</w:t>
            </w:r>
          </w:p>
        </w:tc>
        <w:tc>
          <w:tcPr>
            <w:tcW w:w="980" w:type="dxa"/>
            <w:vAlign w:val="bottom"/>
            <w:shd w:val="clear" w:color="auto" w:fill="D8EFF9"/>
          </w:tcPr>
          <w:p>
            <w:pPr>
              <w:jc w:val="right"/>
              <w:ind w:right="232"/>
              <w:spacing w:after="0" w:line="109" w:lineRule="exact"/>
              <w:rPr>
                <w:sz w:val="20"/>
                <w:szCs w:val="20"/>
                <w:color w:val="auto"/>
              </w:rPr>
            </w:pPr>
            <w:r>
              <w:rPr>
                <w:rFonts w:ascii="Arial" w:cs="Arial" w:eastAsia="Arial" w:hAnsi="Arial"/>
                <w:sz w:val="10"/>
                <w:szCs w:val="10"/>
                <w:color w:val="auto"/>
              </w:rPr>
              <w:t>34,898</w:t>
            </w:r>
          </w:p>
        </w:tc>
        <w:tc>
          <w:tcPr>
            <w:tcW w:w="620" w:type="dxa"/>
            <w:vAlign w:val="bottom"/>
            <w:shd w:val="clear" w:color="auto" w:fill="D8EFF9"/>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4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292"/>
              <w:spacing w:after="0" w:line="109" w:lineRule="exact"/>
              <w:rPr>
                <w:sz w:val="20"/>
                <w:szCs w:val="20"/>
                <w:color w:val="auto"/>
              </w:rPr>
            </w:pPr>
            <w:r>
              <w:rPr>
                <w:rFonts w:ascii="Arial" w:cs="Arial" w:eastAsia="Arial" w:hAnsi="Arial"/>
                <w:sz w:val="10"/>
                <w:szCs w:val="10"/>
                <w:color w:val="auto"/>
              </w:rPr>
              <w:t>20,000</w:t>
            </w:r>
          </w:p>
        </w:tc>
        <w:tc>
          <w:tcPr>
            <w:tcW w:w="1080" w:type="dxa"/>
            <w:vAlign w:val="bottom"/>
            <w:shd w:val="clear" w:color="auto" w:fill="D8EFF9"/>
          </w:tcPr>
          <w:p>
            <w:pPr>
              <w:jc w:val="right"/>
              <w:ind w:right="312"/>
              <w:spacing w:after="0" w:line="109" w:lineRule="exact"/>
              <w:rPr>
                <w:sz w:val="20"/>
                <w:szCs w:val="20"/>
                <w:color w:val="auto"/>
              </w:rPr>
            </w:pPr>
            <w:r>
              <w:rPr>
                <w:rFonts w:ascii="Arial" w:cs="Arial" w:eastAsia="Arial" w:hAnsi="Arial"/>
                <w:sz w:val="10"/>
                <w:szCs w:val="10"/>
                <w:color w:val="auto"/>
              </w:rPr>
              <w:t>90,477</w:t>
            </w:r>
          </w:p>
        </w:tc>
      </w:tr>
      <w:tr>
        <w:trPr>
          <w:trHeight w:val="109"/>
        </w:trPr>
        <w:tc>
          <w:tcPr>
            <w:tcW w:w="760" w:type="dxa"/>
            <w:vAlign w:val="bottom"/>
          </w:tcPr>
          <w:p>
            <w:pPr>
              <w:ind w:left="40"/>
              <w:spacing w:after="0" w:line="109" w:lineRule="exact"/>
              <w:rPr>
                <w:sz w:val="20"/>
                <w:szCs w:val="20"/>
                <w:color w:val="auto"/>
              </w:rPr>
            </w:pPr>
            <w:r>
              <w:rPr>
                <w:rFonts w:ascii="Arial" w:cs="Arial" w:eastAsia="Arial" w:hAnsi="Arial"/>
                <w:sz w:val="10"/>
                <w:szCs w:val="10"/>
                <w:color w:val="auto"/>
              </w:rPr>
              <w:t>Karuturi</w:t>
            </w:r>
          </w:p>
        </w:tc>
        <w:tc>
          <w:tcPr>
            <w:tcW w:w="80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352"/>
              <w:spacing w:after="0" w:line="109"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52"/>
              <w:spacing w:after="0" w:line="109" w:lineRule="exact"/>
              <w:rPr>
                <w:sz w:val="20"/>
                <w:szCs w:val="20"/>
                <w:color w:val="auto"/>
              </w:rPr>
            </w:pPr>
            <w:r>
              <w:rPr>
                <w:rFonts w:ascii="Arial" w:cs="Arial" w:eastAsia="Arial" w:hAnsi="Arial"/>
                <w:sz w:val="10"/>
                <w:szCs w:val="10"/>
                <w:color w:val="auto"/>
              </w:rPr>
              <w:t>18,300</w:t>
            </w:r>
          </w:p>
        </w:tc>
        <w:tc>
          <w:tcPr>
            <w:tcW w:w="980" w:type="dxa"/>
            <w:vAlign w:val="bottom"/>
          </w:tcPr>
          <w:p>
            <w:pPr>
              <w:jc w:val="right"/>
              <w:ind w:right="232"/>
              <w:spacing w:after="0" w:line="109" w:lineRule="exact"/>
              <w:rPr>
                <w:sz w:val="20"/>
                <w:szCs w:val="20"/>
                <w:color w:val="auto"/>
              </w:rPr>
            </w:pPr>
            <w:r>
              <w:rPr>
                <w:rFonts w:ascii="Arial" w:cs="Arial" w:eastAsia="Arial" w:hAnsi="Arial"/>
                <w:sz w:val="10"/>
                <w:szCs w:val="10"/>
                <w:color w:val="auto"/>
              </w:rPr>
              <w:t>43,477</w:t>
            </w:r>
          </w:p>
        </w:tc>
        <w:tc>
          <w:tcPr>
            <w:tcW w:w="620" w:type="dxa"/>
            <w:vAlign w:val="bottom"/>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92"/>
              <w:spacing w:after="0" w:line="109" w:lineRule="exact"/>
              <w:rPr>
                <w:sz w:val="20"/>
                <w:szCs w:val="20"/>
                <w:color w:val="auto"/>
              </w:rPr>
            </w:pPr>
            <w:r>
              <w:rPr>
                <w:rFonts w:ascii="Arial" w:cs="Arial" w:eastAsia="Arial" w:hAnsi="Arial"/>
                <w:sz w:val="10"/>
                <w:szCs w:val="10"/>
                <w:color w:val="auto"/>
              </w:rPr>
              <w:t>9,750</w:t>
            </w:r>
          </w:p>
        </w:tc>
        <w:tc>
          <w:tcPr>
            <w:tcW w:w="1080" w:type="dxa"/>
            <w:vAlign w:val="bottom"/>
          </w:tcPr>
          <w:p>
            <w:pPr>
              <w:jc w:val="right"/>
              <w:ind w:right="312"/>
              <w:spacing w:after="0" w:line="109" w:lineRule="exact"/>
              <w:rPr>
                <w:sz w:val="20"/>
                <w:szCs w:val="20"/>
                <w:color w:val="auto"/>
              </w:rPr>
            </w:pPr>
            <w:r>
              <w:rPr>
                <w:rFonts w:ascii="Arial" w:cs="Arial" w:eastAsia="Arial" w:hAnsi="Arial"/>
                <w:sz w:val="10"/>
                <w:szCs w:val="10"/>
                <w:color w:val="auto"/>
              </w:rPr>
              <w:t>71,527</w:t>
            </w:r>
          </w:p>
        </w:tc>
      </w:tr>
      <w:tr>
        <w:trPr>
          <w:trHeight w:val="109"/>
        </w:trPr>
        <w:tc>
          <w:tcPr>
            <w:tcW w:w="76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Knight</w:t>
            </w:r>
          </w:p>
        </w:tc>
        <w:tc>
          <w:tcPr>
            <w:tcW w:w="8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15,658</w:t>
            </w:r>
          </w:p>
        </w:tc>
        <w:tc>
          <w:tcPr>
            <w:tcW w:w="960" w:type="dxa"/>
            <w:vAlign w:val="bottom"/>
            <w:shd w:val="clear" w:color="auto" w:fill="D8EFF9"/>
          </w:tcPr>
          <w:p>
            <w:pPr>
              <w:jc w:val="right"/>
              <w:ind w:right="352"/>
              <w:spacing w:after="0" w:line="109" w:lineRule="exact"/>
              <w:rPr>
                <w:sz w:val="20"/>
                <w:szCs w:val="20"/>
                <w:color w:val="auto"/>
              </w:rPr>
            </w:pPr>
            <w:r>
              <w:rPr>
                <w:rFonts w:ascii="Arial" w:cs="Arial" w:eastAsia="Arial" w:hAnsi="Arial"/>
                <w:sz w:val="10"/>
                <w:szCs w:val="10"/>
                <w:color w:val="auto"/>
              </w:rPr>
              <w:t>—</w:t>
            </w:r>
          </w:p>
        </w:tc>
        <w:tc>
          <w:tcPr>
            <w:tcW w:w="860" w:type="dxa"/>
            <w:vAlign w:val="bottom"/>
            <w:shd w:val="clear" w:color="auto" w:fill="D8EFF9"/>
          </w:tcPr>
          <w:p>
            <w:pPr>
              <w:jc w:val="right"/>
              <w:ind w:right="252"/>
              <w:spacing w:after="0" w:line="109" w:lineRule="exact"/>
              <w:rPr>
                <w:sz w:val="20"/>
                <w:szCs w:val="20"/>
                <w:color w:val="auto"/>
              </w:rPr>
            </w:pPr>
            <w:r>
              <w:rPr>
                <w:rFonts w:ascii="Arial" w:cs="Arial" w:eastAsia="Arial" w:hAnsi="Arial"/>
                <w:sz w:val="10"/>
                <w:szCs w:val="10"/>
                <w:color w:val="auto"/>
              </w:rPr>
              <w:t>27,450</w:t>
            </w:r>
          </w:p>
        </w:tc>
        <w:tc>
          <w:tcPr>
            <w:tcW w:w="980" w:type="dxa"/>
            <w:vAlign w:val="bottom"/>
            <w:shd w:val="clear" w:color="auto" w:fill="D8EFF9"/>
          </w:tcPr>
          <w:p>
            <w:pPr>
              <w:jc w:val="right"/>
              <w:ind w:right="232"/>
              <w:spacing w:after="0" w:line="109" w:lineRule="exact"/>
              <w:rPr>
                <w:sz w:val="20"/>
                <w:szCs w:val="20"/>
                <w:color w:val="auto"/>
              </w:rPr>
            </w:pPr>
            <w:r>
              <w:rPr>
                <w:rFonts w:ascii="Arial" w:cs="Arial" w:eastAsia="Arial" w:hAnsi="Arial"/>
                <w:sz w:val="10"/>
                <w:szCs w:val="10"/>
                <w:color w:val="auto"/>
              </w:rPr>
              <w:t>52,516</w:t>
            </w:r>
          </w:p>
        </w:tc>
        <w:tc>
          <w:tcPr>
            <w:tcW w:w="620" w:type="dxa"/>
            <w:vAlign w:val="bottom"/>
            <w:shd w:val="clear" w:color="auto" w:fill="D8EFF9"/>
          </w:tcPr>
          <w:p>
            <w:pPr>
              <w:jc w:val="right"/>
              <w:ind w:right="192"/>
              <w:spacing w:after="0" w:line="109" w:lineRule="exact"/>
              <w:rPr>
                <w:sz w:val="20"/>
                <w:szCs w:val="20"/>
                <w:color w:val="auto"/>
              </w:rPr>
            </w:pPr>
            <w:r>
              <w:rPr>
                <w:rFonts w:ascii="Arial" w:cs="Arial" w:eastAsia="Arial" w:hAnsi="Arial"/>
                <w:sz w:val="10"/>
                <w:szCs w:val="10"/>
                <w:color w:val="auto"/>
              </w:rPr>
              <w:t>—</w:t>
            </w:r>
          </w:p>
        </w:tc>
        <w:tc>
          <w:tcPr>
            <w:tcW w:w="40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292"/>
              <w:spacing w:after="0" w:line="109" w:lineRule="exact"/>
              <w:rPr>
                <w:sz w:val="20"/>
                <w:szCs w:val="20"/>
                <w:color w:val="auto"/>
              </w:rPr>
            </w:pPr>
            <w:r>
              <w:rPr>
                <w:rFonts w:ascii="Arial" w:cs="Arial" w:eastAsia="Arial" w:hAnsi="Arial"/>
                <w:sz w:val="10"/>
                <w:szCs w:val="10"/>
                <w:color w:val="auto"/>
              </w:rPr>
              <w:t>—</w:t>
            </w:r>
          </w:p>
        </w:tc>
        <w:tc>
          <w:tcPr>
            <w:tcW w:w="1080" w:type="dxa"/>
            <w:vAlign w:val="bottom"/>
            <w:shd w:val="clear" w:color="auto" w:fill="D8EFF9"/>
          </w:tcPr>
          <w:p>
            <w:pPr>
              <w:jc w:val="right"/>
              <w:ind w:right="312"/>
              <w:spacing w:after="0" w:line="109" w:lineRule="exact"/>
              <w:rPr>
                <w:sz w:val="20"/>
                <w:szCs w:val="20"/>
                <w:color w:val="auto"/>
              </w:rPr>
            </w:pPr>
            <w:r>
              <w:rPr>
                <w:rFonts w:ascii="Arial" w:cs="Arial" w:eastAsia="Arial" w:hAnsi="Arial"/>
                <w:sz w:val="10"/>
                <w:szCs w:val="10"/>
                <w:color w:val="auto"/>
              </w:rPr>
              <w:t>95,624</w:t>
            </w:r>
          </w:p>
        </w:tc>
      </w:tr>
    </w:tbl>
    <w:p>
      <w:pPr>
        <w:spacing w:after="0" w:line="85" w:lineRule="exact"/>
        <w:rPr>
          <w:sz w:val="20"/>
          <w:szCs w:val="20"/>
          <w:color w:val="auto"/>
        </w:rPr>
      </w:pPr>
    </w:p>
    <w:p>
      <w:pPr>
        <w:jc w:val="both"/>
        <w:ind w:left="2300" w:right="799" w:hanging="148"/>
        <w:spacing w:after="0" w:line="229" w:lineRule="auto"/>
        <w:tabs>
          <w:tab w:leader="none" w:pos="2300" w:val="left"/>
        </w:tabs>
        <w:numPr>
          <w:ilvl w:val="0"/>
          <w:numId w:val="85"/>
        </w:numPr>
        <w:rPr>
          <w:rFonts w:ascii="Arial" w:cs="Arial" w:eastAsia="Arial" w:hAnsi="Arial"/>
          <w:sz w:val="10"/>
          <w:szCs w:val="10"/>
          <w:color w:val="auto"/>
        </w:rPr>
      </w:pPr>
      <w:r>
        <w:rPr>
          <w:rFonts w:ascii="Arial" w:cs="Arial" w:eastAsia="Arial" w:hAnsi="Arial"/>
          <w:sz w:val="10"/>
          <w:szCs w:val="10"/>
          <w:color w:val="auto"/>
        </w:rPr>
        <w:t>For Mr. Lesar, this amount includes the incremental cost to the Company attributable to security-related services provided to Mr. Lesar, including the use of a car and security personnel, such as a security driver, to mitigate risk to the Company by supporting Mr. Lesar’s safety, health and well-being. The Company considers costs for security-related services, which were put into place in accordance with the recommendations of an independent security consultant based on a security risk assessment, to be business expenses rather than personal benefits to Mr. Lesar;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security personnel, including a security driver, includes the actual incremental cost of expenses incurred by such security personnel, but does not include the fixed costs associated with such personnel.</w:t>
      </w:r>
    </w:p>
    <w:p>
      <w:pPr>
        <w:spacing w:after="0" w:line="32" w:lineRule="exact"/>
        <w:rPr>
          <w:rFonts w:ascii="Arial" w:cs="Arial" w:eastAsia="Arial" w:hAnsi="Arial"/>
          <w:sz w:val="10"/>
          <w:szCs w:val="10"/>
          <w:color w:val="auto"/>
        </w:rPr>
      </w:pPr>
    </w:p>
    <w:p>
      <w:pPr>
        <w:jc w:val="both"/>
        <w:ind w:left="2300" w:right="799"/>
        <w:spacing w:after="0" w:line="229" w:lineRule="auto"/>
        <w:rPr>
          <w:rFonts w:ascii="Arial" w:cs="Arial" w:eastAsia="Arial" w:hAnsi="Arial"/>
          <w:sz w:val="10"/>
          <w:szCs w:val="10"/>
          <w:color w:val="auto"/>
        </w:rPr>
      </w:pPr>
      <w:r>
        <w:rPr>
          <w:rFonts w:ascii="Arial" w:cs="Arial" w:eastAsia="Arial" w:hAnsi="Arial"/>
          <w:sz w:val="10"/>
          <w:szCs w:val="10"/>
          <w:color w:val="auto"/>
        </w:rPr>
        <w:t>For Mr. Lesar, due, in part, for efficiency and personal safety as well as security risk considerations identified in the aforementioned security assessment related to Mr. Lesar, this amount includes the incremental cost to the Company for personal travel on aircraft owned by the Company or provided by a third-party aircraft charter company. The incremental cost for personal travel on aircraft owned by the Company includes variable operating costs such as landing, parking, hanger and dead-head costs, crew travel expenses, supplies and catering, fuel costs, and passenger ground transportation, and does not include an allocable share of fixed costs associated with the Company’s ownership of the aircraft. No amounts were included where spouses or family members accompanied the executives on Company aircraft flights because there was no incremental cost to the Company. The incremental cost to the Company for personal travel on aircraft provided by a third-party aircraft charter company includes the amount invoiced to CenterPoint Energy for the hourly rate and operating costs of flights for Messrs. Lesar and Wells, $12,993 and $42,050, respectively. Amounts include incremental costs to the Company for spouses or family members accompanying executives provided by a third-party charter company.</w:t>
      </w:r>
    </w:p>
    <w:p>
      <w:pPr>
        <w:spacing w:after="0" w:line="30" w:lineRule="exact"/>
        <w:rPr>
          <w:rFonts w:ascii="Arial" w:cs="Arial" w:eastAsia="Arial" w:hAnsi="Arial"/>
          <w:sz w:val="10"/>
          <w:szCs w:val="10"/>
          <w:color w:val="auto"/>
        </w:rPr>
      </w:pPr>
    </w:p>
    <w:p>
      <w:pPr>
        <w:ind w:left="2300" w:right="819"/>
        <w:spacing w:after="0" w:line="234" w:lineRule="auto"/>
        <w:rPr>
          <w:rFonts w:ascii="Arial" w:cs="Arial" w:eastAsia="Arial" w:hAnsi="Arial"/>
          <w:sz w:val="10"/>
          <w:szCs w:val="10"/>
          <w:color w:val="auto"/>
        </w:rPr>
      </w:pPr>
      <w:r>
        <w:rPr>
          <w:rFonts w:ascii="Arial" w:cs="Arial" w:eastAsia="Arial" w:hAnsi="Arial"/>
          <w:sz w:val="10"/>
          <w:szCs w:val="10"/>
          <w:color w:val="auto"/>
        </w:rPr>
        <w:t>Additionally, for Messrs. Lesar, Wells, Doyle and Knight, the amount includes financial planning services of $15,000, $15,830, $15,830 and $15,658, respectively. None of the other named executive officers received perquisites valued in excess of $10,000 during 2022.</w:t>
      </w:r>
    </w:p>
    <w:p>
      <w:pPr>
        <w:spacing w:after="0" w:line="39" w:lineRule="exact"/>
        <w:rPr>
          <w:rFonts w:ascii="Arial" w:cs="Arial" w:eastAsia="Arial" w:hAnsi="Arial"/>
          <w:sz w:val="10"/>
          <w:szCs w:val="10"/>
          <w:color w:val="auto"/>
        </w:rPr>
      </w:pPr>
    </w:p>
    <w:p>
      <w:pPr>
        <w:ind w:left="2300" w:hanging="148"/>
        <w:spacing w:after="0"/>
        <w:tabs>
          <w:tab w:leader="none" w:pos="230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These amounts represent CenterPoint Energy’s contributions to the savings plan, which is described under “Savings Plan and Savings Restoration Plans.”</w:t>
      </w:r>
    </w:p>
    <w:p>
      <w:pPr>
        <w:spacing w:after="0" w:line="39" w:lineRule="exact"/>
        <w:rPr>
          <w:rFonts w:ascii="Arial" w:cs="Arial" w:eastAsia="Arial" w:hAnsi="Arial"/>
          <w:sz w:val="10"/>
          <w:szCs w:val="10"/>
          <w:color w:val="auto"/>
        </w:rPr>
      </w:pPr>
    </w:p>
    <w:p>
      <w:pPr>
        <w:ind w:left="2300" w:hanging="148"/>
        <w:spacing w:after="0"/>
        <w:tabs>
          <w:tab w:leader="none" w:pos="230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These amounts represent benefits accrued under the savings restoration plan, which is described under “Savings Plan and Savings Restoration Plans.”</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85"/>
        </w:numPr>
        <w:rPr>
          <w:rFonts w:ascii="Arial" w:cs="Arial" w:eastAsia="Arial" w:hAnsi="Arial"/>
          <w:sz w:val="10"/>
          <w:szCs w:val="10"/>
          <w:color w:val="auto"/>
        </w:rPr>
      </w:pPr>
      <w:r>
        <w:rPr>
          <w:rFonts w:ascii="Arial" w:cs="Arial" w:eastAsia="Arial" w:hAnsi="Arial"/>
          <w:sz w:val="10"/>
          <w:szCs w:val="10"/>
          <w:color w:val="auto"/>
        </w:rPr>
        <w:t>These amounts represent CenterPoint Energy Foundation, Inc.’s charitable contribution to non-profit organizations to match personal qualified contributions on a dollar-for-dollar basis up to an annual maximum match of $25,000 ($50,000 for Mr. Lesar).</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Grants of Plan-Based Awards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following table presents the non-equity and equity incentive plan-based awards granted during 2022. The grant date fair value of equity awards is based on the probable achievement level of the underlying performance conditions as of the grant date at the closing price on the grant date, which was $26.89 for the February 15, 2022 grants.</w:t>
      </w: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1300" w:type="dxa"/>
            <w:vAlign w:val="bottom"/>
            <w:shd w:val="clear" w:color="auto" w:fill="009AD9"/>
          </w:tcPr>
          <w:p>
            <w:pPr>
              <w:spacing w:after="0"/>
              <w:rPr>
                <w:sz w:val="10"/>
                <w:szCs w:val="10"/>
                <w:color w:val="auto"/>
              </w:rPr>
            </w:pPr>
          </w:p>
        </w:tc>
        <w:tc>
          <w:tcPr>
            <w:tcW w:w="40" w:type="dxa"/>
            <w:vAlign w:val="bottom"/>
            <w:shd w:val="clear" w:color="auto" w:fill="009AD9"/>
          </w:tcPr>
          <w:p>
            <w:pPr>
              <w:spacing w:after="0"/>
              <w:rPr>
                <w:sz w:val="10"/>
                <w:szCs w:val="10"/>
                <w:color w:val="auto"/>
              </w:rPr>
            </w:pPr>
          </w:p>
        </w:tc>
        <w:tc>
          <w:tcPr>
            <w:tcW w:w="500" w:type="dxa"/>
            <w:vAlign w:val="bottom"/>
            <w:shd w:val="clear" w:color="auto" w:fill="009AD9"/>
          </w:tcPr>
          <w:p>
            <w:pPr>
              <w:spacing w:after="0"/>
              <w:rPr>
                <w:sz w:val="10"/>
                <w:szCs w:val="10"/>
                <w:color w:val="auto"/>
              </w:rPr>
            </w:pPr>
          </w:p>
        </w:tc>
        <w:tc>
          <w:tcPr>
            <w:tcW w:w="1680" w:type="dxa"/>
            <w:vAlign w:val="bottom"/>
            <w:gridSpan w:val="3"/>
            <w:shd w:val="clear" w:color="auto" w:fill="009AD9"/>
          </w:tcPr>
          <w:p>
            <w:pPr>
              <w:jc w:val="center"/>
              <w:ind w:right="12"/>
              <w:spacing w:after="0"/>
              <w:rPr>
                <w:sz w:val="20"/>
                <w:szCs w:val="20"/>
                <w:color w:val="auto"/>
              </w:rPr>
            </w:pPr>
            <w:r>
              <w:rPr>
                <w:rFonts w:ascii="Arial" w:cs="Arial" w:eastAsia="Arial" w:hAnsi="Arial"/>
                <w:sz w:val="9"/>
                <w:szCs w:val="9"/>
                <w:b w:val="1"/>
                <w:bCs w:val="1"/>
                <w:color w:val="FFFFFF"/>
              </w:rPr>
              <w:t>Estimated Possible Payouts Under</w:t>
            </w:r>
          </w:p>
        </w:tc>
        <w:tc>
          <w:tcPr>
            <w:tcW w:w="660" w:type="dxa"/>
            <w:vAlign w:val="bottom"/>
            <w:shd w:val="clear" w:color="auto" w:fill="009AD9"/>
          </w:tcPr>
          <w:p>
            <w:pPr>
              <w:spacing w:after="0"/>
              <w:rPr>
                <w:sz w:val="10"/>
                <w:szCs w:val="10"/>
                <w:color w:val="auto"/>
              </w:rPr>
            </w:pPr>
          </w:p>
        </w:tc>
        <w:tc>
          <w:tcPr>
            <w:tcW w:w="880" w:type="dxa"/>
            <w:vAlign w:val="bottom"/>
            <w:shd w:val="clear" w:color="auto" w:fill="009AD9"/>
          </w:tcPr>
          <w:p>
            <w:pPr>
              <w:spacing w:after="0"/>
              <w:rPr>
                <w:sz w:val="10"/>
                <w:szCs w:val="10"/>
                <w:color w:val="auto"/>
              </w:rPr>
            </w:pPr>
          </w:p>
        </w:tc>
        <w:tc>
          <w:tcPr>
            <w:tcW w:w="820" w:type="dxa"/>
            <w:vAlign w:val="bottom"/>
            <w:shd w:val="clear" w:color="auto" w:fill="009AD9"/>
          </w:tcPr>
          <w:p>
            <w:pPr>
              <w:spacing w:after="0"/>
              <w:rPr>
                <w:sz w:val="10"/>
                <w:szCs w:val="10"/>
                <w:color w:val="auto"/>
              </w:rPr>
            </w:pPr>
          </w:p>
        </w:tc>
        <w:tc>
          <w:tcPr>
            <w:tcW w:w="920" w:type="dxa"/>
            <w:vAlign w:val="bottom"/>
            <w:shd w:val="clear" w:color="auto" w:fill="009AD9"/>
          </w:tcPr>
          <w:p>
            <w:pPr>
              <w:spacing w:after="0"/>
              <w:rPr>
                <w:sz w:val="10"/>
                <w:szCs w:val="10"/>
                <w:color w:val="auto"/>
              </w:rPr>
            </w:pPr>
          </w:p>
        </w:tc>
        <w:tc>
          <w:tcPr>
            <w:tcW w:w="620" w:type="dxa"/>
            <w:vAlign w:val="bottom"/>
            <w:shd w:val="clear" w:color="auto" w:fill="009AD9"/>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300" w:type="dxa"/>
            <w:vAlign w:val="bottom"/>
            <w:shd w:val="clear" w:color="auto" w:fill="009AD9"/>
          </w:tcPr>
          <w:p>
            <w:pPr>
              <w:spacing w:after="0"/>
              <w:rPr>
                <w:sz w:val="8"/>
                <w:szCs w:val="8"/>
                <w:color w:val="auto"/>
              </w:rPr>
            </w:pPr>
          </w:p>
        </w:tc>
        <w:tc>
          <w:tcPr>
            <w:tcW w:w="40" w:type="dxa"/>
            <w:vAlign w:val="bottom"/>
            <w:shd w:val="clear" w:color="auto" w:fill="009AD9"/>
          </w:tcPr>
          <w:p>
            <w:pPr>
              <w:spacing w:after="0"/>
              <w:rPr>
                <w:sz w:val="8"/>
                <w:szCs w:val="8"/>
                <w:color w:val="auto"/>
              </w:rPr>
            </w:pPr>
          </w:p>
        </w:tc>
        <w:tc>
          <w:tcPr>
            <w:tcW w:w="500" w:type="dxa"/>
            <w:vAlign w:val="bottom"/>
            <w:shd w:val="clear" w:color="auto" w:fill="009AD9"/>
          </w:tcPr>
          <w:p>
            <w:pPr>
              <w:spacing w:after="0"/>
              <w:rPr>
                <w:sz w:val="8"/>
                <w:szCs w:val="8"/>
                <w:color w:val="auto"/>
              </w:rPr>
            </w:pPr>
          </w:p>
        </w:tc>
        <w:tc>
          <w:tcPr>
            <w:tcW w:w="1680" w:type="dxa"/>
            <w:vAlign w:val="bottom"/>
            <w:gridSpan w:val="3"/>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rPr>
              <w:t>Non-Equity Incentive Plan</w:t>
            </w:r>
          </w:p>
        </w:tc>
        <w:tc>
          <w:tcPr>
            <w:tcW w:w="660" w:type="dxa"/>
            <w:vAlign w:val="bottom"/>
            <w:shd w:val="clear" w:color="auto" w:fill="009AD9"/>
          </w:tcPr>
          <w:p>
            <w:pPr>
              <w:spacing w:after="0"/>
              <w:rPr>
                <w:sz w:val="8"/>
                <w:szCs w:val="8"/>
                <w:color w:val="auto"/>
              </w:rPr>
            </w:pPr>
          </w:p>
        </w:tc>
        <w:tc>
          <w:tcPr>
            <w:tcW w:w="2620" w:type="dxa"/>
            <w:vAlign w:val="bottom"/>
            <w:gridSpan w:val="3"/>
            <w:shd w:val="clear" w:color="auto" w:fill="009AD9"/>
          </w:tcPr>
          <w:p>
            <w:pPr>
              <w:jc w:val="right"/>
              <w:ind w:right="133"/>
              <w:spacing w:after="0" w:line="100" w:lineRule="exact"/>
              <w:rPr>
                <w:sz w:val="20"/>
                <w:szCs w:val="20"/>
                <w:color w:val="auto"/>
              </w:rPr>
            </w:pPr>
            <w:r>
              <w:rPr>
                <w:rFonts w:ascii="Arial" w:cs="Arial" w:eastAsia="Arial" w:hAnsi="Arial"/>
                <w:sz w:val="9"/>
                <w:szCs w:val="9"/>
                <w:b w:val="1"/>
                <w:bCs w:val="1"/>
                <w:color w:val="FFFFFF"/>
              </w:rPr>
              <w:t>Estimated Future Payouts Under Equity Incentive Plan</w:t>
            </w:r>
          </w:p>
        </w:tc>
        <w:tc>
          <w:tcPr>
            <w:tcW w:w="620" w:type="dxa"/>
            <w:vAlign w:val="bottom"/>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300" w:type="dxa"/>
            <w:vAlign w:val="bottom"/>
            <w:shd w:val="clear" w:color="auto" w:fill="009AD9"/>
          </w:tcPr>
          <w:p>
            <w:pPr>
              <w:spacing w:after="0"/>
              <w:rPr>
                <w:sz w:val="12"/>
                <w:szCs w:val="12"/>
                <w:color w:val="auto"/>
              </w:rPr>
            </w:pPr>
          </w:p>
        </w:tc>
        <w:tc>
          <w:tcPr>
            <w:tcW w:w="40" w:type="dxa"/>
            <w:vAlign w:val="bottom"/>
            <w:shd w:val="clear" w:color="auto" w:fill="009AD9"/>
          </w:tcPr>
          <w:p>
            <w:pPr>
              <w:spacing w:after="0"/>
              <w:rPr>
                <w:sz w:val="12"/>
                <w:szCs w:val="12"/>
                <w:color w:val="auto"/>
              </w:rPr>
            </w:pPr>
          </w:p>
        </w:tc>
        <w:tc>
          <w:tcPr>
            <w:tcW w:w="500" w:type="dxa"/>
            <w:vAlign w:val="bottom"/>
            <w:shd w:val="clear" w:color="auto" w:fill="009AD9"/>
          </w:tcPr>
          <w:p>
            <w:pPr>
              <w:spacing w:after="0"/>
              <w:rPr>
                <w:sz w:val="12"/>
                <w:szCs w:val="12"/>
                <w:color w:val="auto"/>
              </w:rPr>
            </w:pPr>
          </w:p>
        </w:tc>
        <w:tc>
          <w:tcPr>
            <w:tcW w:w="580" w:type="dxa"/>
            <w:vAlign w:val="bottom"/>
            <w:shd w:val="clear" w:color="auto" w:fill="009AD9"/>
          </w:tcPr>
          <w:p>
            <w:pPr>
              <w:spacing w:after="0"/>
              <w:rPr>
                <w:sz w:val="12"/>
                <w:szCs w:val="12"/>
                <w:color w:val="auto"/>
              </w:rPr>
            </w:pPr>
          </w:p>
        </w:tc>
        <w:tc>
          <w:tcPr>
            <w:tcW w:w="520" w:type="dxa"/>
            <w:vAlign w:val="bottom"/>
            <w:shd w:val="clear" w:color="auto" w:fill="009AD9"/>
          </w:tcPr>
          <w:p>
            <w:pPr>
              <w:jc w:val="center"/>
              <w:spacing w:after="0" w:line="147" w:lineRule="exact"/>
              <w:rPr>
                <w:sz w:val="20"/>
                <w:szCs w:val="20"/>
                <w:color w:val="auto"/>
              </w:rPr>
            </w:pPr>
            <w:r>
              <w:rPr>
                <w:rFonts w:ascii="Arial" w:cs="Arial" w:eastAsia="Arial" w:hAnsi="Arial"/>
                <w:sz w:val="9"/>
                <w:szCs w:val="9"/>
                <w:b w:val="1"/>
                <w:bCs w:val="1"/>
                <w:color w:val="FFFFFF"/>
                <w:w w:val="92"/>
              </w:rPr>
              <w:t>Awards</w:t>
            </w:r>
            <w:r>
              <w:rPr>
                <w:rFonts w:ascii="Arial" w:cs="Arial" w:eastAsia="Arial" w:hAnsi="Arial"/>
                <w:sz w:val="13"/>
                <w:szCs w:val="13"/>
                <w:b w:val="1"/>
                <w:bCs w:val="1"/>
                <w:color w:val="FFFFFF"/>
                <w:w w:val="92"/>
                <w:vertAlign w:val="superscript"/>
              </w:rPr>
              <w:t>(1)</w:t>
            </w:r>
          </w:p>
        </w:tc>
        <w:tc>
          <w:tcPr>
            <w:tcW w:w="580" w:type="dxa"/>
            <w:vAlign w:val="bottom"/>
            <w:shd w:val="clear" w:color="auto" w:fill="009AD9"/>
          </w:tcPr>
          <w:p>
            <w:pPr>
              <w:spacing w:after="0"/>
              <w:rPr>
                <w:sz w:val="12"/>
                <w:szCs w:val="12"/>
                <w:color w:val="auto"/>
              </w:rPr>
            </w:pPr>
          </w:p>
        </w:tc>
        <w:tc>
          <w:tcPr>
            <w:tcW w:w="660" w:type="dxa"/>
            <w:vAlign w:val="bottom"/>
            <w:shd w:val="clear" w:color="auto" w:fill="009AD9"/>
          </w:tcPr>
          <w:p>
            <w:pPr>
              <w:spacing w:after="0"/>
              <w:rPr>
                <w:sz w:val="12"/>
                <w:szCs w:val="12"/>
                <w:color w:val="auto"/>
              </w:rPr>
            </w:pPr>
          </w:p>
        </w:tc>
        <w:tc>
          <w:tcPr>
            <w:tcW w:w="880" w:type="dxa"/>
            <w:vAlign w:val="bottom"/>
            <w:shd w:val="clear" w:color="auto" w:fill="009AD9"/>
          </w:tcPr>
          <w:p>
            <w:pPr>
              <w:spacing w:after="0"/>
              <w:rPr>
                <w:sz w:val="12"/>
                <w:szCs w:val="12"/>
                <w:color w:val="auto"/>
              </w:rPr>
            </w:pPr>
          </w:p>
        </w:tc>
        <w:tc>
          <w:tcPr>
            <w:tcW w:w="820" w:type="dxa"/>
            <w:vAlign w:val="bottom"/>
            <w:shd w:val="clear" w:color="auto" w:fill="009AD9"/>
          </w:tcPr>
          <w:p>
            <w:pPr>
              <w:jc w:val="right"/>
              <w:ind w:right="172"/>
              <w:spacing w:after="0" w:line="147" w:lineRule="exact"/>
              <w:rPr>
                <w:sz w:val="20"/>
                <w:szCs w:val="20"/>
                <w:color w:val="auto"/>
              </w:rPr>
            </w:pPr>
            <w:r>
              <w:rPr>
                <w:rFonts w:ascii="Arial" w:cs="Arial" w:eastAsia="Arial" w:hAnsi="Arial"/>
                <w:sz w:val="9"/>
                <w:szCs w:val="9"/>
                <w:b w:val="1"/>
                <w:bCs w:val="1"/>
                <w:color w:val="FFFFFF"/>
              </w:rPr>
              <w:t>Awards</w:t>
            </w:r>
            <w:r>
              <w:rPr>
                <w:rFonts w:ascii="Arial" w:cs="Arial" w:eastAsia="Arial" w:hAnsi="Arial"/>
                <w:sz w:val="13"/>
                <w:szCs w:val="13"/>
                <w:b w:val="1"/>
                <w:bCs w:val="1"/>
                <w:color w:val="FFFFFF"/>
                <w:vertAlign w:val="superscript"/>
              </w:rPr>
              <w:t>(2)</w:t>
            </w:r>
          </w:p>
        </w:tc>
        <w:tc>
          <w:tcPr>
            <w:tcW w:w="920" w:type="dxa"/>
            <w:vAlign w:val="bottom"/>
            <w:shd w:val="clear" w:color="auto" w:fill="009AD9"/>
          </w:tcPr>
          <w:p>
            <w:pPr>
              <w:spacing w:after="0"/>
              <w:rPr>
                <w:sz w:val="12"/>
                <w:szCs w:val="12"/>
                <w:color w:val="auto"/>
              </w:rPr>
            </w:pPr>
          </w:p>
        </w:tc>
        <w:tc>
          <w:tcPr>
            <w:tcW w:w="620" w:type="dxa"/>
            <w:vAlign w:val="bottom"/>
            <w:shd w:val="clear" w:color="auto" w:fill="009AD9"/>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009AD9"/>
          </w:tcPr>
          <w:p>
            <w:pPr>
              <w:spacing w:after="0"/>
              <w:rPr>
                <w:sz w:val="10"/>
                <w:szCs w:val="10"/>
                <w:color w:val="auto"/>
              </w:rPr>
            </w:pPr>
          </w:p>
        </w:tc>
        <w:tc>
          <w:tcPr>
            <w:tcW w:w="40" w:type="dxa"/>
            <w:vAlign w:val="bottom"/>
            <w:shd w:val="clear" w:color="auto" w:fill="009AD9"/>
          </w:tcPr>
          <w:p>
            <w:pPr>
              <w:spacing w:after="0"/>
              <w:rPr>
                <w:sz w:val="10"/>
                <w:szCs w:val="10"/>
                <w:color w:val="auto"/>
              </w:rPr>
            </w:pPr>
          </w:p>
        </w:tc>
        <w:tc>
          <w:tcPr>
            <w:tcW w:w="500" w:type="dxa"/>
            <w:vAlign w:val="bottom"/>
            <w:shd w:val="clear" w:color="auto" w:fill="009AD9"/>
          </w:tcPr>
          <w:p>
            <w:pPr>
              <w:spacing w:after="0"/>
              <w:rPr>
                <w:sz w:val="10"/>
                <w:szCs w:val="10"/>
                <w:color w:val="auto"/>
              </w:rPr>
            </w:pPr>
          </w:p>
        </w:tc>
        <w:tc>
          <w:tcPr>
            <w:tcW w:w="580" w:type="dxa"/>
            <w:vAlign w:val="bottom"/>
            <w:shd w:val="clear" w:color="auto" w:fill="009AD9"/>
          </w:tcPr>
          <w:p>
            <w:pPr>
              <w:spacing w:after="0"/>
              <w:rPr>
                <w:sz w:val="10"/>
                <w:szCs w:val="10"/>
                <w:color w:val="auto"/>
              </w:rPr>
            </w:pPr>
          </w:p>
        </w:tc>
        <w:tc>
          <w:tcPr>
            <w:tcW w:w="520" w:type="dxa"/>
            <w:vAlign w:val="bottom"/>
            <w:shd w:val="clear" w:color="auto" w:fill="009AD9"/>
          </w:tcPr>
          <w:p>
            <w:pPr>
              <w:spacing w:after="0"/>
              <w:rPr>
                <w:sz w:val="10"/>
                <w:szCs w:val="10"/>
                <w:color w:val="auto"/>
              </w:rPr>
            </w:pPr>
          </w:p>
        </w:tc>
        <w:tc>
          <w:tcPr>
            <w:tcW w:w="580" w:type="dxa"/>
            <w:vAlign w:val="bottom"/>
            <w:shd w:val="clear" w:color="auto" w:fill="009AD9"/>
          </w:tcPr>
          <w:p>
            <w:pPr>
              <w:spacing w:after="0"/>
              <w:rPr>
                <w:sz w:val="10"/>
                <w:szCs w:val="10"/>
                <w:color w:val="auto"/>
              </w:rPr>
            </w:pPr>
          </w:p>
        </w:tc>
        <w:tc>
          <w:tcPr>
            <w:tcW w:w="660" w:type="dxa"/>
            <w:vAlign w:val="bottom"/>
            <w:shd w:val="clear" w:color="auto" w:fill="009AD9"/>
          </w:tcPr>
          <w:p>
            <w:pPr>
              <w:spacing w:after="0"/>
              <w:rPr>
                <w:sz w:val="10"/>
                <w:szCs w:val="10"/>
                <w:color w:val="auto"/>
              </w:rPr>
            </w:pPr>
          </w:p>
        </w:tc>
        <w:tc>
          <w:tcPr>
            <w:tcW w:w="880" w:type="dxa"/>
            <w:vAlign w:val="bottom"/>
            <w:shd w:val="clear" w:color="auto" w:fill="009AD9"/>
          </w:tcPr>
          <w:p>
            <w:pPr>
              <w:spacing w:after="0"/>
              <w:rPr>
                <w:sz w:val="10"/>
                <w:szCs w:val="10"/>
                <w:color w:val="auto"/>
              </w:rPr>
            </w:pPr>
          </w:p>
        </w:tc>
        <w:tc>
          <w:tcPr>
            <w:tcW w:w="820" w:type="dxa"/>
            <w:vAlign w:val="bottom"/>
            <w:shd w:val="clear" w:color="auto" w:fill="009AD9"/>
          </w:tcPr>
          <w:p>
            <w:pPr>
              <w:spacing w:after="0"/>
              <w:rPr>
                <w:sz w:val="10"/>
                <w:szCs w:val="10"/>
                <w:color w:val="auto"/>
              </w:rPr>
            </w:pPr>
          </w:p>
        </w:tc>
        <w:tc>
          <w:tcPr>
            <w:tcW w:w="920" w:type="dxa"/>
            <w:vAlign w:val="bottom"/>
            <w:shd w:val="clear" w:color="auto" w:fill="009AD9"/>
          </w:tcPr>
          <w:p>
            <w:pPr>
              <w:spacing w:after="0"/>
              <w:rPr>
                <w:sz w:val="10"/>
                <w:szCs w:val="10"/>
                <w:color w:val="auto"/>
              </w:rPr>
            </w:pPr>
          </w:p>
        </w:tc>
        <w:tc>
          <w:tcPr>
            <w:tcW w:w="620" w:type="dxa"/>
            <w:vAlign w:val="bottom"/>
            <w:shd w:val="clear" w:color="auto" w:fill="009AD9"/>
          </w:tcPr>
          <w:p>
            <w:pPr>
              <w:jc w:val="center"/>
              <w:spacing w:after="0"/>
              <w:rPr>
                <w:sz w:val="20"/>
                <w:szCs w:val="20"/>
                <w:color w:val="auto"/>
              </w:rPr>
            </w:pPr>
            <w:r>
              <w:rPr>
                <w:rFonts w:ascii="Arial" w:cs="Arial" w:eastAsia="Arial" w:hAnsi="Arial"/>
                <w:sz w:val="9"/>
                <w:szCs w:val="9"/>
                <w:b w:val="1"/>
                <w:bCs w:val="1"/>
                <w:color w:val="FFFFFF"/>
                <w:w w:val="99"/>
              </w:rPr>
              <w:t>Grant Date</w:t>
            </w:r>
          </w:p>
        </w:tc>
        <w:tc>
          <w:tcPr>
            <w:tcW w:w="0" w:type="dxa"/>
            <w:vAlign w:val="bottom"/>
          </w:tcPr>
          <w:p>
            <w:pPr>
              <w:spacing w:after="0"/>
              <w:rPr>
                <w:sz w:val="1"/>
                <w:szCs w:val="1"/>
                <w:color w:val="auto"/>
              </w:rPr>
            </w:pPr>
          </w:p>
        </w:tc>
      </w:tr>
      <w:tr>
        <w:trPr>
          <w:trHeight w:val="101"/>
        </w:trPr>
        <w:tc>
          <w:tcPr>
            <w:tcW w:w="1300" w:type="dxa"/>
            <w:vAlign w:val="bottom"/>
            <w:shd w:val="clear" w:color="auto" w:fill="009AD9"/>
          </w:tcPr>
          <w:p>
            <w:pPr>
              <w:spacing w:after="0"/>
              <w:rPr>
                <w:sz w:val="8"/>
                <w:szCs w:val="8"/>
                <w:color w:val="auto"/>
              </w:rPr>
            </w:pPr>
          </w:p>
        </w:tc>
        <w:tc>
          <w:tcPr>
            <w:tcW w:w="40" w:type="dxa"/>
            <w:vAlign w:val="bottom"/>
            <w:shd w:val="clear" w:color="auto" w:fill="009AD9"/>
          </w:tcPr>
          <w:p>
            <w:pPr>
              <w:spacing w:after="0"/>
              <w:rPr>
                <w:sz w:val="8"/>
                <w:szCs w:val="8"/>
                <w:color w:val="auto"/>
              </w:rPr>
            </w:pPr>
          </w:p>
        </w:tc>
        <w:tc>
          <w:tcPr>
            <w:tcW w:w="50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52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660" w:type="dxa"/>
            <w:vAlign w:val="bottom"/>
            <w:shd w:val="clear" w:color="auto" w:fill="009AD9"/>
          </w:tcPr>
          <w:p>
            <w:pPr>
              <w:jc w:val="center"/>
              <w:spacing w:after="0" w:line="102" w:lineRule="exact"/>
              <w:rPr>
                <w:sz w:val="20"/>
                <w:szCs w:val="20"/>
                <w:color w:val="auto"/>
              </w:rPr>
            </w:pPr>
            <w:r>
              <w:rPr>
                <w:rFonts w:ascii="Arial" w:cs="Arial" w:eastAsia="Arial" w:hAnsi="Arial"/>
                <w:sz w:val="9"/>
                <w:szCs w:val="9"/>
                <w:b w:val="1"/>
                <w:bCs w:val="1"/>
                <w:color w:val="FFFFFF"/>
                <w:w w:val="98"/>
              </w:rPr>
              <w:t>Threshold:</w:t>
            </w:r>
          </w:p>
        </w:tc>
        <w:tc>
          <w:tcPr>
            <w:tcW w:w="880" w:type="dxa"/>
            <w:vAlign w:val="bottom"/>
            <w:shd w:val="clear" w:color="auto" w:fill="009AD9"/>
          </w:tcPr>
          <w:p>
            <w:pPr>
              <w:jc w:val="center"/>
              <w:ind w:left="12"/>
              <w:spacing w:after="0" w:line="102" w:lineRule="exact"/>
              <w:rPr>
                <w:sz w:val="20"/>
                <w:szCs w:val="20"/>
                <w:color w:val="auto"/>
              </w:rPr>
            </w:pPr>
            <w:r>
              <w:rPr>
                <w:rFonts w:ascii="Arial" w:cs="Arial" w:eastAsia="Arial" w:hAnsi="Arial"/>
                <w:sz w:val="9"/>
                <w:szCs w:val="9"/>
                <w:b w:val="1"/>
                <w:bCs w:val="1"/>
                <w:color w:val="FFFFFF"/>
                <w:w w:val="98"/>
              </w:rPr>
              <w:t>Target:</w:t>
            </w:r>
          </w:p>
        </w:tc>
        <w:tc>
          <w:tcPr>
            <w:tcW w:w="820" w:type="dxa"/>
            <w:vAlign w:val="bottom"/>
            <w:shd w:val="clear" w:color="auto" w:fill="009AD9"/>
          </w:tcPr>
          <w:p>
            <w:pPr>
              <w:jc w:val="center"/>
              <w:ind w:left="12"/>
              <w:spacing w:after="0" w:line="102" w:lineRule="exact"/>
              <w:rPr>
                <w:sz w:val="20"/>
                <w:szCs w:val="20"/>
                <w:color w:val="auto"/>
              </w:rPr>
            </w:pPr>
            <w:r>
              <w:rPr>
                <w:rFonts w:ascii="Arial" w:cs="Arial" w:eastAsia="Arial" w:hAnsi="Arial"/>
                <w:sz w:val="9"/>
                <w:szCs w:val="9"/>
                <w:b w:val="1"/>
                <w:bCs w:val="1"/>
                <w:color w:val="FFFFFF"/>
                <w:w w:val="98"/>
              </w:rPr>
              <w:t>Maximum:</w:t>
            </w:r>
          </w:p>
        </w:tc>
        <w:tc>
          <w:tcPr>
            <w:tcW w:w="920" w:type="dxa"/>
            <w:vAlign w:val="bottom"/>
            <w:shd w:val="clear" w:color="auto" w:fill="009AD9"/>
          </w:tcPr>
          <w:p>
            <w:pPr>
              <w:jc w:val="center"/>
              <w:ind w:left="13"/>
              <w:spacing w:after="0" w:line="102" w:lineRule="exact"/>
              <w:rPr>
                <w:sz w:val="20"/>
                <w:szCs w:val="20"/>
                <w:color w:val="auto"/>
              </w:rPr>
            </w:pPr>
            <w:r>
              <w:rPr>
                <w:rFonts w:ascii="Arial" w:cs="Arial" w:eastAsia="Arial" w:hAnsi="Arial"/>
                <w:sz w:val="9"/>
                <w:szCs w:val="9"/>
                <w:b w:val="1"/>
                <w:bCs w:val="1"/>
                <w:color w:val="FFFFFF"/>
              </w:rPr>
              <w:t>All Other Stock</w:t>
            </w:r>
          </w:p>
        </w:tc>
        <w:tc>
          <w:tcPr>
            <w:tcW w:w="620" w:type="dxa"/>
            <w:vAlign w:val="bottom"/>
            <w:shd w:val="clear" w:color="auto" w:fill="009AD9"/>
          </w:tcPr>
          <w:p>
            <w:pPr>
              <w:jc w:val="center"/>
              <w:spacing w:after="0" w:line="102" w:lineRule="exact"/>
              <w:rPr>
                <w:sz w:val="20"/>
                <w:szCs w:val="20"/>
                <w:color w:val="auto"/>
              </w:rPr>
            </w:pPr>
            <w:r>
              <w:rPr>
                <w:rFonts w:ascii="Arial" w:cs="Arial" w:eastAsia="Arial" w:hAnsi="Arial"/>
                <w:sz w:val="9"/>
                <w:szCs w:val="9"/>
                <w:b w:val="1"/>
                <w:bCs w:val="1"/>
                <w:color w:val="FFFFFF"/>
              </w:rPr>
              <w:t>Fair Value</w:t>
            </w:r>
          </w:p>
        </w:tc>
        <w:tc>
          <w:tcPr>
            <w:tcW w:w="0" w:type="dxa"/>
            <w:vAlign w:val="bottom"/>
          </w:tcPr>
          <w:p>
            <w:pPr>
              <w:spacing w:after="0"/>
              <w:rPr>
                <w:sz w:val="1"/>
                <w:szCs w:val="1"/>
                <w:color w:val="auto"/>
              </w:rPr>
            </w:pPr>
          </w:p>
        </w:tc>
      </w:tr>
      <w:tr>
        <w:trPr>
          <w:trHeight w:val="100"/>
        </w:trPr>
        <w:tc>
          <w:tcPr>
            <w:tcW w:w="1300" w:type="dxa"/>
            <w:vAlign w:val="bottom"/>
            <w:shd w:val="clear" w:color="auto" w:fill="009AD9"/>
          </w:tcPr>
          <w:p>
            <w:pPr>
              <w:spacing w:after="0"/>
              <w:rPr>
                <w:sz w:val="8"/>
                <w:szCs w:val="8"/>
                <w:color w:val="auto"/>
              </w:rPr>
            </w:pPr>
          </w:p>
        </w:tc>
        <w:tc>
          <w:tcPr>
            <w:tcW w:w="40" w:type="dxa"/>
            <w:vAlign w:val="bottom"/>
            <w:shd w:val="clear" w:color="auto" w:fill="009AD9"/>
          </w:tcPr>
          <w:p>
            <w:pPr>
              <w:spacing w:after="0"/>
              <w:rPr>
                <w:sz w:val="8"/>
                <w:szCs w:val="8"/>
                <w:color w:val="auto"/>
              </w:rPr>
            </w:pPr>
          </w:p>
        </w:tc>
        <w:tc>
          <w:tcPr>
            <w:tcW w:w="50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52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66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rPr>
              <w:t>Number of</w:t>
            </w:r>
          </w:p>
        </w:tc>
        <w:tc>
          <w:tcPr>
            <w:tcW w:w="880" w:type="dxa"/>
            <w:vAlign w:val="bottom"/>
            <w:shd w:val="clear" w:color="auto" w:fill="009AD9"/>
          </w:tcPr>
          <w:p>
            <w:pPr>
              <w:jc w:val="center"/>
              <w:ind w:left="32"/>
              <w:spacing w:after="0" w:line="100" w:lineRule="exact"/>
              <w:rPr>
                <w:sz w:val="20"/>
                <w:szCs w:val="20"/>
                <w:color w:val="auto"/>
              </w:rPr>
            </w:pPr>
            <w:r>
              <w:rPr>
                <w:rFonts w:ascii="Arial" w:cs="Arial" w:eastAsia="Arial" w:hAnsi="Arial"/>
                <w:sz w:val="9"/>
                <w:szCs w:val="9"/>
                <w:b w:val="1"/>
                <w:bCs w:val="1"/>
                <w:color w:val="FFFFFF"/>
                <w:w w:val="97"/>
              </w:rPr>
              <w:t>Number of</w:t>
            </w:r>
          </w:p>
        </w:tc>
        <w:tc>
          <w:tcPr>
            <w:tcW w:w="82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rPr>
              <w:t>Number of</w:t>
            </w:r>
          </w:p>
        </w:tc>
        <w:tc>
          <w:tcPr>
            <w:tcW w:w="920" w:type="dxa"/>
            <w:vAlign w:val="bottom"/>
            <w:shd w:val="clear" w:color="auto" w:fill="009AD9"/>
          </w:tcPr>
          <w:p>
            <w:pPr>
              <w:jc w:val="center"/>
              <w:ind w:left="13"/>
              <w:spacing w:after="0" w:line="100" w:lineRule="exact"/>
              <w:rPr>
                <w:sz w:val="20"/>
                <w:szCs w:val="20"/>
                <w:color w:val="auto"/>
              </w:rPr>
            </w:pPr>
            <w:r>
              <w:rPr>
                <w:rFonts w:ascii="Arial" w:cs="Arial" w:eastAsia="Arial" w:hAnsi="Arial"/>
                <w:sz w:val="9"/>
                <w:szCs w:val="9"/>
                <w:b w:val="1"/>
                <w:bCs w:val="1"/>
                <w:color w:val="FFFFFF"/>
                <w:w w:val="99"/>
              </w:rPr>
              <w:t>Awards: # of</w:t>
            </w:r>
          </w:p>
        </w:tc>
        <w:tc>
          <w:tcPr>
            <w:tcW w:w="62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rPr>
              <w:t>of Stock</w:t>
            </w:r>
          </w:p>
        </w:tc>
        <w:tc>
          <w:tcPr>
            <w:tcW w:w="0" w:type="dxa"/>
            <w:vAlign w:val="bottom"/>
          </w:tcPr>
          <w:p>
            <w:pPr>
              <w:spacing w:after="0"/>
              <w:rPr>
                <w:sz w:val="1"/>
                <w:szCs w:val="1"/>
                <w:color w:val="auto"/>
              </w:rPr>
            </w:pPr>
          </w:p>
        </w:tc>
      </w:tr>
      <w:tr>
        <w:trPr>
          <w:trHeight w:val="100"/>
        </w:trPr>
        <w:tc>
          <w:tcPr>
            <w:tcW w:w="1300" w:type="dxa"/>
            <w:vAlign w:val="bottom"/>
            <w:shd w:val="clear" w:color="auto" w:fill="009AD9"/>
          </w:tcPr>
          <w:p>
            <w:pPr>
              <w:spacing w:after="0"/>
              <w:rPr>
                <w:sz w:val="8"/>
                <w:szCs w:val="8"/>
                <w:color w:val="auto"/>
              </w:rPr>
            </w:pPr>
          </w:p>
        </w:tc>
        <w:tc>
          <w:tcPr>
            <w:tcW w:w="40" w:type="dxa"/>
            <w:vAlign w:val="bottom"/>
            <w:shd w:val="clear" w:color="auto" w:fill="009AD9"/>
          </w:tcPr>
          <w:p>
            <w:pPr>
              <w:spacing w:after="0"/>
              <w:rPr>
                <w:sz w:val="8"/>
                <w:szCs w:val="8"/>
                <w:color w:val="auto"/>
              </w:rPr>
            </w:pPr>
          </w:p>
        </w:tc>
        <w:tc>
          <w:tcPr>
            <w:tcW w:w="500" w:type="dxa"/>
            <w:vAlign w:val="bottom"/>
            <w:shd w:val="clear" w:color="auto" w:fill="009AD9"/>
          </w:tcPr>
          <w:p>
            <w:pPr>
              <w:spacing w:after="0"/>
              <w:rPr>
                <w:sz w:val="8"/>
                <w:szCs w:val="8"/>
                <w:color w:val="auto"/>
              </w:rPr>
            </w:pPr>
          </w:p>
        </w:tc>
        <w:tc>
          <w:tcPr>
            <w:tcW w:w="580" w:type="dxa"/>
            <w:vAlign w:val="bottom"/>
            <w:shd w:val="clear" w:color="auto" w:fill="009AD9"/>
          </w:tcPr>
          <w:p>
            <w:pPr>
              <w:jc w:val="right"/>
              <w:ind w:right="33"/>
              <w:spacing w:after="0" w:line="100" w:lineRule="exact"/>
              <w:rPr>
                <w:sz w:val="20"/>
                <w:szCs w:val="20"/>
                <w:color w:val="auto"/>
              </w:rPr>
            </w:pPr>
            <w:r>
              <w:rPr>
                <w:rFonts w:ascii="Arial" w:cs="Arial" w:eastAsia="Arial" w:hAnsi="Arial"/>
                <w:sz w:val="9"/>
                <w:szCs w:val="9"/>
                <w:b w:val="1"/>
                <w:bCs w:val="1"/>
                <w:color w:val="FFFFFF"/>
              </w:rPr>
              <w:t>Threshold</w:t>
            </w:r>
          </w:p>
        </w:tc>
        <w:tc>
          <w:tcPr>
            <w:tcW w:w="52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rPr>
              <w:t>Target</w:t>
            </w:r>
          </w:p>
        </w:tc>
        <w:tc>
          <w:tcPr>
            <w:tcW w:w="580" w:type="dxa"/>
            <w:vAlign w:val="bottom"/>
            <w:shd w:val="clear" w:color="auto" w:fill="009AD9"/>
          </w:tcPr>
          <w:p>
            <w:pPr>
              <w:jc w:val="right"/>
              <w:ind w:right="72"/>
              <w:spacing w:after="0" w:line="100" w:lineRule="exact"/>
              <w:rPr>
                <w:sz w:val="20"/>
                <w:szCs w:val="20"/>
                <w:color w:val="auto"/>
              </w:rPr>
            </w:pPr>
            <w:r>
              <w:rPr>
                <w:rFonts w:ascii="Arial" w:cs="Arial" w:eastAsia="Arial" w:hAnsi="Arial"/>
                <w:sz w:val="9"/>
                <w:szCs w:val="9"/>
                <w:b w:val="1"/>
                <w:bCs w:val="1"/>
                <w:color w:val="FFFFFF"/>
              </w:rPr>
              <w:t>Maximum</w:t>
            </w:r>
          </w:p>
        </w:tc>
        <w:tc>
          <w:tcPr>
            <w:tcW w:w="66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w w:val="99"/>
              </w:rPr>
              <w:t>Shares</w:t>
            </w:r>
          </w:p>
        </w:tc>
        <w:tc>
          <w:tcPr>
            <w:tcW w:w="880" w:type="dxa"/>
            <w:vAlign w:val="bottom"/>
            <w:shd w:val="clear" w:color="auto" w:fill="009AD9"/>
          </w:tcPr>
          <w:p>
            <w:pPr>
              <w:jc w:val="center"/>
              <w:ind w:left="32"/>
              <w:spacing w:after="0" w:line="100" w:lineRule="exact"/>
              <w:rPr>
                <w:sz w:val="20"/>
                <w:szCs w:val="20"/>
                <w:color w:val="auto"/>
              </w:rPr>
            </w:pPr>
            <w:r>
              <w:rPr>
                <w:rFonts w:ascii="Arial" w:cs="Arial" w:eastAsia="Arial" w:hAnsi="Arial"/>
                <w:sz w:val="9"/>
                <w:szCs w:val="9"/>
                <w:b w:val="1"/>
                <w:bCs w:val="1"/>
                <w:color w:val="FFFFFF"/>
              </w:rPr>
              <w:t>Shares</w:t>
            </w:r>
          </w:p>
        </w:tc>
        <w:tc>
          <w:tcPr>
            <w:tcW w:w="82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w w:val="99"/>
              </w:rPr>
              <w:t>Shares</w:t>
            </w:r>
          </w:p>
        </w:tc>
        <w:tc>
          <w:tcPr>
            <w:tcW w:w="920" w:type="dxa"/>
            <w:vAlign w:val="bottom"/>
            <w:shd w:val="clear" w:color="auto" w:fill="009AD9"/>
          </w:tcPr>
          <w:p>
            <w:pPr>
              <w:jc w:val="center"/>
              <w:ind w:left="33"/>
              <w:spacing w:after="0" w:line="100" w:lineRule="exact"/>
              <w:rPr>
                <w:sz w:val="20"/>
                <w:szCs w:val="20"/>
                <w:color w:val="auto"/>
              </w:rPr>
            </w:pPr>
            <w:r>
              <w:rPr>
                <w:rFonts w:ascii="Arial" w:cs="Arial" w:eastAsia="Arial" w:hAnsi="Arial"/>
                <w:sz w:val="9"/>
                <w:szCs w:val="9"/>
                <w:b w:val="1"/>
                <w:bCs w:val="1"/>
                <w:color w:val="FFFFFF"/>
                <w:w w:val="97"/>
              </w:rPr>
              <w:t>Shares of</w:t>
            </w:r>
          </w:p>
        </w:tc>
        <w:tc>
          <w:tcPr>
            <w:tcW w:w="620" w:type="dxa"/>
            <w:vAlign w:val="bottom"/>
            <w:shd w:val="clear" w:color="auto" w:fill="009AD9"/>
          </w:tcPr>
          <w:p>
            <w:pPr>
              <w:jc w:val="center"/>
              <w:spacing w:after="0" w:line="100" w:lineRule="exact"/>
              <w:rPr>
                <w:sz w:val="20"/>
                <w:szCs w:val="20"/>
                <w:color w:val="auto"/>
              </w:rPr>
            </w:pPr>
            <w:r>
              <w:rPr>
                <w:rFonts w:ascii="Arial" w:cs="Arial" w:eastAsia="Arial" w:hAnsi="Arial"/>
                <w:sz w:val="9"/>
                <w:szCs w:val="9"/>
                <w:b w:val="1"/>
                <w:bCs w:val="1"/>
                <w:color w:val="FFFFFF"/>
                <w:w w:val="98"/>
              </w:rPr>
              <w:t>Awards</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9"/>
                <w:szCs w:val="9"/>
                <w:b w:val="1"/>
                <w:bCs w:val="1"/>
                <w:color w:val="FFFFFF"/>
              </w:rPr>
              <w:t>Name</w:t>
            </w:r>
          </w:p>
        </w:tc>
        <w:tc>
          <w:tcPr>
            <w:tcW w:w="40" w:type="dxa"/>
            <w:vAlign w:val="bottom"/>
            <w:tcBorders>
              <w:bottom w:val="single" w:sz="8" w:color="009AD9"/>
            </w:tcBorders>
            <w:shd w:val="clear" w:color="auto" w:fill="009AD9"/>
          </w:tcPr>
          <w:p>
            <w:pPr>
              <w:spacing w:after="0"/>
              <w:rPr>
                <w:sz w:val="11"/>
                <w:szCs w:val="11"/>
                <w:color w:val="auto"/>
              </w:rPr>
            </w:pPr>
          </w:p>
        </w:tc>
        <w:tc>
          <w:tcPr>
            <w:tcW w:w="50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9"/>
                <w:szCs w:val="9"/>
                <w:b w:val="1"/>
                <w:bCs w:val="1"/>
                <w:color w:val="FFFFFF"/>
                <w:w w:val="99"/>
              </w:rPr>
              <w:t>Grant Date</w:t>
            </w:r>
          </w:p>
        </w:tc>
        <w:tc>
          <w:tcPr>
            <w:tcW w:w="580" w:type="dxa"/>
            <w:vAlign w:val="bottom"/>
            <w:tcBorders>
              <w:bottom w:val="single" w:sz="8" w:color="009AD9"/>
            </w:tcBorders>
            <w:shd w:val="clear" w:color="auto" w:fill="009AD9"/>
          </w:tcPr>
          <w:p>
            <w:pPr>
              <w:jc w:val="right"/>
              <w:ind w:right="193"/>
              <w:spacing w:after="0"/>
              <w:rPr>
                <w:sz w:val="20"/>
                <w:szCs w:val="20"/>
                <w:color w:val="auto"/>
              </w:rPr>
            </w:pPr>
            <w:r>
              <w:rPr>
                <w:rFonts w:ascii="Arial" w:cs="Arial" w:eastAsia="Arial" w:hAnsi="Arial"/>
                <w:sz w:val="9"/>
                <w:szCs w:val="9"/>
                <w:b w:val="1"/>
                <w:bCs w:val="1"/>
                <w:color w:val="FFFFFF"/>
              </w:rPr>
              <w:t>($)</w:t>
            </w:r>
          </w:p>
        </w:tc>
        <w:tc>
          <w:tcPr>
            <w:tcW w:w="5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9"/>
                <w:szCs w:val="9"/>
                <w:b w:val="1"/>
                <w:bCs w:val="1"/>
                <w:color w:val="FFFFFF"/>
              </w:rPr>
              <w:t>($)</w:t>
            </w:r>
          </w:p>
        </w:tc>
        <w:tc>
          <w:tcPr>
            <w:tcW w:w="580" w:type="dxa"/>
            <w:vAlign w:val="bottom"/>
            <w:tcBorders>
              <w:bottom w:val="single" w:sz="8" w:color="009AD9"/>
            </w:tcBorders>
            <w:shd w:val="clear" w:color="auto" w:fill="009AD9"/>
          </w:tcPr>
          <w:p>
            <w:pPr>
              <w:jc w:val="right"/>
              <w:ind w:right="212"/>
              <w:spacing w:after="0"/>
              <w:rPr>
                <w:sz w:val="20"/>
                <w:szCs w:val="20"/>
                <w:color w:val="auto"/>
              </w:rPr>
            </w:pPr>
            <w:r>
              <w:rPr>
                <w:rFonts w:ascii="Arial" w:cs="Arial" w:eastAsia="Arial" w:hAnsi="Arial"/>
                <w:sz w:val="9"/>
                <w:szCs w:val="9"/>
                <w:b w:val="1"/>
                <w:bCs w:val="1"/>
                <w:color w:val="FFFFFF"/>
              </w:rPr>
              <w:t>($)</w:t>
            </w:r>
          </w:p>
        </w:tc>
        <w:tc>
          <w:tcPr>
            <w:tcW w:w="6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9"/>
                <w:szCs w:val="9"/>
                <w:b w:val="1"/>
                <w:bCs w:val="1"/>
                <w:color w:val="FFFFFF"/>
                <w:w w:val="90"/>
              </w:rPr>
              <w:t>(#)</w:t>
            </w:r>
          </w:p>
        </w:tc>
        <w:tc>
          <w:tcPr>
            <w:tcW w:w="880" w:type="dxa"/>
            <w:vAlign w:val="bottom"/>
            <w:tcBorders>
              <w:bottom w:val="single" w:sz="8" w:color="009AD9"/>
            </w:tcBorders>
            <w:shd w:val="clear" w:color="auto" w:fill="009AD9"/>
          </w:tcPr>
          <w:p>
            <w:pPr>
              <w:jc w:val="center"/>
              <w:ind w:left="32"/>
              <w:spacing w:after="0"/>
              <w:rPr>
                <w:sz w:val="20"/>
                <w:szCs w:val="20"/>
                <w:color w:val="auto"/>
              </w:rPr>
            </w:pPr>
            <w:r>
              <w:rPr>
                <w:rFonts w:ascii="Arial" w:cs="Arial" w:eastAsia="Arial" w:hAnsi="Arial"/>
                <w:sz w:val="9"/>
                <w:szCs w:val="9"/>
                <w:b w:val="1"/>
                <w:bCs w:val="1"/>
                <w:color w:val="FFFFFF"/>
              </w:rPr>
              <w:t>(#)</w:t>
            </w:r>
          </w:p>
        </w:tc>
        <w:tc>
          <w:tcPr>
            <w:tcW w:w="820" w:type="dxa"/>
            <w:vAlign w:val="bottom"/>
            <w:tcBorders>
              <w:bottom w:val="single" w:sz="8" w:color="009AD9"/>
            </w:tcBorders>
            <w:shd w:val="clear" w:color="auto" w:fill="009AD9"/>
          </w:tcPr>
          <w:p>
            <w:pPr>
              <w:jc w:val="center"/>
              <w:ind w:left="12"/>
              <w:spacing w:after="0"/>
              <w:rPr>
                <w:sz w:val="20"/>
                <w:szCs w:val="20"/>
                <w:color w:val="auto"/>
              </w:rPr>
            </w:pPr>
            <w:r>
              <w:rPr>
                <w:rFonts w:ascii="Arial" w:cs="Arial" w:eastAsia="Arial" w:hAnsi="Arial"/>
                <w:sz w:val="9"/>
                <w:szCs w:val="9"/>
                <w:b w:val="1"/>
                <w:bCs w:val="1"/>
                <w:color w:val="FFFFFF"/>
              </w:rPr>
              <w:t>(#)</w:t>
            </w:r>
          </w:p>
        </w:tc>
        <w:tc>
          <w:tcPr>
            <w:tcW w:w="920" w:type="dxa"/>
            <w:vAlign w:val="bottom"/>
            <w:tcBorders>
              <w:bottom w:val="single" w:sz="8" w:color="009AD9"/>
            </w:tcBorders>
            <w:shd w:val="clear" w:color="auto" w:fill="009AD9"/>
          </w:tcPr>
          <w:p>
            <w:pPr>
              <w:jc w:val="center"/>
              <w:ind w:left="13"/>
              <w:spacing w:after="0"/>
              <w:rPr>
                <w:sz w:val="20"/>
                <w:szCs w:val="20"/>
                <w:color w:val="auto"/>
              </w:rPr>
            </w:pPr>
            <w:r>
              <w:rPr>
                <w:rFonts w:ascii="Arial" w:cs="Arial" w:eastAsia="Arial" w:hAnsi="Arial"/>
                <w:sz w:val="9"/>
                <w:szCs w:val="9"/>
                <w:b w:val="1"/>
                <w:bCs w:val="1"/>
                <w:color w:val="FFFFFF"/>
              </w:rPr>
              <w:t>Stock or Units</w:t>
            </w:r>
          </w:p>
        </w:tc>
        <w:tc>
          <w:tcPr>
            <w:tcW w:w="620" w:type="dxa"/>
            <w:vAlign w:val="bottom"/>
            <w:tcBorders>
              <w:bottom w:val="single" w:sz="8" w:color="009AD9"/>
            </w:tcBorders>
            <w:shd w:val="clear" w:color="auto" w:fill="009AD9"/>
          </w:tcPr>
          <w:p>
            <w:pPr>
              <w:jc w:val="right"/>
              <w:ind w:right="172"/>
              <w:spacing w:after="0"/>
              <w:rPr>
                <w:sz w:val="20"/>
                <w:szCs w:val="20"/>
                <w:color w:val="auto"/>
              </w:rPr>
            </w:pPr>
            <w:r>
              <w:rPr>
                <w:rFonts w:ascii="Arial" w:cs="Arial" w:eastAsia="Arial" w:hAnsi="Arial"/>
                <w:sz w:val="9"/>
                <w:szCs w:val="9"/>
                <w:b w:val="1"/>
                <w:bCs w:val="1"/>
                <w:color w:val="FFFFFF"/>
              </w:rPr>
              <w:t>($)</w:t>
            </w:r>
          </w:p>
        </w:tc>
        <w:tc>
          <w:tcPr>
            <w:tcW w:w="0" w:type="dxa"/>
            <w:vAlign w:val="bottom"/>
          </w:tcPr>
          <w:p>
            <w:pPr>
              <w:spacing w:after="0"/>
              <w:rPr>
                <w:sz w:val="1"/>
                <w:szCs w:val="1"/>
                <w:color w:val="auto"/>
              </w:rPr>
            </w:pPr>
          </w:p>
        </w:tc>
      </w:tr>
      <w:tr>
        <w:trPr>
          <w:trHeight w:val="119"/>
        </w:trPr>
        <w:tc>
          <w:tcPr>
            <w:tcW w:w="1300" w:type="dxa"/>
            <w:vAlign w:val="bottom"/>
          </w:tcPr>
          <w:p>
            <w:pPr>
              <w:ind w:left="40"/>
              <w:spacing w:after="0"/>
              <w:rPr>
                <w:sz w:val="20"/>
                <w:szCs w:val="20"/>
                <w:color w:val="auto"/>
              </w:rPr>
            </w:pPr>
            <w:r>
              <w:rPr>
                <w:rFonts w:ascii="Arial" w:cs="Arial" w:eastAsia="Arial" w:hAnsi="Arial"/>
                <w:sz w:val="10"/>
                <w:szCs w:val="10"/>
                <w:color w:val="auto"/>
              </w:rPr>
              <w:t>David J. Lesar</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auto"/>
              </w:rPr>
              <w:t>2/15/2022</w:t>
            </w:r>
          </w:p>
        </w:tc>
        <w:tc>
          <w:tcPr>
            <w:tcW w:w="580" w:type="dxa"/>
            <w:vAlign w:val="bottom"/>
          </w:tcPr>
          <w:p>
            <w:pPr>
              <w:jc w:val="right"/>
              <w:ind w:right="13"/>
              <w:spacing w:after="0"/>
              <w:rPr>
                <w:sz w:val="20"/>
                <w:szCs w:val="20"/>
                <w:color w:val="auto"/>
              </w:rPr>
            </w:pPr>
            <w:r>
              <w:rPr>
                <w:rFonts w:ascii="Arial" w:cs="Arial" w:eastAsia="Arial" w:hAnsi="Arial"/>
                <w:sz w:val="10"/>
                <w:szCs w:val="10"/>
                <w:color w:val="auto"/>
              </w:rPr>
              <w:t>1,548,750</w:t>
            </w:r>
          </w:p>
        </w:tc>
        <w:tc>
          <w:tcPr>
            <w:tcW w:w="520" w:type="dxa"/>
            <w:vAlign w:val="bottom"/>
          </w:tcPr>
          <w:p>
            <w:pPr>
              <w:jc w:val="right"/>
              <w:spacing w:after="0"/>
              <w:rPr>
                <w:sz w:val="20"/>
                <w:szCs w:val="20"/>
                <w:color w:val="auto"/>
              </w:rPr>
            </w:pPr>
            <w:r>
              <w:rPr>
                <w:rFonts w:ascii="Arial" w:cs="Arial" w:eastAsia="Arial" w:hAnsi="Arial"/>
                <w:sz w:val="10"/>
                <w:szCs w:val="10"/>
                <w:color w:val="auto"/>
              </w:rPr>
              <w:t>2,581,250</w:t>
            </w:r>
          </w:p>
        </w:tc>
        <w:tc>
          <w:tcPr>
            <w:tcW w:w="580" w:type="dxa"/>
            <w:vAlign w:val="bottom"/>
          </w:tcPr>
          <w:p>
            <w:pPr>
              <w:jc w:val="right"/>
              <w:ind w:right="32"/>
              <w:spacing w:after="0"/>
              <w:rPr>
                <w:sz w:val="20"/>
                <w:szCs w:val="20"/>
                <w:color w:val="auto"/>
              </w:rPr>
            </w:pPr>
            <w:r>
              <w:rPr>
                <w:rFonts w:ascii="Arial" w:cs="Arial" w:eastAsia="Arial" w:hAnsi="Arial"/>
                <w:sz w:val="10"/>
                <w:szCs w:val="10"/>
                <w:color w:val="auto"/>
              </w:rPr>
              <w:t>4,130,000</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0"/>
                <w:szCs w:val="10"/>
                <w:color w:val="auto"/>
              </w:rPr>
              <w:t>78,851</w:t>
            </w:r>
          </w:p>
        </w:tc>
        <w:tc>
          <w:tcPr>
            <w:tcW w:w="620" w:type="dxa"/>
            <w:vAlign w:val="bottom"/>
            <w:vMerge w:val="restart"/>
          </w:tcPr>
          <w:p>
            <w:pPr>
              <w:jc w:val="right"/>
              <w:ind w:right="12"/>
              <w:spacing w:after="0"/>
              <w:rPr>
                <w:sz w:val="20"/>
                <w:szCs w:val="20"/>
                <w:color w:val="auto"/>
              </w:rPr>
            </w:pPr>
            <w:r>
              <w:rPr>
                <w:rFonts w:ascii="Arial" w:cs="Arial" w:eastAsia="Arial" w:hAnsi="Arial"/>
                <w:sz w:val="10"/>
                <w:szCs w:val="10"/>
                <w:color w:val="auto"/>
              </w:rPr>
              <w:t>2,120,303</w:t>
            </w: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36,429</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110,392</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220,784</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2,968,441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55,196</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110,392</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220,784</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2,968,441</w:t>
            </w:r>
          </w:p>
        </w:tc>
        <w:tc>
          <w:tcPr>
            <w:tcW w:w="0" w:type="dxa"/>
            <w:vAlign w:val="bottom"/>
          </w:tcPr>
          <w:p>
            <w:pPr>
              <w:spacing w:after="0"/>
              <w:rPr>
                <w:sz w:val="1"/>
                <w:szCs w:val="1"/>
                <w:color w:val="auto"/>
              </w:rPr>
            </w:pPr>
          </w:p>
        </w:tc>
      </w:tr>
      <w:tr>
        <w:trPr>
          <w:trHeight w:val="106"/>
        </w:trPr>
        <w:tc>
          <w:tcPr>
            <w:tcW w:w="1300" w:type="dxa"/>
            <w:vAlign w:val="bottom"/>
          </w:tcPr>
          <w:p>
            <w:pPr>
              <w:spacing w:after="0"/>
              <w:rPr>
                <w:sz w:val="9"/>
                <w:szCs w:val="9"/>
                <w:color w:val="auto"/>
              </w:rPr>
            </w:pPr>
          </w:p>
        </w:tc>
        <w:tc>
          <w:tcPr>
            <w:tcW w:w="5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6" w:lineRule="exact"/>
              <w:rPr>
                <w:sz w:val="20"/>
                <w:szCs w:val="20"/>
                <w:color w:val="auto"/>
              </w:rPr>
            </w:pPr>
            <w:r>
              <w:rPr>
                <w:rFonts w:ascii="Arial" w:cs="Arial" w:eastAsia="Arial" w:hAnsi="Arial"/>
                <w:sz w:val="10"/>
                <w:szCs w:val="10"/>
                <w:color w:val="auto"/>
              </w:rPr>
              <w:t>7,885</w:t>
            </w:r>
          </w:p>
        </w:tc>
        <w:tc>
          <w:tcPr>
            <w:tcW w:w="880" w:type="dxa"/>
            <w:vAlign w:val="bottom"/>
          </w:tcPr>
          <w:p>
            <w:pPr>
              <w:jc w:val="right"/>
              <w:ind w:right="172"/>
              <w:spacing w:after="0" w:line="106" w:lineRule="exact"/>
              <w:rPr>
                <w:sz w:val="20"/>
                <w:szCs w:val="20"/>
                <w:color w:val="auto"/>
              </w:rPr>
            </w:pPr>
            <w:r>
              <w:rPr>
                <w:rFonts w:ascii="Arial" w:cs="Arial" w:eastAsia="Arial" w:hAnsi="Arial"/>
                <w:sz w:val="10"/>
                <w:szCs w:val="10"/>
                <w:color w:val="auto"/>
              </w:rPr>
              <w:t>15,770</w:t>
            </w:r>
          </w:p>
        </w:tc>
        <w:tc>
          <w:tcPr>
            <w:tcW w:w="820" w:type="dxa"/>
            <w:vAlign w:val="bottom"/>
          </w:tcPr>
          <w:p>
            <w:pPr>
              <w:jc w:val="right"/>
              <w:ind w:right="152"/>
              <w:spacing w:after="0" w:line="106" w:lineRule="exact"/>
              <w:rPr>
                <w:sz w:val="20"/>
                <w:szCs w:val="20"/>
                <w:color w:val="auto"/>
              </w:rPr>
            </w:pPr>
            <w:r>
              <w:rPr>
                <w:rFonts w:ascii="Arial" w:cs="Arial" w:eastAsia="Arial" w:hAnsi="Arial"/>
                <w:sz w:val="10"/>
                <w:szCs w:val="10"/>
                <w:color w:val="auto"/>
              </w:rPr>
              <w:t>31,540</w:t>
            </w:r>
          </w:p>
        </w:tc>
        <w:tc>
          <w:tcPr>
            <w:tcW w:w="920" w:type="dxa"/>
            <w:vAlign w:val="bottom"/>
          </w:tcPr>
          <w:p>
            <w:pPr>
              <w:spacing w:after="0"/>
              <w:rPr>
                <w:sz w:val="9"/>
                <w:szCs w:val="9"/>
                <w:color w:val="auto"/>
              </w:rPr>
            </w:pPr>
          </w:p>
        </w:tc>
        <w:tc>
          <w:tcPr>
            <w:tcW w:w="620" w:type="dxa"/>
            <w:vAlign w:val="bottom"/>
          </w:tcPr>
          <w:p>
            <w:pPr>
              <w:jc w:val="right"/>
              <w:ind w:right="12"/>
              <w:spacing w:after="0" w:line="106" w:lineRule="exact"/>
              <w:rPr>
                <w:sz w:val="20"/>
                <w:szCs w:val="20"/>
                <w:color w:val="auto"/>
              </w:rPr>
            </w:pPr>
            <w:r>
              <w:rPr>
                <w:rFonts w:ascii="Arial" w:cs="Arial" w:eastAsia="Arial" w:hAnsi="Arial"/>
                <w:sz w:val="10"/>
                <w:szCs w:val="10"/>
                <w:color w:val="auto"/>
              </w:rPr>
              <w:t>424,055</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Jason P. Wells</w:t>
            </w:r>
          </w:p>
        </w:tc>
        <w:tc>
          <w:tcPr>
            <w:tcW w:w="40" w:type="dxa"/>
            <w:vAlign w:val="bottom"/>
            <w:shd w:val="clear" w:color="auto" w:fill="D8EFF9"/>
          </w:tcPr>
          <w:p>
            <w:pPr>
              <w:spacing w:after="0"/>
              <w:rPr>
                <w:sz w:val="9"/>
                <w:szCs w:val="9"/>
                <w:color w:val="auto"/>
              </w:rPr>
            </w:pPr>
          </w:p>
        </w:tc>
        <w:tc>
          <w:tcPr>
            <w:tcW w:w="500" w:type="dxa"/>
            <w:vAlign w:val="bottom"/>
            <w:vMerge w:val="restart"/>
            <w:shd w:val="clear" w:color="auto" w:fill="D8EFF9"/>
          </w:tcPr>
          <w:p>
            <w:pPr>
              <w:jc w:val="right"/>
              <w:spacing w:after="0"/>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jc w:val="right"/>
              <w:ind w:right="13"/>
              <w:spacing w:after="0" w:line="109" w:lineRule="exact"/>
              <w:rPr>
                <w:sz w:val="20"/>
                <w:szCs w:val="20"/>
                <w:color w:val="auto"/>
              </w:rPr>
            </w:pPr>
            <w:r>
              <w:rPr>
                <w:rFonts w:ascii="Arial" w:cs="Arial" w:eastAsia="Arial" w:hAnsi="Arial"/>
                <w:sz w:val="10"/>
                <w:szCs w:val="10"/>
                <w:color w:val="auto"/>
              </w:rPr>
              <w:t>390,937</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651,562</w:t>
            </w:r>
          </w:p>
        </w:tc>
        <w:tc>
          <w:tcPr>
            <w:tcW w:w="5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1,042,500</w:t>
            </w:r>
          </w:p>
        </w:tc>
        <w:tc>
          <w:tcPr>
            <w:tcW w:w="660" w:type="dxa"/>
            <w:vAlign w:val="bottom"/>
            <w:shd w:val="clear" w:color="auto" w:fill="D8EFF9"/>
          </w:tcPr>
          <w:p>
            <w:pPr>
              <w:spacing w:after="0"/>
              <w:rPr>
                <w:sz w:val="9"/>
                <w:szCs w:val="9"/>
                <w:color w:val="auto"/>
              </w:rPr>
            </w:pPr>
          </w:p>
        </w:tc>
        <w:tc>
          <w:tcPr>
            <w:tcW w:w="880" w:type="dxa"/>
            <w:vAlign w:val="bottom"/>
            <w:shd w:val="clear" w:color="auto" w:fill="D8EFF9"/>
          </w:tcPr>
          <w:p>
            <w:pPr>
              <w:spacing w:after="0"/>
              <w:rPr>
                <w:sz w:val="9"/>
                <w:szCs w:val="9"/>
                <w:color w:val="auto"/>
              </w:rPr>
            </w:pPr>
          </w:p>
        </w:tc>
        <w:tc>
          <w:tcPr>
            <w:tcW w:w="820" w:type="dxa"/>
            <w:vAlign w:val="bottom"/>
            <w:shd w:val="clear" w:color="auto" w:fill="D8EFF9"/>
          </w:tcPr>
          <w:p>
            <w:pPr>
              <w:spacing w:after="0"/>
              <w:rPr>
                <w:sz w:val="9"/>
                <w:szCs w:val="9"/>
                <w:color w:val="auto"/>
              </w:rPr>
            </w:pPr>
          </w:p>
        </w:tc>
        <w:tc>
          <w:tcPr>
            <w:tcW w:w="920" w:type="dxa"/>
            <w:vAlign w:val="bottom"/>
            <w:vMerge w:val="restart"/>
            <w:shd w:val="clear" w:color="auto" w:fill="D8EFF9"/>
          </w:tcPr>
          <w:p>
            <w:pPr>
              <w:jc w:val="right"/>
              <w:ind w:right="213"/>
              <w:spacing w:after="0"/>
              <w:rPr>
                <w:sz w:val="20"/>
                <w:szCs w:val="20"/>
                <w:color w:val="auto"/>
              </w:rPr>
            </w:pPr>
            <w:r>
              <w:rPr>
                <w:rFonts w:ascii="Arial" w:cs="Arial" w:eastAsia="Arial" w:hAnsi="Arial"/>
                <w:sz w:val="10"/>
                <w:szCs w:val="10"/>
                <w:color w:val="auto"/>
              </w:rPr>
              <w:t>16,154</w:t>
            </w:r>
          </w:p>
        </w:tc>
        <w:tc>
          <w:tcPr>
            <w:tcW w:w="620" w:type="dxa"/>
            <w:vAlign w:val="bottom"/>
            <w:vMerge w:val="restart"/>
            <w:shd w:val="clear" w:color="auto" w:fill="D8EFF9"/>
          </w:tcPr>
          <w:p>
            <w:pPr>
              <w:jc w:val="right"/>
              <w:ind w:right="12"/>
              <w:spacing w:after="0"/>
              <w:rPr>
                <w:sz w:val="20"/>
                <w:szCs w:val="20"/>
                <w:color w:val="auto"/>
              </w:rPr>
            </w:pPr>
            <w:r>
              <w:rPr>
                <w:rFonts w:ascii="Arial" w:cs="Arial" w:eastAsia="Arial" w:hAnsi="Arial"/>
                <w:sz w:val="10"/>
                <w:szCs w:val="10"/>
                <w:color w:val="auto"/>
              </w:rPr>
              <w:t>434,381</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vMerge w:val="continue"/>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spacing w:after="0"/>
              <w:rPr>
                <w:sz w:val="9"/>
                <w:szCs w:val="9"/>
                <w:color w:val="auto"/>
              </w:rPr>
            </w:pPr>
          </w:p>
        </w:tc>
        <w:tc>
          <w:tcPr>
            <w:tcW w:w="880" w:type="dxa"/>
            <w:vAlign w:val="bottom"/>
            <w:shd w:val="clear" w:color="auto" w:fill="D8EFF9"/>
          </w:tcPr>
          <w:p>
            <w:pPr>
              <w:spacing w:after="0"/>
              <w:rPr>
                <w:sz w:val="9"/>
                <w:szCs w:val="9"/>
                <w:color w:val="auto"/>
              </w:rPr>
            </w:pPr>
          </w:p>
        </w:tc>
        <w:tc>
          <w:tcPr>
            <w:tcW w:w="820" w:type="dxa"/>
            <w:vAlign w:val="bottom"/>
            <w:shd w:val="clear" w:color="auto" w:fill="D8EFF9"/>
          </w:tcPr>
          <w:p>
            <w:pPr>
              <w:spacing w:after="0"/>
              <w:rPr>
                <w:sz w:val="9"/>
                <w:szCs w:val="9"/>
                <w:color w:val="auto"/>
              </w:rPr>
            </w:pPr>
          </w:p>
        </w:tc>
        <w:tc>
          <w:tcPr>
            <w:tcW w:w="920" w:type="dxa"/>
            <w:vAlign w:val="bottom"/>
            <w:vMerge w:val="continue"/>
            <w:shd w:val="clear" w:color="auto" w:fill="D8EFF9"/>
          </w:tcPr>
          <w:p>
            <w:pPr>
              <w:spacing w:after="0"/>
              <w:rPr>
                <w:sz w:val="9"/>
                <w:szCs w:val="9"/>
                <w:color w:val="auto"/>
              </w:rPr>
            </w:pPr>
          </w:p>
        </w:tc>
        <w:tc>
          <w:tcPr>
            <w:tcW w:w="620" w:type="dxa"/>
            <w:vAlign w:val="bottom"/>
            <w:vMerge w:val="continue"/>
            <w:shd w:val="clear" w:color="auto" w:fill="D8EFF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7,463</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22,615</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45,230</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608,117</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11,308</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22,615</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45,230</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608,117</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1,616</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3,231</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6,462</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86,882</w:t>
            </w:r>
          </w:p>
        </w:tc>
        <w:tc>
          <w:tcPr>
            <w:tcW w:w="0" w:type="dxa"/>
            <w:vAlign w:val="bottom"/>
          </w:tcPr>
          <w:p>
            <w:pPr>
              <w:spacing w:after="0"/>
              <w:rPr>
                <w:sz w:val="1"/>
                <w:szCs w:val="1"/>
                <w:color w:val="auto"/>
              </w:rPr>
            </w:pPr>
          </w:p>
        </w:tc>
      </w:tr>
      <w:tr>
        <w:trPr>
          <w:trHeight w:val="119"/>
        </w:trPr>
        <w:tc>
          <w:tcPr>
            <w:tcW w:w="1300" w:type="dxa"/>
            <w:vAlign w:val="bottom"/>
          </w:tcPr>
          <w:p>
            <w:pPr>
              <w:ind w:left="40"/>
              <w:spacing w:after="0"/>
              <w:rPr>
                <w:sz w:val="20"/>
                <w:szCs w:val="20"/>
                <w:color w:val="auto"/>
              </w:rPr>
            </w:pPr>
            <w:r>
              <w:rPr>
                <w:rFonts w:ascii="Arial" w:cs="Arial" w:eastAsia="Arial" w:hAnsi="Arial"/>
                <w:sz w:val="10"/>
                <w:szCs w:val="10"/>
                <w:color w:val="auto"/>
              </w:rPr>
              <w:t>Scott E. Doyle</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auto"/>
              </w:rPr>
              <w:t>2/15/2022</w:t>
            </w:r>
          </w:p>
        </w:tc>
        <w:tc>
          <w:tcPr>
            <w:tcW w:w="580" w:type="dxa"/>
            <w:vAlign w:val="bottom"/>
          </w:tcPr>
          <w:p>
            <w:pPr>
              <w:jc w:val="right"/>
              <w:ind w:right="13"/>
              <w:spacing w:after="0"/>
              <w:rPr>
                <w:sz w:val="20"/>
                <w:szCs w:val="20"/>
                <w:color w:val="auto"/>
              </w:rPr>
            </w:pPr>
            <w:r>
              <w:rPr>
                <w:rFonts w:ascii="Arial" w:cs="Arial" w:eastAsia="Arial" w:hAnsi="Arial"/>
                <w:sz w:val="10"/>
                <w:szCs w:val="10"/>
                <w:color w:val="auto"/>
              </w:rPr>
              <w:t>337,500</w:t>
            </w:r>
          </w:p>
        </w:tc>
        <w:tc>
          <w:tcPr>
            <w:tcW w:w="520" w:type="dxa"/>
            <w:vAlign w:val="bottom"/>
          </w:tcPr>
          <w:p>
            <w:pPr>
              <w:jc w:val="right"/>
              <w:spacing w:after="0"/>
              <w:rPr>
                <w:sz w:val="20"/>
                <w:szCs w:val="20"/>
                <w:color w:val="auto"/>
              </w:rPr>
            </w:pPr>
            <w:r>
              <w:rPr>
                <w:rFonts w:ascii="Arial" w:cs="Arial" w:eastAsia="Arial" w:hAnsi="Arial"/>
                <w:sz w:val="10"/>
                <w:szCs w:val="10"/>
                <w:color w:val="auto"/>
              </w:rPr>
              <w:t>562,500</w:t>
            </w:r>
          </w:p>
        </w:tc>
        <w:tc>
          <w:tcPr>
            <w:tcW w:w="580" w:type="dxa"/>
            <w:vAlign w:val="bottom"/>
          </w:tcPr>
          <w:p>
            <w:pPr>
              <w:jc w:val="right"/>
              <w:ind w:right="32"/>
              <w:spacing w:after="0"/>
              <w:rPr>
                <w:sz w:val="20"/>
                <w:szCs w:val="20"/>
                <w:color w:val="auto"/>
              </w:rPr>
            </w:pPr>
            <w:r>
              <w:rPr>
                <w:rFonts w:ascii="Arial" w:cs="Arial" w:eastAsia="Arial" w:hAnsi="Arial"/>
                <w:sz w:val="10"/>
                <w:szCs w:val="10"/>
                <w:color w:val="auto"/>
              </w:rPr>
              <w:t>900,000</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0"/>
                <w:szCs w:val="10"/>
                <w:color w:val="auto"/>
              </w:rPr>
              <w:t>13,946</w:t>
            </w:r>
          </w:p>
        </w:tc>
        <w:tc>
          <w:tcPr>
            <w:tcW w:w="620" w:type="dxa"/>
            <w:vAlign w:val="bottom"/>
            <w:vMerge w:val="restart"/>
          </w:tcPr>
          <w:p>
            <w:pPr>
              <w:jc w:val="right"/>
              <w:ind w:right="12"/>
              <w:spacing w:after="0"/>
              <w:rPr>
                <w:sz w:val="20"/>
                <w:szCs w:val="20"/>
                <w:color w:val="auto"/>
              </w:rPr>
            </w:pPr>
            <w:r>
              <w:rPr>
                <w:rFonts w:ascii="Arial" w:cs="Arial" w:eastAsia="Arial" w:hAnsi="Arial"/>
                <w:sz w:val="10"/>
                <w:szCs w:val="10"/>
                <w:color w:val="auto"/>
              </w:rPr>
              <w:t>375,008</w:t>
            </w: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6,443</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19,524</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39,048</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525,000</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9,762</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19,524</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39,048</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525,000</w:t>
            </w:r>
          </w:p>
        </w:tc>
        <w:tc>
          <w:tcPr>
            <w:tcW w:w="0" w:type="dxa"/>
            <w:vAlign w:val="bottom"/>
          </w:tcPr>
          <w:p>
            <w:pPr>
              <w:spacing w:after="0"/>
              <w:rPr>
                <w:sz w:val="1"/>
                <w:szCs w:val="1"/>
                <w:color w:val="auto"/>
              </w:rPr>
            </w:pPr>
          </w:p>
        </w:tc>
      </w:tr>
      <w:tr>
        <w:trPr>
          <w:trHeight w:val="106"/>
        </w:trPr>
        <w:tc>
          <w:tcPr>
            <w:tcW w:w="1300" w:type="dxa"/>
            <w:vAlign w:val="bottom"/>
          </w:tcPr>
          <w:p>
            <w:pPr>
              <w:spacing w:after="0"/>
              <w:rPr>
                <w:sz w:val="9"/>
                <w:szCs w:val="9"/>
                <w:color w:val="auto"/>
              </w:rPr>
            </w:pPr>
          </w:p>
        </w:tc>
        <w:tc>
          <w:tcPr>
            <w:tcW w:w="5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6" w:lineRule="exact"/>
              <w:rPr>
                <w:sz w:val="20"/>
                <w:szCs w:val="20"/>
                <w:color w:val="auto"/>
              </w:rPr>
            </w:pPr>
            <w:r>
              <w:rPr>
                <w:rFonts w:ascii="Arial" w:cs="Arial" w:eastAsia="Arial" w:hAnsi="Arial"/>
                <w:sz w:val="10"/>
                <w:szCs w:val="10"/>
                <w:color w:val="auto"/>
              </w:rPr>
              <w:t>1,395</w:t>
            </w:r>
          </w:p>
        </w:tc>
        <w:tc>
          <w:tcPr>
            <w:tcW w:w="880" w:type="dxa"/>
            <w:vAlign w:val="bottom"/>
          </w:tcPr>
          <w:p>
            <w:pPr>
              <w:jc w:val="right"/>
              <w:ind w:right="172"/>
              <w:spacing w:after="0" w:line="106" w:lineRule="exact"/>
              <w:rPr>
                <w:sz w:val="20"/>
                <w:szCs w:val="20"/>
                <w:color w:val="auto"/>
              </w:rPr>
            </w:pPr>
            <w:r>
              <w:rPr>
                <w:rFonts w:ascii="Arial" w:cs="Arial" w:eastAsia="Arial" w:hAnsi="Arial"/>
                <w:sz w:val="10"/>
                <w:szCs w:val="10"/>
                <w:color w:val="auto"/>
              </w:rPr>
              <w:t>2,789</w:t>
            </w:r>
          </w:p>
        </w:tc>
        <w:tc>
          <w:tcPr>
            <w:tcW w:w="820" w:type="dxa"/>
            <w:vAlign w:val="bottom"/>
          </w:tcPr>
          <w:p>
            <w:pPr>
              <w:jc w:val="right"/>
              <w:ind w:right="152"/>
              <w:spacing w:after="0" w:line="106" w:lineRule="exact"/>
              <w:rPr>
                <w:sz w:val="20"/>
                <w:szCs w:val="20"/>
                <w:color w:val="auto"/>
              </w:rPr>
            </w:pPr>
            <w:r>
              <w:rPr>
                <w:rFonts w:ascii="Arial" w:cs="Arial" w:eastAsia="Arial" w:hAnsi="Arial"/>
                <w:sz w:val="10"/>
                <w:szCs w:val="10"/>
                <w:color w:val="auto"/>
              </w:rPr>
              <w:t>5,578</w:t>
            </w:r>
          </w:p>
        </w:tc>
        <w:tc>
          <w:tcPr>
            <w:tcW w:w="920" w:type="dxa"/>
            <w:vAlign w:val="bottom"/>
          </w:tcPr>
          <w:p>
            <w:pPr>
              <w:spacing w:after="0"/>
              <w:rPr>
                <w:sz w:val="9"/>
                <w:szCs w:val="9"/>
                <w:color w:val="auto"/>
              </w:rPr>
            </w:pPr>
          </w:p>
        </w:tc>
        <w:tc>
          <w:tcPr>
            <w:tcW w:w="620" w:type="dxa"/>
            <w:vAlign w:val="bottom"/>
          </w:tcPr>
          <w:p>
            <w:pPr>
              <w:jc w:val="right"/>
              <w:ind w:right="12"/>
              <w:spacing w:after="0" w:line="106" w:lineRule="exact"/>
              <w:rPr>
                <w:sz w:val="20"/>
                <w:szCs w:val="20"/>
                <w:color w:val="auto"/>
              </w:rPr>
            </w:pPr>
            <w:r>
              <w:rPr>
                <w:rFonts w:ascii="Arial" w:cs="Arial" w:eastAsia="Arial" w:hAnsi="Arial"/>
                <w:sz w:val="10"/>
                <w:szCs w:val="10"/>
                <w:color w:val="auto"/>
              </w:rPr>
              <w:t>74,996</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Monica Karuturi</w:t>
            </w: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spacing w:after="0"/>
              <w:rPr>
                <w:sz w:val="9"/>
                <w:szCs w:val="9"/>
                <w:color w:val="auto"/>
              </w:rPr>
            </w:pPr>
          </w:p>
        </w:tc>
        <w:tc>
          <w:tcPr>
            <w:tcW w:w="580" w:type="dxa"/>
            <w:vAlign w:val="bottom"/>
            <w:shd w:val="clear" w:color="auto" w:fill="D8EFF9"/>
          </w:tcPr>
          <w:p>
            <w:pPr>
              <w:jc w:val="right"/>
              <w:ind w:right="13"/>
              <w:spacing w:after="0" w:line="109" w:lineRule="exact"/>
              <w:rPr>
                <w:sz w:val="20"/>
                <w:szCs w:val="20"/>
                <w:color w:val="auto"/>
              </w:rPr>
            </w:pPr>
            <w:r>
              <w:rPr>
                <w:rFonts w:ascii="Arial" w:cs="Arial" w:eastAsia="Arial" w:hAnsi="Arial"/>
                <w:sz w:val="10"/>
                <w:szCs w:val="10"/>
                <w:color w:val="auto"/>
              </w:rPr>
              <w:t>304,500</w:t>
            </w:r>
          </w:p>
        </w:tc>
        <w:tc>
          <w:tcPr>
            <w:tcW w:w="52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507,500</w:t>
            </w:r>
          </w:p>
        </w:tc>
        <w:tc>
          <w:tcPr>
            <w:tcW w:w="580" w:type="dxa"/>
            <w:vAlign w:val="bottom"/>
            <w:shd w:val="clear" w:color="auto" w:fill="D8EFF9"/>
          </w:tcPr>
          <w:p>
            <w:pPr>
              <w:jc w:val="right"/>
              <w:ind w:right="32"/>
              <w:spacing w:after="0" w:line="109" w:lineRule="exact"/>
              <w:rPr>
                <w:sz w:val="20"/>
                <w:szCs w:val="20"/>
                <w:color w:val="auto"/>
              </w:rPr>
            </w:pPr>
            <w:r>
              <w:rPr>
                <w:rFonts w:ascii="Arial" w:cs="Arial" w:eastAsia="Arial" w:hAnsi="Arial"/>
                <w:sz w:val="10"/>
                <w:szCs w:val="10"/>
                <w:color w:val="auto"/>
              </w:rPr>
              <w:t>812,000</w:t>
            </w:r>
          </w:p>
        </w:tc>
        <w:tc>
          <w:tcPr>
            <w:tcW w:w="660" w:type="dxa"/>
            <w:vAlign w:val="bottom"/>
            <w:shd w:val="clear" w:color="auto" w:fill="D8EFF9"/>
          </w:tcPr>
          <w:p>
            <w:pPr>
              <w:spacing w:after="0"/>
              <w:rPr>
                <w:sz w:val="9"/>
                <w:szCs w:val="9"/>
                <w:color w:val="auto"/>
              </w:rPr>
            </w:pPr>
          </w:p>
        </w:tc>
        <w:tc>
          <w:tcPr>
            <w:tcW w:w="880" w:type="dxa"/>
            <w:vAlign w:val="bottom"/>
            <w:shd w:val="clear" w:color="auto" w:fill="D8EFF9"/>
          </w:tcPr>
          <w:p>
            <w:pPr>
              <w:spacing w:after="0"/>
              <w:rPr>
                <w:sz w:val="9"/>
                <w:szCs w:val="9"/>
                <w:color w:val="auto"/>
              </w:rPr>
            </w:pPr>
          </w:p>
        </w:tc>
        <w:tc>
          <w:tcPr>
            <w:tcW w:w="820" w:type="dxa"/>
            <w:vAlign w:val="bottom"/>
            <w:shd w:val="clear" w:color="auto" w:fill="D8EFF9"/>
          </w:tcPr>
          <w:p>
            <w:pPr>
              <w:spacing w:after="0"/>
              <w:rPr>
                <w:sz w:val="9"/>
                <w:szCs w:val="9"/>
                <w:color w:val="auto"/>
              </w:rPr>
            </w:pPr>
          </w:p>
        </w:tc>
        <w:tc>
          <w:tcPr>
            <w:tcW w:w="920" w:type="dxa"/>
            <w:vAlign w:val="bottom"/>
            <w:vMerge w:val="restart"/>
            <w:shd w:val="clear" w:color="auto" w:fill="D8EFF9"/>
          </w:tcPr>
          <w:p>
            <w:pPr>
              <w:jc w:val="right"/>
              <w:ind w:right="213"/>
              <w:spacing w:after="0"/>
              <w:rPr>
                <w:sz w:val="20"/>
                <w:szCs w:val="20"/>
                <w:color w:val="auto"/>
              </w:rPr>
            </w:pPr>
            <w:r>
              <w:rPr>
                <w:rFonts w:ascii="Arial" w:cs="Arial" w:eastAsia="Arial" w:hAnsi="Arial"/>
                <w:sz w:val="10"/>
                <w:szCs w:val="10"/>
                <w:color w:val="auto"/>
              </w:rPr>
              <w:t>10,245</w:t>
            </w:r>
          </w:p>
        </w:tc>
        <w:tc>
          <w:tcPr>
            <w:tcW w:w="620" w:type="dxa"/>
            <w:vAlign w:val="bottom"/>
            <w:vMerge w:val="restart"/>
            <w:shd w:val="clear" w:color="auto" w:fill="D8EFF9"/>
          </w:tcPr>
          <w:p>
            <w:pPr>
              <w:jc w:val="right"/>
              <w:ind w:right="12"/>
              <w:spacing w:after="0"/>
              <w:rPr>
                <w:sz w:val="20"/>
                <w:szCs w:val="20"/>
                <w:color w:val="auto"/>
              </w:rPr>
            </w:pPr>
            <w:r>
              <w:rPr>
                <w:rFonts w:ascii="Arial" w:cs="Arial" w:eastAsia="Arial" w:hAnsi="Arial"/>
                <w:sz w:val="10"/>
                <w:szCs w:val="10"/>
                <w:color w:val="auto"/>
              </w:rPr>
              <w:t>275,488</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spacing w:after="0"/>
              <w:rPr>
                <w:sz w:val="9"/>
                <w:szCs w:val="9"/>
                <w:color w:val="auto"/>
              </w:rPr>
            </w:pPr>
          </w:p>
        </w:tc>
        <w:tc>
          <w:tcPr>
            <w:tcW w:w="880" w:type="dxa"/>
            <w:vAlign w:val="bottom"/>
            <w:shd w:val="clear" w:color="auto" w:fill="D8EFF9"/>
          </w:tcPr>
          <w:p>
            <w:pPr>
              <w:spacing w:after="0"/>
              <w:rPr>
                <w:sz w:val="9"/>
                <w:szCs w:val="9"/>
                <w:color w:val="auto"/>
              </w:rPr>
            </w:pPr>
          </w:p>
        </w:tc>
        <w:tc>
          <w:tcPr>
            <w:tcW w:w="820" w:type="dxa"/>
            <w:vAlign w:val="bottom"/>
            <w:shd w:val="clear" w:color="auto" w:fill="D8EFF9"/>
          </w:tcPr>
          <w:p>
            <w:pPr>
              <w:spacing w:after="0"/>
              <w:rPr>
                <w:sz w:val="9"/>
                <w:szCs w:val="9"/>
                <w:color w:val="auto"/>
              </w:rPr>
            </w:pPr>
          </w:p>
        </w:tc>
        <w:tc>
          <w:tcPr>
            <w:tcW w:w="920" w:type="dxa"/>
            <w:vAlign w:val="bottom"/>
            <w:vMerge w:val="continue"/>
            <w:shd w:val="clear" w:color="auto" w:fill="D8EFF9"/>
          </w:tcPr>
          <w:p>
            <w:pPr>
              <w:spacing w:after="0"/>
              <w:rPr>
                <w:sz w:val="9"/>
                <w:szCs w:val="9"/>
                <w:color w:val="auto"/>
              </w:rPr>
            </w:pPr>
          </w:p>
        </w:tc>
        <w:tc>
          <w:tcPr>
            <w:tcW w:w="620" w:type="dxa"/>
            <w:vAlign w:val="bottom"/>
            <w:vMerge w:val="continue"/>
            <w:shd w:val="clear" w:color="auto" w:fill="D8EFF9"/>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4,734</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14,344</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28,688</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385,710</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7,172</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14,344</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28,688</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385,710</w:t>
            </w:r>
          </w:p>
        </w:tc>
        <w:tc>
          <w:tcPr>
            <w:tcW w:w="0" w:type="dxa"/>
            <w:vAlign w:val="bottom"/>
          </w:tcPr>
          <w:p>
            <w:pPr>
              <w:spacing w:after="0"/>
              <w:rPr>
                <w:sz w:val="1"/>
                <w:szCs w:val="1"/>
                <w:color w:val="auto"/>
              </w:rPr>
            </w:pPr>
          </w:p>
        </w:tc>
      </w:tr>
      <w:tr>
        <w:trPr>
          <w:trHeight w:val="109"/>
        </w:trPr>
        <w:tc>
          <w:tcPr>
            <w:tcW w:w="130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500" w:type="dxa"/>
            <w:vAlign w:val="bottom"/>
            <w:shd w:val="clear" w:color="auto" w:fill="D8EFF9"/>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shd w:val="clear" w:color="auto" w:fill="D8EFF9"/>
          </w:tcPr>
          <w:p>
            <w:pPr>
              <w:spacing w:after="0"/>
              <w:rPr>
                <w:sz w:val="9"/>
                <w:szCs w:val="9"/>
                <w:color w:val="auto"/>
              </w:rPr>
            </w:pPr>
          </w:p>
        </w:tc>
        <w:tc>
          <w:tcPr>
            <w:tcW w:w="52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660" w:type="dxa"/>
            <w:vAlign w:val="bottom"/>
            <w:shd w:val="clear" w:color="auto" w:fill="D8EFF9"/>
          </w:tcPr>
          <w:p>
            <w:pPr>
              <w:jc w:val="right"/>
              <w:ind w:right="112"/>
              <w:spacing w:after="0" w:line="109" w:lineRule="exact"/>
              <w:rPr>
                <w:sz w:val="20"/>
                <w:szCs w:val="20"/>
                <w:color w:val="auto"/>
              </w:rPr>
            </w:pPr>
            <w:r>
              <w:rPr>
                <w:rFonts w:ascii="Arial" w:cs="Arial" w:eastAsia="Arial" w:hAnsi="Arial"/>
                <w:sz w:val="10"/>
                <w:szCs w:val="10"/>
                <w:color w:val="auto"/>
              </w:rPr>
              <w:t>1,025</w:t>
            </w:r>
          </w:p>
        </w:tc>
        <w:tc>
          <w:tcPr>
            <w:tcW w:w="880" w:type="dxa"/>
            <w:vAlign w:val="bottom"/>
            <w:shd w:val="clear" w:color="auto" w:fill="D8EFF9"/>
          </w:tcPr>
          <w:p>
            <w:pPr>
              <w:jc w:val="right"/>
              <w:ind w:right="172"/>
              <w:spacing w:after="0" w:line="109" w:lineRule="exact"/>
              <w:rPr>
                <w:sz w:val="20"/>
                <w:szCs w:val="20"/>
                <w:color w:val="auto"/>
              </w:rPr>
            </w:pPr>
            <w:r>
              <w:rPr>
                <w:rFonts w:ascii="Arial" w:cs="Arial" w:eastAsia="Arial" w:hAnsi="Arial"/>
                <w:sz w:val="10"/>
                <w:szCs w:val="10"/>
                <w:color w:val="auto"/>
              </w:rPr>
              <w:t>2,049</w:t>
            </w:r>
          </w:p>
        </w:tc>
        <w:tc>
          <w:tcPr>
            <w:tcW w:w="820" w:type="dxa"/>
            <w:vAlign w:val="bottom"/>
            <w:shd w:val="clear" w:color="auto" w:fill="D8EFF9"/>
          </w:tcPr>
          <w:p>
            <w:pPr>
              <w:jc w:val="right"/>
              <w:ind w:right="152"/>
              <w:spacing w:after="0" w:line="109" w:lineRule="exact"/>
              <w:rPr>
                <w:sz w:val="20"/>
                <w:szCs w:val="20"/>
                <w:color w:val="auto"/>
              </w:rPr>
            </w:pPr>
            <w:r>
              <w:rPr>
                <w:rFonts w:ascii="Arial" w:cs="Arial" w:eastAsia="Arial" w:hAnsi="Arial"/>
                <w:sz w:val="10"/>
                <w:szCs w:val="10"/>
                <w:color w:val="auto"/>
              </w:rPr>
              <w:t>4,098</w:t>
            </w:r>
          </w:p>
        </w:tc>
        <w:tc>
          <w:tcPr>
            <w:tcW w:w="920" w:type="dxa"/>
            <w:vAlign w:val="bottom"/>
            <w:shd w:val="clear" w:color="auto" w:fill="D8EFF9"/>
          </w:tcPr>
          <w:p>
            <w:pPr>
              <w:spacing w:after="0"/>
              <w:rPr>
                <w:sz w:val="9"/>
                <w:szCs w:val="9"/>
                <w:color w:val="auto"/>
              </w:rPr>
            </w:pPr>
          </w:p>
        </w:tc>
        <w:tc>
          <w:tcPr>
            <w:tcW w:w="620" w:type="dxa"/>
            <w:vAlign w:val="bottom"/>
            <w:shd w:val="clear" w:color="auto" w:fill="D8EFF9"/>
          </w:tcPr>
          <w:p>
            <w:pPr>
              <w:jc w:val="right"/>
              <w:ind w:right="12"/>
              <w:spacing w:after="0" w:line="109" w:lineRule="exact"/>
              <w:rPr>
                <w:sz w:val="20"/>
                <w:szCs w:val="20"/>
                <w:color w:val="auto"/>
              </w:rPr>
            </w:pPr>
            <w:r>
              <w:rPr>
                <w:rFonts w:ascii="Arial" w:cs="Arial" w:eastAsia="Arial" w:hAnsi="Arial"/>
                <w:sz w:val="10"/>
                <w:szCs w:val="10"/>
                <w:color w:val="auto"/>
              </w:rPr>
              <w:t>55,098</w:t>
            </w:r>
          </w:p>
        </w:tc>
        <w:tc>
          <w:tcPr>
            <w:tcW w:w="0" w:type="dxa"/>
            <w:vAlign w:val="bottom"/>
          </w:tcPr>
          <w:p>
            <w:pPr>
              <w:spacing w:after="0"/>
              <w:rPr>
                <w:sz w:val="1"/>
                <w:szCs w:val="1"/>
                <w:color w:val="auto"/>
              </w:rPr>
            </w:pPr>
          </w:p>
        </w:tc>
      </w:tr>
      <w:tr>
        <w:trPr>
          <w:trHeight w:val="119"/>
        </w:trPr>
        <w:tc>
          <w:tcPr>
            <w:tcW w:w="1300" w:type="dxa"/>
            <w:vAlign w:val="bottom"/>
          </w:tcPr>
          <w:p>
            <w:pPr>
              <w:ind w:left="40"/>
              <w:spacing w:after="0"/>
              <w:rPr>
                <w:sz w:val="20"/>
                <w:szCs w:val="20"/>
                <w:color w:val="auto"/>
              </w:rPr>
            </w:pPr>
            <w:r>
              <w:rPr>
                <w:rFonts w:ascii="Arial" w:cs="Arial" w:eastAsia="Arial" w:hAnsi="Arial"/>
                <w:sz w:val="10"/>
                <w:szCs w:val="10"/>
                <w:color w:val="auto"/>
              </w:rPr>
              <w:t>Gregory E. Knight</w:t>
            </w:r>
          </w:p>
        </w:tc>
        <w:tc>
          <w:tcPr>
            <w:tcW w:w="540" w:type="dxa"/>
            <w:vAlign w:val="bottom"/>
            <w:gridSpan w:val="2"/>
            <w:vMerge w:val="restart"/>
          </w:tcPr>
          <w:p>
            <w:pPr>
              <w:jc w:val="right"/>
              <w:spacing w:after="0"/>
              <w:rPr>
                <w:sz w:val="20"/>
                <w:szCs w:val="20"/>
                <w:color w:val="auto"/>
              </w:rPr>
            </w:pPr>
            <w:r>
              <w:rPr>
                <w:rFonts w:ascii="Arial" w:cs="Arial" w:eastAsia="Arial" w:hAnsi="Arial"/>
                <w:sz w:val="10"/>
                <w:szCs w:val="10"/>
                <w:color w:val="auto"/>
              </w:rPr>
              <w:t>2/15/2022</w:t>
            </w:r>
          </w:p>
        </w:tc>
        <w:tc>
          <w:tcPr>
            <w:tcW w:w="580" w:type="dxa"/>
            <w:vAlign w:val="bottom"/>
          </w:tcPr>
          <w:p>
            <w:pPr>
              <w:jc w:val="right"/>
              <w:ind w:right="13"/>
              <w:spacing w:after="0"/>
              <w:rPr>
                <w:sz w:val="20"/>
                <w:szCs w:val="20"/>
                <w:color w:val="auto"/>
              </w:rPr>
            </w:pPr>
            <w:r>
              <w:rPr>
                <w:rFonts w:ascii="Arial" w:cs="Arial" w:eastAsia="Arial" w:hAnsi="Arial"/>
                <w:sz w:val="10"/>
                <w:szCs w:val="10"/>
                <w:color w:val="auto"/>
              </w:rPr>
              <w:t>278,250</w:t>
            </w:r>
          </w:p>
        </w:tc>
        <w:tc>
          <w:tcPr>
            <w:tcW w:w="520" w:type="dxa"/>
            <w:vAlign w:val="bottom"/>
          </w:tcPr>
          <w:p>
            <w:pPr>
              <w:jc w:val="right"/>
              <w:spacing w:after="0"/>
              <w:rPr>
                <w:sz w:val="20"/>
                <w:szCs w:val="20"/>
                <w:color w:val="auto"/>
              </w:rPr>
            </w:pPr>
            <w:r>
              <w:rPr>
                <w:rFonts w:ascii="Arial" w:cs="Arial" w:eastAsia="Arial" w:hAnsi="Arial"/>
                <w:sz w:val="10"/>
                <w:szCs w:val="10"/>
                <w:color w:val="auto"/>
              </w:rPr>
              <w:t>463,750</w:t>
            </w:r>
          </w:p>
        </w:tc>
        <w:tc>
          <w:tcPr>
            <w:tcW w:w="580" w:type="dxa"/>
            <w:vAlign w:val="bottom"/>
          </w:tcPr>
          <w:p>
            <w:pPr>
              <w:jc w:val="right"/>
              <w:ind w:right="32"/>
              <w:spacing w:after="0"/>
              <w:rPr>
                <w:sz w:val="20"/>
                <w:szCs w:val="20"/>
                <w:color w:val="auto"/>
              </w:rPr>
            </w:pPr>
            <w:r>
              <w:rPr>
                <w:rFonts w:ascii="Arial" w:cs="Arial" w:eastAsia="Arial" w:hAnsi="Arial"/>
                <w:sz w:val="10"/>
                <w:szCs w:val="10"/>
                <w:color w:val="auto"/>
              </w:rPr>
              <w:t>742,000</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0"/>
                <w:szCs w:val="10"/>
                <w:color w:val="auto"/>
              </w:rPr>
              <w:t>9,362</w:t>
            </w:r>
          </w:p>
        </w:tc>
        <w:tc>
          <w:tcPr>
            <w:tcW w:w="620" w:type="dxa"/>
            <w:vAlign w:val="bottom"/>
            <w:vMerge w:val="restart"/>
          </w:tcPr>
          <w:p>
            <w:pPr>
              <w:jc w:val="right"/>
              <w:ind w:right="12"/>
              <w:spacing w:after="0"/>
              <w:rPr>
                <w:sz w:val="20"/>
                <w:szCs w:val="20"/>
                <w:color w:val="auto"/>
              </w:rPr>
            </w:pPr>
            <w:r>
              <w:rPr>
                <w:rFonts w:ascii="Arial" w:cs="Arial" w:eastAsia="Arial" w:hAnsi="Arial"/>
                <w:sz w:val="10"/>
                <w:szCs w:val="10"/>
                <w:color w:val="auto"/>
              </w:rPr>
              <w:t>251,744</w:t>
            </w: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4,325</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13,107</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26,214</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352,447</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jc w:val="right"/>
              <w:ind w:right="112"/>
              <w:spacing w:after="0" w:line="109" w:lineRule="exact"/>
              <w:rPr>
                <w:sz w:val="20"/>
                <w:szCs w:val="20"/>
                <w:color w:val="auto"/>
              </w:rPr>
            </w:pPr>
            <w:r>
              <w:rPr>
                <w:rFonts w:ascii="Arial" w:cs="Arial" w:eastAsia="Arial" w:hAnsi="Arial"/>
                <w:sz w:val="10"/>
                <w:szCs w:val="10"/>
                <w:color w:val="auto"/>
              </w:rPr>
              <w:t>6,554</w:t>
            </w:r>
          </w:p>
        </w:tc>
        <w:tc>
          <w:tcPr>
            <w:tcW w:w="880" w:type="dxa"/>
            <w:vAlign w:val="bottom"/>
          </w:tcPr>
          <w:p>
            <w:pPr>
              <w:jc w:val="right"/>
              <w:ind w:right="172"/>
              <w:spacing w:after="0" w:line="109" w:lineRule="exact"/>
              <w:rPr>
                <w:sz w:val="20"/>
                <w:szCs w:val="20"/>
                <w:color w:val="auto"/>
              </w:rPr>
            </w:pPr>
            <w:r>
              <w:rPr>
                <w:rFonts w:ascii="Arial" w:cs="Arial" w:eastAsia="Arial" w:hAnsi="Arial"/>
                <w:sz w:val="10"/>
                <w:szCs w:val="10"/>
                <w:color w:val="auto"/>
              </w:rPr>
              <w:t>13,107</w:t>
            </w:r>
          </w:p>
        </w:tc>
        <w:tc>
          <w:tcPr>
            <w:tcW w:w="820" w:type="dxa"/>
            <w:vAlign w:val="bottom"/>
          </w:tcPr>
          <w:p>
            <w:pPr>
              <w:jc w:val="right"/>
              <w:ind w:right="152"/>
              <w:spacing w:after="0" w:line="109" w:lineRule="exact"/>
              <w:rPr>
                <w:sz w:val="20"/>
                <w:szCs w:val="20"/>
                <w:color w:val="auto"/>
              </w:rPr>
            </w:pPr>
            <w:r>
              <w:rPr>
                <w:rFonts w:ascii="Arial" w:cs="Arial" w:eastAsia="Arial" w:hAnsi="Arial"/>
                <w:sz w:val="10"/>
                <w:szCs w:val="10"/>
                <w:color w:val="auto"/>
              </w:rPr>
              <w:t>26,214</w:t>
            </w:r>
          </w:p>
        </w:tc>
        <w:tc>
          <w:tcPr>
            <w:tcW w:w="920" w:type="dxa"/>
            <w:vAlign w:val="bottom"/>
          </w:tcPr>
          <w:p>
            <w:pPr>
              <w:spacing w:after="0"/>
              <w:rPr>
                <w:sz w:val="9"/>
                <w:szCs w:val="9"/>
                <w:color w:val="auto"/>
              </w:rPr>
            </w:pPr>
          </w:p>
        </w:tc>
        <w:tc>
          <w:tcPr>
            <w:tcW w:w="620" w:type="dxa"/>
            <w:vAlign w:val="bottom"/>
          </w:tcPr>
          <w:p>
            <w:pPr>
              <w:jc w:val="right"/>
              <w:ind w:right="12"/>
              <w:spacing w:after="0" w:line="109" w:lineRule="exact"/>
              <w:rPr>
                <w:sz w:val="20"/>
                <w:szCs w:val="20"/>
                <w:color w:val="auto"/>
              </w:rPr>
            </w:pPr>
            <w:r>
              <w:rPr>
                <w:rFonts w:ascii="Arial" w:cs="Arial" w:eastAsia="Arial" w:hAnsi="Arial"/>
                <w:sz w:val="10"/>
                <w:szCs w:val="10"/>
                <w:color w:val="auto"/>
              </w:rPr>
              <w:t>352,447</w:t>
            </w: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2/15/2022</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936</w:t>
            </w:r>
          </w:p>
        </w:tc>
        <w:tc>
          <w:tcPr>
            <w:tcW w:w="880" w:type="dxa"/>
            <w:vAlign w:val="bottom"/>
          </w:tcPr>
          <w:p>
            <w:pPr>
              <w:jc w:val="right"/>
              <w:ind w:right="172"/>
              <w:spacing w:after="0"/>
              <w:rPr>
                <w:sz w:val="20"/>
                <w:szCs w:val="20"/>
                <w:color w:val="auto"/>
              </w:rPr>
            </w:pPr>
            <w:r>
              <w:rPr>
                <w:rFonts w:ascii="Arial" w:cs="Arial" w:eastAsia="Arial" w:hAnsi="Arial"/>
                <w:sz w:val="10"/>
                <w:szCs w:val="10"/>
                <w:color w:val="auto"/>
              </w:rPr>
              <w:t>1,872</w:t>
            </w:r>
          </w:p>
        </w:tc>
        <w:tc>
          <w:tcPr>
            <w:tcW w:w="820" w:type="dxa"/>
            <w:vAlign w:val="bottom"/>
          </w:tcPr>
          <w:p>
            <w:pPr>
              <w:jc w:val="right"/>
              <w:ind w:right="152"/>
              <w:spacing w:after="0"/>
              <w:rPr>
                <w:sz w:val="20"/>
                <w:szCs w:val="20"/>
                <w:color w:val="auto"/>
              </w:rPr>
            </w:pPr>
            <w:r>
              <w:rPr>
                <w:rFonts w:ascii="Arial" w:cs="Arial" w:eastAsia="Arial" w:hAnsi="Arial"/>
                <w:sz w:val="10"/>
                <w:szCs w:val="10"/>
                <w:color w:val="auto"/>
              </w:rPr>
              <w:t>3,744</w:t>
            </w:r>
          </w:p>
        </w:tc>
        <w:tc>
          <w:tcPr>
            <w:tcW w:w="920" w:type="dxa"/>
            <w:vAlign w:val="bottom"/>
          </w:tcPr>
          <w:p>
            <w:pPr>
              <w:spacing w:after="0"/>
              <w:rPr>
                <w:sz w:val="10"/>
                <w:szCs w:val="10"/>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50,338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There were no other equity awards granted to the named executive officers during the year.</w:t>
      </w:r>
    </w:p>
    <w:p>
      <w:pPr>
        <w:spacing w:after="0" w:line="84" w:lineRule="exact"/>
        <w:rPr>
          <w:sz w:val="20"/>
          <w:szCs w:val="20"/>
          <w:color w:val="auto"/>
        </w:rPr>
      </w:pPr>
    </w:p>
    <w:p>
      <w:pPr>
        <w:jc w:val="both"/>
        <w:ind w:left="2160" w:right="819" w:hanging="226"/>
        <w:spacing w:after="0" w:line="230" w:lineRule="auto"/>
        <w:tabs>
          <w:tab w:leader="none" w:pos="2160" w:val="left"/>
        </w:tabs>
        <w:numPr>
          <w:ilvl w:val="0"/>
          <w:numId w:val="86"/>
        </w:numPr>
        <w:rPr>
          <w:rFonts w:ascii="Arial" w:cs="Arial" w:eastAsia="Arial" w:hAnsi="Arial"/>
          <w:sz w:val="10"/>
          <w:szCs w:val="10"/>
          <w:color w:val="auto"/>
        </w:rPr>
      </w:pPr>
      <w:r>
        <w:rPr>
          <w:rFonts w:ascii="Arial" w:cs="Arial" w:eastAsia="Arial" w:hAnsi="Arial"/>
          <w:sz w:val="10"/>
          <w:szCs w:val="10"/>
          <w:color w:val="auto"/>
        </w:rPr>
        <w:t>The estimated payouts under non-equity incentive plan awards are based on the terms of our 2022 short-term incentive plan. Based on the goals adopted in 2022, the maximum payout amount (as shown in the Maximum column) is 200% of target for our named executive officers. Actual amounts paid in 2023 for 2022 performance are shown in the Non-Equity Incentive Plan Compensation column of the Summary Compensation Table. Any amount awarded by the Compensation Committee to an individual executive officer in excess of the actual performance level of the underlying performance objectives is reflected in the Summary Compensation Table in the Bonus column.</w:t>
      </w:r>
    </w:p>
    <w:p>
      <w:pPr>
        <w:spacing w:after="0" w:line="76" w:lineRule="exact"/>
        <w:rPr>
          <w:rFonts w:ascii="Arial" w:cs="Arial" w:eastAsia="Arial" w:hAnsi="Arial"/>
          <w:sz w:val="10"/>
          <w:szCs w:val="10"/>
          <w:color w:val="auto"/>
        </w:rPr>
      </w:pPr>
    </w:p>
    <w:p>
      <w:pPr>
        <w:jc w:val="both"/>
        <w:ind w:left="2160" w:right="799" w:hanging="226"/>
        <w:spacing w:after="0" w:line="229" w:lineRule="auto"/>
        <w:tabs>
          <w:tab w:leader="none" w:pos="2160" w:val="left"/>
        </w:tabs>
        <w:numPr>
          <w:ilvl w:val="0"/>
          <w:numId w:val="86"/>
        </w:numPr>
        <w:rPr>
          <w:rFonts w:ascii="Arial" w:cs="Arial" w:eastAsia="Arial" w:hAnsi="Arial"/>
          <w:sz w:val="10"/>
          <w:szCs w:val="10"/>
          <w:color w:val="auto"/>
        </w:rPr>
      </w:pPr>
      <w:r>
        <w:rPr>
          <w:rFonts w:ascii="Arial" w:cs="Arial" w:eastAsia="Arial" w:hAnsi="Arial"/>
          <w:sz w:val="10"/>
          <w:szCs w:val="10"/>
          <w:color w:val="auto"/>
        </w:rPr>
        <w:t>The annual grants of equity incentive plan awards consist of two types of awards for each named executive officer: a restricted stock unit award covering a number of shares listed in the All Other Stock Awards column, and three performance share unit awards, for which threshold, target and maximum numbers of shares are shown in the columns under Estimated Future Payouts Under Equity Incentive Plan Awards. For Mr. Lesar, amounts do not include the retention awards under Mr. Lesar’s Retention Incentive Agreement, pursuant to which Mr. Lesar received RSUs for a total of 1 million shares of Company stock that were granted through multiple annual awards, including 400,000 RSUs granted in 2022. The retention awards were considered granted in 2021 as of the date of the Retention Incentive Agreement (July 20, 2021).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2022 table for the vesting date of each of these awards.</w:t>
      </w:r>
    </w:p>
    <w:p>
      <w:pPr>
        <w:spacing w:after="0" w:line="132" w:lineRule="exact"/>
        <w:rPr>
          <w:sz w:val="20"/>
          <w:szCs w:val="20"/>
          <w:color w:val="auto"/>
        </w:rPr>
      </w:pPr>
    </w:p>
    <w:p>
      <w:pPr>
        <w:ind w:left="2220" w:hanging="230"/>
        <w:spacing w:after="0"/>
        <w:tabs>
          <w:tab w:leader="none" w:pos="2220" w:val="left"/>
        </w:tabs>
        <w:numPr>
          <w:ilvl w:val="0"/>
          <w:numId w:val="87"/>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For our named executive officers, awards under the short-term incentive plan for 2022 are solely based on achieving a non-GAAP EPS goal, “Adjusted EPS”, subject to a negative-only modifier focused on diversity, equity and inclusion.</w:t>
      </w:r>
    </w:p>
    <w:p>
      <w:pPr>
        <w:spacing w:after="0" w:line="131"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Adjusted EPS is a non-GAAP metric which includes net income from electric and natural gas segments, as well as after-tax corporate and other operating income and corporate overhead. It is also adjusted for certain factors to reflect what we consider to be our fundamental business performance.</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2022, Adjusted EPS excluded:</w:t>
      </w:r>
    </w:p>
    <w:p>
      <w:pPr>
        <w:spacing w:after="0" w:line="80" w:lineRule="exact"/>
        <w:rPr>
          <w:sz w:val="20"/>
          <w:szCs w:val="20"/>
          <w:color w:val="auto"/>
        </w:rPr>
      </w:pPr>
    </w:p>
    <w:p>
      <w:pPr>
        <w:ind w:left="2220" w:hanging="213"/>
        <w:spacing w:after="0"/>
        <w:tabs>
          <w:tab w:leader="none" w:pos="2220" w:val="left"/>
        </w:tabs>
        <w:numPr>
          <w:ilvl w:val="0"/>
          <w:numId w:val="88"/>
        </w:numPr>
        <w:rPr>
          <w:rFonts w:ascii="Arial" w:cs="Arial" w:eastAsia="Arial" w:hAnsi="Arial"/>
          <w:sz w:val="12"/>
          <w:szCs w:val="12"/>
          <w:color w:val="009AD9"/>
        </w:rPr>
      </w:pPr>
      <w:r>
        <w:rPr>
          <w:rFonts w:ascii="Arial" w:cs="Arial" w:eastAsia="Arial" w:hAnsi="Arial"/>
          <w:sz w:val="12"/>
          <w:szCs w:val="12"/>
          <w:color w:val="auto"/>
        </w:rPr>
        <w:t>earnings and losses from the change of value of ZENS and related securities,</w:t>
      </w:r>
    </w:p>
    <w:p>
      <w:pPr>
        <w:spacing w:after="0" w:line="80"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88"/>
        </w:numPr>
        <w:rPr>
          <w:rFonts w:ascii="Arial" w:cs="Arial" w:eastAsia="Arial" w:hAnsi="Arial"/>
          <w:sz w:val="12"/>
          <w:szCs w:val="12"/>
          <w:color w:val="009AD9"/>
        </w:rPr>
      </w:pPr>
      <w:r>
        <w:rPr>
          <w:rFonts w:ascii="Arial" w:cs="Arial" w:eastAsia="Arial" w:hAnsi="Arial"/>
          <w:sz w:val="12"/>
          <w:szCs w:val="12"/>
          <w:color w:val="auto"/>
        </w:rPr>
        <w:t>income and expense related to ownership and disposal of Energy Transfer units, and a corresponding amount of debt related to the units, and</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88"/>
        </w:numPr>
        <w:rPr>
          <w:rFonts w:ascii="Arial" w:cs="Arial" w:eastAsia="Arial" w:hAnsi="Arial"/>
          <w:sz w:val="12"/>
          <w:szCs w:val="12"/>
          <w:color w:val="009AD9"/>
        </w:rPr>
      </w:pPr>
      <w:r>
        <w:rPr>
          <w:rFonts w:ascii="Arial" w:cs="Arial" w:eastAsia="Arial" w:hAnsi="Arial"/>
          <w:sz w:val="12"/>
          <w:szCs w:val="12"/>
          <w:color w:val="auto"/>
        </w:rPr>
        <w:t>gain and impact, including related expenses, associated with mergers and divestitures.</w:t>
      </w:r>
    </w:p>
    <w:p>
      <w:pPr>
        <w:spacing w:after="0" w:line="14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a reconciliation of our Adjusted EPS to the nearest GAAP metric, please see Appendix A hereto.</w:t>
      </w:r>
    </w:p>
    <w:p>
      <w:pPr>
        <w:spacing w:after="0" w:line="14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2022, various levels of achievement for “Adjusted EPS” were as follows:</w:t>
      </w:r>
    </w:p>
    <w:p>
      <w:pPr>
        <w:spacing w:after="0" w:line="148"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2040" w:type="dxa"/>
            <w:vAlign w:val="bottom"/>
            <w:shd w:val="clear" w:color="auto" w:fill="009AD9"/>
          </w:tcPr>
          <w:p>
            <w:pPr>
              <w:spacing w:after="0"/>
              <w:rPr>
                <w:sz w:val="10"/>
                <w:szCs w:val="10"/>
                <w:color w:val="auto"/>
              </w:rPr>
            </w:pPr>
          </w:p>
        </w:tc>
        <w:tc>
          <w:tcPr>
            <w:tcW w:w="1640" w:type="dxa"/>
            <w:vAlign w:val="bottom"/>
            <w:shd w:val="clear" w:color="auto" w:fill="009AD9"/>
          </w:tcPr>
          <w:p>
            <w:pPr>
              <w:jc w:val="center"/>
              <w:ind w:left="152"/>
              <w:spacing w:after="0"/>
              <w:rPr>
                <w:sz w:val="20"/>
                <w:szCs w:val="20"/>
                <w:color w:val="auto"/>
              </w:rPr>
            </w:pPr>
            <w:r>
              <w:rPr>
                <w:rFonts w:ascii="Arial" w:cs="Arial" w:eastAsia="Arial" w:hAnsi="Arial"/>
                <w:sz w:val="10"/>
                <w:szCs w:val="10"/>
                <w:b w:val="1"/>
                <w:bCs w:val="1"/>
                <w:color w:val="FFFFFF"/>
                <w:w w:val="99"/>
              </w:rPr>
              <w:t>Threshold</w:t>
            </w:r>
          </w:p>
        </w:tc>
        <w:tc>
          <w:tcPr>
            <w:tcW w:w="14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8"/>
              </w:rPr>
              <w:t>Target</w:t>
            </w:r>
          </w:p>
        </w:tc>
        <w:tc>
          <w:tcPr>
            <w:tcW w:w="14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Maximum</w:t>
            </w:r>
          </w:p>
        </w:tc>
        <w:tc>
          <w:tcPr>
            <w:tcW w:w="700" w:type="dxa"/>
            <w:vAlign w:val="bottom"/>
            <w:shd w:val="clear" w:color="auto" w:fill="009AD9"/>
          </w:tcPr>
          <w:p>
            <w:pPr>
              <w:ind w:left="400"/>
              <w:spacing w:after="0"/>
              <w:rPr>
                <w:sz w:val="20"/>
                <w:szCs w:val="20"/>
                <w:color w:val="auto"/>
              </w:rPr>
            </w:pPr>
            <w:r>
              <w:rPr>
                <w:rFonts w:ascii="Arial" w:cs="Arial" w:eastAsia="Arial" w:hAnsi="Arial"/>
                <w:sz w:val="10"/>
                <w:szCs w:val="10"/>
                <w:b w:val="1"/>
                <w:bCs w:val="1"/>
                <w:color w:val="FFFFFF"/>
                <w:w w:val="91"/>
              </w:rPr>
              <w:t>Actual</w:t>
            </w:r>
          </w:p>
        </w:tc>
        <w:tc>
          <w:tcPr>
            <w:tcW w:w="200" w:type="dxa"/>
            <w:vAlign w:val="bottom"/>
            <w:shd w:val="clear" w:color="auto" w:fill="009AD9"/>
          </w:tcPr>
          <w:p>
            <w:pPr>
              <w:spacing w:after="0"/>
              <w:rPr>
                <w:sz w:val="10"/>
                <w:szCs w:val="10"/>
                <w:color w:val="auto"/>
              </w:rPr>
            </w:pPr>
          </w:p>
        </w:tc>
      </w:tr>
      <w:tr>
        <w:trPr>
          <w:trHeight w:val="127"/>
        </w:trPr>
        <w:tc>
          <w:tcPr>
            <w:tcW w:w="2040" w:type="dxa"/>
            <w:vAlign w:val="bottom"/>
            <w:shd w:val="clear" w:color="auto" w:fill="009AD9"/>
          </w:tcPr>
          <w:p>
            <w:pPr>
              <w:spacing w:after="0"/>
              <w:rPr>
                <w:sz w:val="11"/>
                <w:szCs w:val="11"/>
                <w:color w:val="auto"/>
              </w:rPr>
            </w:pPr>
          </w:p>
        </w:tc>
        <w:tc>
          <w:tcPr>
            <w:tcW w:w="1640" w:type="dxa"/>
            <w:vAlign w:val="bottom"/>
            <w:shd w:val="clear" w:color="auto" w:fill="009AD9"/>
          </w:tcPr>
          <w:p>
            <w:pPr>
              <w:jc w:val="center"/>
              <w:ind w:left="152"/>
              <w:spacing w:after="0"/>
              <w:rPr>
                <w:sz w:val="20"/>
                <w:szCs w:val="20"/>
                <w:color w:val="auto"/>
              </w:rPr>
            </w:pPr>
            <w:r>
              <w:rPr>
                <w:rFonts w:ascii="Arial" w:cs="Arial" w:eastAsia="Arial" w:hAnsi="Arial"/>
                <w:sz w:val="10"/>
                <w:szCs w:val="10"/>
                <w:b w:val="1"/>
                <w:bCs w:val="1"/>
                <w:color w:val="FFFFFF"/>
                <w:w w:val="97"/>
              </w:rPr>
              <w:t>(2021 Actual plus 7%)</w:t>
            </w:r>
          </w:p>
        </w:tc>
        <w:tc>
          <w:tcPr>
            <w:tcW w:w="14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(2021 Actual plus 8%)</w:t>
            </w:r>
          </w:p>
        </w:tc>
        <w:tc>
          <w:tcPr>
            <w:tcW w:w="14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(2021 Actual plus 9%)</w:t>
            </w:r>
          </w:p>
        </w:tc>
        <w:tc>
          <w:tcPr>
            <w:tcW w:w="700" w:type="dxa"/>
            <w:vAlign w:val="bottom"/>
            <w:shd w:val="clear" w:color="auto" w:fill="009AD9"/>
          </w:tcPr>
          <w:p>
            <w:pPr>
              <w:spacing w:after="0"/>
              <w:rPr>
                <w:sz w:val="11"/>
                <w:szCs w:val="11"/>
                <w:color w:val="auto"/>
              </w:rPr>
            </w:pPr>
          </w:p>
        </w:tc>
        <w:tc>
          <w:tcPr>
            <w:tcW w:w="200" w:type="dxa"/>
            <w:vAlign w:val="bottom"/>
            <w:shd w:val="clear" w:color="auto" w:fill="009AD9"/>
          </w:tcPr>
          <w:p>
            <w:pPr>
              <w:spacing w:after="0"/>
              <w:rPr>
                <w:sz w:val="11"/>
                <w:szCs w:val="11"/>
                <w:color w:val="auto"/>
              </w:rPr>
            </w:pPr>
          </w:p>
        </w:tc>
      </w:tr>
      <w:tr>
        <w:trPr>
          <w:trHeight w:val="171"/>
        </w:trPr>
        <w:tc>
          <w:tcPr>
            <w:tcW w:w="2040" w:type="dxa"/>
            <w:vAlign w:val="bottom"/>
            <w:tcBorders>
              <w:bottom w:val="single" w:sz="8" w:color="009AD9"/>
            </w:tcBorders>
            <w:shd w:val="clear" w:color="auto" w:fill="009AD9"/>
          </w:tcPr>
          <w:p>
            <w:pPr>
              <w:spacing w:after="0"/>
              <w:rPr>
                <w:sz w:val="14"/>
                <w:szCs w:val="14"/>
                <w:color w:val="auto"/>
              </w:rPr>
            </w:pPr>
          </w:p>
        </w:tc>
        <w:tc>
          <w:tcPr>
            <w:tcW w:w="1640" w:type="dxa"/>
            <w:vAlign w:val="bottom"/>
            <w:tcBorders>
              <w:bottom w:val="single" w:sz="8" w:color="009AD9"/>
            </w:tcBorders>
            <w:shd w:val="clear" w:color="auto" w:fill="009AD9"/>
          </w:tcPr>
          <w:p>
            <w:pPr>
              <w:jc w:val="right"/>
              <w:ind w:right="652"/>
              <w:spacing w:after="0"/>
              <w:rPr>
                <w:sz w:val="20"/>
                <w:szCs w:val="20"/>
                <w:color w:val="auto"/>
              </w:rPr>
            </w:pPr>
            <w:r>
              <w:rPr>
                <w:rFonts w:ascii="Arial" w:cs="Arial" w:eastAsia="Arial" w:hAnsi="Arial"/>
                <w:sz w:val="10"/>
                <w:szCs w:val="10"/>
                <w:b w:val="1"/>
                <w:bCs w:val="1"/>
                <w:color w:val="FFFFFF"/>
              </w:rPr>
              <w:t>$</w:t>
            </w:r>
          </w:p>
        </w:tc>
        <w:tc>
          <w:tcPr>
            <w:tcW w:w="1420" w:type="dxa"/>
            <w:vAlign w:val="bottom"/>
            <w:tcBorders>
              <w:bottom w:val="single" w:sz="8" w:color="009AD9"/>
            </w:tcBorders>
            <w:shd w:val="clear" w:color="auto" w:fill="009AD9"/>
          </w:tcPr>
          <w:p>
            <w:pPr>
              <w:jc w:val="right"/>
              <w:ind w:right="632"/>
              <w:spacing w:after="0"/>
              <w:rPr>
                <w:sz w:val="20"/>
                <w:szCs w:val="20"/>
                <w:color w:val="auto"/>
              </w:rPr>
            </w:pPr>
            <w:r>
              <w:rPr>
                <w:rFonts w:ascii="Arial" w:cs="Arial" w:eastAsia="Arial" w:hAnsi="Arial"/>
                <w:sz w:val="10"/>
                <w:szCs w:val="10"/>
                <w:b w:val="1"/>
                <w:bCs w:val="1"/>
                <w:color w:val="FFFFFF"/>
              </w:rPr>
              <w:t>$</w:t>
            </w:r>
          </w:p>
        </w:tc>
        <w:tc>
          <w:tcPr>
            <w:tcW w:w="1420" w:type="dxa"/>
            <w:vAlign w:val="bottom"/>
            <w:tcBorders>
              <w:bottom w:val="single" w:sz="8" w:color="009AD9"/>
            </w:tcBorders>
            <w:shd w:val="clear" w:color="auto" w:fill="009AD9"/>
          </w:tcPr>
          <w:p>
            <w:pPr>
              <w:jc w:val="right"/>
              <w:ind w:right="632"/>
              <w:spacing w:after="0"/>
              <w:rPr>
                <w:sz w:val="20"/>
                <w:szCs w:val="20"/>
                <w:color w:val="auto"/>
              </w:rPr>
            </w:pPr>
            <w:r>
              <w:rPr>
                <w:rFonts w:ascii="Arial" w:cs="Arial" w:eastAsia="Arial" w:hAnsi="Arial"/>
                <w:sz w:val="10"/>
                <w:szCs w:val="10"/>
                <w:b w:val="1"/>
                <w:bCs w:val="1"/>
                <w:color w:val="FFFFFF"/>
              </w:rPr>
              <w:t>$</w:t>
            </w:r>
          </w:p>
        </w:tc>
        <w:tc>
          <w:tcPr>
            <w:tcW w:w="700" w:type="dxa"/>
            <w:vAlign w:val="bottom"/>
            <w:tcBorders>
              <w:bottom w:val="single" w:sz="8" w:color="009AD9"/>
            </w:tcBorders>
            <w:shd w:val="clear" w:color="auto" w:fill="009AD9"/>
          </w:tcPr>
          <w:p>
            <w:pPr>
              <w:jc w:val="right"/>
              <w:ind w:right="272"/>
              <w:spacing w:after="0"/>
              <w:rPr>
                <w:sz w:val="20"/>
                <w:szCs w:val="20"/>
                <w:color w:val="auto"/>
              </w:rPr>
            </w:pPr>
            <w:r>
              <w:rPr>
                <w:rFonts w:ascii="Arial" w:cs="Arial" w:eastAsia="Arial" w:hAnsi="Arial"/>
                <w:sz w:val="10"/>
                <w:szCs w:val="10"/>
                <w:b w:val="1"/>
                <w:bCs w:val="1"/>
                <w:color w:val="FFFFFF"/>
              </w:rPr>
              <w:t>$</w:t>
            </w:r>
          </w:p>
        </w:tc>
        <w:tc>
          <w:tcPr>
            <w:tcW w:w="20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rPr>
              <w:t>%</w:t>
            </w:r>
          </w:p>
        </w:tc>
      </w:tr>
      <w:tr>
        <w:trPr>
          <w:trHeight w:val="119"/>
        </w:trPr>
        <w:tc>
          <w:tcPr>
            <w:tcW w:w="2040" w:type="dxa"/>
            <w:vAlign w:val="bottom"/>
          </w:tcPr>
          <w:p>
            <w:pPr>
              <w:ind w:left="40"/>
              <w:spacing w:after="0"/>
              <w:rPr>
                <w:sz w:val="20"/>
                <w:szCs w:val="20"/>
                <w:color w:val="auto"/>
              </w:rPr>
            </w:pPr>
            <w:r>
              <w:rPr>
                <w:rFonts w:ascii="Arial" w:cs="Arial" w:eastAsia="Arial" w:hAnsi="Arial"/>
                <w:sz w:val="10"/>
                <w:szCs w:val="10"/>
                <w:color w:val="auto"/>
              </w:rPr>
              <w:t>Adjusted EPS</w:t>
            </w:r>
          </w:p>
        </w:tc>
        <w:tc>
          <w:tcPr>
            <w:tcW w:w="1640" w:type="dxa"/>
            <w:vAlign w:val="bottom"/>
          </w:tcPr>
          <w:p>
            <w:pPr>
              <w:jc w:val="right"/>
              <w:ind w:right="552"/>
              <w:spacing w:after="0"/>
              <w:rPr>
                <w:sz w:val="20"/>
                <w:szCs w:val="20"/>
                <w:color w:val="auto"/>
              </w:rPr>
            </w:pPr>
            <w:r>
              <w:rPr>
                <w:rFonts w:ascii="Arial" w:cs="Arial" w:eastAsia="Arial" w:hAnsi="Arial"/>
                <w:sz w:val="10"/>
                <w:szCs w:val="10"/>
                <w:color w:val="auto"/>
              </w:rPr>
              <w:t>$1.36</w:t>
            </w:r>
          </w:p>
        </w:tc>
        <w:tc>
          <w:tcPr>
            <w:tcW w:w="1420" w:type="dxa"/>
            <w:vAlign w:val="bottom"/>
          </w:tcPr>
          <w:p>
            <w:pPr>
              <w:jc w:val="right"/>
              <w:ind w:right="552"/>
              <w:spacing w:after="0"/>
              <w:rPr>
                <w:sz w:val="20"/>
                <w:szCs w:val="20"/>
                <w:color w:val="auto"/>
              </w:rPr>
            </w:pPr>
            <w:r>
              <w:rPr>
                <w:rFonts w:ascii="Arial" w:cs="Arial" w:eastAsia="Arial" w:hAnsi="Arial"/>
                <w:sz w:val="10"/>
                <w:szCs w:val="10"/>
                <w:color w:val="auto"/>
              </w:rPr>
              <w:t>$1.37</w:t>
            </w:r>
          </w:p>
        </w:tc>
        <w:tc>
          <w:tcPr>
            <w:tcW w:w="1420" w:type="dxa"/>
            <w:vAlign w:val="bottom"/>
          </w:tcPr>
          <w:p>
            <w:pPr>
              <w:jc w:val="right"/>
              <w:ind w:right="532"/>
              <w:spacing w:after="0"/>
              <w:rPr>
                <w:sz w:val="20"/>
                <w:szCs w:val="20"/>
                <w:color w:val="auto"/>
              </w:rPr>
            </w:pPr>
            <w:r>
              <w:rPr>
                <w:rFonts w:ascii="Arial" w:cs="Arial" w:eastAsia="Arial" w:hAnsi="Arial"/>
                <w:sz w:val="10"/>
                <w:szCs w:val="10"/>
                <w:color w:val="auto"/>
              </w:rPr>
              <w:t>$1.38</w:t>
            </w:r>
          </w:p>
        </w:tc>
        <w:tc>
          <w:tcPr>
            <w:tcW w:w="700" w:type="dxa"/>
            <w:vAlign w:val="bottom"/>
          </w:tcPr>
          <w:p>
            <w:pPr>
              <w:jc w:val="right"/>
              <w:ind w:right="192"/>
              <w:spacing w:after="0"/>
              <w:rPr>
                <w:sz w:val="20"/>
                <w:szCs w:val="20"/>
                <w:color w:val="auto"/>
              </w:rPr>
            </w:pPr>
            <w:r>
              <w:rPr>
                <w:rFonts w:ascii="Arial" w:cs="Arial" w:eastAsia="Arial" w:hAnsi="Arial"/>
                <w:sz w:val="10"/>
                <w:szCs w:val="10"/>
                <w:color w:val="auto"/>
              </w:rPr>
              <w:t>$1.38</w:t>
            </w:r>
          </w:p>
        </w:tc>
        <w:tc>
          <w:tcPr>
            <w:tcW w:w="200" w:type="dxa"/>
            <w:vAlign w:val="bottom"/>
          </w:tcPr>
          <w:p>
            <w:pPr>
              <w:jc w:val="right"/>
              <w:spacing w:after="0"/>
              <w:rPr>
                <w:sz w:val="20"/>
                <w:szCs w:val="20"/>
                <w:color w:val="auto"/>
              </w:rPr>
            </w:pPr>
            <w:r>
              <w:rPr>
                <w:rFonts w:ascii="Arial" w:cs="Arial" w:eastAsia="Arial" w:hAnsi="Arial"/>
                <w:sz w:val="10"/>
                <w:szCs w:val="10"/>
                <w:color w:val="auto"/>
                <w:w w:val="96"/>
              </w:rPr>
              <w:t>9%</w:t>
            </w:r>
          </w:p>
        </w:tc>
      </w:tr>
    </w:tbl>
    <w:p>
      <w:pPr>
        <w:spacing w:after="0" w:line="17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diversity, equity and inclusion negative modifier is focused on meeting certain diversity, equity and inclusion goals, including diversity of applicants and diversity of suppliers. This modifier is a negative-only modifier and can only reduce the potential payout by a combined total of up to 5%. The diversity, equity and inclusion negative modifier’s targets are based on 2020 and 2021 actual results. For 2022, target and achievement for the diversity and inclusion negative modifier were as follows:</w:t>
      </w:r>
    </w:p>
    <w:p>
      <w:pPr>
        <w:spacing w:after="0" w:line="156"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5160" w:type="dxa"/>
            <w:vAlign w:val="bottom"/>
            <w:shd w:val="clear" w:color="auto" w:fill="009AD9"/>
          </w:tcPr>
          <w:p>
            <w:pPr>
              <w:spacing w:after="0"/>
              <w:rPr>
                <w:sz w:val="11"/>
                <w:szCs w:val="11"/>
                <w:color w:val="auto"/>
              </w:rPr>
            </w:pPr>
          </w:p>
        </w:tc>
        <w:tc>
          <w:tcPr>
            <w:tcW w:w="600" w:type="dxa"/>
            <w:vAlign w:val="bottom"/>
            <w:shd w:val="clear" w:color="auto" w:fill="009AD9"/>
          </w:tcPr>
          <w:p>
            <w:pPr>
              <w:jc w:val="right"/>
              <w:ind w:right="192"/>
              <w:spacing w:after="0"/>
              <w:rPr>
                <w:sz w:val="20"/>
                <w:szCs w:val="20"/>
                <w:color w:val="auto"/>
              </w:rPr>
            </w:pPr>
            <w:r>
              <w:rPr>
                <w:rFonts w:ascii="Arial" w:cs="Arial" w:eastAsia="Arial" w:hAnsi="Arial"/>
                <w:sz w:val="10"/>
                <w:szCs w:val="10"/>
                <w:b w:val="1"/>
                <w:bCs w:val="1"/>
                <w:color w:val="FFFFFF"/>
              </w:rPr>
              <w:t>Target</w:t>
            </w:r>
          </w:p>
        </w:tc>
        <w:tc>
          <w:tcPr>
            <w:tcW w:w="1100" w:type="dxa"/>
            <w:vAlign w:val="bottom"/>
            <w:shd w:val="clear" w:color="auto" w:fill="009AD9"/>
          </w:tcPr>
          <w:p>
            <w:pPr>
              <w:jc w:val="right"/>
              <w:ind w:right="472"/>
              <w:spacing w:after="0"/>
              <w:rPr>
                <w:sz w:val="20"/>
                <w:szCs w:val="20"/>
                <w:color w:val="auto"/>
              </w:rPr>
            </w:pPr>
            <w:r>
              <w:rPr>
                <w:rFonts w:ascii="Arial" w:cs="Arial" w:eastAsia="Arial" w:hAnsi="Arial"/>
                <w:sz w:val="10"/>
                <w:szCs w:val="10"/>
                <w:b w:val="1"/>
                <w:bCs w:val="1"/>
                <w:color w:val="FFFFFF"/>
              </w:rPr>
              <w:t>Actual</w:t>
            </w:r>
          </w:p>
        </w:tc>
        <w:tc>
          <w:tcPr>
            <w:tcW w:w="560" w:type="dxa"/>
            <w:vAlign w:val="bottom"/>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160" w:type="dxa"/>
            <w:vAlign w:val="bottom"/>
            <w:tcBorders>
              <w:bottom w:val="single" w:sz="8" w:color="009AD9"/>
            </w:tcBorders>
            <w:shd w:val="clear" w:color="auto" w:fill="009AD9"/>
          </w:tcPr>
          <w:p>
            <w:pPr>
              <w:ind w:left="20"/>
              <w:spacing w:after="0"/>
              <w:rPr>
                <w:sz w:val="20"/>
                <w:szCs w:val="20"/>
                <w:color w:val="auto"/>
              </w:rPr>
            </w:pPr>
            <w:r>
              <w:rPr>
                <w:rFonts w:ascii="Arial" w:cs="Arial" w:eastAsia="Arial" w:hAnsi="Arial"/>
                <w:sz w:val="10"/>
                <w:szCs w:val="10"/>
                <w:b w:val="1"/>
                <w:bCs w:val="1"/>
                <w:color w:val="FFFFFF"/>
              </w:rPr>
              <w:t>Performance Objectives</w:t>
            </w:r>
          </w:p>
        </w:tc>
        <w:tc>
          <w:tcPr>
            <w:tcW w:w="600" w:type="dxa"/>
            <w:vAlign w:val="bottom"/>
            <w:tcBorders>
              <w:bottom w:val="single" w:sz="8" w:color="009AD9"/>
            </w:tcBorders>
            <w:shd w:val="clear" w:color="auto" w:fill="009AD9"/>
          </w:tcPr>
          <w:p>
            <w:pPr>
              <w:jc w:val="right"/>
              <w:ind w:right="172"/>
              <w:spacing w:after="0"/>
              <w:rPr>
                <w:sz w:val="20"/>
                <w:szCs w:val="20"/>
                <w:color w:val="auto"/>
              </w:rPr>
            </w:pPr>
            <w:r>
              <w:rPr>
                <w:rFonts w:ascii="Arial" w:cs="Arial" w:eastAsia="Arial" w:hAnsi="Arial"/>
                <w:sz w:val="10"/>
                <w:szCs w:val="10"/>
                <w:b w:val="1"/>
                <w:bCs w:val="1"/>
                <w:color w:val="FFFFFF"/>
              </w:rPr>
              <w:t>(100%)</w:t>
            </w:r>
          </w:p>
        </w:tc>
        <w:tc>
          <w:tcPr>
            <w:tcW w:w="1100" w:type="dxa"/>
            <w:vAlign w:val="bottom"/>
            <w:tcBorders>
              <w:bottom w:val="single" w:sz="8" w:color="009AD9"/>
            </w:tcBorders>
            <w:shd w:val="clear" w:color="auto" w:fill="009AD9"/>
          </w:tcPr>
          <w:p>
            <w:pPr>
              <w:jc w:val="right"/>
              <w:ind w:right="312"/>
              <w:spacing w:after="0"/>
              <w:rPr>
                <w:sz w:val="20"/>
                <w:szCs w:val="20"/>
                <w:color w:val="auto"/>
              </w:rPr>
            </w:pPr>
            <w:r>
              <w:rPr>
                <w:rFonts w:ascii="Arial" w:cs="Arial" w:eastAsia="Arial" w:hAnsi="Arial"/>
                <w:sz w:val="10"/>
                <w:szCs w:val="10"/>
                <w:b w:val="1"/>
                <w:bCs w:val="1"/>
                <w:color w:val="FFFFFF"/>
              </w:rPr>
              <w:t>Achievement</w:t>
            </w:r>
          </w:p>
        </w:tc>
        <w:tc>
          <w:tcPr>
            <w:tcW w:w="560" w:type="dxa"/>
            <w:vAlign w:val="bottom"/>
            <w:tcBorders>
              <w:bottom w:val="single" w:sz="8" w:color="009AD9"/>
            </w:tcBorders>
            <w:shd w:val="clear" w:color="auto" w:fill="009AD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60" w:type="dxa"/>
            <w:vAlign w:val="bottom"/>
          </w:tcPr>
          <w:p>
            <w:pPr>
              <w:ind w:left="20"/>
              <w:spacing w:after="0"/>
              <w:rPr>
                <w:sz w:val="20"/>
                <w:szCs w:val="20"/>
                <w:color w:val="auto"/>
              </w:rPr>
            </w:pPr>
            <w:r>
              <w:rPr>
                <w:rFonts w:ascii="Arial" w:cs="Arial" w:eastAsia="Arial" w:hAnsi="Arial"/>
                <w:sz w:val="10"/>
                <w:szCs w:val="10"/>
                <w:b w:val="1"/>
                <w:bCs w:val="1"/>
                <w:color w:val="auto"/>
              </w:rPr>
              <w:t>Diversity and Inclusion Negative Modifier*</w:t>
            </w: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160" w:type="dxa"/>
            <w:vAlign w:val="bottom"/>
            <w:shd w:val="clear" w:color="auto" w:fill="D8EFF9"/>
          </w:tcPr>
          <w:p>
            <w:pPr>
              <w:ind w:left="100"/>
              <w:spacing w:after="0"/>
              <w:rPr>
                <w:sz w:val="20"/>
                <w:szCs w:val="20"/>
                <w:color w:val="auto"/>
              </w:rPr>
            </w:pPr>
            <w:r>
              <w:rPr>
                <w:rFonts w:ascii="Arial" w:cs="Arial" w:eastAsia="Arial" w:hAnsi="Arial"/>
                <w:sz w:val="10"/>
                <w:szCs w:val="10"/>
                <w:b w:val="1"/>
                <w:bCs w:val="1"/>
                <w:color w:val="auto"/>
              </w:rPr>
              <w:t>Diversity of Applicants</w:t>
            </w:r>
          </w:p>
        </w:tc>
        <w:tc>
          <w:tcPr>
            <w:tcW w:w="600" w:type="dxa"/>
            <w:vAlign w:val="bottom"/>
            <w:shd w:val="clear" w:color="auto" w:fill="D8EFF9"/>
          </w:tcPr>
          <w:p>
            <w:pPr>
              <w:spacing w:after="0"/>
              <w:rPr>
                <w:sz w:val="13"/>
                <w:szCs w:val="13"/>
                <w:color w:val="auto"/>
              </w:rPr>
            </w:pPr>
          </w:p>
        </w:tc>
        <w:tc>
          <w:tcPr>
            <w:tcW w:w="1100" w:type="dxa"/>
            <w:vAlign w:val="bottom"/>
            <w:shd w:val="clear" w:color="auto" w:fill="D8EFF9"/>
          </w:tcPr>
          <w:p>
            <w:pPr>
              <w:spacing w:after="0"/>
              <w:rPr>
                <w:sz w:val="13"/>
                <w:szCs w:val="13"/>
                <w:color w:val="auto"/>
              </w:rPr>
            </w:pPr>
          </w:p>
        </w:tc>
        <w:tc>
          <w:tcPr>
            <w:tcW w:w="560" w:type="dxa"/>
            <w:vAlign w:val="bottom"/>
            <w:shd w:val="clear" w:color="auto" w:fill="D8EFF9"/>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5160" w:type="dxa"/>
            <w:vAlign w:val="bottom"/>
          </w:tcPr>
          <w:p>
            <w:pPr>
              <w:ind w:left="100"/>
              <w:spacing w:after="0" w:line="103" w:lineRule="exact"/>
              <w:rPr>
                <w:sz w:val="20"/>
                <w:szCs w:val="20"/>
                <w:color w:val="auto"/>
              </w:rPr>
            </w:pPr>
            <w:r>
              <w:rPr>
                <w:rFonts w:ascii="Arial" w:cs="Arial" w:eastAsia="Arial" w:hAnsi="Arial"/>
                <w:sz w:val="10"/>
                <w:szCs w:val="10"/>
                <w:i w:val="1"/>
                <w:iCs w:val="1"/>
                <w:color w:val="auto"/>
              </w:rPr>
              <w:t>Represents the percentage of competitive job postings that include a gender and/or racially/ethnically diverse</w:t>
            </w: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vMerge w:val="restart"/>
          </w:tcPr>
          <w:p>
            <w:pPr>
              <w:ind w:left="26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29"/>
        </w:trPr>
        <w:tc>
          <w:tcPr>
            <w:tcW w:w="5160" w:type="dxa"/>
            <w:vAlign w:val="bottom"/>
          </w:tcPr>
          <w:p>
            <w:pPr>
              <w:ind w:left="180"/>
              <w:spacing w:after="0"/>
              <w:rPr>
                <w:sz w:val="20"/>
                <w:szCs w:val="20"/>
                <w:color w:val="auto"/>
              </w:rPr>
            </w:pPr>
            <w:r>
              <w:rPr>
                <w:rFonts w:ascii="Arial" w:cs="Arial" w:eastAsia="Arial" w:hAnsi="Arial"/>
                <w:sz w:val="10"/>
                <w:szCs w:val="10"/>
                <w:i w:val="1"/>
                <w:iCs w:val="1"/>
                <w:color w:val="auto"/>
              </w:rPr>
              <w:t>applicant at the interviewing stage</w:t>
            </w:r>
          </w:p>
        </w:tc>
        <w:tc>
          <w:tcPr>
            <w:tcW w:w="600" w:type="dxa"/>
            <w:vAlign w:val="bottom"/>
          </w:tcPr>
          <w:p>
            <w:pPr>
              <w:jc w:val="right"/>
              <w:ind w:right="92"/>
              <w:spacing w:after="0"/>
              <w:rPr>
                <w:sz w:val="20"/>
                <w:szCs w:val="20"/>
                <w:color w:val="auto"/>
              </w:rPr>
            </w:pPr>
            <w:r>
              <w:rPr>
                <w:rFonts w:ascii="Arial" w:cs="Arial" w:eastAsia="Arial" w:hAnsi="Arial"/>
                <w:sz w:val="10"/>
                <w:szCs w:val="10"/>
                <w:color w:val="auto"/>
              </w:rPr>
              <w:t>&gt;85%</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92%</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160" w:type="dxa"/>
            <w:vAlign w:val="bottom"/>
            <w:shd w:val="clear" w:color="auto" w:fill="D8EFF9"/>
          </w:tcPr>
          <w:p>
            <w:pPr>
              <w:ind w:left="100"/>
              <w:spacing w:after="0"/>
              <w:rPr>
                <w:sz w:val="20"/>
                <w:szCs w:val="20"/>
                <w:color w:val="auto"/>
              </w:rPr>
            </w:pPr>
            <w:r>
              <w:rPr>
                <w:rFonts w:ascii="Arial" w:cs="Arial" w:eastAsia="Arial" w:hAnsi="Arial"/>
                <w:sz w:val="10"/>
                <w:szCs w:val="10"/>
                <w:b w:val="1"/>
                <w:bCs w:val="1"/>
                <w:color w:val="auto"/>
              </w:rPr>
              <w:t>Diversity of Suppliers</w:t>
            </w:r>
          </w:p>
        </w:tc>
        <w:tc>
          <w:tcPr>
            <w:tcW w:w="600" w:type="dxa"/>
            <w:vAlign w:val="bottom"/>
            <w:shd w:val="clear" w:color="auto" w:fill="D8EFF9"/>
          </w:tcPr>
          <w:p>
            <w:pPr>
              <w:spacing w:after="0"/>
              <w:rPr>
                <w:sz w:val="12"/>
                <w:szCs w:val="12"/>
                <w:color w:val="auto"/>
              </w:rPr>
            </w:pPr>
          </w:p>
        </w:tc>
        <w:tc>
          <w:tcPr>
            <w:tcW w:w="1100" w:type="dxa"/>
            <w:vAlign w:val="bottom"/>
            <w:shd w:val="clear" w:color="auto" w:fill="D8EFF9"/>
          </w:tcPr>
          <w:p>
            <w:pPr>
              <w:spacing w:after="0"/>
              <w:rPr>
                <w:sz w:val="12"/>
                <w:szCs w:val="12"/>
                <w:color w:val="auto"/>
              </w:rPr>
            </w:pPr>
          </w:p>
        </w:tc>
        <w:tc>
          <w:tcPr>
            <w:tcW w:w="560" w:type="dxa"/>
            <w:vAlign w:val="bottom"/>
            <w:shd w:val="clear" w:color="auto" w:fill="D8EFF9"/>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160" w:type="dxa"/>
            <w:vAlign w:val="bottom"/>
          </w:tcPr>
          <w:p>
            <w:pPr>
              <w:ind w:left="100"/>
              <w:spacing w:after="0"/>
              <w:rPr>
                <w:sz w:val="20"/>
                <w:szCs w:val="20"/>
                <w:color w:val="auto"/>
              </w:rPr>
            </w:pPr>
            <w:r>
              <w:rPr>
                <w:rFonts w:ascii="Arial" w:cs="Arial" w:eastAsia="Arial" w:hAnsi="Arial"/>
                <w:sz w:val="10"/>
                <w:szCs w:val="10"/>
                <w:i w:val="1"/>
                <w:iCs w:val="1"/>
                <w:color w:val="auto"/>
              </w:rPr>
              <w:t>Represents the percentage of diverse spend</w:t>
            </w:r>
          </w:p>
        </w:tc>
        <w:tc>
          <w:tcPr>
            <w:tcW w:w="600" w:type="dxa"/>
            <w:vAlign w:val="bottom"/>
          </w:tcPr>
          <w:p>
            <w:pPr>
              <w:jc w:val="right"/>
              <w:ind w:right="92"/>
              <w:spacing w:after="0"/>
              <w:rPr>
                <w:sz w:val="20"/>
                <w:szCs w:val="20"/>
                <w:color w:val="auto"/>
              </w:rPr>
            </w:pPr>
            <w:r>
              <w:rPr>
                <w:rFonts w:ascii="Arial" w:cs="Arial" w:eastAsia="Arial" w:hAnsi="Arial"/>
                <w:sz w:val="10"/>
                <w:szCs w:val="10"/>
                <w:color w:val="auto"/>
              </w:rPr>
              <w:t>&gt;9.6%</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12.6%</w:t>
            </w:r>
          </w:p>
        </w:tc>
        <w:tc>
          <w:tcPr>
            <w:tcW w:w="5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2160" w:right="819" w:hanging="226"/>
        <w:spacing w:after="0" w:line="231" w:lineRule="auto"/>
        <w:tabs>
          <w:tab w:leader="none" w:pos="2160" w:val="left"/>
        </w:tabs>
        <w:numPr>
          <w:ilvl w:val="0"/>
          <w:numId w:val="89"/>
        </w:numPr>
        <w:rPr>
          <w:rFonts w:ascii="Arial" w:cs="Arial" w:eastAsia="Arial" w:hAnsi="Arial"/>
          <w:sz w:val="10"/>
          <w:szCs w:val="10"/>
          <w:color w:val="auto"/>
        </w:rPr>
      </w:pPr>
      <w:r>
        <w:rPr>
          <w:rFonts w:ascii="Arial" w:cs="Arial" w:eastAsia="Arial" w:hAnsi="Arial"/>
          <w:sz w:val="10"/>
          <w:szCs w:val="10"/>
          <w:color w:val="auto"/>
        </w:rPr>
        <w:t>The diversity, equity and inclusion composite acts as a negative modifier of up to 5%. Based on the Company’s achievement with respect to these metrics, the negative modifier was not applied for 2022. However, pursuant to management’s recommendation, the Compensation Committee exercised negative discretion to reduce the overall short-term incentive achievement level for executive officers based on other considerations as described in “Compensation Discussion and Analysis—2022 Executive Compensation Program—2022 Short-Term Incentive Plan Results.”</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Equity Incentive Plan Awards –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Three-Year Net Income</w:t>
      </w:r>
    </w:p>
    <w:p>
      <w:pPr>
        <w:spacing w:after="0" w:line="85"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For awards granted in February 2020, the performance share unit award vests based on our achievement of a three-year cumulative net income goal. For the three-year performance cycle ending on December 31, 2022, the cumulative net income performance goal reflects net income target from our approved five-year financial plan.</w:t>
      </w:r>
    </w:p>
    <w:p>
      <w:pPr>
        <w:spacing w:after="0" w:line="136"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Thirty percent of long-term compensation is based on this metric. If performance for the goal meets or exceeds the threshold level, the Committee may approve a payout of 50% to 200% of the number of the target performance share units awarded. Reported consolidated net income pursuant to GAAP is adjusted for the following:</w:t>
      </w:r>
    </w:p>
    <w:p>
      <w:pPr>
        <w:spacing w:after="0" w:line="72" w:lineRule="exact"/>
        <w:rPr>
          <w:sz w:val="20"/>
          <w:szCs w:val="20"/>
          <w:color w:val="auto"/>
        </w:rPr>
      </w:pPr>
    </w:p>
    <w:p>
      <w:pPr>
        <w:ind w:left="2220" w:hanging="213"/>
        <w:spacing w:after="0"/>
        <w:tabs>
          <w:tab w:leader="none" w:pos="2220" w:val="left"/>
        </w:tabs>
        <w:numPr>
          <w:ilvl w:val="0"/>
          <w:numId w:val="90"/>
        </w:numPr>
        <w:rPr>
          <w:rFonts w:ascii="Arial" w:cs="Arial" w:eastAsia="Arial" w:hAnsi="Arial"/>
          <w:sz w:val="12"/>
          <w:szCs w:val="12"/>
          <w:color w:val="009AD9"/>
        </w:rPr>
      </w:pPr>
      <w:r>
        <w:rPr>
          <w:rFonts w:ascii="Arial" w:cs="Arial" w:eastAsia="Arial" w:hAnsi="Arial"/>
          <w:sz w:val="12"/>
          <w:szCs w:val="12"/>
          <w:color w:val="auto"/>
        </w:rPr>
        <w:t>net income from midstream investments business;</w:t>
      </w:r>
    </w:p>
    <w:p>
      <w:pPr>
        <w:spacing w:after="0" w:line="80"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90"/>
        </w:numPr>
        <w:rPr>
          <w:rFonts w:ascii="Arial" w:cs="Arial" w:eastAsia="Arial" w:hAnsi="Arial"/>
          <w:sz w:val="12"/>
          <w:szCs w:val="12"/>
          <w:color w:val="009AD9"/>
        </w:rPr>
      </w:pPr>
      <w:r>
        <w:rPr>
          <w:rFonts w:ascii="Arial" w:cs="Arial" w:eastAsia="Arial" w:hAnsi="Arial"/>
          <w:sz w:val="12"/>
          <w:szCs w:val="12"/>
          <w:color w:val="auto"/>
        </w:rPr>
        <w:t>the financial impacts of any changes in accounting standards, the unplanned change in application of accounting standards, and impairments of goodwill;</w:t>
      </w:r>
    </w:p>
    <w:p>
      <w:pPr>
        <w:spacing w:after="0" w:line="67"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90"/>
        </w:numPr>
        <w:rPr>
          <w:rFonts w:ascii="Arial" w:cs="Arial" w:eastAsia="Arial" w:hAnsi="Arial"/>
          <w:sz w:val="12"/>
          <w:szCs w:val="12"/>
          <w:color w:val="009AD9"/>
        </w:rPr>
      </w:pPr>
      <w:r>
        <w:rPr>
          <w:rFonts w:ascii="Arial" w:cs="Arial" w:eastAsia="Arial" w:hAnsi="Arial"/>
          <w:sz w:val="12"/>
          <w:szCs w:val="12"/>
          <w:color w:val="auto"/>
        </w:rPr>
        <w:t>any impact to income from the change in the value of the ZENS-related securities and the effects of mergers, acquisitions and divestitures on those securities;</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90"/>
        </w:numPr>
        <w:rPr>
          <w:rFonts w:ascii="Arial" w:cs="Arial" w:eastAsia="Arial" w:hAnsi="Arial"/>
          <w:sz w:val="12"/>
          <w:szCs w:val="12"/>
          <w:color w:val="009AD9"/>
        </w:rPr>
      </w:pPr>
      <w:r>
        <w:rPr>
          <w:rFonts w:ascii="Arial" w:cs="Arial" w:eastAsia="Arial" w:hAnsi="Arial"/>
          <w:sz w:val="12"/>
          <w:szCs w:val="12"/>
          <w:color w:val="auto"/>
        </w:rPr>
        <w:t>any mark-to-market accounting entries and net natural gas inventory adjustments not reflected in the plan; and</w:t>
      </w:r>
    </w:p>
    <w:p>
      <w:pPr>
        <w:spacing w:after="0" w:line="80" w:lineRule="exact"/>
        <w:rPr>
          <w:rFonts w:ascii="Arial" w:cs="Arial" w:eastAsia="Arial" w:hAnsi="Arial"/>
          <w:sz w:val="12"/>
          <w:szCs w:val="12"/>
          <w:color w:val="009AD9"/>
        </w:rPr>
      </w:pPr>
    </w:p>
    <w:p>
      <w:pPr>
        <w:jc w:val="both"/>
        <w:ind w:left="2220" w:right="799" w:hanging="213"/>
        <w:spacing w:after="0" w:line="239" w:lineRule="auto"/>
        <w:tabs>
          <w:tab w:leader="none" w:pos="2220" w:val="left"/>
        </w:tabs>
        <w:numPr>
          <w:ilvl w:val="0"/>
          <w:numId w:val="90"/>
        </w:numPr>
        <w:rPr>
          <w:rFonts w:ascii="Arial" w:cs="Arial" w:eastAsia="Arial" w:hAnsi="Arial"/>
          <w:sz w:val="12"/>
          <w:szCs w:val="12"/>
          <w:color w:val="009AD9"/>
        </w:rPr>
      </w:pPr>
      <w:r>
        <w:rPr>
          <w:rFonts w:ascii="Arial" w:cs="Arial" w:eastAsia="Arial" w:hAnsi="Arial"/>
          <w:sz w:val="12"/>
          <w:szCs w:val="12"/>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amortization of intangibles or other purchase accounting impacts attributable to the Vectren merger; benefit retirement plan settlement expenses triggered by lump sum distribution; costs associated with the early retirement of long-term debt; adoption of the FASB-issued ASU No. 2017-07 Compensation–Retirement Benefits; gains/losses or expenses required by GAAP for mergers and acquisitions; or other unplanned items that receive written approval from the Chief Executive Officer or Executive Committee.</w:t>
      </w:r>
    </w:p>
    <w:p>
      <w:pPr>
        <w:spacing w:after="0" w:line="138"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a reconciliation of our cumulative net income to the nearest GAAP metric, please see Appendix A hereto.</w:t>
      </w:r>
    </w:p>
    <w:p>
      <w:pPr>
        <w:spacing w:after="0" w:line="20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Definitions of Scope 1, 2 and 3 Carbon Emissions</w:t>
      </w:r>
    </w:p>
    <w:p>
      <w:pPr>
        <w:spacing w:after="0" w:line="80" w:lineRule="exact"/>
        <w:rPr>
          <w:sz w:val="20"/>
          <w:szCs w:val="20"/>
          <w:color w:val="auto"/>
        </w:rPr>
      </w:pPr>
    </w:p>
    <w:p>
      <w:pPr>
        <w:ind w:left="2220" w:hanging="213"/>
        <w:spacing w:after="0"/>
        <w:tabs>
          <w:tab w:leader="none" w:pos="2220" w:val="left"/>
        </w:tabs>
        <w:numPr>
          <w:ilvl w:val="0"/>
          <w:numId w:val="91"/>
        </w:numPr>
        <w:rPr>
          <w:rFonts w:ascii="Arial" w:cs="Arial" w:eastAsia="Arial" w:hAnsi="Arial"/>
          <w:sz w:val="12"/>
          <w:szCs w:val="12"/>
          <w:color w:val="009AD9"/>
        </w:rPr>
      </w:pPr>
      <w:r>
        <w:rPr>
          <w:rFonts w:ascii="Arial" w:cs="Arial" w:eastAsia="Arial" w:hAnsi="Arial"/>
          <w:sz w:val="12"/>
          <w:szCs w:val="12"/>
          <w:color w:val="auto"/>
        </w:rPr>
        <w:t xml:space="preserve">Our </w:t>
      </w:r>
      <w:r>
        <w:rPr>
          <w:rFonts w:ascii="Arial" w:cs="Arial" w:eastAsia="Arial" w:hAnsi="Arial"/>
          <w:sz w:val="12"/>
          <w:szCs w:val="12"/>
          <w:b w:val="1"/>
          <w:bCs w:val="1"/>
          <w:color w:val="auto"/>
        </w:rPr>
        <w:t>Scope 1 emissions</w:t>
      </w:r>
      <w:r>
        <w:rPr>
          <w:rFonts w:ascii="Arial" w:cs="Arial" w:eastAsia="Arial" w:hAnsi="Arial"/>
          <w:sz w:val="12"/>
          <w:szCs w:val="12"/>
          <w:color w:val="auto"/>
        </w:rPr>
        <w:t xml:space="preserve"> estimates are calculated from emissions that directly come from our operations.</w:t>
      </w:r>
    </w:p>
    <w:p>
      <w:pPr>
        <w:spacing w:after="0" w:line="80" w:lineRule="exact"/>
        <w:rPr>
          <w:rFonts w:ascii="Arial" w:cs="Arial" w:eastAsia="Arial" w:hAnsi="Arial"/>
          <w:sz w:val="12"/>
          <w:szCs w:val="12"/>
          <w:color w:val="009AD9"/>
        </w:rPr>
      </w:pPr>
    </w:p>
    <w:p>
      <w:pPr>
        <w:jc w:val="both"/>
        <w:ind w:left="2220" w:right="799" w:hanging="213"/>
        <w:spacing w:after="0" w:line="256" w:lineRule="auto"/>
        <w:tabs>
          <w:tab w:leader="none" w:pos="2220" w:val="left"/>
        </w:tabs>
        <w:numPr>
          <w:ilvl w:val="0"/>
          <w:numId w:val="91"/>
        </w:numPr>
        <w:rPr>
          <w:rFonts w:ascii="Arial" w:cs="Arial" w:eastAsia="Arial" w:hAnsi="Arial"/>
          <w:sz w:val="12"/>
          <w:szCs w:val="12"/>
          <w:color w:val="009AD9"/>
        </w:rPr>
      </w:pPr>
      <w:r>
        <w:rPr>
          <w:rFonts w:ascii="Arial" w:cs="Arial" w:eastAsia="Arial" w:hAnsi="Arial"/>
          <w:sz w:val="12"/>
          <w:szCs w:val="12"/>
          <w:color w:val="auto"/>
        </w:rPr>
        <w:t xml:space="preserve">Our </w:t>
      </w:r>
      <w:r>
        <w:rPr>
          <w:rFonts w:ascii="Arial" w:cs="Arial" w:eastAsia="Arial" w:hAnsi="Arial"/>
          <w:sz w:val="12"/>
          <w:szCs w:val="12"/>
          <w:b w:val="1"/>
          <w:bCs w:val="1"/>
          <w:color w:val="auto"/>
        </w:rPr>
        <w:t>Scope 2 emissions</w:t>
      </w:r>
      <w:r>
        <w:rPr>
          <w:rFonts w:ascii="Arial" w:cs="Arial" w:eastAsia="Arial" w:hAnsi="Arial"/>
          <w:sz w:val="12"/>
          <w:szCs w:val="12"/>
          <w:color w:val="auto"/>
        </w:rPr>
        <w:t xml:space="preserve"> estimates are calculated from emissions that indirectly come from our energy usage, but because Texas is in an unregulated market, our Scope 2 estimates do not take into account Texas electric transmission and distribution assets in the line loss calculation and exclude emissions related to purchased power between 2024E-2026E.</w:t>
      </w:r>
    </w:p>
    <w:p>
      <w:pPr>
        <w:spacing w:after="0" w:line="49" w:lineRule="exact"/>
        <w:rPr>
          <w:rFonts w:ascii="Arial" w:cs="Arial" w:eastAsia="Arial" w:hAnsi="Arial"/>
          <w:sz w:val="12"/>
          <w:szCs w:val="12"/>
          <w:color w:val="009AD9"/>
        </w:rPr>
      </w:pPr>
    </w:p>
    <w:p>
      <w:pPr>
        <w:jc w:val="both"/>
        <w:ind w:left="2220" w:right="799" w:hanging="213"/>
        <w:spacing w:after="0" w:line="256" w:lineRule="auto"/>
        <w:tabs>
          <w:tab w:leader="none" w:pos="2220" w:val="left"/>
        </w:tabs>
        <w:numPr>
          <w:ilvl w:val="0"/>
          <w:numId w:val="91"/>
        </w:numPr>
        <w:rPr>
          <w:rFonts w:ascii="Arial" w:cs="Arial" w:eastAsia="Arial" w:hAnsi="Arial"/>
          <w:sz w:val="12"/>
          <w:szCs w:val="12"/>
          <w:color w:val="009AD9"/>
        </w:rPr>
      </w:pPr>
      <w:r>
        <w:rPr>
          <w:rFonts w:ascii="Arial" w:cs="Arial" w:eastAsia="Arial" w:hAnsi="Arial"/>
          <w:sz w:val="12"/>
          <w:szCs w:val="12"/>
          <w:color w:val="auto"/>
        </w:rPr>
        <w:t xml:space="preserve">Our </w:t>
      </w:r>
      <w:r>
        <w:rPr>
          <w:rFonts w:ascii="Arial" w:cs="Arial" w:eastAsia="Arial" w:hAnsi="Arial"/>
          <w:sz w:val="12"/>
          <w:szCs w:val="12"/>
          <w:b w:val="1"/>
          <w:bCs w:val="1"/>
          <w:color w:val="auto"/>
        </w:rPr>
        <w:t>Scope 3 emissions</w:t>
      </w:r>
      <w:r>
        <w:rPr>
          <w:rFonts w:ascii="Arial" w:cs="Arial" w:eastAsia="Arial" w:hAnsi="Arial"/>
          <w:sz w:val="12"/>
          <w:szCs w:val="12"/>
          <w:color w:val="auto"/>
        </w:rPr>
        <w:t xml:space="preserve">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w:t>
      </w:r>
    </w:p>
    <w:p>
      <w:pPr>
        <w:spacing w:after="0" w:line="1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Additional Information Regarding Our Equity Incentive Plan Awards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outstanding performance share unit awards and stock awards (other than the retention awards granted to Mr. Lesar and the sign-on awards granted to Messrs. Lesar, Wells and Knight) provide that “retirement eligible” participants (age 55 or greater with at least five years of service or, for Mr. Lesar, at least three years of service) who terminate employment will receive a payment under the award, if any, based on the actual achievement of the applicable performance objective at the end of the performance period or vesting period, if applicable, with any such amount pro-rated for the period of their employment during the performance or vesting period, as applicable. Upon termination for cause, no benefits are payable under the award agreements.</w:t>
      </w:r>
    </w:p>
    <w:p>
      <w:pPr>
        <w:spacing w:after="0" w:line="135" w:lineRule="exact"/>
        <w:rPr>
          <w:sz w:val="20"/>
          <w:szCs w:val="20"/>
          <w:color w:val="auto"/>
        </w:rPr>
      </w:pPr>
    </w:p>
    <w:p>
      <w:pPr>
        <w:ind w:left="2220" w:hanging="230"/>
        <w:spacing w:after="0"/>
        <w:tabs>
          <w:tab w:leader="none" w:pos="2220" w:val="left"/>
        </w:tabs>
        <w:numPr>
          <w:ilvl w:val="0"/>
          <w:numId w:val="9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4"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Further, the outstanding awards (other than the retention awards granted to Mr. Lesar and the sign-on awards granted to Messrs. Lesar, Wells and Knight) provide that, subject to Compensation Committee approval for certain of our officers including our named executive officers, a “retirement eligible” participant will vest in amounts that would otherwise be forfeited upon retirement due to the proration described above (“Enhanced Retirement”) if:</w:t>
      </w:r>
    </w:p>
    <w:p>
      <w:pPr>
        <w:spacing w:after="0" w:line="73" w:lineRule="exact"/>
        <w:rPr>
          <w:sz w:val="20"/>
          <w:szCs w:val="20"/>
          <w:color w:val="auto"/>
        </w:rPr>
      </w:pPr>
    </w:p>
    <w:p>
      <w:pPr>
        <w:ind w:left="2220" w:hanging="213"/>
        <w:spacing w:after="0"/>
        <w:tabs>
          <w:tab w:leader="none" w:pos="2220" w:val="left"/>
        </w:tabs>
        <w:numPr>
          <w:ilvl w:val="0"/>
          <w:numId w:val="93"/>
        </w:numPr>
        <w:rPr>
          <w:rFonts w:ascii="Arial" w:cs="Arial" w:eastAsia="Arial" w:hAnsi="Arial"/>
          <w:sz w:val="12"/>
          <w:szCs w:val="12"/>
          <w:color w:val="009AD9"/>
        </w:rPr>
      </w:pPr>
      <w:r>
        <w:rPr>
          <w:rFonts w:ascii="Arial" w:cs="Arial" w:eastAsia="Arial" w:hAnsi="Arial"/>
          <w:sz w:val="12"/>
          <w:szCs w:val="12"/>
          <w:color w:val="auto"/>
        </w:rPr>
        <w:t>the award was granted prior to the year of termination of employment;</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93"/>
        </w:numPr>
        <w:rPr>
          <w:rFonts w:ascii="Arial" w:cs="Arial" w:eastAsia="Arial" w:hAnsi="Arial"/>
          <w:sz w:val="12"/>
          <w:szCs w:val="12"/>
          <w:color w:val="009AD9"/>
        </w:rPr>
      </w:pPr>
      <w:r>
        <w:rPr>
          <w:rFonts w:ascii="Arial" w:cs="Arial" w:eastAsia="Arial" w:hAnsi="Arial"/>
          <w:sz w:val="12"/>
          <w:szCs w:val="12"/>
          <w:color w:val="auto"/>
        </w:rPr>
        <w:t>the sum of the retirement eligible participant’s service and age is 65 or greater;</w:t>
      </w:r>
    </w:p>
    <w:p>
      <w:pPr>
        <w:spacing w:after="0" w:line="80" w:lineRule="exact"/>
        <w:rPr>
          <w:rFonts w:ascii="Arial" w:cs="Arial" w:eastAsia="Arial" w:hAnsi="Arial"/>
          <w:sz w:val="12"/>
          <w:szCs w:val="12"/>
          <w:color w:val="009AD9"/>
        </w:rPr>
      </w:pPr>
    </w:p>
    <w:p>
      <w:pPr>
        <w:jc w:val="both"/>
        <w:ind w:left="2220" w:right="799" w:hanging="213"/>
        <w:spacing w:after="0" w:line="243" w:lineRule="auto"/>
        <w:tabs>
          <w:tab w:leader="none" w:pos="2220" w:val="left"/>
        </w:tabs>
        <w:numPr>
          <w:ilvl w:val="0"/>
          <w:numId w:val="93"/>
        </w:numPr>
        <w:rPr>
          <w:rFonts w:ascii="Arial" w:cs="Arial" w:eastAsia="Arial" w:hAnsi="Arial"/>
          <w:sz w:val="12"/>
          <w:szCs w:val="12"/>
          <w:color w:val="009AD9"/>
        </w:rPr>
      </w:pPr>
      <w:r>
        <w:rPr>
          <w:rFonts w:ascii="Arial" w:cs="Arial" w:eastAsia="Arial" w:hAnsi="Arial"/>
          <w:sz w:val="12"/>
          <w:szCs w:val="12"/>
          <w:color w:val="auto"/>
        </w:rPr>
        <w:t>the retirement eligible participant provides at least six months’ written notice of his or her retirement or, for certain of officers including our named executive officers, reasonable advanced written notice of his or her retirement, as determined by the Compensation Committee; and</w:t>
      </w:r>
    </w:p>
    <w:p>
      <w:pPr>
        <w:spacing w:after="0" w:line="71" w:lineRule="exact"/>
        <w:rPr>
          <w:rFonts w:ascii="Arial" w:cs="Arial" w:eastAsia="Arial" w:hAnsi="Arial"/>
          <w:sz w:val="12"/>
          <w:szCs w:val="12"/>
          <w:color w:val="009AD9"/>
        </w:rPr>
      </w:pPr>
    </w:p>
    <w:p>
      <w:pPr>
        <w:ind w:left="2220" w:hanging="213"/>
        <w:spacing w:after="0"/>
        <w:tabs>
          <w:tab w:leader="none" w:pos="2220" w:val="left"/>
        </w:tabs>
        <w:numPr>
          <w:ilvl w:val="0"/>
          <w:numId w:val="93"/>
        </w:numPr>
        <w:rPr>
          <w:rFonts w:ascii="Arial" w:cs="Arial" w:eastAsia="Arial" w:hAnsi="Arial"/>
          <w:sz w:val="12"/>
          <w:szCs w:val="12"/>
          <w:color w:val="009AD9"/>
        </w:rPr>
      </w:pPr>
      <w:r>
        <w:rPr>
          <w:rFonts w:ascii="Arial" w:cs="Arial" w:eastAsia="Arial" w:hAnsi="Arial"/>
          <w:sz w:val="12"/>
          <w:szCs w:val="12"/>
          <w:color w:val="auto"/>
        </w:rPr>
        <w:t>the retirement eligible participant submits a transition plan.</w:t>
      </w:r>
    </w:p>
    <w:p>
      <w:pPr>
        <w:spacing w:after="0" w:line="144" w:lineRule="exact"/>
        <w:rPr>
          <w:sz w:val="20"/>
          <w:szCs w:val="20"/>
          <w:color w:val="auto"/>
        </w:rPr>
      </w:pPr>
    </w:p>
    <w:p>
      <w:pPr>
        <w:jc w:val="both"/>
        <w:ind w:left="1940" w:right="819"/>
        <w:spacing w:after="0" w:line="239" w:lineRule="auto"/>
        <w:rPr>
          <w:sz w:val="20"/>
          <w:szCs w:val="20"/>
          <w:color w:val="auto"/>
        </w:rPr>
      </w:pPr>
      <w:r>
        <w:rPr>
          <w:rFonts w:ascii="Arial" w:cs="Arial" w:eastAsia="Arial" w:hAnsi="Arial"/>
          <w:sz w:val="12"/>
          <w:szCs w:val="12"/>
          <w:color w:val="auto"/>
        </w:rPr>
        <w:t>Any such vesting for our named executive officers will be at the sole discretion of the Compensation Committee. Moreover, the Compensation Committee may elect to approve the Enhanced Retirement eligibility for any named executive officer who does not otherwise meet one or more of the provisions described above if it is determined to be in the best interests of the Company. The Compensation Committee adopted the Enhanced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and provides an opportunity for executives to become eligible for compensation that was previously awarded and was designated as total compensation, but was partially forfeited upon retirement.</w:t>
      </w:r>
    </w:p>
    <w:p>
      <w:pPr>
        <w:spacing w:after="0" w:line="137"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Awards also include restrictive covenants that are beneficial to the Company by requiring forfeiture of unpaid awards and return of paid awards upon breach of confidentiality, non-solicitation and non-competition obligations. The awards (other than the sign-on awards granted to Messrs. Lesar, Wells and Knight) also provide for full vesting upon the participant’s death or termination of employment due to disability (as defined under our long-term disability plan). For performance share units, such vesting is at the target level of achievement.</w:t>
      </w:r>
    </w:p>
    <w:p>
      <w:pPr>
        <w:spacing w:after="0" w:line="137"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Finally, awards made beginning in February 2020 also provide for pro rata vesting upon the “sale of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 rata vesting is based on the number of days employed in the performance cycle and the target level of achievement for performance share units and on the number of days employed in the vesting period for stock awards.</w:t>
      </w:r>
    </w:p>
    <w:p>
      <w:pPr>
        <w:spacing w:after="0" w:line="161"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Outstanding Equity Awards at Fiscal Year-End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following table provides information regarding the outstanding equity awards held by our named executive officers as of December 31, 2022. The closing stock price on the New York Stock Exchange on December 30, 2022 was $29.99.</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155"/>
        </w:trPr>
        <w:tc>
          <w:tcPr>
            <w:tcW w:w="1100" w:type="dxa"/>
            <w:vAlign w:val="bottom"/>
            <w:shd w:val="clear" w:color="auto" w:fill="009AD9"/>
          </w:tcPr>
          <w:p>
            <w:pPr>
              <w:spacing w:after="0"/>
              <w:rPr>
                <w:sz w:val="13"/>
                <w:szCs w:val="13"/>
                <w:color w:val="auto"/>
              </w:rPr>
            </w:pPr>
          </w:p>
        </w:tc>
        <w:tc>
          <w:tcPr>
            <w:tcW w:w="800" w:type="dxa"/>
            <w:vAlign w:val="bottom"/>
            <w:shd w:val="clear" w:color="auto" w:fill="009AD9"/>
          </w:tcPr>
          <w:p>
            <w:pPr>
              <w:spacing w:after="0"/>
              <w:rPr>
                <w:sz w:val="13"/>
                <w:szCs w:val="13"/>
                <w:color w:val="auto"/>
              </w:rPr>
            </w:pPr>
          </w:p>
        </w:tc>
        <w:tc>
          <w:tcPr>
            <w:tcW w:w="1520" w:type="dxa"/>
            <w:vAlign w:val="bottom"/>
            <w:gridSpan w:val="2"/>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Option Awards</w:t>
            </w:r>
          </w:p>
        </w:tc>
        <w:tc>
          <w:tcPr>
            <w:tcW w:w="560" w:type="dxa"/>
            <w:vAlign w:val="bottom"/>
            <w:shd w:val="clear" w:color="auto" w:fill="009AD9"/>
          </w:tcPr>
          <w:p>
            <w:pPr>
              <w:spacing w:after="0"/>
              <w:rPr>
                <w:sz w:val="13"/>
                <w:szCs w:val="13"/>
                <w:color w:val="auto"/>
              </w:rPr>
            </w:pPr>
          </w:p>
        </w:tc>
        <w:tc>
          <w:tcPr>
            <w:tcW w:w="640" w:type="dxa"/>
            <w:vAlign w:val="bottom"/>
            <w:shd w:val="clear" w:color="auto" w:fill="009AD9"/>
          </w:tcPr>
          <w:p>
            <w:pPr>
              <w:spacing w:after="0"/>
              <w:rPr>
                <w:sz w:val="13"/>
                <w:szCs w:val="13"/>
                <w:color w:val="auto"/>
              </w:rPr>
            </w:pPr>
          </w:p>
        </w:tc>
        <w:tc>
          <w:tcPr>
            <w:tcW w:w="580" w:type="dxa"/>
            <w:vAlign w:val="bottom"/>
            <w:shd w:val="clear" w:color="auto" w:fill="009AD9"/>
          </w:tcPr>
          <w:p>
            <w:pPr>
              <w:spacing w:after="0"/>
              <w:rPr>
                <w:sz w:val="13"/>
                <w:szCs w:val="13"/>
                <w:color w:val="auto"/>
              </w:rPr>
            </w:pPr>
          </w:p>
        </w:tc>
        <w:tc>
          <w:tcPr>
            <w:tcW w:w="1520" w:type="dxa"/>
            <w:vAlign w:val="bottom"/>
            <w:gridSpan w:val="2"/>
            <w:shd w:val="clear" w:color="auto" w:fill="009AD9"/>
          </w:tcPr>
          <w:p>
            <w:pPr>
              <w:ind w:left="540"/>
              <w:spacing w:after="0"/>
              <w:rPr>
                <w:sz w:val="20"/>
                <w:szCs w:val="20"/>
                <w:color w:val="auto"/>
              </w:rPr>
            </w:pPr>
            <w:r>
              <w:rPr>
                <w:rFonts w:ascii="Arial" w:cs="Arial" w:eastAsia="Arial" w:hAnsi="Arial"/>
                <w:sz w:val="10"/>
                <w:szCs w:val="10"/>
                <w:b w:val="1"/>
                <w:bCs w:val="1"/>
                <w:color w:val="FFFFFF"/>
              </w:rPr>
              <w:t>Stock Awards</w:t>
            </w:r>
          </w:p>
        </w:tc>
        <w:tc>
          <w:tcPr>
            <w:tcW w:w="700" w:type="dxa"/>
            <w:vAlign w:val="bottom"/>
            <w:shd w:val="clear" w:color="auto" w:fill="009AD9"/>
          </w:tcPr>
          <w:p>
            <w:pPr>
              <w:spacing w:after="0"/>
              <w:rPr>
                <w:sz w:val="13"/>
                <w:szCs w:val="13"/>
                <w:color w:val="auto"/>
              </w:rPr>
            </w:pPr>
          </w:p>
        </w:tc>
      </w:tr>
      <w:tr>
        <w:trPr>
          <w:trHeight w:val="163"/>
        </w:trPr>
        <w:tc>
          <w:tcPr>
            <w:tcW w:w="1100" w:type="dxa"/>
            <w:vAlign w:val="bottom"/>
            <w:shd w:val="clear" w:color="auto" w:fill="009AD9"/>
          </w:tcPr>
          <w:p>
            <w:pPr>
              <w:spacing w:after="0"/>
              <w:rPr>
                <w:sz w:val="14"/>
                <w:szCs w:val="14"/>
                <w:color w:val="auto"/>
              </w:rPr>
            </w:pPr>
          </w:p>
        </w:tc>
        <w:tc>
          <w:tcPr>
            <w:tcW w:w="800" w:type="dxa"/>
            <w:vAlign w:val="bottom"/>
            <w:shd w:val="clear" w:color="auto" w:fill="009AD9"/>
          </w:tcPr>
          <w:p>
            <w:pPr>
              <w:spacing w:after="0"/>
              <w:rPr>
                <w:sz w:val="14"/>
                <w:szCs w:val="14"/>
                <w:color w:val="auto"/>
              </w:rPr>
            </w:pPr>
          </w:p>
        </w:tc>
        <w:tc>
          <w:tcPr>
            <w:tcW w:w="800" w:type="dxa"/>
            <w:vAlign w:val="bottom"/>
            <w:shd w:val="clear" w:color="auto" w:fill="009AD9"/>
          </w:tcPr>
          <w:p>
            <w:pPr>
              <w:spacing w:after="0"/>
              <w:rPr>
                <w:sz w:val="14"/>
                <w:szCs w:val="14"/>
                <w:color w:val="auto"/>
              </w:rPr>
            </w:pPr>
          </w:p>
        </w:tc>
        <w:tc>
          <w:tcPr>
            <w:tcW w:w="720" w:type="dxa"/>
            <w:vAlign w:val="bottom"/>
            <w:shd w:val="clear" w:color="auto" w:fill="009AD9"/>
          </w:tcPr>
          <w:p>
            <w:pPr>
              <w:spacing w:after="0"/>
              <w:rPr>
                <w:sz w:val="14"/>
                <w:szCs w:val="14"/>
                <w:color w:val="auto"/>
              </w:rPr>
            </w:pPr>
          </w:p>
        </w:tc>
        <w:tc>
          <w:tcPr>
            <w:tcW w:w="560" w:type="dxa"/>
            <w:vAlign w:val="bottom"/>
            <w:shd w:val="clear" w:color="auto" w:fill="009AD9"/>
          </w:tcPr>
          <w:p>
            <w:pPr>
              <w:spacing w:after="0"/>
              <w:rPr>
                <w:sz w:val="14"/>
                <w:szCs w:val="14"/>
                <w:color w:val="auto"/>
              </w:rPr>
            </w:pPr>
          </w:p>
        </w:tc>
        <w:tc>
          <w:tcPr>
            <w:tcW w:w="640" w:type="dxa"/>
            <w:vAlign w:val="bottom"/>
            <w:shd w:val="clear" w:color="auto" w:fill="009AD9"/>
          </w:tcPr>
          <w:p>
            <w:pPr>
              <w:spacing w:after="0"/>
              <w:rPr>
                <w:sz w:val="14"/>
                <w:szCs w:val="14"/>
                <w:color w:val="auto"/>
              </w:rPr>
            </w:pPr>
          </w:p>
        </w:tc>
        <w:tc>
          <w:tcPr>
            <w:tcW w:w="580" w:type="dxa"/>
            <w:vAlign w:val="bottom"/>
            <w:shd w:val="clear" w:color="auto" w:fill="009AD9"/>
          </w:tcPr>
          <w:p>
            <w:pPr>
              <w:spacing w:after="0"/>
              <w:rPr>
                <w:sz w:val="14"/>
                <w:szCs w:val="14"/>
                <w:color w:val="auto"/>
              </w:rPr>
            </w:pPr>
          </w:p>
        </w:tc>
        <w:tc>
          <w:tcPr>
            <w:tcW w:w="760" w:type="dxa"/>
            <w:vAlign w:val="bottom"/>
            <w:shd w:val="clear" w:color="auto" w:fill="009AD9"/>
          </w:tcPr>
          <w:p>
            <w:pPr>
              <w:spacing w:after="0"/>
              <w:rPr>
                <w:sz w:val="14"/>
                <w:szCs w:val="14"/>
                <w:color w:val="auto"/>
              </w:rPr>
            </w:pPr>
          </w:p>
        </w:tc>
        <w:tc>
          <w:tcPr>
            <w:tcW w:w="760" w:type="dxa"/>
            <w:vAlign w:val="bottom"/>
            <w:shd w:val="clear" w:color="auto" w:fill="009AD9"/>
          </w:tcPr>
          <w:p>
            <w:pPr>
              <w:spacing w:after="0"/>
              <w:rPr>
                <w:sz w:val="14"/>
                <w:szCs w:val="14"/>
                <w:color w:val="auto"/>
              </w:rPr>
            </w:pPr>
          </w:p>
        </w:tc>
        <w:tc>
          <w:tcPr>
            <w:tcW w:w="700" w:type="dxa"/>
            <w:vAlign w:val="bottom"/>
            <w:shd w:val="clear" w:color="auto" w:fill="009AD9"/>
          </w:tcPr>
          <w:p>
            <w:pPr>
              <w:jc w:val="center"/>
              <w:ind w:left="72"/>
              <w:spacing w:after="0"/>
              <w:rPr>
                <w:sz w:val="20"/>
                <w:szCs w:val="20"/>
                <w:color w:val="auto"/>
              </w:rPr>
            </w:pPr>
            <w:r>
              <w:rPr>
                <w:rFonts w:ascii="Arial" w:cs="Arial" w:eastAsia="Arial" w:hAnsi="Arial"/>
                <w:sz w:val="10"/>
                <w:szCs w:val="10"/>
                <w:b w:val="1"/>
                <w:bCs w:val="1"/>
                <w:color w:val="FFFFFF"/>
                <w:w w:val="98"/>
              </w:rPr>
              <w:t>Equity</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760" w:type="dxa"/>
            <w:vAlign w:val="bottom"/>
            <w:shd w:val="clear" w:color="auto" w:fill="009AD9"/>
          </w:tcPr>
          <w:p>
            <w:pPr>
              <w:spacing w:after="0"/>
              <w:rPr>
                <w:sz w:val="9"/>
                <w:szCs w:val="9"/>
                <w:color w:val="auto"/>
              </w:rPr>
            </w:pPr>
          </w:p>
        </w:tc>
        <w:tc>
          <w:tcPr>
            <w:tcW w:w="760" w:type="dxa"/>
            <w:vAlign w:val="bottom"/>
            <w:shd w:val="clear" w:color="auto" w:fill="009AD9"/>
          </w:tcPr>
          <w:p>
            <w:pPr>
              <w:ind w:left="220"/>
              <w:spacing w:after="0" w:line="109" w:lineRule="exact"/>
              <w:rPr>
                <w:sz w:val="20"/>
                <w:szCs w:val="20"/>
                <w:color w:val="auto"/>
              </w:rPr>
            </w:pPr>
            <w:r>
              <w:rPr>
                <w:rFonts w:ascii="Arial" w:cs="Arial" w:eastAsia="Arial" w:hAnsi="Arial"/>
                <w:sz w:val="10"/>
                <w:szCs w:val="10"/>
                <w:b w:val="1"/>
                <w:bCs w:val="1"/>
                <w:color w:val="FFFFFF"/>
              </w:rPr>
              <w:t>Equity</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6"/>
              </w:rPr>
              <w:t>Incentive</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760" w:type="dxa"/>
            <w:vAlign w:val="bottom"/>
            <w:shd w:val="clear" w:color="auto" w:fill="009AD9"/>
          </w:tcPr>
          <w:p>
            <w:pPr>
              <w:spacing w:after="0"/>
              <w:rPr>
                <w:sz w:val="9"/>
                <w:szCs w:val="9"/>
                <w:color w:val="auto"/>
              </w:rPr>
            </w:pP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Incentive</w:t>
            </w:r>
          </w:p>
        </w:tc>
        <w:tc>
          <w:tcPr>
            <w:tcW w:w="70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4"/>
              </w:rPr>
              <w:t>Plan</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9"/>
              </w:rPr>
              <w:t>Market</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Plan</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6"/>
              </w:rPr>
              <w:t>Awards:</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760" w:type="dxa"/>
            <w:vAlign w:val="bottom"/>
            <w:shd w:val="clear" w:color="auto" w:fill="009AD9"/>
          </w:tcPr>
          <w:p>
            <w:pPr>
              <w:jc w:val="center"/>
              <w:ind w:right="52"/>
              <w:spacing w:after="0" w:line="109" w:lineRule="exact"/>
              <w:rPr>
                <w:sz w:val="20"/>
                <w:szCs w:val="20"/>
                <w:color w:val="auto"/>
              </w:rPr>
            </w:pPr>
            <w:r>
              <w:rPr>
                <w:rFonts w:ascii="Arial" w:cs="Arial" w:eastAsia="Arial" w:hAnsi="Arial"/>
                <w:sz w:val="10"/>
                <w:szCs w:val="10"/>
                <w:b w:val="1"/>
                <w:bCs w:val="1"/>
                <w:color w:val="FFFFFF"/>
                <w:w w:val="97"/>
              </w:rPr>
              <w:t>Value</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Awards:</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2"/>
              </w:rPr>
              <w:t>Market</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1"/>
              </w:rPr>
              <w:t>Equity</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84"/>
              </w:rPr>
              <w:t>of</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Number</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9"/>
              </w:rPr>
              <w:t>or Payout</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Incentive</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w:t>
            </w: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5"/>
              </w:rPr>
              <w:t>Shares</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of</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7"/>
              </w:rPr>
              <w:t>Value of</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800" w:type="dxa"/>
            <w:vAlign w:val="bottom"/>
            <w:shd w:val="clear" w:color="auto" w:fill="009AD9"/>
          </w:tcPr>
          <w:p>
            <w:pPr>
              <w:spacing w:after="0"/>
              <w:rPr>
                <w:sz w:val="9"/>
                <w:szCs w:val="9"/>
                <w:color w:val="auto"/>
              </w:rPr>
            </w:pP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Plan</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of</w:t>
            </w:r>
          </w:p>
        </w:tc>
        <w:tc>
          <w:tcPr>
            <w:tcW w:w="760" w:type="dxa"/>
            <w:vAlign w:val="bottom"/>
            <w:shd w:val="clear" w:color="auto" w:fill="009AD9"/>
          </w:tcPr>
          <w:p>
            <w:pPr>
              <w:jc w:val="center"/>
              <w:ind w:right="52"/>
              <w:spacing w:after="0" w:line="109" w:lineRule="exact"/>
              <w:rPr>
                <w:sz w:val="20"/>
                <w:szCs w:val="20"/>
                <w:color w:val="auto"/>
              </w:rPr>
            </w:pPr>
            <w:r>
              <w:rPr>
                <w:rFonts w:ascii="Arial" w:cs="Arial" w:eastAsia="Arial" w:hAnsi="Arial"/>
                <w:sz w:val="10"/>
                <w:szCs w:val="10"/>
                <w:b w:val="1"/>
                <w:bCs w:val="1"/>
                <w:color w:val="FFFFFF"/>
                <w:w w:val="99"/>
              </w:rPr>
              <w:t>or</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Unearned</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9"/>
              </w:rPr>
              <w:t>Unearned</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rPr>
              <w:t>Number</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w:t>
            </w: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Awards:</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Shares</w:t>
            </w: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5"/>
              </w:rPr>
              <w:t>Units</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Shares,</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3"/>
              </w:rPr>
              <w:t>Shares,</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rPr>
              <w:t>of</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of</w:t>
            </w: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 of</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or Units</w:t>
            </w: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84"/>
              </w:rPr>
              <w:t>of</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Units or</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rPr>
              <w:t>Units or</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6"/>
              </w:rPr>
              <w:t>Securities</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Securities</w:t>
            </w: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Securities</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of Stock</w:t>
            </w:r>
          </w:p>
        </w:tc>
        <w:tc>
          <w:tcPr>
            <w:tcW w:w="760" w:type="dxa"/>
            <w:vAlign w:val="bottom"/>
            <w:shd w:val="clear" w:color="auto" w:fill="009AD9"/>
          </w:tcPr>
          <w:p>
            <w:pPr>
              <w:jc w:val="center"/>
              <w:ind w:right="52"/>
              <w:spacing w:after="0" w:line="109" w:lineRule="exact"/>
              <w:rPr>
                <w:sz w:val="20"/>
                <w:szCs w:val="20"/>
                <w:color w:val="auto"/>
              </w:rPr>
            </w:pPr>
            <w:r>
              <w:rPr>
                <w:rFonts w:ascii="Arial" w:cs="Arial" w:eastAsia="Arial" w:hAnsi="Arial"/>
                <w:sz w:val="10"/>
                <w:szCs w:val="10"/>
                <w:b w:val="1"/>
                <w:bCs w:val="1"/>
                <w:color w:val="FFFFFF"/>
                <w:w w:val="95"/>
              </w:rPr>
              <w:t>Stock</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Other</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7"/>
              </w:rPr>
              <w:t>Other</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5"/>
              </w:rPr>
              <w:t>Underlying</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Underlying</w:t>
            </w: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Underlying</w:t>
            </w:r>
          </w:p>
        </w:tc>
        <w:tc>
          <w:tcPr>
            <w:tcW w:w="56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That</w:t>
            </w: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w w:val="94"/>
              </w:rPr>
              <w:t>That</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Rights</w:t>
            </w:r>
          </w:p>
        </w:tc>
        <w:tc>
          <w:tcPr>
            <w:tcW w:w="700" w:type="dxa"/>
            <w:vAlign w:val="bottom"/>
            <w:shd w:val="clear" w:color="auto" w:fill="009AD9"/>
          </w:tcPr>
          <w:p>
            <w:pPr>
              <w:jc w:val="center"/>
              <w:ind w:left="72"/>
              <w:spacing w:after="0" w:line="109" w:lineRule="exact"/>
              <w:rPr>
                <w:sz w:val="20"/>
                <w:szCs w:val="20"/>
                <w:color w:val="auto"/>
              </w:rPr>
            </w:pPr>
            <w:r>
              <w:rPr>
                <w:rFonts w:ascii="Arial" w:cs="Arial" w:eastAsia="Arial" w:hAnsi="Arial"/>
                <w:sz w:val="10"/>
                <w:szCs w:val="10"/>
                <w:b w:val="1"/>
                <w:bCs w:val="1"/>
                <w:color w:val="FFFFFF"/>
                <w:w w:val="96"/>
              </w:rPr>
              <w:t>Rights</w:t>
            </w:r>
          </w:p>
        </w:tc>
      </w:tr>
      <w:tr>
        <w:trPr>
          <w:trHeight w:val="109"/>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7"/>
              </w:rPr>
              <w:t>Unexercised</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Unexercised</w:t>
            </w:r>
          </w:p>
        </w:tc>
        <w:tc>
          <w:tcPr>
            <w:tcW w:w="7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Unexercised</w:t>
            </w:r>
          </w:p>
        </w:tc>
        <w:tc>
          <w:tcPr>
            <w:tcW w:w="5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Option</w:t>
            </w:r>
          </w:p>
        </w:tc>
        <w:tc>
          <w:tcPr>
            <w:tcW w:w="640" w:type="dxa"/>
            <w:vAlign w:val="bottom"/>
            <w:shd w:val="clear" w:color="auto" w:fill="009AD9"/>
          </w:tcPr>
          <w:p>
            <w:pPr>
              <w:spacing w:after="0"/>
              <w:rPr>
                <w:sz w:val="9"/>
                <w:szCs w:val="9"/>
                <w:color w:val="auto"/>
              </w:rPr>
            </w:pP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Have</w:t>
            </w:r>
          </w:p>
        </w:tc>
        <w:tc>
          <w:tcPr>
            <w:tcW w:w="760" w:type="dxa"/>
            <w:vAlign w:val="bottom"/>
            <w:shd w:val="clear" w:color="auto" w:fill="009AD9"/>
          </w:tcPr>
          <w:p>
            <w:pPr>
              <w:jc w:val="center"/>
              <w:ind w:right="32"/>
              <w:spacing w:after="0" w:line="109" w:lineRule="exact"/>
              <w:rPr>
                <w:sz w:val="20"/>
                <w:szCs w:val="20"/>
                <w:color w:val="auto"/>
              </w:rPr>
            </w:pPr>
            <w:r>
              <w:rPr>
                <w:rFonts w:ascii="Arial" w:cs="Arial" w:eastAsia="Arial" w:hAnsi="Arial"/>
                <w:sz w:val="10"/>
                <w:szCs w:val="10"/>
                <w:b w:val="1"/>
                <w:bCs w:val="1"/>
                <w:color w:val="FFFFFF"/>
              </w:rPr>
              <w:t>Have</w:t>
            </w:r>
          </w:p>
        </w:tc>
        <w:tc>
          <w:tcPr>
            <w:tcW w:w="7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That</w:t>
            </w:r>
          </w:p>
        </w:tc>
        <w:tc>
          <w:tcPr>
            <w:tcW w:w="70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4"/>
              </w:rPr>
              <w:t>That</w:t>
            </w:r>
          </w:p>
        </w:tc>
      </w:tr>
      <w:tr>
        <w:trPr>
          <w:trHeight w:val="108"/>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08" w:lineRule="exact"/>
              <w:rPr>
                <w:sz w:val="20"/>
                <w:szCs w:val="20"/>
                <w:color w:val="auto"/>
              </w:rPr>
            </w:pPr>
            <w:r>
              <w:rPr>
                <w:rFonts w:ascii="Arial" w:cs="Arial" w:eastAsia="Arial" w:hAnsi="Arial"/>
                <w:sz w:val="10"/>
                <w:szCs w:val="10"/>
                <w:b w:val="1"/>
                <w:bCs w:val="1"/>
                <w:color w:val="FFFFFF"/>
              </w:rPr>
              <w:t>Options</w:t>
            </w:r>
          </w:p>
        </w:tc>
        <w:tc>
          <w:tcPr>
            <w:tcW w:w="80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5"/>
              </w:rPr>
              <w:t>Options</w:t>
            </w:r>
          </w:p>
        </w:tc>
        <w:tc>
          <w:tcPr>
            <w:tcW w:w="72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5"/>
              </w:rPr>
              <w:t>Unearned</w:t>
            </w:r>
          </w:p>
        </w:tc>
        <w:tc>
          <w:tcPr>
            <w:tcW w:w="5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Exercise</w:t>
            </w:r>
          </w:p>
        </w:tc>
        <w:tc>
          <w:tcPr>
            <w:tcW w:w="6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9"/>
              </w:rPr>
              <w:t>Option</w:t>
            </w:r>
          </w:p>
        </w:tc>
        <w:tc>
          <w:tcPr>
            <w:tcW w:w="5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5"/>
              </w:rPr>
              <w:t>Not</w:t>
            </w:r>
          </w:p>
        </w:tc>
        <w:tc>
          <w:tcPr>
            <w:tcW w:w="760" w:type="dxa"/>
            <w:vAlign w:val="bottom"/>
            <w:shd w:val="clear" w:color="auto" w:fill="009AD9"/>
          </w:tcPr>
          <w:p>
            <w:pPr>
              <w:jc w:val="center"/>
              <w:ind w:right="32"/>
              <w:spacing w:after="0" w:line="108" w:lineRule="exact"/>
              <w:rPr>
                <w:sz w:val="20"/>
                <w:szCs w:val="20"/>
                <w:color w:val="auto"/>
              </w:rPr>
            </w:pPr>
            <w:r>
              <w:rPr>
                <w:rFonts w:ascii="Arial" w:cs="Arial" w:eastAsia="Arial" w:hAnsi="Arial"/>
                <w:sz w:val="10"/>
                <w:szCs w:val="10"/>
                <w:b w:val="1"/>
                <w:bCs w:val="1"/>
                <w:color w:val="FFFFFF"/>
                <w:w w:val="95"/>
              </w:rPr>
              <w:t>Not</w:t>
            </w:r>
          </w:p>
        </w:tc>
        <w:tc>
          <w:tcPr>
            <w:tcW w:w="7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6"/>
              </w:rPr>
              <w:t>Have Not</w:t>
            </w:r>
          </w:p>
        </w:tc>
        <w:tc>
          <w:tcPr>
            <w:tcW w:w="700" w:type="dxa"/>
            <w:vAlign w:val="bottom"/>
            <w:shd w:val="clear" w:color="auto" w:fill="009AD9"/>
          </w:tcPr>
          <w:p>
            <w:pPr>
              <w:jc w:val="center"/>
              <w:ind w:left="72"/>
              <w:spacing w:after="0" w:line="108" w:lineRule="exact"/>
              <w:rPr>
                <w:sz w:val="20"/>
                <w:szCs w:val="20"/>
                <w:color w:val="auto"/>
              </w:rPr>
            </w:pPr>
            <w:r>
              <w:rPr>
                <w:rFonts w:ascii="Arial" w:cs="Arial" w:eastAsia="Arial" w:hAnsi="Arial"/>
                <w:sz w:val="10"/>
                <w:szCs w:val="10"/>
                <w:b w:val="1"/>
                <w:bCs w:val="1"/>
                <w:color w:val="FFFFFF"/>
                <w:w w:val="96"/>
              </w:rPr>
              <w:t>Have Not</w:t>
            </w:r>
          </w:p>
        </w:tc>
      </w:tr>
      <w:tr>
        <w:trPr>
          <w:trHeight w:val="111"/>
        </w:trPr>
        <w:tc>
          <w:tcPr>
            <w:tcW w:w="1100" w:type="dxa"/>
            <w:vAlign w:val="bottom"/>
            <w:shd w:val="clear" w:color="auto" w:fill="009AD9"/>
          </w:tcPr>
          <w:p>
            <w:pPr>
              <w:spacing w:after="0"/>
              <w:rPr>
                <w:sz w:val="9"/>
                <w:szCs w:val="9"/>
                <w:color w:val="auto"/>
              </w:rPr>
            </w:pPr>
          </w:p>
        </w:tc>
        <w:tc>
          <w:tcPr>
            <w:tcW w:w="800" w:type="dxa"/>
            <w:vAlign w:val="bottom"/>
            <w:shd w:val="clear" w:color="auto" w:fill="009AD9"/>
          </w:tcPr>
          <w:p>
            <w:pPr>
              <w:jc w:val="center"/>
              <w:ind w:left="12"/>
              <w:spacing w:after="0" w:line="111" w:lineRule="exact"/>
              <w:rPr>
                <w:sz w:val="20"/>
                <w:szCs w:val="20"/>
                <w:color w:val="auto"/>
              </w:rPr>
            </w:pPr>
            <w:r>
              <w:rPr>
                <w:rFonts w:ascii="Arial" w:cs="Arial" w:eastAsia="Arial" w:hAnsi="Arial"/>
                <w:sz w:val="10"/>
                <w:szCs w:val="10"/>
                <w:b w:val="1"/>
                <w:bCs w:val="1"/>
                <w:color w:val="FFFFFF"/>
                <w:w w:val="97"/>
              </w:rPr>
              <w:t>Exercisable</w:t>
            </w:r>
          </w:p>
        </w:tc>
        <w:tc>
          <w:tcPr>
            <w:tcW w:w="80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7"/>
              </w:rPr>
              <w:t>Unexercisable</w:t>
            </w:r>
          </w:p>
        </w:tc>
        <w:tc>
          <w:tcPr>
            <w:tcW w:w="72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5"/>
              </w:rPr>
              <w:t>Options</w:t>
            </w:r>
          </w:p>
        </w:tc>
        <w:tc>
          <w:tcPr>
            <w:tcW w:w="56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7"/>
              </w:rPr>
              <w:t>Price</w:t>
            </w:r>
          </w:p>
        </w:tc>
        <w:tc>
          <w:tcPr>
            <w:tcW w:w="64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8"/>
              </w:rPr>
              <w:t>Expiration</w:t>
            </w:r>
          </w:p>
        </w:tc>
        <w:tc>
          <w:tcPr>
            <w:tcW w:w="58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Vested</w:t>
            </w:r>
            <w:r>
              <w:rPr>
                <w:rFonts w:ascii="Arial" w:cs="Arial" w:eastAsia="Arial" w:hAnsi="Arial"/>
                <w:sz w:val="12"/>
                <w:szCs w:val="12"/>
                <w:b w:val="1"/>
                <w:bCs w:val="1"/>
                <w:color w:val="FFFFFF"/>
                <w:vertAlign w:val="superscript"/>
              </w:rPr>
              <w:t>(1)</w:t>
            </w:r>
          </w:p>
        </w:tc>
        <w:tc>
          <w:tcPr>
            <w:tcW w:w="760" w:type="dxa"/>
            <w:vAlign w:val="bottom"/>
            <w:shd w:val="clear" w:color="auto" w:fill="009AD9"/>
          </w:tcPr>
          <w:p>
            <w:pPr>
              <w:jc w:val="center"/>
              <w:ind w:right="32"/>
              <w:spacing w:after="0" w:line="111" w:lineRule="exact"/>
              <w:rPr>
                <w:sz w:val="20"/>
                <w:szCs w:val="20"/>
                <w:color w:val="auto"/>
              </w:rPr>
            </w:pPr>
            <w:r>
              <w:rPr>
                <w:rFonts w:ascii="Arial" w:cs="Arial" w:eastAsia="Arial" w:hAnsi="Arial"/>
                <w:sz w:val="10"/>
                <w:szCs w:val="10"/>
                <w:b w:val="1"/>
                <w:bCs w:val="1"/>
                <w:color w:val="FFFFFF"/>
                <w:w w:val="97"/>
              </w:rPr>
              <w:t>Vested</w:t>
            </w:r>
          </w:p>
        </w:tc>
        <w:tc>
          <w:tcPr>
            <w:tcW w:w="76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Vested</w:t>
            </w:r>
            <w:r>
              <w:rPr>
                <w:rFonts w:ascii="Arial" w:cs="Arial" w:eastAsia="Arial" w:hAnsi="Arial"/>
                <w:sz w:val="12"/>
                <w:szCs w:val="12"/>
                <w:b w:val="1"/>
                <w:bCs w:val="1"/>
                <w:color w:val="FFFFFF"/>
                <w:vertAlign w:val="superscript"/>
              </w:rPr>
              <w:t>(2)</w:t>
            </w:r>
          </w:p>
        </w:tc>
        <w:tc>
          <w:tcPr>
            <w:tcW w:w="700" w:type="dxa"/>
            <w:vAlign w:val="bottom"/>
            <w:shd w:val="clear" w:color="auto" w:fill="009AD9"/>
          </w:tcPr>
          <w:p>
            <w:pPr>
              <w:jc w:val="center"/>
              <w:ind w:left="72"/>
              <w:spacing w:after="0" w:line="111" w:lineRule="exact"/>
              <w:rPr>
                <w:sz w:val="20"/>
                <w:szCs w:val="20"/>
                <w:color w:val="auto"/>
              </w:rPr>
            </w:pPr>
            <w:r>
              <w:rPr>
                <w:rFonts w:ascii="Arial" w:cs="Arial" w:eastAsia="Arial" w:hAnsi="Arial"/>
                <w:sz w:val="10"/>
                <w:szCs w:val="10"/>
                <w:b w:val="1"/>
                <w:bCs w:val="1"/>
                <w:color w:val="FFFFFF"/>
                <w:w w:val="91"/>
              </w:rPr>
              <w:t>Vested</w:t>
            </w:r>
          </w:p>
        </w:tc>
      </w:tr>
      <w:tr>
        <w:trPr>
          <w:trHeight w:val="143"/>
        </w:trPr>
        <w:tc>
          <w:tcPr>
            <w:tcW w:w="110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800" w:type="dxa"/>
            <w:vAlign w:val="bottom"/>
            <w:tcBorders>
              <w:bottom w:val="single" w:sz="8" w:color="009AD9"/>
            </w:tcBorders>
            <w:shd w:val="clear" w:color="auto" w:fill="009AD9"/>
          </w:tcPr>
          <w:p>
            <w:pPr>
              <w:jc w:val="right"/>
              <w:ind w:right="252"/>
              <w:spacing w:after="0"/>
              <w:rPr>
                <w:sz w:val="20"/>
                <w:szCs w:val="20"/>
                <w:color w:val="auto"/>
              </w:rPr>
            </w:pPr>
            <w:r>
              <w:rPr>
                <w:rFonts w:ascii="Arial" w:cs="Arial" w:eastAsia="Arial" w:hAnsi="Arial"/>
                <w:sz w:val="10"/>
                <w:szCs w:val="10"/>
                <w:b w:val="1"/>
                <w:bCs w:val="1"/>
                <w:color w:val="FFFFFF"/>
              </w:rPr>
              <w:t>(#)</w:t>
            </w:r>
          </w:p>
        </w:tc>
        <w:tc>
          <w:tcPr>
            <w:tcW w:w="800" w:type="dxa"/>
            <w:vAlign w:val="bottom"/>
            <w:tcBorders>
              <w:bottom w:val="single" w:sz="8" w:color="009AD9"/>
            </w:tcBorders>
            <w:shd w:val="clear" w:color="auto" w:fill="009AD9"/>
          </w:tcPr>
          <w:p>
            <w:pPr>
              <w:jc w:val="right"/>
              <w:ind w:right="292"/>
              <w:spacing w:after="0"/>
              <w:rPr>
                <w:sz w:val="20"/>
                <w:szCs w:val="20"/>
                <w:color w:val="auto"/>
              </w:rPr>
            </w:pPr>
            <w:r>
              <w:rPr>
                <w:rFonts w:ascii="Arial" w:cs="Arial" w:eastAsia="Arial" w:hAnsi="Arial"/>
                <w:sz w:val="10"/>
                <w:szCs w:val="10"/>
                <w:b w:val="1"/>
                <w:bCs w:val="1"/>
                <w:color w:val="FFFFFF"/>
              </w:rPr>
              <w:t>(#)</w:t>
            </w:r>
          </w:p>
        </w:tc>
        <w:tc>
          <w:tcPr>
            <w:tcW w:w="720" w:type="dxa"/>
            <w:vAlign w:val="bottom"/>
            <w:tcBorders>
              <w:bottom w:val="single" w:sz="8" w:color="009AD9"/>
            </w:tcBorders>
            <w:shd w:val="clear" w:color="auto" w:fill="009AD9"/>
          </w:tcPr>
          <w:p>
            <w:pPr>
              <w:jc w:val="right"/>
              <w:ind w:right="252"/>
              <w:spacing w:after="0"/>
              <w:rPr>
                <w:sz w:val="20"/>
                <w:szCs w:val="20"/>
                <w:color w:val="auto"/>
              </w:rPr>
            </w:pPr>
            <w:r>
              <w:rPr>
                <w:rFonts w:ascii="Arial" w:cs="Arial" w:eastAsia="Arial" w:hAnsi="Arial"/>
                <w:sz w:val="10"/>
                <w:szCs w:val="10"/>
                <w:b w:val="1"/>
                <w:bCs w:val="1"/>
                <w:color w:val="FFFFFF"/>
              </w:rPr>
              <w:t>(#)</w:t>
            </w:r>
          </w:p>
        </w:tc>
        <w:tc>
          <w:tcPr>
            <w:tcW w:w="560" w:type="dxa"/>
            <w:vAlign w:val="bottom"/>
            <w:tcBorders>
              <w:bottom w:val="single" w:sz="8" w:color="009AD9"/>
            </w:tcBorders>
            <w:shd w:val="clear" w:color="auto" w:fill="009AD9"/>
          </w:tcPr>
          <w:p>
            <w:pPr>
              <w:jc w:val="right"/>
              <w:ind w:right="172"/>
              <w:spacing w:after="0"/>
              <w:rPr>
                <w:sz w:val="20"/>
                <w:szCs w:val="20"/>
                <w:color w:val="auto"/>
              </w:rPr>
            </w:pPr>
            <w:r>
              <w:rPr>
                <w:rFonts w:ascii="Arial" w:cs="Arial" w:eastAsia="Arial" w:hAnsi="Arial"/>
                <w:sz w:val="10"/>
                <w:szCs w:val="10"/>
                <w:b w:val="1"/>
                <w:bCs w:val="1"/>
                <w:color w:val="FFFFFF"/>
              </w:rPr>
              <w:t>($)</w:t>
            </w:r>
          </w:p>
        </w:tc>
        <w:tc>
          <w:tcPr>
            <w:tcW w:w="6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2"/>
              </w:rPr>
              <w:t>Date</w:t>
            </w:r>
          </w:p>
        </w:tc>
        <w:tc>
          <w:tcPr>
            <w:tcW w:w="5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760" w:type="dxa"/>
            <w:vAlign w:val="bottom"/>
            <w:tcBorders>
              <w:bottom w:val="single" w:sz="8" w:color="009AD9"/>
            </w:tcBorders>
            <w:shd w:val="clear" w:color="auto" w:fill="009AD9"/>
          </w:tcPr>
          <w:p>
            <w:pPr>
              <w:jc w:val="center"/>
              <w:ind w:right="32"/>
              <w:spacing w:after="0"/>
              <w:rPr>
                <w:sz w:val="20"/>
                <w:szCs w:val="20"/>
                <w:color w:val="auto"/>
              </w:rPr>
            </w:pPr>
            <w:r>
              <w:rPr>
                <w:rFonts w:ascii="Arial" w:cs="Arial" w:eastAsia="Arial" w:hAnsi="Arial"/>
                <w:sz w:val="10"/>
                <w:szCs w:val="10"/>
                <w:b w:val="1"/>
                <w:bCs w:val="1"/>
                <w:color w:val="FFFFFF"/>
                <w:w w:val="97"/>
              </w:rPr>
              <w:t>($)</w:t>
            </w:r>
          </w:p>
        </w:tc>
        <w:tc>
          <w:tcPr>
            <w:tcW w:w="7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700" w:type="dxa"/>
            <w:vAlign w:val="bottom"/>
            <w:tcBorders>
              <w:bottom w:val="single" w:sz="8" w:color="009AD9"/>
            </w:tcBorders>
            <w:shd w:val="clear" w:color="auto" w:fill="009AD9"/>
          </w:tcPr>
          <w:p>
            <w:pPr>
              <w:jc w:val="center"/>
              <w:ind w:left="52"/>
              <w:spacing w:after="0"/>
              <w:rPr>
                <w:sz w:val="20"/>
                <w:szCs w:val="20"/>
                <w:color w:val="auto"/>
              </w:rPr>
            </w:pPr>
            <w:r>
              <w:rPr>
                <w:rFonts w:ascii="Arial" w:cs="Arial" w:eastAsia="Arial" w:hAnsi="Arial"/>
                <w:sz w:val="10"/>
                <w:szCs w:val="10"/>
                <w:b w:val="1"/>
                <w:bCs w:val="1"/>
                <w:color w:val="FFFFFF"/>
                <w:w w:val="97"/>
              </w:rPr>
              <w:t>($)</w:t>
            </w:r>
          </w:p>
        </w:tc>
      </w:tr>
      <w:tr>
        <w:trPr>
          <w:trHeight w:val="155"/>
        </w:trPr>
        <w:tc>
          <w:tcPr>
            <w:tcW w:w="1100" w:type="dxa"/>
            <w:vAlign w:val="bottom"/>
          </w:tcPr>
          <w:p>
            <w:pPr>
              <w:ind w:left="40"/>
              <w:spacing w:after="0"/>
              <w:rPr>
                <w:sz w:val="20"/>
                <w:szCs w:val="20"/>
                <w:color w:val="auto"/>
              </w:rPr>
            </w:pPr>
            <w:r>
              <w:rPr>
                <w:rFonts w:ascii="Arial" w:cs="Arial" w:eastAsia="Arial" w:hAnsi="Arial"/>
                <w:sz w:val="10"/>
                <w:szCs w:val="10"/>
                <w:color w:val="auto"/>
              </w:rPr>
              <w:t>Lesar</w:t>
            </w:r>
          </w:p>
        </w:tc>
        <w:tc>
          <w:tcPr>
            <w:tcW w:w="80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640" w:type="dxa"/>
            <w:vAlign w:val="bottom"/>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898,557</w:t>
            </w:r>
          </w:p>
        </w:tc>
        <w:tc>
          <w:tcPr>
            <w:tcW w:w="760" w:type="dxa"/>
            <w:vAlign w:val="bottom"/>
          </w:tcPr>
          <w:p>
            <w:pPr>
              <w:jc w:val="right"/>
              <w:ind w:right="112"/>
              <w:spacing w:after="0"/>
              <w:rPr>
                <w:sz w:val="20"/>
                <w:szCs w:val="20"/>
                <w:color w:val="auto"/>
              </w:rPr>
            </w:pPr>
            <w:r>
              <w:rPr>
                <w:rFonts w:ascii="Arial" w:cs="Arial" w:eastAsia="Arial" w:hAnsi="Arial"/>
                <w:sz w:val="10"/>
                <w:szCs w:val="10"/>
                <w:color w:val="auto"/>
              </w:rPr>
              <w:t>26,947,724</w:t>
            </w:r>
          </w:p>
        </w:tc>
        <w:tc>
          <w:tcPr>
            <w:tcW w:w="760" w:type="dxa"/>
            <w:vAlign w:val="bottom"/>
          </w:tcPr>
          <w:p>
            <w:pPr>
              <w:ind w:left="220"/>
              <w:spacing w:after="0"/>
              <w:rPr>
                <w:sz w:val="20"/>
                <w:szCs w:val="20"/>
                <w:color w:val="auto"/>
              </w:rPr>
            </w:pPr>
            <w:r>
              <w:rPr>
                <w:rFonts w:ascii="Arial" w:cs="Arial" w:eastAsia="Arial" w:hAnsi="Arial"/>
                <w:sz w:val="10"/>
                <w:szCs w:val="10"/>
                <w:color w:val="auto"/>
              </w:rPr>
              <w:t>960,183</w:t>
            </w:r>
          </w:p>
        </w:tc>
        <w:tc>
          <w:tcPr>
            <w:tcW w:w="700" w:type="dxa"/>
            <w:vAlign w:val="bottom"/>
          </w:tcPr>
          <w:p>
            <w:pPr>
              <w:jc w:val="right"/>
              <w:spacing w:after="0"/>
              <w:rPr>
                <w:sz w:val="20"/>
                <w:szCs w:val="20"/>
                <w:color w:val="auto"/>
              </w:rPr>
            </w:pPr>
            <w:r>
              <w:rPr>
                <w:rFonts w:ascii="Arial" w:cs="Arial" w:eastAsia="Arial" w:hAnsi="Arial"/>
                <w:sz w:val="10"/>
                <w:szCs w:val="10"/>
                <w:color w:val="auto"/>
              </w:rPr>
              <w:t>28,795,873</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2"/>
        </w:trPr>
        <w:tc>
          <w:tcPr>
            <w:tcW w:w="11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Wells</w:t>
            </w:r>
          </w:p>
        </w:tc>
        <w:tc>
          <w:tcPr>
            <w:tcW w:w="80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8EFF9"/>
            </w:tcBorders>
            <w:shd w:val="clear" w:color="auto" w:fill="D8EFF9"/>
          </w:tcPr>
          <w:p>
            <w:pPr>
              <w:jc w:val="right"/>
              <w:ind w:right="17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8EFF9"/>
            </w:tcBorders>
            <w:shd w:val="clear" w:color="auto" w:fill="D8EFF9"/>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jc w:val="right"/>
              <w:ind w:right="52"/>
              <w:spacing w:after="0"/>
              <w:rPr>
                <w:sz w:val="20"/>
                <w:szCs w:val="20"/>
                <w:color w:val="auto"/>
              </w:rPr>
            </w:pPr>
            <w:r>
              <w:rPr>
                <w:rFonts w:ascii="Arial" w:cs="Arial" w:eastAsia="Arial" w:hAnsi="Arial"/>
                <w:sz w:val="10"/>
                <w:szCs w:val="10"/>
                <w:color w:val="auto"/>
              </w:rPr>
              <w:t>60,994</w:t>
            </w:r>
          </w:p>
        </w:tc>
        <w:tc>
          <w:tcPr>
            <w:tcW w:w="76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1,829,210</w:t>
            </w:r>
          </w:p>
        </w:tc>
        <w:tc>
          <w:tcPr>
            <w:tcW w:w="76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197,418</w:t>
            </w:r>
          </w:p>
        </w:tc>
        <w:tc>
          <w:tcPr>
            <w:tcW w:w="7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5,920,566</w:t>
            </w:r>
          </w:p>
        </w:tc>
      </w:tr>
      <w:tr>
        <w:trPr>
          <w:trHeight w:val="155"/>
        </w:trPr>
        <w:tc>
          <w:tcPr>
            <w:tcW w:w="1100" w:type="dxa"/>
            <w:vAlign w:val="bottom"/>
          </w:tcPr>
          <w:p>
            <w:pPr>
              <w:ind w:left="40"/>
              <w:spacing w:after="0"/>
              <w:rPr>
                <w:sz w:val="20"/>
                <w:szCs w:val="20"/>
                <w:color w:val="auto"/>
              </w:rPr>
            </w:pPr>
            <w:r>
              <w:rPr>
                <w:rFonts w:ascii="Arial" w:cs="Arial" w:eastAsia="Arial" w:hAnsi="Arial"/>
                <w:sz w:val="10"/>
                <w:szCs w:val="10"/>
                <w:color w:val="auto"/>
              </w:rPr>
              <w:t>Doyle</w:t>
            </w:r>
          </w:p>
        </w:tc>
        <w:tc>
          <w:tcPr>
            <w:tcW w:w="80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640" w:type="dxa"/>
            <w:vAlign w:val="bottom"/>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35,033</w:t>
            </w:r>
          </w:p>
        </w:tc>
        <w:tc>
          <w:tcPr>
            <w:tcW w:w="760" w:type="dxa"/>
            <w:vAlign w:val="bottom"/>
          </w:tcPr>
          <w:p>
            <w:pPr>
              <w:jc w:val="right"/>
              <w:ind w:right="112"/>
              <w:spacing w:after="0"/>
              <w:rPr>
                <w:sz w:val="20"/>
                <w:szCs w:val="20"/>
                <w:color w:val="auto"/>
              </w:rPr>
            </w:pPr>
            <w:r>
              <w:rPr>
                <w:rFonts w:ascii="Arial" w:cs="Arial" w:eastAsia="Arial" w:hAnsi="Arial"/>
                <w:sz w:val="10"/>
                <w:szCs w:val="10"/>
                <w:color w:val="auto"/>
              </w:rPr>
              <w:t>1,050,640</w:t>
            </w:r>
          </w:p>
        </w:tc>
        <w:tc>
          <w:tcPr>
            <w:tcW w:w="760" w:type="dxa"/>
            <w:vAlign w:val="bottom"/>
          </w:tcPr>
          <w:p>
            <w:pPr>
              <w:ind w:left="220"/>
              <w:spacing w:after="0"/>
              <w:rPr>
                <w:sz w:val="20"/>
                <w:szCs w:val="20"/>
                <w:color w:val="auto"/>
              </w:rPr>
            </w:pPr>
            <w:r>
              <w:rPr>
                <w:rFonts w:ascii="Arial" w:cs="Arial" w:eastAsia="Arial" w:hAnsi="Arial"/>
                <w:sz w:val="10"/>
                <w:szCs w:val="10"/>
                <w:color w:val="auto"/>
              </w:rPr>
              <w:t>142,658</w:t>
            </w:r>
          </w:p>
        </w:tc>
        <w:tc>
          <w:tcPr>
            <w:tcW w:w="700" w:type="dxa"/>
            <w:vAlign w:val="bottom"/>
          </w:tcPr>
          <w:p>
            <w:pPr>
              <w:jc w:val="right"/>
              <w:spacing w:after="0"/>
              <w:rPr>
                <w:sz w:val="20"/>
                <w:szCs w:val="20"/>
                <w:color w:val="auto"/>
              </w:rPr>
            </w:pPr>
            <w:r>
              <w:rPr>
                <w:rFonts w:ascii="Arial" w:cs="Arial" w:eastAsia="Arial" w:hAnsi="Arial"/>
                <w:sz w:val="10"/>
                <w:szCs w:val="10"/>
                <w:color w:val="auto"/>
              </w:rPr>
              <w:t>4,278,298</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2"/>
        </w:trPr>
        <w:tc>
          <w:tcPr>
            <w:tcW w:w="11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Karuturi</w:t>
            </w:r>
          </w:p>
        </w:tc>
        <w:tc>
          <w:tcPr>
            <w:tcW w:w="80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8EFF9"/>
            </w:tcBorders>
            <w:shd w:val="clear" w:color="auto" w:fill="D8EFF9"/>
          </w:tcPr>
          <w:p>
            <w:pPr>
              <w:jc w:val="right"/>
              <w:ind w:right="17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8EFF9"/>
            </w:tcBorders>
            <w:shd w:val="clear" w:color="auto" w:fill="D8EFF9"/>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jc w:val="right"/>
              <w:ind w:right="52"/>
              <w:spacing w:after="0"/>
              <w:rPr>
                <w:sz w:val="20"/>
                <w:szCs w:val="20"/>
                <w:color w:val="auto"/>
              </w:rPr>
            </w:pPr>
            <w:r>
              <w:rPr>
                <w:rFonts w:ascii="Arial" w:cs="Arial" w:eastAsia="Arial" w:hAnsi="Arial"/>
                <w:sz w:val="10"/>
                <w:szCs w:val="10"/>
                <w:color w:val="auto"/>
              </w:rPr>
              <w:t>28,016</w:t>
            </w:r>
          </w:p>
        </w:tc>
        <w:tc>
          <w:tcPr>
            <w:tcW w:w="76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840,200</w:t>
            </w:r>
          </w:p>
        </w:tc>
        <w:tc>
          <w:tcPr>
            <w:tcW w:w="76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119,617</w:t>
            </w:r>
          </w:p>
        </w:tc>
        <w:tc>
          <w:tcPr>
            <w:tcW w:w="7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3,587,314</w:t>
            </w:r>
          </w:p>
        </w:tc>
      </w:tr>
      <w:tr>
        <w:trPr>
          <w:trHeight w:val="155"/>
        </w:trPr>
        <w:tc>
          <w:tcPr>
            <w:tcW w:w="1100" w:type="dxa"/>
            <w:vAlign w:val="bottom"/>
          </w:tcPr>
          <w:p>
            <w:pPr>
              <w:ind w:left="40"/>
              <w:spacing w:after="0"/>
              <w:rPr>
                <w:sz w:val="20"/>
                <w:szCs w:val="20"/>
                <w:color w:val="auto"/>
              </w:rPr>
            </w:pPr>
            <w:r>
              <w:rPr>
                <w:rFonts w:ascii="Arial" w:cs="Arial" w:eastAsia="Arial" w:hAnsi="Arial"/>
                <w:sz w:val="10"/>
                <w:szCs w:val="10"/>
                <w:color w:val="auto"/>
              </w:rPr>
              <w:t>Knight</w:t>
            </w:r>
          </w:p>
        </w:tc>
        <w:tc>
          <w:tcPr>
            <w:tcW w:w="80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640" w:type="dxa"/>
            <w:vAlign w:val="bottom"/>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36,372</w:t>
            </w:r>
          </w:p>
        </w:tc>
        <w:tc>
          <w:tcPr>
            <w:tcW w:w="760" w:type="dxa"/>
            <w:vAlign w:val="bottom"/>
          </w:tcPr>
          <w:p>
            <w:pPr>
              <w:jc w:val="right"/>
              <w:ind w:right="112"/>
              <w:spacing w:after="0"/>
              <w:rPr>
                <w:sz w:val="20"/>
                <w:szCs w:val="20"/>
                <w:color w:val="auto"/>
              </w:rPr>
            </w:pPr>
            <w:r>
              <w:rPr>
                <w:rFonts w:ascii="Arial" w:cs="Arial" w:eastAsia="Arial" w:hAnsi="Arial"/>
                <w:sz w:val="10"/>
                <w:szCs w:val="10"/>
                <w:color w:val="auto"/>
              </w:rPr>
              <w:t>1,090,796</w:t>
            </w:r>
          </w:p>
        </w:tc>
        <w:tc>
          <w:tcPr>
            <w:tcW w:w="760" w:type="dxa"/>
            <w:vAlign w:val="bottom"/>
          </w:tcPr>
          <w:p>
            <w:pPr>
              <w:ind w:left="220"/>
              <w:spacing w:after="0"/>
              <w:rPr>
                <w:sz w:val="20"/>
                <w:szCs w:val="20"/>
                <w:color w:val="auto"/>
              </w:rPr>
            </w:pPr>
            <w:r>
              <w:rPr>
                <w:rFonts w:ascii="Arial" w:cs="Arial" w:eastAsia="Arial" w:hAnsi="Arial"/>
                <w:sz w:val="10"/>
                <w:szCs w:val="10"/>
                <w:color w:val="auto"/>
              </w:rPr>
              <w:t>113,130</w:t>
            </w:r>
          </w:p>
        </w:tc>
        <w:tc>
          <w:tcPr>
            <w:tcW w:w="700" w:type="dxa"/>
            <w:vAlign w:val="bottom"/>
          </w:tcPr>
          <w:p>
            <w:pPr>
              <w:jc w:val="right"/>
              <w:spacing w:after="0"/>
              <w:rPr>
                <w:sz w:val="20"/>
                <w:szCs w:val="20"/>
                <w:color w:val="auto"/>
              </w:rPr>
            </w:pPr>
            <w:r>
              <w:rPr>
                <w:rFonts w:ascii="Arial" w:cs="Arial" w:eastAsia="Arial" w:hAnsi="Arial"/>
                <w:sz w:val="10"/>
                <w:szCs w:val="10"/>
                <w:color w:val="auto"/>
              </w:rPr>
              <w:t>3,392,754</w:t>
            </w:r>
          </w:p>
        </w:tc>
      </w:tr>
    </w:tbl>
    <w:p>
      <w:pPr>
        <w:spacing w:after="0" w:line="112" w:lineRule="exact"/>
        <w:rPr>
          <w:sz w:val="20"/>
          <w:szCs w:val="20"/>
          <w:color w:val="auto"/>
        </w:rPr>
      </w:pPr>
    </w:p>
    <w:p>
      <w:pPr>
        <w:ind w:left="2160" w:hanging="226"/>
        <w:spacing w:after="0"/>
        <w:tabs>
          <w:tab w:leader="none" w:pos="2160" w:val="left"/>
        </w:tabs>
        <w:numPr>
          <w:ilvl w:val="0"/>
          <w:numId w:val="94"/>
        </w:numPr>
        <w:rPr>
          <w:rFonts w:ascii="Arial" w:cs="Arial" w:eastAsia="Arial" w:hAnsi="Arial"/>
          <w:sz w:val="10"/>
          <w:szCs w:val="10"/>
          <w:color w:val="auto"/>
        </w:rPr>
      </w:pPr>
      <w:r>
        <w:rPr>
          <w:rFonts w:ascii="Arial" w:cs="Arial" w:eastAsia="Arial" w:hAnsi="Arial"/>
          <w:sz w:val="10"/>
          <w:szCs w:val="10"/>
          <w:color w:val="auto"/>
        </w:rPr>
        <w:t>Outstanding stock awards fully vest on the following dates:</w:t>
      </w:r>
    </w:p>
    <w:p>
      <w:pPr>
        <w:spacing w:after="0" w:line="155"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2420" w:type="dxa"/>
            <w:vAlign w:val="bottom"/>
            <w:shd w:val="clear" w:color="auto" w:fill="009AD9"/>
          </w:tcPr>
          <w:p>
            <w:pPr>
              <w:spacing w:after="0"/>
              <w:rPr>
                <w:sz w:val="11"/>
                <w:szCs w:val="11"/>
                <w:color w:val="auto"/>
              </w:rPr>
            </w:pPr>
          </w:p>
        </w:tc>
        <w:tc>
          <w:tcPr>
            <w:tcW w:w="1040" w:type="dxa"/>
            <w:vAlign w:val="bottom"/>
            <w:shd w:val="clear" w:color="auto" w:fill="009AD9"/>
          </w:tcPr>
          <w:p>
            <w:pPr>
              <w:ind w:left="260"/>
              <w:spacing w:after="0"/>
              <w:rPr>
                <w:sz w:val="20"/>
                <w:szCs w:val="20"/>
                <w:color w:val="auto"/>
              </w:rPr>
            </w:pPr>
            <w:r>
              <w:rPr>
                <w:rFonts w:ascii="Arial" w:cs="Arial" w:eastAsia="Arial" w:hAnsi="Arial"/>
                <w:sz w:val="10"/>
                <w:szCs w:val="10"/>
                <w:b w:val="1"/>
                <w:bCs w:val="1"/>
                <w:color w:val="FFFFFF"/>
              </w:rPr>
              <w:t>Type of Stock</w:t>
            </w:r>
          </w:p>
        </w:tc>
        <w:tc>
          <w:tcPr>
            <w:tcW w:w="920" w:type="dxa"/>
            <w:vAlign w:val="bottom"/>
            <w:shd w:val="clear" w:color="auto" w:fill="009AD9"/>
          </w:tcPr>
          <w:p>
            <w:pPr>
              <w:jc w:val="center"/>
              <w:ind w:right="92"/>
              <w:spacing w:after="0"/>
              <w:rPr>
                <w:sz w:val="20"/>
                <w:szCs w:val="20"/>
                <w:color w:val="auto"/>
              </w:rPr>
            </w:pPr>
            <w:r>
              <w:rPr>
                <w:rFonts w:ascii="Arial" w:cs="Arial" w:eastAsia="Arial" w:hAnsi="Arial"/>
                <w:sz w:val="10"/>
                <w:szCs w:val="10"/>
                <w:b w:val="1"/>
                <w:bCs w:val="1"/>
                <w:color w:val="FFFFFF"/>
                <w:w w:val="93"/>
              </w:rPr>
              <w:t>Vesting</w:t>
            </w:r>
          </w:p>
        </w:tc>
        <w:tc>
          <w:tcPr>
            <w:tcW w:w="380" w:type="dxa"/>
            <w:vAlign w:val="bottom"/>
            <w:shd w:val="clear" w:color="auto" w:fill="009AD9"/>
          </w:tcPr>
          <w:p>
            <w:pPr>
              <w:spacing w:after="0"/>
              <w:rPr>
                <w:sz w:val="11"/>
                <w:szCs w:val="11"/>
                <w:color w:val="auto"/>
              </w:rPr>
            </w:pPr>
          </w:p>
        </w:tc>
        <w:tc>
          <w:tcPr>
            <w:tcW w:w="260" w:type="dxa"/>
            <w:vAlign w:val="bottom"/>
            <w:shd w:val="clear" w:color="auto" w:fill="009AD9"/>
          </w:tcPr>
          <w:p>
            <w:pPr>
              <w:spacing w:after="0"/>
              <w:rPr>
                <w:sz w:val="11"/>
                <w:szCs w:val="11"/>
                <w:color w:val="auto"/>
              </w:rPr>
            </w:pPr>
          </w:p>
        </w:tc>
        <w:tc>
          <w:tcPr>
            <w:tcW w:w="320" w:type="dxa"/>
            <w:vAlign w:val="bottom"/>
            <w:shd w:val="clear" w:color="auto" w:fill="009AD9"/>
          </w:tcPr>
          <w:p>
            <w:pPr>
              <w:spacing w:after="0"/>
              <w:rPr>
                <w:sz w:val="11"/>
                <w:szCs w:val="11"/>
                <w:color w:val="auto"/>
              </w:rPr>
            </w:pPr>
          </w:p>
        </w:tc>
        <w:tc>
          <w:tcPr>
            <w:tcW w:w="260" w:type="dxa"/>
            <w:vAlign w:val="bottom"/>
            <w:shd w:val="clear" w:color="auto" w:fill="009AD9"/>
          </w:tcPr>
          <w:p>
            <w:pPr>
              <w:spacing w:after="0"/>
              <w:rPr>
                <w:sz w:val="11"/>
                <w:szCs w:val="11"/>
                <w:color w:val="auto"/>
              </w:rPr>
            </w:pPr>
          </w:p>
        </w:tc>
        <w:tc>
          <w:tcPr>
            <w:tcW w:w="340" w:type="dxa"/>
            <w:vAlign w:val="bottom"/>
            <w:shd w:val="clear" w:color="auto" w:fill="009AD9"/>
          </w:tcPr>
          <w:p>
            <w:pPr>
              <w:spacing w:after="0"/>
              <w:rPr>
                <w:sz w:val="11"/>
                <w:szCs w:val="11"/>
                <w:color w:val="auto"/>
              </w:rPr>
            </w:pPr>
          </w:p>
        </w:tc>
        <w:tc>
          <w:tcPr>
            <w:tcW w:w="260" w:type="dxa"/>
            <w:vAlign w:val="bottom"/>
            <w:shd w:val="clear" w:color="auto" w:fill="009AD9"/>
          </w:tcPr>
          <w:p>
            <w:pPr>
              <w:spacing w:after="0"/>
              <w:rPr>
                <w:sz w:val="11"/>
                <w:szCs w:val="11"/>
                <w:color w:val="auto"/>
              </w:rPr>
            </w:pPr>
          </w:p>
        </w:tc>
        <w:tc>
          <w:tcPr>
            <w:tcW w:w="380" w:type="dxa"/>
            <w:vAlign w:val="bottom"/>
            <w:shd w:val="clear" w:color="auto" w:fill="009AD9"/>
          </w:tcPr>
          <w:p>
            <w:pPr>
              <w:spacing w:after="0"/>
              <w:rPr>
                <w:sz w:val="11"/>
                <w:szCs w:val="11"/>
                <w:color w:val="auto"/>
              </w:rPr>
            </w:pPr>
          </w:p>
        </w:tc>
        <w:tc>
          <w:tcPr>
            <w:tcW w:w="260" w:type="dxa"/>
            <w:vAlign w:val="bottom"/>
            <w:shd w:val="clear" w:color="auto" w:fill="009AD9"/>
          </w:tcPr>
          <w:p>
            <w:pPr>
              <w:spacing w:after="0"/>
              <w:rPr>
                <w:sz w:val="11"/>
                <w:szCs w:val="11"/>
                <w:color w:val="auto"/>
              </w:rPr>
            </w:pPr>
          </w:p>
        </w:tc>
        <w:tc>
          <w:tcPr>
            <w:tcW w:w="340" w:type="dxa"/>
            <w:vAlign w:val="bottom"/>
            <w:shd w:val="clear" w:color="auto" w:fill="009AD9"/>
          </w:tcPr>
          <w:p>
            <w:pPr>
              <w:spacing w:after="0"/>
              <w:rPr>
                <w:sz w:val="11"/>
                <w:szCs w:val="11"/>
                <w:color w:val="auto"/>
              </w:rPr>
            </w:pPr>
          </w:p>
        </w:tc>
        <w:tc>
          <w:tcPr>
            <w:tcW w:w="20" w:type="dxa"/>
            <w:vAlign w:val="bottom"/>
            <w:shd w:val="clear" w:color="auto" w:fill="009AD9"/>
          </w:tcPr>
          <w:p>
            <w:pPr>
              <w:spacing w:after="0"/>
              <w:rPr>
                <w:sz w:val="11"/>
                <w:szCs w:val="11"/>
                <w:color w:val="auto"/>
              </w:rPr>
            </w:pPr>
          </w:p>
        </w:tc>
      </w:tr>
      <w:tr>
        <w:trPr>
          <w:trHeight w:val="143"/>
        </w:trPr>
        <w:tc>
          <w:tcPr>
            <w:tcW w:w="242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Grant Date</w:t>
            </w:r>
          </w:p>
        </w:tc>
        <w:tc>
          <w:tcPr>
            <w:tcW w:w="1040" w:type="dxa"/>
            <w:vAlign w:val="bottom"/>
            <w:tcBorders>
              <w:bottom w:val="single" w:sz="8" w:color="009AD9"/>
            </w:tcBorders>
            <w:shd w:val="clear" w:color="auto" w:fill="009AD9"/>
          </w:tcPr>
          <w:p>
            <w:pPr>
              <w:ind w:left="440"/>
              <w:spacing w:after="0"/>
              <w:rPr>
                <w:sz w:val="20"/>
                <w:szCs w:val="20"/>
                <w:color w:val="auto"/>
              </w:rPr>
            </w:pPr>
            <w:r>
              <w:rPr>
                <w:rFonts w:ascii="Arial" w:cs="Arial" w:eastAsia="Arial" w:hAnsi="Arial"/>
                <w:sz w:val="10"/>
                <w:szCs w:val="10"/>
                <w:b w:val="1"/>
                <w:bCs w:val="1"/>
                <w:color w:val="FFFFFF"/>
              </w:rPr>
              <w:t>Award</w:t>
            </w:r>
          </w:p>
        </w:tc>
        <w:tc>
          <w:tcPr>
            <w:tcW w:w="920" w:type="dxa"/>
            <w:vAlign w:val="bottom"/>
            <w:tcBorders>
              <w:bottom w:val="single" w:sz="8" w:color="009AD9"/>
            </w:tcBorders>
            <w:shd w:val="clear" w:color="auto" w:fill="009AD9"/>
          </w:tcPr>
          <w:p>
            <w:pPr>
              <w:jc w:val="center"/>
              <w:ind w:right="112"/>
              <w:spacing w:after="0"/>
              <w:rPr>
                <w:sz w:val="20"/>
                <w:szCs w:val="20"/>
                <w:color w:val="auto"/>
              </w:rPr>
            </w:pPr>
            <w:r>
              <w:rPr>
                <w:rFonts w:ascii="Arial" w:cs="Arial" w:eastAsia="Arial" w:hAnsi="Arial"/>
                <w:sz w:val="10"/>
                <w:szCs w:val="10"/>
                <w:b w:val="1"/>
                <w:bCs w:val="1"/>
                <w:color w:val="FFFFFF"/>
                <w:w w:val="92"/>
              </w:rPr>
              <w:t>Date</w:t>
            </w:r>
          </w:p>
        </w:tc>
        <w:tc>
          <w:tcPr>
            <w:tcW w:w="38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rPr>
              <w:t>Lesar</w:t>
            </w:r>
          </w:p>
        </w:tc>
        <w:tc>
          <w:tcPr>
            <w:tcW w:w="260" w:type="dxa"/>
            <w:vAlign w:val="bottom"/>
            <w:tcBorders>
              <w:bottom w:val="single" w:sz="8" w:color="009AD9"/>
            </w:tcBorders>
            <w:shd w:val="clear" w:color="auto" w:fill="009AD9"/>
          </w:tcPr>
          <w:p>
            <w:pPr>
              <w:spacing w:after="0"/>
              <w:rPr>
                <w:sz w:val="12"/>
                <w:szCs w:val="12"/>
                <w:color w:val="auto"/>
              </w:rPr>
            </w:pPr>
          </w:p>
        </w:tc>
        <w:tc>
          <w:tcPr>
            <w:tcW w:w="32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w w:val="99"/>
              </w:rPr>
              <w:t>Wells</w:t>
            </w:r>
          </w:p>
        </w:tc>
        <w:tc>
          <w:tcPr>
            <w:tcW w:w="260" w:type="dxa"/>
            <w:vAlign w:val="bottom"/>
            <w:tcBorders>
              <w:bottom w:val="single" w:sz="8" w:color="009AD9"/>
            </w:tcBorders>
            <w:shd w:val="clear" w:color="auto" w:fill="009AD9"/>
          </w:tcPr>
          <w:p>
            <w:pPr>
              <w:spacing w:after="0"/>
              <w:rPr>
                <w:sz w:val="12"/>
                <w:szCs w:val="12"/>
                <w:color w:val="auto"/>
              </w:rPr>
            </w:pPr>
          </w:p>
        </w:tc>
        <w:tc>
          <w:tcPr>
            <w:tcW w:w="34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rPr>
              <w:t>Doyle</w:t>
            </w:r>
          </w:p>
        </w:tc>
        <w:tc>
          <w:tcPr>
            <w:tcW w:w="640" w:type="dxa"/>
            <w:vAlign w:val="bottom"/>
            <w:tcBorders>
              <w:bottom w:val="single" w:sz="8" w:color="009AD9"/>
            </w:tcBorders>
            <w:gridSpan w:val="2"/>
            <w:shd w:val="clear" w:color="auto" w:fill="009AD9"/>
          </w:tcPr>
          <w:p>
            <w:pPr>
              <w:jc w:val="right"/>
              <w:spacing w:after="0"/>
              <w:rPr>
                <w:sz w:val="20"/>
                <w:szCs w:val="20"/>
                <w:color w:val="auto"/>
              </w:rPr>
            </w:pPr>
            <w:r>
              <w:rPr>
                <w:rFonts w:ascii="Arial" w:cs="Arial" w:eastAsia="Arial" w:hAnsi="Arial"/>
                <w:sz w:val="10"/>
                <w:szCs w:val="10"/>
                <w:b w:val="1"/>
                <w:bCs w:val="1"/>
                <w:color w:val="FFFFFF"/>
              </w:rPr>
              <w:t>Karuturi</w:t>
            </w:r>
          </w:p>
        </w:tc>
        <w:tc>
          <w:tcPr>
            <w:tcW w:w="260" w:type="dxa"/>
            <w:vAlign w:val="bottom"/>
            <w:tcBorders>
              <w:bottom w:val="single" w:sz="8" w:color="009AD9"/>
            </w:tcBorders>
            <w:shd w:val="clear" w:color="auto" w:fill="009AD9"/>
          </w:tcPr>
          <w:p>
            <w:pPr>
              <w:spacing w:after="0"/>
              <w:rPr>
                <w:sz w:val="12"/>
                <w:szCs w:val="12"/>
                <w:color w:val="auto"/>
              </w:rPr>
            </w:pPr>
          </w:p>
        </w:tc>
        <w:tc>
          <w:tcPr>
            <w:tcW w:w="360" w:type="dxa"/>
            <w:vAlign w:val="bottom"/>
            <w:tcBorders>
              <w:bottom w:val="single" w:sz="8" w:color="009AD9"/>
            </w:tcBorders>
            <w:gridSpan w:val="2"/>
            <w:shd w:val="clear" w:color="auto" w:fill="009AD9"/>
          </w:tcPr>
          <w:p>
            <w:pPr>
              <w:spacing w:after="0"/>
              <w:rPr>
                <w:sz w:val="20"/>
                <w:szCs w:val="20"/>
                <w:color w:val="auto"/>
              </w:rPr>
            </w:pPr>
            <w:r>
              <w:rPr>
                <w:rFonts w:ascii="Arial" w:cs="Arial" w:eastAsia="Arial" w:hAnsi="Arial"/>
                <w:sz w:val="10"/>
                <w:szCs w:val="10"/>
                <w:b w:val="1"/>
                <w:bCs w:val="1"/>
                <w:color w:val="FFFFFF"/>
              </w:rPr>
              <w:t>Knight</w:t>
            </w:r>
          </w:p>
        </w:tc>
      </w:tr>
      <w:tr>
        <w:trPr>
          <w:trHeight w:val="155"/>
        </w:trPr>
        <w:tc>
          <w:tcPr>
            <w:tcW w:w="2420" w:type="dxa"/>
            <w:vAlign w:val="bottom"/>
          </w:tcPr>
          <w:p>
            <w:pPr>
              <w:ind w:left="40"/>
              <w:spacing w:after="0"/>
              <w:rPr>
                <w:sz w:val="20"/>
                <w:szCs w:val="20"/>
                <w:color w:val="auto"/>
              </w:rPr>
            </w:pPr>
            <w:r>
              <w:rPr>
                <w:rFonts w:ascii="Arial" w:cs="Arial" w:eastAsia="Arial" w:hAnsi="Arial"/>
                <w:sz w:val="10"/>
                <w:szCs w:val="10"/>
                <w:color w:val="auto"/>
              </w:rPr>
              <w:t>2/19/2020</w:t>
            </w:r>
          </w:p>
        </w:tc>
        <w:tc>
          <w:tcPr>
            <w:tcW w:w="1040" w:type="dxa"/>
            <w:vAlign w:val="bottom"/>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Pr>
          <w:p>
            <w:pPr>
              <w:jc w:val="center"/>
              <w:ind w:right="72"/>
              <w:spacing w:after="0"/>
              <w:rPr>
                <w:sz w:val="20"/>
                <w:szCs w:val="20"/>
                <w:color w:val="auto"/>
              </w:rPr>
            </w:pPr>
            <w:r>
              <w:rPr>
                <w:rFonts w:ascii="Arial" w:cs="Arial" w:eastAsia="Arial" w:hAnsi="Arial"/>
                <w:sz w:val="10"/>
                <w:szCs w:val="10"/>
                <w:color w:val="auto"/>
                <w:w w:val="98"/>
              </w:rPr>
              <w:t>2/19/2023</w:t>
            </w: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9,648</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1,911</w:t>
            </w:r>
          </w:p>
        </w:tc>
        <w:tc>
          <w:tcPr>
            <w:tcW w:w="2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4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7/1/2020</w:t>
            </w:r>
          </w:p>
        </w:tc>
        <w:tc>
          <w:tcPr>
            <w:tcW w:w="104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Borders>
              <w:bottom w:val="single" w:sz="8" w:color="D8EFF9"/>
            </w:tcBorders>
            <w:shd w:val="clear" w:color="auto" w:fill="D8EFF9"/>
          </w:tcPr>
          <w:p>
            <w:pPr>
              <w:jc w:val="center"/>
              <w:ind w:right="92"/>
              <w:spacing w:after="0"/>
              <w:rPr>
                <w:sz w:val="20"/>
                <w:szCs w:val="20"/>
                <w:color w:val="auto"/>
              </w:rPr>
            </w:pPr>
            <w:r>
              <w:rPr>
                <w:rFonts w:ascii="Arial" w:cs="Arial" w:eastAsia="Arial" w:hAnsi="Arial"/>
                <w:sz w:val="10"/>
                <w:szCs w:val="10"/>
                <w:color w:val="auto"/>
                <w:w w:val="97"/>
              </w:rPr>
              <w:t>7/1/2023</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3"/>
              </w:rPr>
              <w:t>126,587</w:t>
            </w:r>
          </w:p>
        </w:tc>
        <w:tc>
          <w:tcPr>
            <w:tcW w:w="260" w:type="dxa"/>
            <w:vAlign w:val="bottom"/>
            <w:tcBorders>
              <w:bottom w:val="single" w:sz="8" w:color="D8EFF9"/>
            </w:tcBorders>
            <w:shd w:val="clear" w:color="auto" w:fill="D8EFF9"/>
          </w:tcPr>
          <w:p>
            <w:pPr>
              <w:spacing w:after="0"/>
              <w:rPr>
                <w:sz w:val="14"/>
                <w:szCs w:val="14"/>
                <w:color w:val="auto"/>
              </w:rPr>
            </w:pPr>
          </w:p>
        </w:tc>
        <w:tc>
          <w:tcPr>
            <w:tcW w:w="3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spacing w:after="0"/>
              <w:rPr>
                <w:sz w:val="14"/>
                <w:szCs w:val="14"/>
                <w:color w:val="auto"/>
              </w:rPr>
            </w:pP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spacing w:after="0"/>
              <w:rPr>
                <w:sz w:val="14"/>
                <w:szCs w:val="14"/>
                <w:color w:val="auto"/>
              </w:rPr>
            </w:pP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spacing w:after="0"/>
              <w:rPr>
                <w:sz w:val="14"/>
                <w:szCs w:val="14"/>
                <w:color w:val="auto"/>
              </w:rPr>
            </w:pPr>
          </w:p>
        </w:tc>
        <w:tc>
          <w:tcPr>
            <w:tcW w:w="360" w:type="dxa"/>
            <w:vAlign w:val="bottom"/>
            <w:tcBorders>
              <w:bottom w:val="single" w:sz="8" w:color="D8EFF9"/>
            </w:tcBorders>
            <w:gridSpan w:val="2"/>
            <w:shd w:val="clear" w:color="auto" w:fill="D8EFF9"/>
          </w:tcPr>
          <w:p>
            <w:pPr>
              <w:jc w:val="right"/>
              <w:ind w:right="40"/>
              <w:spacing w:after="0"/>
              <w:rPr>
                <w:sz w:val="20"/>
                <w:szCs w:val="20"/>
                <w:color w:val="auto"/>
              </w:rPr>
            </w:pPr>
            <w:r>
              <w:rPr>
                <w:rFonts w:ascii="Arial" w:cs="Arial" w:eastAsia="Arial" w:hAnsi="Arial"/>
                <w:sz w:val="10"/>
                <w:szCs w:val="10"/>
                <w:color w:val="auto"/>
              </w:rPr>
              <w:t>—</w:t>
            </w:r>
          </w:p>
        </w:tc>
      </w:tr>
      <w:tr>
        <w:trPr>
          <w:trHeight w:val="155"/>
        </w:trPr>
        <w:tc>
          <w:tcPr>
            <w:tcW w:w="2420" w:type="dxa"/>
            <w:vAlign w:val="bottom"/>
          </w:tcPr>
          <w:p>
            <w:pPr>
              <w:ind w:left="40"/>
              <w:spacing w:after="0"/>
              <w:rPr>
                <w:sz w:val="20"/>
                <w:szCs w:val="20"/>
                <w:color w:val="auto"/>
              </w:rPr>
            </w:pPr>
            <w:r>
              <w:rPr>
                <w:rFonts w:ascii="Arial" w:cs="Arial" w:eastAsia="Arial" w:hAnsi="Arial"/>
                <w:sz w:val="10"/>
                <w:szCs w:val="10"/>
                <w:color w:val="auto"/>
              </w:rPr>
              <w:t>7/28/2020</w:t>
            </w:r>
          </w:p>
        </w:tc>
        <w:tc>
          <w:tcPr>
            <w:tcW w:w="1040" w:type="dxa"/>
            <w:vAlign w:val="bottom"/>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Pr>
          <w:p>
            <w:pPr>
              <w:jc w:val="center"/>
              <w:ind w:right="72"/>
              <w:spacing w:after="0"/>
              <w:rPr>
                <w:sz w:val="20"/>
                <w:szCs w:val="20"/>
                <w:color w:val="auto"/>
              </w:rPr>
            </w:pPr>
            <w:r>
              <w:rPr>
                <w:rFonts w:ascii="Arial" w:cs="Arial" w:eastAsia="Arial" w:hAnsi="Arial"/>
                <w:sz w:val="10"/>
                <w:szCs w:val="10"/>
                <w:color w:val="auto"/>
                <w:w w:val="98"/>
              </w:rPr>
              <w:t>2/19/2023</w:t>
            </w: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4,713</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4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8/17/2020</w:t>
            </w:r>
          </w:p>
        </w:tc>
        <w:tc>
          <w:tcPr>
            <w:tcW w:w="104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Borders>
              <w:bottom w:val="single" w:sz="8" w:color="D8EFF9"/>
            </w:tcBorders>
            <w:shd w:val="clear" w:color="auto" w:fill="D8EFF9"/>
          </w:tcPr>
          <w:p>
            <w:pPr>
              <w:jc w:val="center"/>
              <w:ind w:right="72"/>
              <w:spacing w:after="0"/>
              <w:rPr>
                <w:sz w:val="20"/>
                <w:szCs w:val="20"/>
                <w:color w:val="auto"/>
              </w:rPr>
            </w:pPr>
            <w:r>
              <w:rPr>
                <w:rFonts w:ascii="Arial" w:cs="Arial" w:eastAsia="Arial" w:hAnsi="Arial"/>
                <w:sz w:val="10"/>
                <w:szCs w:val="10"/>
                <w:color w:val="auto"/>
                <w:w w:val="98"/>
              </w:rPr>
              <w:t>8/17/2023</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spacing w:after="0"/>
              <w:rPr>
                <w:sz w:val="14"/>
                <w:szCs w:val="14"/>
                <w:color w:val="auto"/>
              </w:rPr>
            </w:pPr>
          </w:p>
        </w:tc>
        <w:tc>
          <w:tcPr>
            <w:tcW w:w="32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spacing w:after="0"/>
              <w:rPr>
                <w:sz w:val="14"/>
                <w:szCs w:val="14"/>
                <w:color w:val="auto"/>
              </w:rPr>
            </w:pP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spacing w:after="0"/>
              <w:rPr>
                <w:sz w:val="14"/>
                <w:szCs w:val="14"/>
                <w:color w:val="auto"/>
              </w:rPr>
            </w:pP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16,116</w:t>
            </w:r>
          </w:p>
        </w:tc>
        <w:tc>
          <w:tcPr>
            <w:tcW w:w="20" w:type="dxa"/>
            <w:vAlign w:val="bottom"/>
            <w:tcBorders>
              <w:bottom w:val="single" w:sz="8" w:color="D8EFF9"/>
            </w:tcBorders>
            <w:shd w:val="clear" w:color="auto" w:fill="D8EFF9"/>
          </w:tcPr>
          <w:p>
            <w:pPr>
              <w:spacing w:after="0"/>
              <w:rPr>
                <w:sz w:val="14"/>
                <w:szCs w:val="14"/>
                <w:color w:val="auto"/>
              </w:rPr>
            </w:pPr>
          </w:p>
        </w:tc>
      </w:tr>
      <w:tr>
        <w:trPr>
          <w:trHeight w:val="155"/>
        </w:trPr>
        <w:tc>
          <w:tcPr>
            <w:tcW w:w="2420" w:type="dxa"/>
            <w:vAlign w:val="bottom"/>
          </w:tcPr>
          <w:p>
            <w:pPr>
              <w:ind w:left="40"/>
              <w:spacing w:after="0"/>
              <w:rPr>
                <w:sz w:val="20"/>
                <w:szCs w:val="20"/>
                <w:color w:val="auto"/>
              </w:rPr>
            </w:pPr>
            <w:r>
              <w:rPr>
                <w:rFonts w:ascii="Arial" w:cs="Arial" w:eastAsia="Arial" w:hAnsi="Arial"/>
                <w:sz w:val="10"/>
                <w:szCs w:val="10"/>
                <w:color w:val="auto"/>
              </w:rPr>
              <w:t>9/28/2020</w:t>
            </w:r>
          </w:p>
        </w:tc>
        <w:tc>
          <w:tcPr>
            <w:tcW w:w="1040" w:type="dxa"/>
            <w:vAlign w:val="bottom"/>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Pr>
          <w:p>
            <w:pPr>
              <w:jc w:val="center"/>
              <w:ind w:right="72"/>
              <w:spacing w:after="0"/>
              <w:rPr>
                <w:sz w:val="20"/>
                <w:szCs w:val="20"/>
                <w:color w:val="auto"/>
              </w:rPr>
            </w:pPr>
            <w:r>
              <w:rPr>
                <w:rFonts w:ascii="Arial" w:cs="Arial" w:eastAsia="Arial" w:hAnsi="Arial"/>
                <w:sz w:val="10"/>
                <w:szCs w:val="10"/>
                <w:color w:val="auto"/>
                <w:w w:val="98"/>
              </w:rPr>
              <w:t>9/28/2023</w:t>
            </w: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25,631</w:t>
            </w: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4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2/18/2021</w:t>
            </w:r>
          </w:p>
        </w:tc>
        <w:tc>
          <w:tcPr>
            <w:tcW w:w="104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Borders>
              <w:bottom w:val="single" w:sz="8" w:color="D8EFF9"/>
            </w:tcBorders>
            <w:shd w:val="clear" w:color="auto" w:fill="D8EFF9"/>
          </w:tcPr>
          <w:p>
            <w:pPr>
              <w:jc w:val="center"/>
              <w:ind w:right="72"/>
              <w:spacing w:after="0"/>
              <w:rPr>
                <w:sz w:val="20"/>
                <w:szCs w:val="20"/>
                <w:color w:val="auto"/>
              </w:rPr>
            </w:pPr>
            <w:r>
              <w:rPr>
                <w:rFonts w:ascii="Arial" w:cs="Arial" w:eastAsia="Arial" w:hAnsi="Arial"/>
                <w:sz w:val="10"/>
                <w:szCs w:val="10"/>
                <w:color w:val="auto"/>
                <w:w w:val="98"/>
              </w:rPr>
              <w:t>2/18/2024</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93,119</w:t>
            </w:r>
          </w:p>
        </w:tc>
        <w:tc>
          <w:tcPr>
            <w:tcW w:w="58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19,209</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11,439</w:t>
            </w:r>
          </w:p>
        </w:tc>
        <w:tc>
          <w:tcPr>
            <w:tcW w:w="64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11,147</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10,894</w:t>
            </w:r>
          </w:p>
        </w:tc>
        <w:tc>
          <w:tcPr>
            <w:tcW w:w="20" w:type="dxa"/>
            <w:vAlign w:val="bottom"/>
            <w:tcBorders>
              <w:bottom w:val="single" w:sz="8" w:color="D8EFF9"/>
            </w:tcBorders>
            <w:shd w:val="clear" w:color="auto" w:fill="D8EFF9"/>
          </w:tcPr>
          <w:p>
            <w:pPr>
              <w:spacing w:after="0"/>
              <w:rPr>
                <w:sz w:val="14"/>
                <w:szCs w:val="14"/>
                <w:color w:val="auto"/>
              </w:rPr>
            </w:pPr>
          </w:p>
        </w:tc>
      </w:tr>
      <w:tr>
        <w:trPr>
          <w:trHeight w:val="182"/>
        </w:trPr>
        <w:tc>
          <w:tcPr>
            <w:tcW w:w="2420" w:type="dxa"/>
            <w:vAlign w:val="bottom"/>
          </w:tcPr>
          <w:p>
            <w:pPr>
              <w:ind w:left="40"/>
              <w:spacing w:after="0"/>
              <w:rPr>
                <w:sz w:val="20"/>
                <w:szCs w:val="20"/>
                <w:color w:val="auto"/>
              </w:rPr>
            </w:pPr>
            <w:r>
              <w:rPr>
                <w:rFonts w:ascii="Arial" w:cs="Arial" w:eastAsia="Arial" w:hAnsi="Arial"/>
                <w:sz w:val="10"/>
                <w:szCs w:val="10"/>
                <w:color w:val="auto"/>
              </w:rPr>
              <w:t>7/20/2021</w:t>
            </w:r>
          </w:p>
        </w:tc>
        <w:tc>
          <w:tcPr>
            <w:tcW w:w="1040" w:type="dxa"/>
            <w:vAlign w:val="bottom"/>
          </w:tcPr>
          <w:p>
            <w:pPr>
              <w:ind w:left="220"/>
              <w:spacing w:after="0"/>
              <w:rPr>
                <w:sz w:val="20"/>
                <w:szCs w:val="20"/>
                <w:color w:val="auto"/>
              </w:rPr>
            </w:pPr>
            <w:r>
              <w:rPr>
                <w:rFonts w:ascii="Arial" w:cs="Arial" w:eastAsia="Arial" w:hAnsi="Arial"/>
                <w:sz w:val="10"/>
                <w:szCs w:val="10"/>
                <w:color w:val="auto"/>
              </w:rPr>
              <w:t>Stock Award</w:t>
            </w:r>
            <w:r>
              <w:rPr>
                <w:rFonts w:ascii="Arial" w:cs="Arial" w:eastAsia="Arial" w:hAnsi="Arial"/>
                <w:sz w:val="14"/>
                <w:szCs w:val="14"/>
                <w:color w:val="auto"/>
                <w:vertAlign w:val="superscript"/>
              </w:rPr>
              <w:t>(a)</w:t>
            </w:r>
          </w:p>
        </w:tc>
        <w:tc>
          <w:tcPr>
            <w:tcW w:w="920" w:type="dxa"/>
            <w:vAlign w:val="bottom"/>
          </w:tcPr>
          <w:p>
            <w:pPr>
              <w:jc w:val="center"/>
              <w:ind w:right="72"/>
              <w:spacing w:after="0"/>
              <w:rPr>
                <w:sz w:val="20"/>
                <w:szCs w:val="20"/>
                <w:color w:val="auto"/>
              </w:rPr>
            </w:pPr>
            <w:r>
              <w:rPr>
                <w:rFonts w:ascii="Arial" w:cs="Arial" w:eastAsia="Arial" w:hAnsi="Arial"/>
                <w:sz w:val="10"/>
                <w:szCs w:val="10"/>
                <w:color w:val="auto"/>
                <w:w w:val="95"/>
              </w:rPr>
              <w:t>12/31/2023</w:t>
            </w:r>
          </w:p>
        </w:tc>
        <w:tc>
          <w:tcPr>
            <w:tcW w:w="380" w:type="dxa"/>
            <w:vAlign w:val="bottom"/>
          </w:tcPr>
          <w:p>
            <w:pPr>
              <w:jc w:val="right"/>
              <w:spacing w:after="0"/>
              <w:rPr>
                <w:sz w:val="20"/>
                <w:szCs w:val="20"/>
                <w:color w:val="auto"/>
              </w:rPr>
            </w:pPr>
            <w:r>
              <w:rPr>
                <w:rFonts w:ascii="Arial" w:cs="Arial" w:eastAsia="Arial" w:hAnsi="Arial"/>
                <w:sz w:val="10"/>
                <w:szCs w:val="10"/>
                <w:color w:val="auto"/>
                <w:w w:val="93"/>
              </w:rPr>
              <w:t>600,000</w:t>
            </w:r>
          </w:p>
        </w:tc>
        <w:tc>
          <w:tcPr>
            <w:tcW w:w="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82"/>
        </w:trPr>
        <w:tc>
          <w:tcPr>
            <w:tcW w:w="24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2/15/2022</w:t>
            </w:r>
          </w:p>
        </w:tc>
        <w:tc>
          <w:tcPr>
            <w:tcW w:w="1040" w:type="dxa"/>
            <w:vAlign w:val="bottom"/>
            <w:tcBorders>
              <w:bottom w:val="single" w:sz="8" w:color="D8EFF9"/>
            </w:tcBorders>
            <w:shd w:val="clear" w:color="auto" w:fill="D8EFF9"/>
          </w:tcPr>
          <w:p>
            <w:pPr>
              <w:ind w:left="220"/>
              <w:spacing w:after="0"/>
              <w:rPr>
                <w:sz w:val="20"/>
                <w:szCs w:val="20"/>
                <w:color w:val="auto"/>
              </w:rPr>
            </w:pPr>
            <w:r>
              <w:rPr>
                <w:rFonts w:ascii="Arial" w:cs="Arial" w:eastAsia="Arial" w:hAnsi="Arial"/>
                <w:sz w:val="10"/>
                <w:szCs w:val="10"/>
                <w:color w:val="auto"/>
              </w:rPr>
              <w:t>Stock Award</w:t>
            </w:r>
          </w:p>
        </w:tc>
        <w:tc>
          <w:tcPr>
            <w:tcW w:w="920" w:type="dxa"/>
            <w:vAlign w:val="bottom"/>
            <w:tcBorders>
              <w:bottom w:val="single" w:sz="8" w:color="D8EFF9"/>
            </w:tcBorders>
            <w:shd w:val="clear" w:color="auto" w:fill="D8EFF9"/>
          </w:tcPr>
          <w:p>
            <w:pPr>
              <w:jc w:val="center"/>
              <w:ind w:right="72"/>
              <w:spacing w:after="0"/>
              <w:rPr>
                <w:sz w:val="20"/>
                <w:szCs w:val="20"/>
                <w:color w:val="auto"/>
              </w:rPr>
            </w:pPr>
            <w:r>
              <w:rPr>
                <w:rFonts w:ascii="Arial" w:cs="Arial" w:eastAsia="Arial" w:hAnsi="Arial"/>
                <w:sz w:val="10"/>
                <w:szCs w:val="10"/>
                <w:color w:val="auto"/>
                <w:w w:val="98"/>
              </w:rPr>
              <w:t>2/15/2025</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78,851</w:t>
            </w:r>
          </w:p>
        </w:tc>
        <w:tc>
          <w:tcPr>
            <w:tcW w:w="58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16,154</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13,946</w:t>
            </w:r>
          </w:p>
        </w:tc>
        <w:tc>
          <w:tcPr>
            <w:tcW w:w="64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10,245</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9,362</w:t>
            </w:r>
          </w:p>
        </w:tc>
        <w:tc>
          <w:tcPr>
            <w:tcW w:w="20" w:type="dxa"/>
            <w:vAlign w:val="bottom"/>
            <w:tcBorders>
              <w:bottom w:val="single" w:sz="8" w:color="D8EFF9"/>
            </w:tcBorders>
            <w:shd w:val="clear" w:color="auto" w:fill="D8EFF9"/>
          </w:tcPr>
          <w:p>
            <w:pPr>
              <w:spacing w:after="0"/>
              <w:rPr>
                <w:sz w:val="15"/>
                <w:szCs w:val="15"/>
                <w:color w:val="auto"/>
              </w:rPr>
            </w:pPr>
          </w:p>
        </w:tc>
      </w:tr>
      <w:tr>
        <w:trPr>
          <w:trHeight w:val="153"/>
        </w:trPr>
        <w:tc>
          <w:tcPr>
            <w:tcW w:w="242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898,557</w:t>
            </w:r>
          </w:p>
        </w:tc>
        <w:tc>
          <w:tcPr>
            <w:tcW w:w="260" w:type="dxa"/>
            <w:vAlign w:val="bottom"/>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60,994</w:t>
            </w:r>
          </w:p>
        </w:tc>
        <w:tc>
          <w:tcPr>
            <w:tcW w:w="26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35,033</w:t>
            </w:r>
          </w:p>
        </w:tc>
        <w:tc>
          <w:tcPr>
            <w:tcW w:w="26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28,016</w:t>
            </w:r>
          </w:p>
        </w:tc>
        <w:tc>
          <w:tcPr>
            <w:tcW w:w="26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36,372</w:t>
            </w:r>
          </w:p>
        </w:tc>
        <w:tc>
          <w:tcPr>
            <w:tcW w:w="20" w:type="dxa"/>
            <w:vAlign w:val="bottom"/>
          </w:tcPr>
          <w:p>
            <w:pPr>
              <w:spacing w:after="0"/>
              <w:rPr>
                <w:sz w:val="13"/>
                <w:szCs w:val="13"/>
                <w:color w:val="auto"/>
              </w:rPr>
            </w:pPr>
          </w:p>
        </w:tc>
      </w:tr>
      <w:tr>
        <w:trPr>
          <w:trHeight w:val="34"/>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4"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(a) Amounts shown reflect the retention awards under Mr. Lesar’s Retention Incentive Agreement.</w:t>
      </w:r>
    </w:p>
    <w:p>
      <w:pPr>
        <w:spacing w:after="0" w:line="75" w:lineRule="exact"/>
        <w:rPr>
          <w:sz w:val="20"/>
          <w:szCs w:val="20"/>
          <w:color w:val="auto"/>
        </w:rPr>
      </w:pPr>
    </w:p>
    <w:p>
      <w:pPr>
        <w:ind w:left="2160" w:hanging="226"/>
        <w:spacing w:after="0"/>
        <w:tabs>
          <w:tab w:leader="none" w:pos="2160" w:val="left"/>
        </w:tabs>
        <w:numPr>
          <w:ilvl w:val="0"/>
          <w:numId w:val="95"/>
        </w:numPr>
        <w:rPr>
          <w:rFonts w:ascii="Arial" w:cs="Arial" w:eastAsia="Arial" w:hAnsi="Arial"/>
          <w:sz w:val="10"/>
          <w:szCs w:val="10"/>
          <w:color w:val="auto"/>
        </w:rPr>
      </w:pPr>
      <w:r>
        <w:rPr>
          <w:rFonts w:ascii="Arial" w:cs="Arial" w:eastAsia="Arial" w:hAnsi="Arial"/>
          <w:sz w:val="10"/>
          <w:szCs w:val="10"/>
          <w:color w:val="auto"/>
        </w:rPr>
        <w:t>Outstanding performance share unit awards will fully vest on the following dates:</w:t>
      </w:r>
    </w:p>
    <w:p>
      <w:pPr>
        <w:spacing w:after="0" w:line="155"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3240" w:type="dxa"/>
            <w:vAlign w:val="bottom"/>
            <w:shd w:val="clear" w:color="auto" w:fill="009AD9"/>
          </w:tcPr>
          <w:p>
            <w:pPr>
              <w:spacing w:after="0"/>
              <w:rPr>
                <w:sz w:val="11"/>
                <w:szCs w:val="11"/>
                <w:color w:val="auto"/>
              </w:rPr>
            </w:pPr>
          </w:p>
        </w:tc>
        <w:tc>
          <w:tcPr>
            <w:tcW w:w="780" w:type="dxa"/>
            <w:vAlign w:val="bottom"/>
            <w:shd w:val="clear" w:color="auto" w:fill="009AD9"/>
          </w:tcPr>
          <w:p>
            <w:pPr>
              <w:ind w:left="100"/>
              <w:spacing w:after="0"/>
              <w:rPr>
                <w:sz w:val="20"/>
                <w:szCs w:val="20"/>
                <w:color w:val="auto"/>
              </w:rPr>
            </w:pPr>
            <w:r>
              <w:rPr>
                <w:rFonts w:ascii="Arial" w:cs="Arial" w:eastAsia="Arial" w:hAnsi="Arial"/>
                <w:sz w:val="10"/>
                <w:szCs w:val="10"/>
                <w:b w:val="1"/>
                <w:bCs w:val="1"/>
                <w:color w:val="FFFFFF"/>
              </w:rPr>
              <w:t>Type of Stock</w:t>
            </w:r>
          </w:p>
        </w:tc>
        <w:tc>
          <w:tcPr>
            <w:tcW w:w="76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400" w:type="dxa"/>
            <w:vAlign w:val="bottom"/>
            <w:shd w:val="clear" w:color="auto" w:fill="009AD9"/>
          </w:tcPr>
          <w:p>
            <w:pPr>
              <w:spacing w:after="0"/>
              <w:rPr>
                <w:sz w:val="11"/>
                <w:szCs w:val="11"/>
                <w:color w:val="auto"/>
              </w:rPr>
            </w:pPr>
          </w:p>
        </w:tc>
        <w:tc>
          <w:tcPr>
            <w:tcW w:w="40" w:type="dxa"/>
            <w:vAlign w:val="bottom"/>
            <w:shd w:val="clear" w:color="auto" w:fill="009AD9"/>
          </w:tcPr>
          <w:p>
            <w:pPr>
              <w:spacing w:after="0"/>
              <w:rPr>
                <w:sz w:val="11"/>
                <w:szCs w:val="11"/>
                <w:color w:val="auto"/>
              </w:rPr>
            </w:pPr>
          </w:p>
        </w:tc>
      </w:tr>
      <w:tr>
        <w:trPr>
          <w:trHeight w:val="134"/>
        </w:trPr>
        <w:tc>
          <w:tcPr>
            <w:tcW w:w="324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Grant Date</w:t>
            </w:r>
          </w:p>
        </w:tc>
        <w:tc>
          <w:tcPr>
            <w:tcW w:w="780" w:type="dxa"/>
            <w:vAlign w:val="bottom"/>
            <w:tcBorders>
              <w:bottom w:val="single" w:sz="8" w:color="009AD9"/>
            </w:tcBorders>
            <w:shd w:val="clear" w:color="auto" w:fill="009AD9"/>
          </w:tcPr>
          <w:p>
            <w:pPr>
              <w:ind w:left="260"/>
              <w:spacing w:after="0"/>
              <w:rPr>
                <w:sz w:val="20"/>
                <w:szCs w:val="20"/>
                <w:color w:val="auto"/>
              </w:rPr>
            </w:pPr>
            <w:r>
              <w:rPr>
                <w:rFonts w:ascii="Arial" w:cs="Arial" w:eastAsia="Arial" w:hAnsi="Arial"/>
                <w:sz w:val="10"/>
                <w:szCs w:val="10"/>
                <w:b w:val="1"/>
                <w:bCs w:val="1"/>
                <w:color w:val="FFFFFF"/>
              </w:rPr>
              <w:t>Award</w:t>
            </w:r>
          </w:p>
        </w:tc>
        <w:tc>
          <w:tcPr>
            <w:tcW w:w="760" w:type="dxa"/>
            <w:vAlign w:val="bottom"/>
            <w:tcBorders>
              <w:bottom w:val="single" w:sz="8" w:color="009AD9"/>
            </w:tcBorders>
            <w:shd w:val="clear" w:color="auto" w:fill="009AD9"/>
          </w:tcPr>
          <w:p>
            <w:pPr>
              <w:jc w:val="right"/>
              <w:ind w:right="52"/>
              <w:spacing w:after="0"/>
              <w:rPr>
                <w:sz w:val="20"/>
                <w:szCs w:val="20"/>
                <w:color w:val="auto"/>
              </w:rPr>
            </w:pPr>
            <w:r>
              <w:rPr>
                <w:rFonts w:ascii="Arial" w:cs="Arial" w:eastAsia="Arial" w:hAnsi="Arial"/>
                <w:sz w:val="10"/>
                <w:szCs w:val="10"/>
                <w:b w:val="1"/>
                <w:bCs w:val="1"/>
                <w:color w:val="FFFFFF"/>
              </w:rPr>
              <w:t>Vesting Date</w:t>
            </w:r>
          </w:p>
        </w:tc>
        <w:tc>
          <w:tcPr>
            <w:tcW w:w="40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rPr>
              <w:t>Lesar</w:t>
            </w:r>
          </w:p>
        </w:tc>
        <w:tc>
          <w:tcPr>
            <w:tcW w:w="100" w:type="dxa"/>
            <w:vAlign w:val="bottom"/>
            <w:tcBorders>
              <w:bottom w:val="single" w:sz="8" w:color="009AD9"/>
            </w:tcBorders>
            <w:shd w:val="clear" w:color="auto" w:fill="009AD9"/>
          </w:tcPr>
          <w:p>
            <w:pPr>
              <w:spacing w:after="0"/>
              <w:rPr>
                <w:sz w:val="11"/>
                <w:szCs w:val="11"/>
                <w:color w:val="auto"/>
              </w:rPr>
            </w:pPr>
          </w:p>
        </w:tc>
        <w:tc>
          <w:tcPr>
            <w:tcW w:w="40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rPr>
              <w:t>Wells</w:t>
            </w:r>
          </w:p>
        </w:tc>
        <w:tc>
          <w:tcPr>
            <w:tcW w:w="80" w:type="dxa"/>
            <w:vAlign w:val="bottom"/>
            <w:tcBorders>
              <w:bottom w:val="single" w:sz="8" w:color="009AD9"/>
            </w:tcBorders>
            <w:shd w:val="clear" w:color="auto" w:fill="009AD9"/>
          </w:tcPr>
          <w:p>
            <w:pPr>
              <w:spacing w:after="0"/>
              <w:rPr>
                <w:sz w:val="11"/>
                <w:szCs w:val="11"/>
                <w:color w:val="auto"/>
              </w:rPr>
            </w:pPr>
          </w:p>
        </w:tc>
        <w:tc>
          <w:tcPr>
            <w:tcW w:w="40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rPr>
              <w:t>Doyle</w:t>
            </w:r>
          </w:p>
        </w:tc>
        <w:tc>
          <w:tcPr>
            <w:tcW w:w="100" w:type="dxa"/>
            <w:vAlign w:val="bottom"/>
            <w:tcBorders>
              <w:bottom w:val="single" w:sz="8" w:color="009AD9"/>
            </w:tcBorders>
            <w:shd w:val="clear" w:color="auto" w:fill="009AD9"/>
          </w:tcPr>
          <w:p>
            <w:pPr>
              <w:spacing w:after="0"/>
              <w:rPr>
                <w:sz w:val="11"/>
                <w:szCs w:val="11"/>
                <w:color w:val="auto"/>
              </w:rPr>
            </w:pPr>
          </w:p>
        </w:tc>
        <w:tc>
          <w:tcPr>
            <w:tcW w:w="40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w w:val="92"/>
              </w:rPr>
              <w:t>Karuturi</w:t>
            </w:r>
          </w:p>
        </w:tc>
        <w:tc>
          <w:tcPr>
            <w:tcW w:w="100" w:type="dxa"/>
            <w:vAlign w:val="bottom"/>
            <w:tcBorders>
              <w:bottom w:val="single" w:sz="8" w:color="009AD9"/>
            </w:tcBorders>
            <w:shd w:val="clear" w:color="auto" w:fill="009AD9"/>
          </w:tcPr>
          <w:p>
            <w:pPr>
              <w:spacing w:after="0"/>
              <w:rPr>
                <w:sz w:val="11"/>
                <w:szCs w:val="11"/>
                <w:color w:val="auto"/>
              </w:rPr>
            </w:pPr>
          </w:p>
        </w:tc>
        <w:tc>
          <w:tcPr>
            <w:tcW w:w="440" w:type="dxa"/>
            <w:vAlign w:val="bottom"/>
            <w:tcBorders>
              <w:bottom w:val="single" w:sz="8" w:color="009AD9"/>
            </w:tcBorders>
            <w:gridSpan w:val="2"/>
            <w:shd w:val="clear" w:color="auto" w:fill="009AD9"/>
          </w:tcPr>
          <w:p>
            <w:pPr>
              <w:ind w:left="40"/>
              <w:spacing w:after="0"/>
              <w:rPr>
                <w:sz w:val="20"/>
                <w:szCs w:val="20"/>
                <w:color w:val="auto"/>
              </w:rPr>
            </w:pPr>
            <w:r>
              <w:rPr>
                <w:rFonts w:ascii="Arial" w:cs="Arial" w:eastAsia="Arial" w:hAnsi="Arial"/>
                <w:sz w:val="10"/>
                <w:szCs w:val="10"/>
                <w:b w:val="1"/>
                <w:bCs w:val="1"/>
                <w:color w:val="FFFFFF"/>
              </w:rPr>
              <w:t>Knight</w:t>
            </w:r>
          </w:p>
        </w:tc>
      </w:tr>
      <w:tr>
        <w:trPr>
          <w:trHeight w:val="143"/>
        </w:trPr>
        <w:tc>
          <w:tcPr>
            <w:tcW w:w="3240" w:type="dxa"/>
            <w:vAlign w:val="bottom"/>
          </w:tcPr>
          <w:p>
            <w:pPr>
              <w:ind w:left="40"/>
              <w:spacing w:after="0"/>
              <w:rPr>
                <w:sz w:val="20"/>
                <w:szCs w:val="20"/>
                <w:color w:val="auto"/>
              </w:rPr>
            </w:pPr>
            <w:r>
              <w:rPr>
                <w:rFonts w:ascii="Arial" w:cs="Arial" w:eastAsia="Arial" w:hAnsi="Arial"/>
                <w:sz w:val="10"/>
                <w:szCs w:val="10"/>
                <w:color w:val="auto"/>
              </w:rPr>
              <w:t>2/18/2021</w:t>
            </w:r>
          </w:p>
        </w:tc>
        <w:tc>
          <w:tcPr>
            <w:tcW w:w="780" w:type="dxa"/>
            <w:vAlign w:val="bottom"/>
          </w:tcPr>
          <w:p>
            <w:pPr>
              <w:ind w:left="60"/>
              <w:spacing w:after="0"/>
              <w:rPr>
                <w:sz w:val="20"/>
                <w:szCs w:val="20"/>
                <w:color w:val="auto"/>
              </w:rPr>
            </w:pPr>
            <w:r>
              <w:rPr>
                <w:rFonts w:ascii="Arial" w:cs="Arial" w:eastAsia="Arial" w:hAnsi="Arial"/>
                <w:sz w:val="10"/>
                <w:szCs w:val="10"/>
                <w:color w:val="auto"/>
              </w:rPr>
              <w:t>Performance</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780" w:type="dxa"/>
            <w:vAlign w:val="bottom"/>
          </w:tcPr>
          <w:p>
            <w:pPr>
              <w:ind w:left="60"/>
              <w:spacing w:after="0" w:line="148" w:lineRule="exact"/>
              <w:rPr>
                <w:sz w:val="20"/>
                <w:szCs w:val="20"/>
                <w:color w:val="auto"/>
              </w:rPr>
            </w:pPr>
            <w:r>
              <w:rPr>
                <w:rFonts w:ascii="Arial" w:cs="Arial" w:eastAsia="Arial" w:hAnsi="Arial"/>
                <w:sz w:val="10"/>
                <w:szCs w:val="10"/>
                <w:color w:val="auto"/>
              </w:rPr>
              <w:t>Share Units</w:t>
            </w:r>
            <w:r>
              <w:rPr>
                <w:rFonts w:ascii="Arial" w:cs="Arial" w:eastAsia="Arial" w:hAnsi="Arial"/>
                <w:sz w:val="14"/>
                <w:szCs w:val="14"/>
                <w:color w:val="auto"/>
                <w:vertAlign w:val="superscript"/>
              </w:rPr>
              <w:t>(a)</w:t>
            </w:r>
          </w:p>
        </w:tc>
        <w:tc>
          <w:tcPr>
            <w:tcW w:w="760" w:type="dxa"/>
            <w:vAlign w:val="bottom"/>
          </w:tcPr>
          <w:p>
            <w:pPr>
              <w:jc w:val="right"/>
              <w:ind w:right="92"/>
              <w:spacing w:after="0"/>
              <w:rPr>
                <w:sz w:val="20"/>
                <w:szCs w:val="20"/>
                <w:color w:val="auto"/>
              </w:rPr>
            </w:pPr>
            <w:r>
              <w:rPr>
                <w:rFonts w:ascii="Arial" w:cs="Arial" w:eastAsia="Arial" w:hAnsi="Arial"/>
                <w:sz w:val="10"/>
                <w:szCs w:val="10"/>
                <w:color w:val="auto"/>
              </w:rPr>
              <w:t>12/31/2023</w:t>
            </w:r>
          </w:p>
        </w:tc>
        <w:tc>
          <w:tcPr>
            <w:tcW w:w="400" w:type="dxa"/>
            <w:vAlign w:val="bottom"/>
          </w:tcPr>
          <w:p>
            <w:pPr>
              <w:jc w:val="right"/>
              <w:spacing w:after="0"/>
              <w:rPr>
                <w:sz w:val="20"/>
                <w:szCs w:val="20"/>
                <w:color w:val="auto"/>
              </w:rPr>
            </w:pPr>
            <w:r>
              <w:rPr>
                <w:rFonts w:ascii="Arial" w:cs="Arial" w:eastAsia="Arial" w:hAnsi="Arial"/>
                <w:sz w:val="10"/>
                <w:szCs w:val="10"/>
                <w:color w:val="auto"/>
              </w:rPr>
              <w:t>502,845</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103,727</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61,773</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60,192</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58,830</w:t>
            </w:r>
          </w:p>
        </w:tc>
        <w:tc>
          <w:tcPr>
            <w:tcW w:w="40" w:type="dxa"/>
            <w:vAlign w:val="bottom"/>
          </w:tcPr>
          <w:p>
            <w:pPr>
              <w:spacing w:after="0"/>
              <w:rPr>
                <w:sz w:val="12"/>
                <w:szCs w:val="12"/>
                <w:color w:val="auto"/>
              </w:rPr>
            </w:pPr>
          </w:p>
        </w:tc>
      </w:tr>
      <w:tr>
        <w:trPr>
          <w:trHeight w:val="143"/>
        </w:trPr>
        <w:tc>
          <w:tcPr>
            <w:tcW w:w="3240" w:type="dxa"/>
            <w:vAlign w:val="bottom"/>
            <w:shd w:val="clear" w:color="auto" w:fill="D8EFF9"/>
          </w:tcPr>
          <w:p>
            <w:pPr>
              <w:ind w:left="40"/>
              <w:spacing w:after="0"/>
              <w:rPr>
                <w:sz w:val="20"/>
                <w:szCs w:val="20"/>
                <w:color w:val="auto"/>
              </w:rPr>
            </w:pPr>
            <w:r>
              <w:rPr>
                <w:rFonts w:ascii="Arial" w:cs="Arial" w:eastAsia="Arial" w:hAnsi="Arial"/>
                <w:sz w:val="10"/>
                <w:szCs w:val="10"/>
                <w:color w:val="auto"/>
              </w:rPr>
              <w:t>2/15/2022</w:t>
            </w:r>
          </w:p>
        </w:tc>
        <w:tc>
          <w:tcPr>
            <w:tcW w:w="780" w:type="dxa"/>
            <w:vAlign w:val="bottom"/>
            <w:shd w:val="clear" w:color="auto" w:fill="D8EFF9"/>
          </w:tcPr>
          <w:p>
            <w:pPr>
              <w:ind w:left="60"/>
              <w:spacing w:after="0"/>
              <w:rPr>
                <w:sz w:val="20"/>
                <w:szCs w:val="20"/>
                <w:color w:val="auto"/>
              </w:rPr>
            </w:pPr>
            <w:r>
              <w:rPr>
                <w:rFonts w:ascii="Arial" w:cs="Arial" w:eastAsia="Arial" w:hAnsi="Arial"/>
                <w:sz w:val="10"/>
                <w:szCs w:val="10"/>
                <w:color w:val="auto"/>
              </w:rPr>
              <w:t>Performance</w:t>
            </w:r>
          </w:p>
        </w:tc>
        <w:tc>
          <w:tcPr>
            <w:tcW w:w="760" w:type="dxa"/>
            <w:vAlign w:val="bottom"/>
            <w:shd w:val="clear" w:color="auto" w:fill="D8EFF9"/>
          </w:tcPr>
          <w:p>
            <w:pPr>
              <w:spacing w:after="0"/>
              <w:rPr>
                <w:sz w:val="12"/>
                <w:szCs w:val="12"/>
                <w:color w:val="auto"/>
              </w:rPr>
            </w:pPr>
          </w:p>
        </w:tc>
        <w:tc>
          <w:tcPr>
            <w:tcW w:w="40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40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40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40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400" w:type="dxa"/>
            <w:vAlign w:val="bottom"/>
            <w:shd w:val="clear" w:color="auto" w:fill="D8EFF9"/>
          </w:tcPr>
          <w:p>
            <w:pPr>
              <w:spacing w:after="0"/>
              <w:rPr>
                <w:sz w:val="12"/>
                <w:szCs w:val="12"/>
                <w:color w:val="auto"/>
              </w:rPr>
            </w:pPr>
          </w:p>
        </w:tc>
        <w:tc>
          <w:tcPr>
            <w:tcW w:w="40" w:type="dxa"/>
            <w:vAlign w:val="bottom"/>
            <w:shd w:val="clear" w:color="auto" w:fill="D8EFF9"/>
          </w:tcPr>
          <w:p>
            <w:pPr>
              <w:spacing w:after="0"/>
              <w:rPr>
                <w:sz w:val="12"/>
                <w:szCs w:val="12"/>
                <w:color w:val="auto"/>
              </w:rPr>
            </w:pPr>
          </w:p>
        </w:tc>
      </w:tr>
      <w:tr>
        <w:trPr>
          <w:trHeight w:val="148"/>
        </w:trPr>
        <w:tc>
          <w:tcPr>
            <w:tcW w:w="3240" w:type="dxa"/>
            <w:vAlign w:val="bottom"/>
            <w:shd w:val="clear" w:color="auto" w:fill="D8EFF9"/>
          </w:tcPr>
          <w:p>
            <w:pPr>
              <w:spacing w:after="0"/>
              <w:rPr>
                <w:sz w:val="12"/>
                <w:szCs w:val="12"/>
                <w:color w:val="auto"/>
              </w:rPr>
            </w:pPr>
          </w:p>
        </w:tc>
        <w:tc>
          <w:tcPr>
            <w:tcW w:w="780" w:type="dxa"/>
            <w:vAlign w:val="bottom"/>
            <w:shd w:val="clear" w:color="auto" w:fill="D8EFF9"/>
          </w:tcPr>
          <w:p>
            <w:pPr>
              <w:ind w:left="60"/>
              <w:spacing w:after="0" w:line="148" w:lineRule="exact"/>
              <w:rPr>
                <w:sz w:val="20"/>
                <w:szCs w:val="20"/>
                <w:color w:val="auto"/>
              </w:rPr>
            </w:pPr>
            <w:r>
              <w:rPr>
                <w:rFonts w:ascii="Arial" w:cs="Arial" w:eastAsia="Arial" w:hAnsi="Arial"/>
                <w:sz w:val="10"/>
                <w:szCs w:val="10"/>
                <w:color w:val="auto"/>
              </w:rPr>
              <w:t>Share Units</w:t>
            </w:r>
            <w:r>
              <w:rPr>
                <w:rFonts w:ascii="Arial" w:cs="Arial" w:eastAsia="Arial" w:hAnsi="Arial"/>
                <w:sz w:val="14"/>
                <w:szCs w:val="14"/>
                <w:color w:val="auto"/>
                <w:vertAlign w:val="superscript"/>
              </w:rPr>
              <w:t>(b)</w:t>
            </w:r>
          </w:p>
        </w:tc>
        <w:tc>
          <w:tcPr>
            <w:tcW w:w="760" w:type="dxa"/>
            <w:vAlign w:val="bottom"/>
            <w:shd w:val="clear" w:color="auto" w:fill="D8EFF9"/>
          </w:tcPr>
          <w:p>
            <w:pPr>
              <w:jc w:val="right"/>
              <w:ind w:right="92"/>
              <w:spacing w:after="0"/>
              <w:rPr>
                <w:sz w:val="20"/>
                <w:szCs w:val="20"/>
                <w:color w:val="auto"/>
              </w:rPr>
            </w:pPr>
            <w:r>
              <w:rPr>
                <w:rFonts w:ascii="Arial" w:cs="Arial" w:eastAsia="Arial" w:hAnsi="Arial"/>
                <w:sz w:val="10"/>
                <w:szCs w:val="10"/>
                <w:color w:val="auto"/>
              </w:rPr>
              <w:t>12/31/2024</w:t>
            </w:r>
          </w:p>
        </w:tc>
        <w:tc>
          <w:tcPr>
            <w:tcW w:w="4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457,338</w:t>
            </w:r>
          </w:p>
        </w:tc>
        <w:tc>
          <w:tcPr>
            <w:tcW w:w="100" w:type="dxa"/>
            <w:vAlign w:val="bottom"/>
            <w:shd w:val="clear" w:color="auto" w:fill="D8EFF9"/>
          </w:tcPr>
          <w:p>
            <w:pPr>
              <w:spacing w:after="0"/>
              <w:rPr>
                <w:sz w:val="12"/>
                <w:szCs w:val="12"/>
                <w:color w:val="auto"/>
              </w:rPr>
            </w:pPr>
          </w:p>
        </w:tc>
        <w:tc>
          <w:tcPr>
            <w:tcW w:w="4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93,691</w:t>
            </w:r>
          </w:p>
        </w:tc>
        <w:tc>
          <w:tcPr>
            <w:tcW w:w="80" w:type="dxa"/>
            <w:vAlign w:val="bottom"/>
            <w:shd w:val="clear" w:color="auto" w:fill="D8EFF9"/>
          </w:tcPr>
          <w:p>
            <w:pPr>
              <w:spacing w:after="0"/>
              <w:rPr>
                <w:sz w:val="12"/>
                <w:szCs w:val="12"/>
                <w:color w:val="auto"/>
              </w:rPr>
            </w:pPr>
          </w:p>
        </w:tc>
        <w:tc>
          <w:tcPr>
            <w:tcW w:w="4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80,885</w:t>
            </w:r>
          </w:p>
        </w:tc>
        <w:tc>
          <w:tcPr>
            <w:tcW w:w="100" w:type="dxa"/>
            <w:vAlign w:val="bottom"/>
            <w:shd w:val="clear" w:color="auto" w:fill="D8EFF9"/>
          </w:tcPr>
          <w:p>
            <w:pPr>
              <w:spacing w:after="0"/>
              <w:rPr>
                <w:sz w:val="12"/>
                <w:szCs w:val="12"/>
                <w:color w:val="auto"/>
              </w:rPr>
            </w:pPr>
          </w:p>
        </w:tc>
        <w:tc>
          <w:tcPr>
            <w:tcW w:w="4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59,425</w:t>
            </w:r>
          </w:p>
        </w:tc>
        <w:tc>
          <w:tcPr>
            <w:tcW w:w="100" w:type="dxa"/>
            <w:vAlign w:val="bottom"/>
            <w:shd w:val="clear" w:color="auto" w:fill="D8EFF9"/>
          </w:tcPr>
          <w:p>
            <w:pPr>
              <w:spacing w:after="0"/>
              <w:rPr>
                <w:sz w:val="12"/>
                <w:szCs w:val="12"/>
                <w:color w:val="auto"/>
              </w:rPr>
            </w:pPr>
          </w:p>
        </w:tc>
        <w:tc>
          <w:tcPr>
            <w:tcW w:w="4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54,300</w:t>
            </w:r>
          </w:p>
        </w:tc>
        <w:tc>
          <w:tcPr>
            <w:tcW w:w="40" w:type="dxa"/>
            <w:vAlign w:val="bottom"/>
            <w:shd w:val="clear" w:color="auto" w:fill="D8EFF9"/>
          </w:tcPr>
          <w:p>
            <w:pPr>
              <w:spacing w:after="0"/>
              <w:rPr>
                <w:sz w:val="12"/>
                <w:szCs w:val="12"/>
                <w:color w:val="auto"/>
              </w:rPr>
            </w:pPr>
          </w:p>
        </w:tc>
      </w:tr>
      <w:tr>
        <w:trPr>
          <w:trHeight w:val="153"/>
        </w:trPr>
        <w:tc>
          <w:tcPr>
            <w:tcW w:w="3240" w:type="dxa"/>
            <w:vAlign w:val="bottom"/>
          </w:tcPr>
          <w:p>
            <w:pPr>
              <w:ind w:left="40"/>
              <w:spacing w:after="0"/>
              <w:rPr>
                <w:sz w:val="20"/>
                <w:szCs w:val="20"/>
                <w:color w:val="auto"/>
              </w:rPr>
            </w:pPr>
            <w:r>
              <w:rPr>
                <w:rFonts w:ascii="Arial" w:cs="Arial" w:eastAsia="Arial" w:hAnsi="Arial"/>
                <w:sz w:val="10"/>
                <w:szCs w:val="10"/>
                <w:b w:val="1"/>
                <w:bCs w:val="1"/>
                <w:color w:val="auto"/>
              </w:rPr>
              <w:t>Total</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960,183</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197,418</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142,658</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119,617</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113,130</w:t>
            </w:r>
          </w:p>
        </w:tc>
        <w:tc>
          <w:tcPr>
            <w:tcW w:w="40" w:type="dxa"/>
            <w:vAlign w:val="bottom"/>
          </w:tcPr>
          <w:p>
            <w:pPr>
              <w:spacing w:after="0"/>
              <w:rPr>
                <w:sz w:val="13"/>
                <w:szCs w:val="13"/>
                <w:color w:val="auto"/>
              </w:rPr>
            </w:pPr>
          </w:p>
        </w:tc>
      </w:tr>
      <w:tr>
        <w:trPr>
          <w:trHeight w:val="34"/>
        </w:trPr>
        <w:tc>
          <w:tcPr>
            <w:tcW w:w="3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94" w:lineRule="exact"/>
        <w:rPr>
          <w:sz w:val="20"/>
          <w:szCs w:val="20"/>
          <w:color w:val="auto"/>
        </w:rPr>
      </w:pPr>
    </w:p>
    <w:p>
      <w:pPr>
        <w:ind w:left="2300" w:right="819" w:hanging="148"/>
        <w:spacing w:after="0" w:line="234" w:lineRule="auto"/>
        <w:tabs>
          <w:tab w:leader="none" w:pos="2300" w:val="left"/>
        </w:tabs>
        <w:numPr>
          <w:ilvl w:val="0"/>
          <w:numId w:val="96"/>
        </w:numPr>
        <w:rPr>
          <w:rFonts w:ascii="Arial" w:cs="Arial" w:eastAsia="Arial" w:hAnsi="Arial"/>
          <w:sz w:val="10"/>
          <w:szCs w:val="10"/>
          <w:color w:val="auto"/>
        </w:rPr>
      </w:pPr>
      <w:r>
        <w:rPr>
          <w:rFonts w:ascii="Arial" w:cs="Arial" w:eastAsia="Arial" w:hAnsi="Arial"/>
          <w:sz w:val="10"/>
          <w:szCs w:val="10"/>
          <w:color w:val="auto"/>
        </w:rPr>
        <w:t>Based on 2021 results, the provided amounts reflect maximum achievement for the total shareholder return and maximum achievement for the three-year cumulative Adjusted EPS awards.</w:t>
      </w:r>
    </w:p>
    <w:p>
      <w:pPr>
        <w:spacing w:after="0" w:line="75"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6"/>
        </w:numPr>
        <w:rPr>
          <w:rFonts w:ascii="Arial" w:cs="Arial" w:eastAsia="Arial" w:hAnsi="Arial"/>
          <w:sz w:val="10"/>
          <w:szCs w:val="10"/>
          <w:color w:val="auto"/>
        </w:rPr>
      </w:pPr>
      <w:r>
        <w:rPr>
          <w:rFonts w:ascii="Arial" w:cs="Arial" w:eastAsia="Arial" w:hAnsi="Arial"/>
          <w:sz w:val="10"/>
          <w:szCs w:val="10"/>
          <w:color w:val="auto"/>
        </w:rPr>
        <w:t>Based on 2022 results, the provided amounts reflect maximum achievement for the total shareholder return, maximum achievement for the three-year cumulative Adjusted EPS awards and target achievement for the ESG/Carbon Emissions Reduction awards.</w:t>
      </w:r>
    </w:p>
    <w:p>
      <w:pPr>
        <w:spacing w:after="0" w:line="131" w:lineRule="exact"/>
        <w:rPr>
          <w:sz w:val="20"/>
          <w:szCs w:val="20"/>
          <w:color w:val="auto"/>
        </w:rPr>
      </w:pPr>
    </w:p>
    <w:p>
      <w:pPr>
        <w:ind w:left="2220" w:hanging="230"/>
        <w:spacing w:after="0"/>
        <w:tabs>
          <w:tab w:leader="none" w:pos="2220" w:val="left"/>
        </w:tabs>
        <w:numPr>
          <w:ilvl w:val="0"/>
          <w:numId w:val="97"/>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Option Exercises and Stock Vested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following table indicates the number and value of stock options exercised and stock and performance share unit awards vested during 2022.</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209"/>
        </w:trPr>
        <w:tc>
          <w:tcPr>
            <w:tcW w:w="3000" w:type="dxa"/>
            <w:vAlign w:val="bottom"/>
            <w:shd w:val="clear" w:color="auto" w:fill="009AD9"/>
          </w:tcPr>
          <w:p>
            <w:pPr>
              <w:spacing w:after="0"/>
              <w:rPr>
                <w:sz w:val="18"/>
                <w:szCs w:val="18"/>
                <w:color w:val="auto"/>
              </w:rPr>
            </w:pPr>
          </w:p>
        </w:tc>
        <w:tc>
          <w:tcPr>
            <w:tcW w:w="2120" w:type="dxa"/>
            <w:vAlign w:val="bottom"/>
            <w:gridSpan w:val="2"/>
            <w:shd w:val="clear" w:color="auto" w:fill="009AD9"/>
          </w:tcPr>
          <w:p>
            <w:pPr>
              <w:jc w:val="right"/>
              <w:ind w:right="632"/>
              <w:spacing w:after="0"/>
              <w:rPr>
                <w:sz w:val="20"/>
                <w:szCs w:val="20"/>
                <w:color w:val="auto"/>
              </w:rPr>
            </w:pPr>
            <w:r>
              <w:rPr>
                <w:rFonts w:ascii="Arial" w:cs="Arial" w:eastAsia="Arial" w:hAnsi="Arial"/>
                <w:sz w:val="10"/>
                <w:szCs w:val="10"/>
                <w:b w:val="1"/>
                <w:bCs w:val="1"/>
                <w:color w:val="FFFFFF"/>
              </w:rPr>
              <w:t>Option Awards</w:t>
            </w:r>
          </w:p>
        </w:tc>
        <w:tc>
          <w:tcPr>
            <w:tcW w:w="780" w:type="dxa"/>
            <w:vAlign w:val="bottom"/>
            <w:shd w:val="clear" w:color="auto" w:fill="009AD9"/>
          </w:tcPr>
          <w:p>
            <w:pPr>
              <w:spacing w:after="0"/>
              <w:rPr>
                <w:sz w:val="18"/>
                <w:szCs w:val="18"/>
                <w:color w:val="auto"/>
              </w:rPr>
            </w:pPr>
          </w:p>
        </w:tc>
        <w:tc>
          <w:tcPr>
            <w:tcW w:w="1520" w:type="dxa"/>
            <w:vAlign w:val="bottom"/>
            <w:shd w:val="clear" w:color="auto" w:fill="009AD9"/>
          </w:tcPr>
          <w:p>
            <w:pPr>
              <w:jc w:val="right"/>
              <w:ind w:right="692"/>
              <w:spacing w:after="0"/>
              <w:rPr>
                <w:sz w:val="20"/>
                <w:szCs w:val="20"/>
                <w:color w:val="auto"/>
              </w:rPr>
            </w:pPr>
            <w:r>
              <w:rPr>
                <w:rFonts w:ascii="Arial" w:cs="Arial" w:eastAsia="Arial" w:hAnsi="Arial"/>
                <w:sz w:val="10"/>
                <w:szCs w:val="10"/>
                <w:b w:val="1"/>
                <w:bCs w:val="1"/>
                <w:color w:val="FFFFFF"/>
                <w:w w:val="97"/>
              </w:rPr>
              <w:t>Stock Awards</w:t>
            </w:r>
            <w:r>
              <w:rPr>
                <w:rFonts w:ascii="Arial" w:cs="Arial" w:eastAsia="Arial" w:hAnsi="Arial"/>
                <w:sz w:val="14"/>
                <w:szCs w:val="14"/>
                <w:b w:val="1"/>
                <w:bCs w:val="1"/>
                <w:color w:val="FFFFFF"/>
                <w:w w:val="97"/>
                <w:vertAlign w:val="superscript"/>
              </w:rPr>
              <w:t>(1)</w:t>
            </w:r>
          </w:p>
        </w:tc>
      </w:tr>
      <w:tr>
        <w:trPr>
          <w:trHeight w:val="109"/>
        </w:trPr>
        <w:tc>
          <w:tcPr>
            <w:tcW w:w="3000" w:type="dxa"/>
            <w:vAlign w:val="bottom"/>
            <w:shd w:val="clear" w:color="auto" w:fill="009AD9"/>
          </w:tcPr>
          <w:p>
            <w:pPr>
              <w:spacing w:after="0"/>
              <w:rPr>
                <w:sz w:val="9"/>
                <w:szCs w:val="9"/>
                <w:color w:val="auto"/>
              </w:rPr>
            </w:pPr>
          </w:p>
        </w:tc>
        <w:tc>
          <w:tcPr>
            <w:tcW w:w="1040" w:type="dxa"/>
            <w:vAlign w:val="bottom"/>
            <w:shd w:val="clear" w:color="auto" w:fill="009AD9"/>
          </w:tcPr>
          <w:p>
            <w:pPr>
              <w:jc w:val="center"/>
              <w:ind w:left="112"/>
              <w:spacing w:after="0" w:line="109" w:lineRule="exact"/>
              <w:rPr>
                <w:sz w:val="20"/>
                <w:szCs w:val="20"/>
                <w:color w:val="auto"/>
              </w:rPr>
            </w:pPr>
            <w:r>
              <w:rPr>
                <w:rFonts w:ascii="Arial" w:cs="Arial" w:eastAsia="Arial" w:hAnsi="Arial"/>
                <w:sz w:val="10"/>
                <w:szCs w:val="10"/>
                <w:b w:val="1"/>
                <w:bCs w:val="1"/>
                <w:color w:val="FFFFFF"/>
                <w:w w:val="95"/>
              </w:rPr>
              <w:t>Number of</w:t>
            </w:r>
          </w:p>
        </w:tc>
        <w:tc>
          <w:tcPr>
            <w:tcW w:w="1080" w:type="dxa"/>
            <w:vAlign w:val="bottom"/>
            <w:shd w:val="clear" w:color="auto" w:fill="009AD9"/>
          </w:tcPr>
          <w:p>
            <w:pPr>
              <w:spacing w:after="0"/>
              <w:rPr>
                <w:sz w:val="9"/>
                <w:szCs w:val="9"/>
                <w:color w:val="auto"/>
              </w:rPr>
            </w:pPr>
          </w:p>
        </w:tc>
        <w:tc>
          <w:tcPr>
            <w:tcW w:w="780" w:type="dxa"/>
            <w:vAlign w:val="bottom"/>
            <w:shd w:val="clear" w:color="auto" w:fill="009AD9"/>
          </w:tcPr>
          <w:p>
            <w:pPr>
              <w:jc w:val="center"/>
              <w:ind w:left="132"/>
              <w:spacing w:after="0" w:line="109" w:lineRule="exact"/>
              <w:rPr>
                <w:sz w:val="20"/>
                <w:szCs w:val="20"/>
                <w:color w:val="auto"/>
              </w:rPr>
            </w:pPr>
            <w:r>
              <w:rPr>
                <w:rFonts w:ascii="Arial" w:cs="Arial" w:eastAsia="Arial" w:hAnsi="Arial"/>
                <w:sz w:val="10"/>
                <w:szCs w:val="10"/>
                <w:b w:val="1"/>
                <w:bCs w:val="1"/>
                <w:color w:val="FFFFFF"/>
                <w:w w:val="95"/>
              </w:rPr>
              <w:t>Number of</w:t>
            </w:r>
          </w:p>
        </w:tc>
        <w:tc>
          <w:tcPr>
            <w:tcW w:w="1520" w:type="dxa"/>
            <w:vAlign w:val="bottom"/>
            <w:shd w:val="clear" w:color="auto" w:fill="009AD9"/>
          </w:tcPr>
          <w:p>
            <w:pPr>
              <w:spacing w:after="0"/>
              <w:rPr>
                <w:sz w:val="9"/>
                <w:szCs w:val="9"/>
                <w:color w:val="auto"/>
              </w:rPr>
            </w:pPr>
          </w:p>
        </w:tc>
      </w:tr>
      <w:tr>
        <w:trPr>
          <w:trHeight w:val="109"/>
        </w:trPr>
        <w:tc>
          <w:tcPr>
            <w:tcW w:w="3000" w:type="dxa"/>
            <w:vAlign w:val="bottom"/>
            <w:shd w:val="clear" w:color="auto" w:fill="009AD9"/>
          </w:tcPr>
          <w:p>
            <w:pPr>
              <w:spacing w:after="0"/>
              <w:rPr>
                <w:sz w:val="9"/>
                <w:szCs w:val="9"/>
                <w:color w:val="auto"/>
              </w:rPr>
            </w:pPr>
          </w:p>
        </w:tc>
        <w:tc>
          <w:tcPr>
            <w:tcW w:w="1040" w:type="dxa"/>
            <w:vAlign w:val="bottom"/>
            <w:shd w:val="clear" w:color="auto" w:fill="009AD9"/>
          </w:tcPr>
          <w:p>
            <w:pPr>
              <w:jc w:val="center"/>
              <w:ind w:left="112"/>
              <w:spacing w:after="0" w:line="109" w:lineRule="exact"/>
              <w:rPr>
                <w:sz w:val="20"/>
                <w:szCs w:val="20"/>
                <w:color w:val="auto"/>
              </w:rPr>
            </w:pPr>
            <w:r>
              <w:rPr>
                <w:rFonts w:ascii="Arial" w:cs="Arial" w:eastAsia="Arial" w:hAnsi="Arial"/>
                <w:sz w:val="10"/>
                <w:szCs w:val="10"/>
                <w:b w:val="1"/>
                <w:bCs w:val="1"/>
                <w:color w:val="FFFFFF"/>
                <w:w w:val="95"/>
              </w:rPr>
              <w:t>Shares</w:t>
            </w:r>
          </w:p>
        </w:tc>
        <w:tc>
          <w:tcPr>
            <w:tcW w:w="1080" w:type="dxa"/>
            <w:vAlign w:val="bottom"/>
            <w:shd w:val="clear" w:color="auto" w:fill="009AD9"/>
          </w:tcPr>
          <w:p>
            <w:pPr>
              <w:spacing w:after="0"/>
              <w:rPr>
                <w:sz w:val="9"/>
                <w:szCs w:val="9"/>
                <w:color w:val="auto"/>
              </w:rPr>
            </w:pPr>
          </w:p>
        </w:tc>
        <w:tc>
          <w:tcPr>
            <w:tcW w:w="780" w:type="dxa"/>
            <w:vAlign w:val="bottom"/>
            <w:shd w:val="clear" w:color="auto" w:fill="009AD9"/>
          </w:tcPr>
          <w:p>
            <w:pPr>
              <w:jc w:val="center"/>
              <w:ind w:left="132"/>
              <w:spacing w:after="0" w:line="109" w:lineRule="exact"/>
              <w:rPr>
                <w:sz w:val="20"/>
                <w:szCs w:val="20"/>
                <w:color w:val="auto"/>
              </w:rPr>
            </w:pPr>
            <w:r>
              <w:rPr>
                <w:rFonts w:ascii="Arial" w:cs="Arial" w:eastAsia="Arial" w:hAnsi="Arial"/>
                <w:sz w:val="10"/>
                <w:szCs w:val="10"/>
                <w:b w:val="1"/>
                <w:bCs w:val="1"/>
                <w:color w:val="FFFFFF"/>
                <w:w w:val="95"/>
              </w:rPr>
              <w:t>Shares</w:t>
            </w:r>
          </w:p>
        </w:tc>
        <w:tc>
          <w:tcPr>
            <w:tcW w:w="1520" w:type="dxa"/>
            <w:vAlign w:val="bottom"/>
            <w:shd w:val="clear" w:color="auto" w:fill="009AD9"/>
          </w:tcPr>
          <w:p>
            <w:pPr>
              <w:spacing w:after="0"/>
              <w:rPr>
                <w:sz w:val="9"/>
                <w:szCs w:val="9"/>
                <w:color w:val="auto"/>
              </w:rPr>
            </w:pPr>
          </w:p>
        </w:tc>
      </w:tr>
      <w:tr>
        <w:trPr>
          <w:trHeight w:val="109"/>
        </w:trPr>
        <w:tc>
          <w:tcPr>
            <w:tcW w:w="3000" w:type="dxa"/>
            <w:vAlign w:val="bottom"/>
            <w:shd w:val="clear" w:color="auto" w:fill="009AD9"/>
          </w:tcPr>
          <w:p>
            <w:pPr>
              <w:spacing w:after="0"/>
              <w:rPr>
                <w:sz w:val="9"/>
                <w:szCs w:val="9"/>
                <w:color w:val="auto"/>
              </w:rPr>
            </w:pPr>
          </w:p>
        </w:tc>
        <w:tc>
          <w:tcPr>
            <w:tcW w:w="1040" w:type="dxa"/>
            <w:vAlign w:val="bottom"/>
            <w:shd w:val="clear" w:color="auto" w:fill="009AD9"/>
          </w:tcPr>
          <w:p>
            <w:pPr>
              <w:jc w:val="center"/>
              <w:ind w:left="92"/>
              <w:spacing w:after="0" w:line="109" w:lineRule="exact"/>
              <w:rPr>
                <w:sz w:val="20"/>
                <w:szCs w:val="20"/>
                <w:color w:val="auto"/>
              </w:rPr>
            </w:pPr>
            <w:r>
              <w:rPr>
                <w:rFonts w:ascii="Arial" w:cs="Arial" w:eastAsia="Arial" w:hAnsi="Arial"/>
                <w:sz w:val="10"/>
                <w:szCs w:val="10"/>
                <w:b w:val="1"/>
                <w:bCs w:val="1"/>
                <w:color w:val="FFFFFF"/>
                <w:w w:val="96"/>
              </w:rPr>
              <w:t>Acquired</w:t>
            </w:r>
          </w:p>
        </w:tc>
        <w:tc>
          <w:tcPr>
            <w:tcW w:w="1080" w:type="dxa"/>
            <w:vAlign w:val="bottom"/>
            <w:shd w:val="clear" w:color="auto" w:fill="009AD9"/>
          </w:tcPr>
          <w:p>
            <w:pPr>
              <w:jc w:val="right"/>
              <w:ind w:right="192"/>
              <w:spacing w:after="0" w:line="109" w:lineRule="exact"/>
              <w:rPr>
                <w:sz w:val="20"/>
                <w:szCs w:val="20"/>
                <w:color w:val="auto"/>
              </w:rPr>
            </w:pPr>
            <w:r>
              <w:rPr>
                <w:rFonts w:ascii="Arial" w:cs="Arial" w:eastAsia="Arial" w:hAnsi="Arial"/>
                <w:sz w:val="10"/>
                <w:szCs w:val="10"/>
                <w:b w:val="1"/>
                <w:bCs w:val="1"/>
                <w:color w:val="FFFFFF"/>
              </w:rPr>
              <w:t>Value Realized</w:t>
            </w:r>
          </w:p>
        </w:tc>
        <w:tc>
          <w:tcPr>
            <w:tcW w:w="780" w:type="dxa"/>
            <w:vAlign w:val="bottom"/>
            <w:shd w:val="clear" w:color="auto" w:fill="009AD9"/>
          </w:tcPr>
          <w:p>
            <w:pPr>
              <w:jc w:val="center"/>
              <w:ind w:left="112"/>
              <w:spacing w:after="0" w:line="109" w:lineRule="exact"/>
              <w:rPr>
                <w:sz w:val="20"/>
                <w:szCs w:val="20"/>
                <w:color w:val="auto"/>
              </w:rPr>
            </w:pPr>
            <w:r>
              <w:rPr>
                <w:rFonts w:ascii="Arial" w:cs="Arial" w:eastAsia="Arial" w:hAnsi="Arial"/>
                <w:sz w:val="10"/>
                <w:szCs w:val="10"/>
                <w:b w:val="1"/>
                <w:bCs w:val="1"/>
                <w:color w:val="FFFFFF"/>
                <w:w w:val="96"/>
              </w:rPr>
              <w:t>Acquired</w:t>
            </w:r>
          </w:p>
        </w:tc>
        <w:tc>
          <w:tcPr>
            <w:tcW w:w="1520" w:type="dxa"/>
            <w:vAlign w:val="bottom"/>
            <w:shd w:val="clear" w:color="auto" w:fill="009AD9"/>
          </w:tcPr>
          <w:p>
            <w:pPr>
              <w:jc w:val="center"/>
              <w:ind w:left="312"/>
              <w:spacing w:after="0" w:line="109" w:lineRule="exact"/>
              <w:rPr>
                <w:sz w:val="20"/>
                <w:szCs w:val="20"/>
                <w:color w:val="auto"/>
              </w:rPr>
            </w:pPr>
            <w:r>
              <w:rPr>
                <w:rFonts w:ascii="Arial" w:cs="Arial" w:eastAsia="Arial" w:hAnsi="Arial"/>
                <w:sz w:val="10"/>
                <w:szCs w:val="10"/>
                <w:b w:val="1"/>
                <w:bCs w:val="1"/>
                <w:color w:val="FFFFFF"/>
                <w:w w:val="97"/>
              </w:rPr>
              <w:t>Value Realized</w:t>
            </w:r>
          </w:p>
        </w:tc>
      </w:tr>
      <w:tr>
        <w:trPr>
          <w:trHeight w:val="109"/>
        </w:trPr>
        <w:tc>
          <w:tcPr>
            <w:tcW w:w="3000" w:type="dxa"/>
            <w:vAlign w:val="bottom"/>
            <w:shd w:val="clear" w:color="auto" w:fill="009AD9"/>
          </w:tcPr>
          <w:p>
            <w:pPr>
              <w:spacing w:after="0"/>
              <w:rPr>
                <w:sz w:val="9"/>
                <w:szCs w:val="9"/>
                <w:color w:val="auto"/>
              </w:rPr>
            </w:pPr>
          </w:p>
        </w:tc>
        <w:tc>
          <w:tcPr>
            <w:tcW w:w="1040" w:type="dxa"/>
            <w:vAlign w:val="bottom"/>
            <w:shd w:val="clear" w:color="auto" w:fill="009AD9"/>
          </w:tcPr>
          <w:p>
            <w:pPr>
              <w:jc w:val="center"/>
              <w:ind w:left="92"/>
              <w:spacing w:after="0" w:line="109" w:lineRule="exact"/>
              <w:rPr>
                <w:sz w:val="20"/>
                <w:szCs w:val="20"/>
                <w:color w:val="auto"/>
              </w:rPr>
            </w:pPr>
            <w:r>
              <w:rPr>
                <w:rFonts w:ascii="Arial" w:cs="Arial" w:eastAsia="Arial" w:hAnsi="Arial"/>
                <w:sz w:val="10"/>
                <w:szCs w:val="10"/>
                <w:b w:val="1"/>
                <w:bCs w:val="1"/>
                <w:color w:val="FFFFFF"/>
                <w:w w:val="96"/>
              </w:rPr>
              <w:t>on Exercise</w:t>
            </w:r>
          </w:p>
        </w:tc>
        <w:tc>
          <w:tcPr>
            <w:tcW w:w="1080" w:type="dxa"/>
            <w:vAlign w:val="bottom"/>
            <w:shd w:val="clear" w:color="auto" w:fill="009AD9"/>
          </w:tcPr>
          <w:p>
            <w:pPr>
              <w:jc w:val="right"/>
              <w:ind w:right="252"/>
              <w:spacing w:after="0" w:line="109" w:lineRule="exact"/>
              <w:rPr>
                <w:sz w:val="20"/>
                <w:szCs w:val="20"/>
                <w:color w:val="auto"/>
              </w:rPr>
            </w:pPr>
            <w:r>
              <w:rPr>
                <w:rFonts w:ascii="Arial" w:cs="Arial" w:eastAsia="Arial" w:hAnsi="Arial"/>
                <w:sz w:val="10"/>
                <w:szCs w:val="10"/>
                <w:b w:val="1"/>
                <w:bCs w:val="1"/>
                <w:color w:val="FFFFFF"/>
              </w:rPr>
              <w:t>on Exercise</w:t>
            </w:r>
          </w:p>
        </w:tc>
        <w:tc>
          <w:tcPr>
            <w:tcW w:w="780" w:type="dxa"/>
            <w:vAlign w:val="bottom"/>
            <w:shd w:val="clear" w:color="auto" w:fill="009AD9"/>
          </w:tcPr>
          <w:p>
            <w:pPr>
              <w:jc w:val="center"/>
              <w:ind w:left="132"/>
              <w:spacing w:after="0" w:line="109" w:lineRule="exact"/>
              <w:rPr>
                <w:sz w:val="20"/>
                <w:szCs w:val="20"/>
                <w:color w:val="auto"/>
              </w:rPr>
            </w:pPr>
            <w:r>
              <w:rPr>
                <w:rFonts w:ascii="Arial" w:cs="Arial" w:eastAsia="Arial" w:hAnsi="Arial"/>
                <w:sz w:val="10"/>
                <w:szCs w:val="10"/>
                <w:b w:val="1"/>
                <w:bCs w:val="1"/>
                <w:color w:val="FFFFFF"/>
                <w:w w:val="93"/>
              </w:rPr>
              <w:t>on Vesting</w:t>
            </w:r>
          </w:p>
        </w:tc>
        <w:tc>
          <w:tcPr>
            <w:tcW w:w="1520" w:type="dxa"/>
            <w:vAlign w:val="bottom"/>
            <w:shd w:val="clear" w:color="auto" w:fill="009AD9"/>
          </w:tcPr>
          <w:p>
            <w:pPr>
              <w:jc w:val="center"/>
              <w:ind w:left="312"/>
              <w:spacing w:after="0" w:line="109" w:lineRule="exact"/>
              <w:rPr>
                <w:sz w:val="20"/>
                <w:szCs w:val="20"/>
                <w:color w:val="auto"/>
              </w:rPr>
            </w:pPr>
            <w:r>
              <w:rPr>
                <w:rFonts w:ascii="Arial" w:cs="Arial" w:eastAsia="Arial" w:hAnsi="Arial"/>
                <w:sz w:val="10"/>
                <w:szCs w:val="10"/>
                <w:b w:val="1"/>
                <w:bCs w:val="1"/>
                <w:color w:val="FFFFFF"/>
                <w:w w:val="93"/>
              </w:rPr>
              <w:t>on Vesting</w:t>
            </w:r>
          </w:p>
        </w:tc>
      </w:tr>
      <w:tr>
        <w:trPr>
          <w:trHeight w:val="143"/>
        </w:trPr>
        <w:tc>
          <w:tcPr>
            <w:tcW w:w="300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1040" w:type="dxa"/>
            <w:vAlign w:val="bottom"/>
            <w:tcBorders>
              <w:bottom w:val="single" w:sz="8" w:color="009AD9"/>
            </w:tcBorders>
            <w:shd w:val="clear" w:color="auto" w:fill="009AD9"/>
          </w:tcPr>
          <w:p>
            <w:pPr>
              <w:jc w:val="right"/>
              <w:ind w:right="332"/>
              <w:spacing w:after="0"/>
              <w:rPr>
                <w:sz w:val="20"/>
                <w:szCs w:val="20"/>
                <w:color w:val="auto"/>
              </w:rPr>
            </w:pPr>
            <w:r>
              <w:rPr>
                <w:rFonts w:ascii="Arial" w:cs="Arial" w:eastAsia="Arial" w:hAnsi="Arial"/>
                <w:sz w:val="10"/>
                <w:szCs w:val="10"/>
                <w:b w:val="1"/>
                <w:bCs w:val="1"/>
                <w:color w:val="FFFFFF"/>
              </w:rPr>
              <w:t>(#)</w:t>
            </w:r>
          </w:p>
        </w:tc>
        <w:tc>
          <w:tcPr>
            <w:tcW w:w="1080" w:type="dxa"/>
            <w:vAlign w:val="bottom"/>
            <w:tcBorders>
              <w:bottom w:val="single" w:sz="8" w:color="009AD9"/>
            </w:tcBorders>
            <w:shd w:val="clear" w:color="auto" w:fill="009AD9"/>
          </w:tcPr>
          <w:p>
            <w:pPr>
              <w:jc w:val="right"/>
              <w:ind w:right="472"/>
              <w:spacing w:after="0"/>
              <w:rPr>
                <w:sz w:val="20"/>
                <w:szCs w:val="20"/>
                <w:color w:val="auto"/>
              </w:rPr>
            </w:pPr>
            <w:r>
              <w:rPr>
                <w:rFonts w:ascii="Arial" w:cs="Arial" w:eastAsia="Arial" w:hAnsi="Arial"/>
                <w:sz w:val="10"/>
                <w:szCs w:val="10"/>
                <w:b w:val="1"/>
                <w:bCs w:val="1"/>
                <w:color w:val="FFFFFF"/>
              </w:rPr>
              <w:t>($)</w:t>
            </w:r>
          </w:p>
        </w:tc>
        <w:tc>
          <w:tcPr>
            <w:tcW w:w="780" w:type="dxa"/>
            <w:vAlign w:val="bottom"/>
            <w:tcBorders>
              <w:bottom w:val="single" w:sz="8" w:color="009AD9"/>
            </w:tcBorders>
            <w:shd w:val="clear" w:color="auto" w:fill="009AD9"/>
          </w:tcPr>
          <w:p>
            <w:pPr>
              <w:jc w:val="center"/>
              <w:ind w:left="132"/>
              <w:spacing w:after="0"/>
              <w:rPr>
                <w:sz w:val="20"/>
                <w:szCs w:val="20"/>
                <w:color w:val="auto"/>
              </w:rPr>
            </w:pPr>
            <w:r>
              <w:rPr>
                <w:rFonts w:ascii="Arial" w:cs="Arial" w:eastAsia="Arial" w:hAnsi="Arial"/>
                <w:sz w:val="10"/>
                <w:szCs w:val="10"/>
                <w:b w:val="1"/>
                <w:bCs w:val="1"/>
                <w:color w:val="FFFFFF"/>
                <w:w w:val="97"/>
              </w:rPr>
              <w:t>(#)</w:t>
            </w:r>
          </w:p>
        </w:tc>
        <w:tc>
          <w:tcPr>
            <w:tcW w:w="1520" w:type="dxa"/>
            <w:vAlign w:val="bottom"/>
            <w:tcBorders>
              <w:bottom w:val="single" w:sz="8" w:color="009AD9"/>
            </w:tcBorders>
            <w:shd w:val="clear" w:color="auto" w:fill="009AD9"/>
          </w:tcPr>
          <w:p>
            <w:pPr>
              <w:jc w:val="center"/>
              <w:ind w:left="312"/>
              <w:spacing w:after="0"/>
              <w:rPr>
                <w:sz w:val="20"/>
                <w:szCs w:val="20"/>
                <w:color w:val="auto"/>
              </w:rPr>
            </w:pPr>
            <w:r>
              <w:rPr>
                <w:rFonts w:ascii="Arial" w:cs="Arial" w:eastAsia="Arial" w:hAnsi="Arial"/>
                <w:sz w:val="10"/>
                <w:szCs w:val="10"/>
                <w:b w:val="1"/>
                <w:bCs w:val="1"/>
                <w:color w:val="FFFFFF"/>
                <w:w w:val="97"/>
              </w:rPr>
              <w:t>($)</w:t>
            </w:r>
          </w:p>
        </w:tc>
      </w:tr>
      <w:tr>
        <w:trPr>
          <w:trHeight w:val="155"/>
        </w:trPr>
        <w:tc>
          <w:tcPr>
            <w:tcW w:w="3000" w:type="dxa"/>
            <w:vAlign w:val="bottom"/>
          </w:tcPr>
          <w:p>
            <w:pPr>
              <w:ind w:left="40"/>
              <w:spacing w:after="0"/>
              <w:rPr>
                <w:sz w:val="20"/>
                <w:szCs w:val="20"/>
                <w:color w:val="auto"/>
              </w:rPr>
            </w:pPr>
            <w:r>
              <w:rPr>
                <w:rFonts w:ascii="Arial" w:cs="Arial" w:eastAsia="Arial" w:hAnsi="Arial"/>
                <w:sz w:val="10"/>
                <w:szCs w:val="10"/>
                <w:color w:val="auto"/>
              </w:rPr>
              <w:t>Lesar</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927,314</w:t>
            </w:r>
          </w:p>
        </w:tc>
        <w:tc>
          <w:tcPr>
            <w:tcW w:w="1520" w:type="dxa"/>
            <w:vAlign w:val="bottom"/>
          </w:tcPr>
          <w:p>
            <w:pPr>
              <w:jc w:val="right"/>
              <w:ind w:right="252"/>
              <w:spacing w:after="0"/>
              <w:rPr>
                <w:sz w:val="20"/>
                <w:szCs w:val="20"/>
                <w:color w:val="auto"/>
              </w:rPr>
            </w:pPr>
            <w:r>
              <w:rPr>
                <w:rFonts w:ascii="Arial" w:cs="Arial" w:eastAsia="Arial" w:hAnsi="Arial"/>
                <w:sz w:val="10"/>
                <w:szCs w:val="10"/>
                <w:color w:val="auto"/>
              </w:rPr>
              <w:t>29,319,217</w:t>
            </w:r>
          </w:p>
        </w:tc>
      </w:tr>
      <w:tr>
        <w:trPr>
          <w:trHeight w:val="27"/>
        </w:trPr>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2"/>
        </w:trPr>
        <w:tc>
          <w:tcPr>
            <w:tcW w:w="30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Wells</w:t>
            </w:r>
          </w:p>
        </w:tc>
        <w:tc>
          <w:tcPr>
            <w:tcW w:w="1040" w:type="dxa"/>
            <w:vAlign w:val="bottom"/>
            <w:tcBorders>
              <w:bottom w:val="single" w:sz="8" w:color="D8EFF9"/>
            </w:tcBorders>
            <w:shd w:val="clear" w:color="auto" w:fill="D8EFF9"/>
          </w:tcPr>
          <w:p>
            <w:pPr>
              <w:jc w:val="right"/>
              <w:ind w:right="33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8EFF9"/>
            </w:tcBorders>
            <w:shd w:val="clear" w:color="auto" w:fill="D8EFF9"/>
          </w:tcPr>
          <w:p>
            <w:pPr>
              <w:jc w:val="right"/>
              <w:ind w:right="47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145,900</w:t>
            </w:r>
          </w:p>
        </w:tc>
        <w:tc>
          <w:tcPr>
            <w:tcW w:w="15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4,664,436</w:t>
            </w:r>
          </w:p>
        </w:tc>
      </w:tr>
      <w:tr>
        <w:trPr>
          <w:trHeight w:val="155"/>
        </w:trPr>
        <w:tc>
          <w:tcPr>
            <w:tcW w:w="3000" w:type="dxa"/>
            <w:vAlign w:val="bottom"/>
          </w:tcPr>
          <w:p>
            <w:pPr>
              <w:ind w:left="40"/>
              <w:spacing w:after="0"/>
              <w:rPr>
                <w:sz w:val="20"/>
                <w:szCs w:val="20"/>
                <w:color w:val="auto"/>
              </w:rPr>
            </w:pPr>
            <w:r>
              <w:rPr>
                <w:rFonts w:ascii="Arial" w:cs="Arial" w:eastAsia="Arial" w:hAnsi="Arial"/>
                <w:sz w:val="10"/>
                <w:szCs w:val="10"/>
                <w:color w:val="auto"/>
              </w:rPr>
              <w:t>Doyle</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51,512</w:t>
            </w:r>
          </w:p>
        </w:tc>
        <w:tc>
          <w:tcPr>
            <w:tcW w:w="1520" w:type="dxa"/>
            <w:vAlign w:val="bottom"/>
          </w:tcPr>
          <w:p>
            <w:pPr>
              <w:jc w:val="right"/>
              <w:ind w:right="252"/>
              <w:spacing w:after="0"/>
              <w:rPr>
                <w:sz w:val="20"/>
                <w:szCs w:val="20"/>
                <w:color w:val="auto"/>
              </w:rPr>
            </w:pPr>
            <w:r>
              <w:rPr>
                <w:rFonts w:ascii="Arial" w:cs="Arial" w:eastAsia="Arial" w:hAnsi="Arial"/>
                <w:sz w:val="10"/>
                <w:szCs w:val="10"/>
                <w:color w:val="auto"/>
              </w:rPr>
              <w:t>1,634,598</w:t>
            </w:r>
          </w:p>
        </w:tc>
      </w:tr>
      <w:tr>
        <w:trPr>
          <w:trHeight w:val="27"/>
        </w:trPr>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2"/>
        </w:trPr>
        <w:tc>
          <w:tcPr>
            <w:tcW w:w="30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Karuturi</w:t>
            </w:r>
          </w:p>
        </w:tc>
        <w:tc>
          <w:tcPr>
            <w:tcW w:w="1040" w:type="dxa"/>
            <w:vAlign w:val="bottom"/>
            <w:tcBorders>
              <w:bottom w:val="single" w:sz="8" w:color="D8EFF9"/>
            </w:tcBorders>
            <w:shd w:val="clear" w:color="auto" w:fill="D8EFF9"/>
          </w:tcPr>
          <w:p>
            <w:pPr>
              <w:jc w:val="right"/>
              <w:ind w:right="33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8EFF9"/>
            </w:tcBorders>
            <w:shd w:val="clear" w:color="auto" w:fill="D8EFF9"/>
          </w:tcPr>
          <w:p>
            <w:pPr>
              <w:jc w:val="right"/>
              <w:ind w:right="47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32,157</w:t>
            </w:r>
          </w:p>
        </w:tc>
        <w:tc>
          <w:tcPr>
            <w:tcW w:w="15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1,028,166</w:t>
            </w:r>
          </w:p>
        </w:tc>
      </w:tr>
      <w:tr>
        <w:trPr>
          <w:trHeight w:val="155"/>
        </w:trPr>
        <w:tc>
          <w:tcPr>
            <w:tcW w:w="3000" w:type="dxa"/>
            <w:vAlign w:val="bottom"/>
          </w:tcPr>
          <w:p>
            <w:pPr>
              <w:ind w:left="40"/>
              <w:spacing w:after="0"/>
              <w:rPr>
                <w:sz w:val="20"/>
                <w:szCs w:val="20"/>
                <w:color w:val="auto"/>
              </w:rPr>
            </w:pPr>
            <w:r>
              <w:rPr>
                <w:rFonts w:ascii="Arial" w:cs="Arial" w:eastAsia="Arial" w:hAnsi="Arial"/>
                <w:sz w:val="10"/>
                <w:szCs w:val="10"/>
                <w:color w:val="auto"/>
              </w:rPr>
              <w:t>Knight</w:t>
            </w:r>
          </w:p>
        </w:tc>
        <w:tc>
          <w:tcPr>
            <w:tcW w:w="104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57,453</w:t>
            </w:r>
          </w:p>
        </w:tc>
        <w:tc>
          <w:tcPr>
            <w:tcW w:w="1520" w:type="dxa"/>
            <w:vAlign w:val="bottom"/>
          </w:tcPr>
          <w:p>
            <w:pPr>
              <w:jc w:val="right"/>
              <w:ind w:right="252"/>
              <w:spacing w:after="0"/>
              <w:rPr>
                <w:sz w:val="20"/>
                <w:szCs w:val="20"/>
                <w:color w:val="auto"/>
              </w:rPr>
            </w:pPr>
            <w:r>
              <w:rPr>
                <w:rFonts w:ascii="Arial" w:cs="Arial" w:eastAsia="Arial" w:hAnsi="Arial"/>
                <w:sz w:val="10"/>
                <w:szCs w:val="10"/>
                <w:color w:val="auto"/>
              </w:rPr>
              <w:t>1,851,422</w:t>
            </w:r>
          </w:p>
        </w:tc>
      </w:tr>
    </w:tbl>
    <w:p>
      <w:pPr>
        <w:spacing w:after="0" w:line="112" w:lineRule="exact"/>
        <w:rPr>
          <w:sz w:val="20"/>
          <w:szCs w:val="20"/>
          <w:color w:val="auto"/>
        </w:rPr>
      </w:pPr>
    </w:p>
    <w:p>
      <w:pPr>
        <w:ind w:left="2160" w:hanging="226"/>
        <w:spacing w:after="0"/>
        <w:tabs>
          <w:tab w:leader="none" w:pos="2160" w:val="left"/>
        </w:tabs>
        <w:numPr>
          <w:ilvl w:val="0"/>
          <w:numId w:val="98"/>
        </w:numPr>
        <w:rPr>
          <w:rFonts w:ascii="Arial" w:cs="Arial" w:eastAsia="Arial" w:hAnsi="Arial"/>
          <w:sz w:val="10"/>
          <w:szCs w:val="10"/>
          <w:color w:val="auto"/>
        </w:rPr>
      </w:pPr>
      <w:r>
        <w:rPr>
          <w:rFonts w:ascii="Arial" w:cs="Arial" w:eastAsia="Arial" w:hAnsi="Arial"/>
          <w:sz w:val="10"/>
          <w:szCs w:val="10"/>
          <w:color w:val="auto"/>
        </w:rPr>
        <w:t>For each of the named executive officers, the stock awards and performance share unit awards consist of the following:</w:t>
      </w:r>
    </w:p>
    <w:p>
      <w:pPr>
        <w:spacing w:after="0" w:line="155"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1060" w:type="dxa"/>
            <w:vAlign w:val="bottom"/>
            <w:shd w:val="clear" w:color="auto" w:fill="009AD9"/>
          </w:tcPr>
          <w:p>
            <w:pPr>
              <w:spacing w:after="0"/>
              <w:rPr>
                <w:sz w:val="11"/>
                <w:szCs w:val="11"/>
                <w:color w:val="auto"/>
              </w:rPr>
            </w:pPr>
          </w:p>
        </w:tc>
        <w:tc>
          <w:tcPr>
            <w:tcW w:w="500" w:type="dxa"/>
            <w:vAlign w:val="bottom"/>
            <w:shd w:val="clear" w:color="auto" w:fill="009AD9"/>
          </w:tcPr>
          <w:p>
            <w:pPr>
              <w:spacing w:after="0"/>
              <w:rPr>
                <w:sz w:val="11"/>
                <w:szCs w:val="11"/>
                <w:color w:val="auto"/>
              </w:rPr>
            </w:pPr>
          </w:p>
        </w:tc>
        <w:tc>
          <w:tcPr>
            <w:tcW w:w="580" w:type="dxa"/>
            <w:vAlign w:val="bottom"/>
            <w:shd w:val="clear" w:color="auto" w:fill="009AD9"/>
          </w:tcPr>
          <w:p>
            <w:pPr>
              <w:spacing w:after="0"/>
              <w:rPr>
                <w:sz w:val="11"/>
                <w:szCs w:val="11"/>
                <w:color w:val="auto"/>
              </w:rPr>
            </w:pPr>
          </w:p>
        </w:tc>
        <w:tc>
          <w:tcPr>
            <w:tcW w:w="440" w:type="dxa"/>
            <w:vAlign w:val="bottom"/>
            <w:shd w:val="clear" w:color="auto" w:fill="009AD9"/>
          </w:tcPr>
          <w:p>
            <w:pPr>
              <w:spacing w:after="0"/>
              <w:rPr>
                <w:sz w:val="11"/>
                <w:szCs w:val="11"/>
                <w:color w:val="auto"/>
              </w:rPr>
            </w:pPr>
          </w:p>
        </w:tc>
        <w:tc>
          <w:tcPr>
            <w:tcW w:w="520" w:type="dxa"/>
            <w:vAlign w:val="bottom"/>
            <w:shd w:val="clear" w:color="auto" w:fill="009AD9"/>
          </w:tcPr>
          <w:p>
            <w:pPr>
              <w:spacing w:after="0"/>
              <w:rPr>
                <w:sz w:val="11"/>
                <w:szCs w:val="11"/>
                <w:color w:val="auto"/>
              </w:rPr>
            </w:pPr>
          </w:p>
        </w:tc>
        <w:tc>
          <w:tcPr>
            <w:tcW w:w="440" w:type="dxa"/>
            <w:vAlign w:val="bottom"/>
            <w:shd w:val="clear" w:color="auto" w:fill="009AD9"/>
          </w:tcPr>
          <w:p>
            <w:pPr>
              <w:spacing w:after="0"/>
              <w:rPr>
                <w:sz w:val="11"/>
                <w:szCs w:val="11"/>
                <w:color w:val="auto"/>
              </w:rPr>
            </w:pPr>
          </w:p>
        </w:tc>
        <w:tc>
          <w:tcPr>
            <w:tcW w:w="540" w:type="dxa"/>
            <w:vAlign w:val="bottom"/>
            <w:shd w:val="clear" w:color="auto" w:fill="009AD9"/>
          </w:tcPr>
          <w:p>
            <w:pPr>
              <w:spacing w:after="0"/>
              <w:rPr>
                <w:sz w:val="11"/>
                <w:szCs w:val="11"/>
                <w:color w:val="auto"/>
              </w:rPr>
            </w:pPr>
          </w:p>
        </w:tc>
        <w:tc>
          <w:tcPr>
            <w:tcW w:w="460" w:type="dxa"/>
            <w:vAlign w:val="bottom"/>
            <w:shd w:val="clear" w:color="auto" w:fill="009AD9"/>
          </w:tcPr>
          <w:p>
            <w:pPr>
              <w:spacing w:after="0"/>
              <w:rPr>
                <w:sz w:val="11"/>
                <w:szCs w:val="11"/>
                <w:color w:val="auto"/>
              </w:rPr>
            </w:pPr>
          </w:p>
        </w:tc>
        <w:tc>
          <w:tcPr>
            <w:tcW w:w="540" w:type="dxa"/>
            <w:vAlign w:val="bottom"/>
            <w:shd w:val="clear" w:color="auto" w:fill="009AD9"/>
          </w:tcPr>
          <w:p>
            <w:pPr>
              <w:spacing w:after="0"/>
              <w:rPr>
                <w:sz w:val="11"/>
                <w:szCs w:val="11"/>
                <w:color w:val="auto"/>
              </w:rPr>
            </w:pPr>
          </w:p>
        </w:tc>
        <w:tc>
          <w:tcPr>
            <w:tcW w:w="98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Stock Awards</w:t>
            </w:r>
          </w:p>
        </w:tc>
        <w:tc>
          <w:tcPr>
            <w:tcW w:w="460" w:type="dxa"/>
            <w:vAlign w:val="bottom"/>
            <w:shd w:val="clear" w:color="auto" w:fill="009AD9"/>
          </w:tcPr>
          <w:p>
            <w:pPr>
              <w:spacing w:after="0"/>
              <w:rPr>
                <w:sz w:val="11"/>
                <w:szCs w:val="11"/>
                <w:color w:val="auto"/>
              </w:rPr>
            </w:pPr>
          </w:p>
        </w:tc>
        <w:tc>
          <w:tcPr>
            <w:tcW w:w="680" w:type="dxa"/>
            <w:vAlign w:val="bottom"/>
            <w:shd w:val="clear" w:color="auto" w:fill="009AD9"/>
          </w:tcPr>
          <w:p>
            <w:pPr>
              <w:spacing w:after="0"/>
              <w:rPr>
                <w:sz w:val="11"/>
                <w:szCs w:val="11"/>
                <w:color w:val="auto"/>
              </w:rPr>
            </w:pPr>
          </w:p>
        </w:tc>
      </w:tr>
      <w:tr>
        <w:trPr>
          <w:trHeight w:val="109"/>
        </w:trPr>
        <w:tc>
          <w:tcPr>
            <w:tcW w:w="1060" w:type="dxa"/>
            <w:vAlign w:val="bottom"/>
            <w:shd w:val="clear" w:color="auto" w:fill="009AD9"/>
          </w:tcPr>
          <w:p>
            <w:pPr>
              <w:spacing w:after="0"/>
              <w:rPr>
                <w:sz w:val="9"/>
                <w:szCs w:val="9"/>
                <w:color w:val="auto"/>
              </w:rPr>
            </w:pPr>
          </w:p>
        </w:tc>
        <w:tc>
          <w:tcPr>
            <w:tcW w:w="10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Performance Share</w:t>
            </w:r>
          </w:p>
        </w:tc>
        <w:tc>
          <w:tcPr>
            <w:tcW w:w="44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44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46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Granted</w:t>
            </w:r>
          </w:p>
        </w:tc>
        <w:tc>
          <w:tcPr>
            <w:tcW w:w="460" w:type="dxa"/>
            <w:vAlign w:val="bottom"/>
            <w:shd w:val="clear" w:color="auto" w:fill="009AD9"/>
          </w:tcPr>
          <w:p>
            <w:pPr>
              <w:spacing w:after="0"/>
              <w:rPr>
                <w:sz w:val="9"/>
                <w:szCs w:val="9"/>
                <w:color w:val="auto"/>
              </w:rPr>
            </w:pPr>
          </w:p>
        </w:tc>
        <w:tc>
          <w:tcPr>
            <w:tcW w:w="680" w:type="dxa"/>
            <w:vAlign w:val="bottom"/>
            <w:shd w:val="clear" w:color="auto" w:fill="009AD9"/>
          </w:tcPr>
          <w:p>
            <w:pPr>
              <w:spacing w:after="0"/>
              <w:rPr>
                <w:sz w:val="9"/>
                <w:szCs w:val="9"/>
                <w:color w:val="auto"/>
              </w:rPr>
            </w:pPr>
          </w:p>
        </w:tc>
      </w:tr>
      <w:tr>
        <w:trPr>
          <w:trHeight w:val="109"/>
        </w:trPr>
        <w:tc>
          <w:tcPr>
            <w:tcW w:w="1060" w:type="dxa"/>
            <w:vAlign w:val="bottom"/>
            <w:shd w:val="clear" w:color="auto" w:fill="009AD9"/>
          </w:tcPr>
          <w:p>
            <w:pPr>
              <w:spacing w:after="0"/>
              <w:rPr>
                <w:sz w:val="9"/>
                <w:szCs w:val="9"/>
                <w:color w:val="auto"/>
              </w:rPr>
            </w:pPr>
          </w:p>
        </w:tc>
        <w:tc>
          <w:tcPr>
            <w:tcW w:w="10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Unit Awards</w:t>
            </w:r>
          </w:p>
        </w:tc>
        <w:tc>
          <w:tcPr>
            <w:tcW w:w="96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Stock Awards</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Stock Awards</w:t>
            </w:r>
          </w:p>
        </w:tc>
        <w:tc>
          <w:tcPr>
            <w:tcW w:w="100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Stock Awards</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September 28,</w:t>
            </w:r>
          </w:p>
        </w:tc>
        <w:tc>
          <w:tcPr>
            <w:tcW w:w="1140" w:type="dxa"/>
            <w:vAlign w:val="bottom"/>
            <w:gridSpan w:val="2"/>
            <w:shd w:val="clear" w:color="auto" w:fill="009AD9"/>
          </w:tcPr>
          <w:p>
            <w:pPr>
              <w:jc w:val="center"/>
              <w:ind w:right="12"/>
              <w:spacing w:after="0" w:line="109" w:lineRule="exact"/>
              <w:rPr>
                <w:sz w:val="20"/>
                <w:szCs w:val="20"/>
                <w:color w:val="auto"/>
              </w:rPr>
            </w:pPr>
            <w:r>
              <w:rPr>
                <w:rFonts w:ascii="Arial" w:cs="Arial" w:eastAsia="Arial" w:hAnsi="Arial"/>
                <w:sz w:val="10"/>
                <w:szCs w:val="10"/>
                <w:b w:val="1"/>
                <w:bCs w:val="1"/>
                <w:color w:val="FFFFFF"/>
                <w:w w:val="96"/>
              </w:rPr>
              <w:t>Stock Awards</w:t>
            </w:r>
          </w:p>
        </w:tc>
      </w:tr>
      <w:tr>
        <w:trPr>
          <w:trHeight w:val="109"/>
        </w:trPr>
        <w:tc>
          <w:tcPr>
            <w:tcW w:w="1060" w:type="dxa"/>
            <w:vAlign w:val="bottom"/>
            <w:shd w:val="clear" w:color="auto" w:fill="009AD9"/>
          </w:tcPr>
          <w:p>
            <w:pPr>
              <w:spacing w:after="0"/>
              <w:rPr>
                <w:sz w:val="9"/>
                <w:szCs w:val="9"/>
                <w:color w:val="auto"/>
              </w:rPr>
            </w:pPr>
          </w:p>
        </w:tc>
        <w:tc>
          <w:tcPr>
            <w:tcW w:w="10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for the</w:t>
            </w:r>
          </w:p>
        </w:tc>
        <w:tc>
          <w:tcPr>
            <w:tcW w:w="96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Granted</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Granted</w:t>
            </w:r>
          </w:p>
        </w:tc>
        <w:tc>
          <w:tcPr>
            <w:tcW w:w="100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Granted</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2020</w:t>
            </w:r>
          </w:p>
        </w:tc>
        <w:tc>
          <w:tcPr>
            <w:tcW w:w="114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Granted</w:t>
            </w:r>
          </w:p>
        </w:tc>
      </w:tr>
      <w:tr>
        <w:trPr>
          <w:trHeight w:val="109"/>
        </w:trPr>
        <w:tc>
          <w:tcPr>
            <w:tcW w:w="1060" w:type="dxa"/>
            <w:vAlign w:val="bottom"/>
            <w:shd w:val="clear" w:color="auto" w:fill="009AD9"/>
          </w:tcPr>
          <w:p>
            <w:pPr>
              <w:spacing w:after="0"/>
              <w:rPr>
                <w:sz w:val="9"/>
                <w:szCs w:val="9"/>
                <w:color w:val="auto"/>
              </w:rPr>
            </w:pPr>
          </w:p>
        </w:tc>
        <w:tc>
          <w:tcPr>
            <w:tcW w:w="10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2020-2022</w:t>
            </w:r>
          </w:p>
        </w:tc>
        <w:tc>
          <w:tcPr>
            <w:tcW w:w="96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February 19, 2019</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July 1, 2020</w:t>
            </w:r>
          </w:p>
        </w:tc>
        <w:tc>
          <w:tcPr>
            <w:tcW w:w="100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August 17, 2020</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That Vested</w:t>
            </w:r>
          </w:p>
        </w:tc>
        <w:tc>
          <w:tcPr>
            <w:tcW w:w="114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July 1, 2021</w:t>
            </w:r>
          </w:p>
        </w:tc>
      </w:tr>
      <w:tr>
        <w:trPr>
          <w:trHeight w:val="109"/>
        </w:trPr>
        <w:tc>
          <w:tcPr>
            <w:tcW w:w="1060" w:type="dxa"/>
            <w:vAlign w:val="bottom"/>
            <w:shd w:val="clear" w:color="auto" w:fill="009AD9"/>
          </w:tcPr>
          <w:p>
            <w:pPr>
              <w:spacing w:after="0"/>
              <w:rPr>
                <w:sz w:val="9"/>
                <w:szCs w:val="9"/>
                <w:color w:val="auto"/>
              </w:rPr>
            </w:pPr>
          </w:p>
        </w:tc>
        <w:tc>
          <w:tcPr>
            <w:tcW w:w="10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Performance</w:t>
            </w:r>
          </w:p>
        </w:tc>
        <w:tc>
          <w:tcPr>
            <w:tcW w:w="96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That Vested</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That Vested</w:t>
            </w:r>
          </w:p>
        </w:tc>
        <w:tc>
          <w:tcPr>
            <w:tcW w:w="100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That Vested</w:t>
            </w:r>
          </w:p>
        </w:tc>
        <w:tc>
          <w:tcPr>
            <w:tcW w:w="98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September 28,</w:t>
            </w:r>
          </w:p>
        </w:tc>
        <w:tc>
          <w:tcPr>
            <w:tcW w:w="1140" w:type="dxa"/>
            <w:vAlign w:val="bottom"/>
            <w:gridSpan w:val="2"/>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That Vested</w:t>
            </w:r>
          </w:p>
        </w:tc>
      </w:tr>
      <w:tr>
        <w:trPr>
          <w:trHeight w:val="164"/>
        </w:trPr>
        <w:tc>
          <w:tcPr>
            <w:tcW w:w="1060" w:type="dxa"/>
            <w:vAlign w:val="bottom"/>
            <w:shd w:val="clear" w:color="auto" w:fill="009AD9"/>
          </w:tcPr>
          <w:p>
            <w:pPr>
              <w:spacing w:after="0"/>
              <w:rPr>
                <w:sz w:val="14"/>
                <w:szCs w:val="14"/>
                <w:color w:val="auto"/>
              </w:rPr>
            </w:pPr>
          </w:p>
        </w:tc>
        <w:tc>
          <w:tcPr>
            <w:tcW w:w="108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89"/>
              </w:rPr>
              <w:t>Cycle</w:t>
            </w:r>
            <w:r>
              <w:rPr>
                <w:rFonts w:ascii="Arial" w:cs="Arial" w:eastAsia="Arial" w:hAnsi="Arial"/>
                <w:sz w:val="14"/>
                <w:szCs w:val="14"/>
                <w:b w:val="1"/>
                <w:bCs w:val="1"/>
                <w:color w:val="FFFFFF"/>
                <w:w w:val="89"/>
                <w:vertAlign w:val="superscript"/>
              </w:rPr>
              <w:t>(a)</w:t>
            </w:r>
          </w:p>
        </w:tc>
        <w:tc>
          <w:tcPr>
            <w:tcW w:w="96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February 19, 2022</w:t>
            </w:r>
          </w:p>
        </w:tc>
        <w:tc>
          <w:tcPr>
            <w:tcW w:w="98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9"/>
              </w:rPr>
              <w:t>July 1, 2022</w:t>
            </w:r>
          </w:p>
        </w:tc>
        <w:tc>
          <w:tcPr>
            <w:tcW w:w="100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August 17, 2022</w:t>
            </w:r>
          </w:p>
        </w:tc>
        <w:tc>
          <w:tcPr>
            <w:tcW w:w="98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8"/>
              </w:rPr>
              <w:t>2022</w:t>
            </w:r>
          </w:p>
        </w:tc>
        <w:tc>
          <w:tcPr>
            <w:tcW w:w="1140" w:type="dxa"/>
            <w:vAlign w:val="bottom"/>
            <w:gridSpan w:val="2"/>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December 31, 2022</w:t>
            </w:r>
          </w:p>
        </w:tc>
      </w:tr>
      <w:tr>
        <w:trPr>
          <w:trHeight w:val="100"/>
        </w:trPr>
        <w:tc>
          <w:tcPr>
            <w:tcW w:w="1060" w:type="dxa"/>
            <w:vAlign w:val="bottom"/>
            <w:shd w:val="clear" w:color="auto" w:fill="009AD9"/>
          </w:tcPr>
          <w:p>
            <w:pPr>
              <w:spacing w:after="0"/>
              <w:rPr>
                <w:sz w:val="8"/>
                <w:szCs w:val="8"/>
                <w:color w:val="auto"/>
              </w:rPr>
            </w:pPr>
          </w:p>
        </w:tc>
        <w:tc>
          <w:tcPr>
            <w:tcW w:w="500" w:type="dxa"/>
            <w:vAlign w:val="bottom"/>
            <w:shd w:val="clear" w:color="auto" w:fill="009AD9"/>
          </w:tcPr>
          <w:p>
            <w:pPr>
              <w:spacing w:after="0"/>
              <w:rPr>
                <w:sz w:val="8"/>
                <w:szCs w:val="8"/>
                <w:color w:val="auto"/>
              </w:rPr>
            </w:pPr>
          </w:p>
        </w:tc>
        <w:tc>
          <w:tcPr>
            <w:tcW w:w="580" w:type="dxa"/>
            <w:vAlign w:val="bottom"/>
            <w:shd w:val="clear" w:color="auto" w:fill="009AD9"/>
          </w:tcPr>
          <w:p>
            <w:pPr>
              <w:jc w:val="center"/>
              <w:spacing w:after="0" w:line="101" w:lineRule="exact"/>
              <w:rPr>
                <w:sz w:val="20"/>
                <w:szCs w:val="20"/>
                <w:color w:val="auto"/>
              </w:rPr>
            </w:pPr>
            <w:r>
              <w:rPr>
                <w:rFonts w:ascii="Arial" w:cs="Arial" w:eastAsia="Arial" w:hAnsi="Arial"/>
                <w:sz w:val="10"/>
                <w:szCs w:val="10"/>
                <w:b w:val="1"/>
                <w:bCs w:val="1"/>
                <w:color w:val="FFFFFF"/>
                <w:w w:val="89"/>
              </w:rPr>
              <w:t>Value</w:t>
            </w:r>
          </w:p>
        </w:tc>
        <w:tc>
          <w:tcPr>
            <w:tcW w:w="440" w:type="dxa"/>
            <w:vAlign w:val="bottom"/>
            <w:shd w:val="clear" w:color="auto" w:fill="009AD9"/>
          </w:tcPr>
          <w:p>
            <w:pPr>
              <w:spacing w:after="0"/>
              <w:rPr>
                <w:sz w:val="8"/>
                <w:szCs w:val="8"/>
                <w:color w:val="auto"/>
              </w:rPr>
            </w:pPr>
          </w:p>
        </w:tc>
        <w:tc>
          <w:tcPr>
            <w:tcW w:w="520" w:type="dxa"/>
            <w:vAlign w:val="bottom"/>
            <w:shd w:val="clear" w:color="auto" w:fill="009AD9"/>
          </w:tcPr>
          <w:p>
            <w:pPr>
              <w:jc w:val="center"/>
              <w:spacing w:after="0" w:line="101" w:lineRule="exact"/>
              <w:rPr>
                <w:sz w:val="20"/>
                <w:szCs w:val="20"/>
                <w:color w:val="auto"/>
              </w:rPr>
            </w:pPr>
            <w:r>
              <w:rPr>
                <w:rFonts w:ascii="Arial" w:cs="Arial" w:eastAsia="Arial" w:hAnsi="Arial"/>
                <w:sz w:val="10"/>
                <w:szCs w:val="10"/>
                <w:b w:val="1"/>
                <w:bCs w:val="1"/>
                <w:color w:val="FFFFFF"/>
                <w:w w:val="97"/>
              </w:rPr>
              <w:t>Value</w:t>
            </w:r>
          </w:p>
        </w:tc>
        <w:tc>
          <w:tcPr>
            <w:tcW w:w="440" w:type="dxa"/>
            <w:vAlign w:val="bottom"/>
            <w:shd w:val="clear" w:color="auto" w:fill="009AD9"/>
          </w:tcPr>
          <w:p>
            <w:pPr>
              <w:spacing w:after="0"/>
              <w:rPr>
                <w:sz w:val="8"/>
                <w:szCs w:val="8"/>
                <w:color w:val="auto"/>
              </w:rPr>
            </w:pPr>
          </w:p>
        </w:tc>
        <w:tc>
          <w:tcPr>
            <w:tcW w:w="540" w:type="dxa"/>
            <w:vAlign w:val="bottom"/>
            <w:shd w:val="clear" w:color="auto" w:fill="009AD9"/>
          </w:tcPr>
          <w:p>
            <w:pPr>
              <w:jc w:val="center"/>
              <w:spacing w:after="0" w:line="101" w:lineRule="exact"/>
              <w:rPr>
                <w:sz w:val="20"/>
                <w:szCs w:val="20"/>
                <w:color w:val="auto"/>
              </w:rPr>
            </w:pPr>
            <w:r>
              <w:rPr>
                <w:rFonts w:ascii="Arial" w:cs="Arial" w:eastAsia="Arial" w:hAnsi="Arial"/>
                <w:sz w:val="10"/>
                <w:szCs w:val="10"/>
                <w:b w:val="1"/>
                <w:bCs w:val="1"/>
                <w:color w:val="FFFFFF"/>
                <w:w w:val="97"/>
              </w:rPr>
              <w:t>Value</w:t>
            </w:r>
          </w:p>
        </w:tc>
        <w:tc>
          <w:tcPr>
            <w:tcW w:w="460" w:type="dxa"/>
            <w:vAlign w:val="bottom"/>
            <w:shd w:val="clear" w:color="auto" w:fill="009AD9"/>
          </w:tcPr>
          <w:p>
            <w:pPr>
              <w:spacing w:after="0"/>
              <w:rPr>
                <w:sz w:val="8"/>
                <w:szCs w:val="8"/>
                <w:color w:val="auto"/>
              </w:rPr>
            </w:pPr>
          </w:p>
        </w:tc>
        <w:tc>
          <w:tcPr>
            <w:tcW w:w="540" w:type="dxa"/>
            <w:vAlign w:val="bottom"/>
            <w:shd w:val="clear" w:color="auto" w:fill="009AD9"/>
          </w:tcPr>
          <w:p>
            <w:pPr>
              <w:jc w:val="center"/>
              <w:spacing w:after="0" w:line="101" w:lineRule="exact"/>
              <w:rPr>
                <w:sz w:val="20"/>
                <w:szCs w:val="20"/>
                <w:color w:val="auto"/>
              </w:rPr>
            </w:pPr>
            <w:r>
              <w:rPr>
                <w:rFonts w:ascii="Arial" w:cs="Arial" w:eastAsia="Arial" w:hAnsi="Arial"/>
                <w:sz w:val="10"/>
                <w:szCs w:val="10"/>
                <w:b w:val="1"/>
                <w:bCs w:val="1"/>
                <w:color w:val="FFFFFF"/>
                <w:w w:val="89"/>
              </w:rPr>
              <w:t>Value</w:t>
            </w:r>
          </w:p>
        </w:tc>
        <w:tc>
          <w:tcPr>
            <w:tcW w:w="480" w:type="dxa"/>
            <w:vAlign w:val="bottom"/>
            <w:shd w:val="clear" w:color="auto" w:fill="009AD9"/>
          </w:tcPr>
          <w:p>
            <w:pPr>
              <w:spacing w:after="0"/>
              <w:rPr>
                <w:sz w:val="8"/>
                <w:szCs w:val="8"/>
                <w:color w:val="auto"/>
              </w:rPr>
            </w:pPr>
          </w:p>
        </w:tc>
        <w:tc>
          <w:tcPr>
            <w:tcW w:w="500" w:type="dxa"/>
            <w:vAlign w:val="bottom"/>
            <w:shd w:val="clear" w:color="auto" w:fill="009AD9"/>
          </w:tcPr>
          <w:p>
            <w:pPr>
              <w:jc w:val="center"/>
              <w:spacing w:after="0" w:line="101" w:lineRule="exact"/>
              <w:rPr>
                <w:sz w:val="20"/>
                <w:szCs w:val="20"/>
                <w:color w:val="auto"/>
              </w:rPr>
            </w:pPr>
            <w:r>
              <w:rPr>
                <w:rFonts w:ascii="Arial" w:cs="Arial" w:eastAsia="Arial" w:hAnsi="Arial"/>
                <w:sz w:val="10"/>
                <w:szCs w:val="10"/>
                <w:b w:val="1"/>
                <w:bCs w:val="1"/>
                <w:color w:val="FFFFFF"/>
                <w:w w:val="89"/>
              </w:rPr>
              <w:t>Value</w:t>
            </w:r>
          </w:p>
        </w:tc>
        <w:tc>
          <w:tcPr>
            <w:tcW w:w="460" w:type="dxa"/>
            <w:vAlign w:val="bottom"/>
            <w:shd w:val="clear" w:color="auto" w:fill="009AD9"/>
          </w:tcPr>
          <w:p>
            <w:pPr>
              <w:spacing w:after="0"/>
              <w:rPr>
                <w:sz w:val="8"/>
                <w:szCs w:val="8"/>
                <w:color w:val="auto"/>
              </w:rPr>
            </w:pPr>
          </w:p>
        </w:tc>
        <w:tc>
          <w:tcPr>
            <w:tcW w:w="680" w:type="dxa"/>
            <w:vAlign w:val="bottom"/>
            <w:shd w:val="clear" w:color="auto" w:fill="009AD9"/>
          </w:tcPr>
          <w:p>
            <w:pPr>
              <w:jc w:val="center"/>
              <w:ind w:right="52"/>
              <w:spacing w:after="0" w:line="101" w:lineRule="exact"/>
              <w:rPr>
                <w:sz w:val="20"/>
                <w:szCs w:val="20"/>
                <w:color w:val="auto"/>
              </w:rPr>
            </w:pPr>
            <w:r>
              <w:rPr>
                <w:rFonts w:ascii="Arial" w:cs="Arial" w:eastAsia="Arial" w:hAnsi="Arial"/>
                <w:sz w:val="10"/>
                <w:szCs w:val="10"/>
                <w:b w:val="1"/>
                <w:bCs w:val="1"/>
                <w:color w:val="FFFFFF"/>
                <w:w w:val="97"/>
              </w:rPr>
              <w:t>Value</w:t>
            </w:r>
          </w:p>
        </w:tc>
      </w:tr>
      <w:tr>
        <w:trPr>
          <w:trHeight w:val="109"/>
        </w:trPr>
        <w:tc>
          <w:tcPr>
            <w:tcW w:w="1060" w:type="dxa"/>
            <w:vAlign w:val="bottom"/>
            <w:shd w:val="clear" w:color="auto" w:fill="009AD9"/>
          </w:tcPr>
          <w:p>
            <w:pPr>
              <w:spacing w:after="0"/>
              <w:rPr>
                <w:sz w:val="9"/>
                <w:szCs w:val="9"/>
                <w:color w:val="auto"/>
              </w:rPr>
            </w:pPr>
          </w:p>
        </w:tc>
        <w:tc>
          <w:tcPr>
            <w:tcW w:w="5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Number</w:t>
            </w:r>
          </w:p>
        </w:tc>
        <w:tc>
          <w:tcPr>
            <w:tcW w:w="5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Realized</w:t>
            </w:r>
          </w:p>
        </w:tc>
        <w:tc>
          <w:tcPr>
            <w:tcW w:w="4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Number</w:t>
            </w:r>
          </w:p>
        </w:tc>
        <w:tc>
          <w:tcPr>
            <w:tcW w:w="5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Realized</w:t>
            </w:r>
          </w:p>
        </w:tc>
        <w:tc>
          <w:tcPr>
            <w:tcW w:w="4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w:t>
            </w:r>
          </w:p>
        </w:tc>
        <w:tc>
          <w:tcPr>
            <w:tcW w:w="5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3"/>
              </w:rPr>
              <w:t>Realized</w:t>
            </w:r>
          </w:p>
        </w:tc>
        <w:tc>
          <w:tcPr>
            <w:tcW w:w="4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Number</w:t>
            </w:r>
          </w:p>
        </w:tc>
        <w:tc>
          <w:tcPr>
            <w:tcW w:w="5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Realized</w:t>
            </w:r>
          </w:p>
        </w:tc>
        <w:tc>
          <w:tcPr>
            <w:tcW w:w="4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w:t>
            </w:r>
          </w:p>
        </w:tc>
        <w:tc>
          <w:tcPr>
            <w:tcW w:w="5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Realized</w:t>
            </w:r>
          </w:p>
        </w:tc>
        <w:tc>
          <w:tcPr>
            <w:tcW w:w="46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Number</w:t>
            </w:r>
          </w:p>
        </w:tc>
        <w:tc>
          <w:tcPr>
            <w:tcW w:w="680" w:type="dxa"/>
            <w:vAlign w:val="bottom"/>
            <w:shd w:val="clear" w:color="auto" w:fill="009AD9"/>
          </w:tcPr>
          <w:p>
            <w:pPr>
              <w:jc w:val="center"/>
              <w:ind w:right="72"/>
              <w:spacing w:after="0" w:line="109" w:lineRule="exact"/>
              <w:rPr>
                <w:sz w:val="20"/>
                <w:szCs w:val="20"/>
                <w:color w:val="auto"/>
              </w:rPr>
            </w:pPr>
            <w:r>
              <w:rPr>
                <w:rFonts w:ascii="Arial" w:cs="Arial" w:eastAsia="Arial" w:hAnsi="Arial"/>
                <w:sz w:val="10"/>
                <w:szCs w:val="10"/>
                <w:b w:val="1"/>
                <w:bCs w:val="1"/>
                <w:color w:val="FFFFFF"/>
                <w:w w:val="98"/>
              </w:rPr>
              <w:t>Realized</w:t>
            </w:r>
          </w:p>
        </w:tc>
      </w:tr>
      <w:tr>
        <w:trPr>
          <w:trHeight w:val="108"/>
        </w:trPr>
        <w:tc>
          <w:tcPr>
            <w:tcW w:w="1060" w:type="dxa"/>
            <w:vAlign w:val="bottom"/>
            <w:shd w:val="clear" w:color="auto" w:fill="009AD9"/>
          </w:tcPr>
          <w:p>
            <w:pPr>
              <w:spacing w:after="0"/>
              <w:rPr>
                <w:sz w:val="9"/>
                <w:szCs w:val="9"/>
                <w:color w:val="auto"/>
              </w:rPr>
            </w:pPr>
          </w:p>
        </w:tc>
        <w:tc>
          <w:tcPr>
            <w:tcW w:w="50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of</w:t>
            </w:r>
          </w:p>
        </w:tc>
        <w:tc>
          <w:tcPr>
            <w:tcW w:w="5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on</w:t>
            </w:r>
          </w:p>
        </w:tc>
        <w:tc>
          <w:tcPr>
            <w:tcW w:w="4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of</w:t>
            </w:r>
          </w:p>
        </w:tc>
        <w:tc>
          <w:tcPr>
            <w:tcW w:w="52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81"/>
              </w:rPr>
              <w:t>on</w:t>
            </w:r>
          </w:p>
        </w:tc>
        <w:tc>
          <w:tcPr>
            <w:tcW w:w="4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84"/>
              </w:rPr>
              <w:t>of</w:t>
            </w:r>
          </w:p>
        </w:tc>
        <w:tc>
          <w:tcPr>
            <w:tcW w:w="5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on</w:t>
            </w:r>
          </w:p>
        </w:tc>
        <w:tc>
          <w:tcPr>
            <w:tcW w:w="4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of</w:t>
            </w:r>
          </w:p>
        </w:tc>
        <w:tc>
          <w:tcPr>
            <w:tcW w:w="54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on</w:t>
            </w:r>
          </w:p>
        </w:tc>
        <w:tc>
          <w:tcPr>
            <w:tcW w:w="48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of</w:t>
            </w:r>
          </w:p>
        </w:tc>
        <w:tc>
          <w:tcPr>
            <w:tcW w:w="50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w w:val="97"/>
              </w:rPr>
              <w:t>on</w:t>
            </w:r>
          </w:p>
        </w:tc>
        <w:tc>
          <w:tcPr>
            <w:tcW w:w="460" w:type="dxa"/>
            <w:vAlign w:val="bottom"/>
            <w:shd w:val="clear" w:color="auto" w:fill="009AD9"/>
          </w:tcPr>
          <w:p>
            <w:pPr>
              <w:jc w:val="center"/>
              <w:spacing w:after="0" w:line="108" w:lineRule="exact"/>
              <w:rPr>
                <w:sz w:val="20"/>
                <w:szCs w:val="20"/>
                <w:color w:val="auto"/>
              </w:rPr>
            </w:pPr>
            <w:r>
              <w:rPr>
                <w:rFonts w:ascii="Arial" w:cs="Arial" w:eastAsia="Arial" w:hAnsi="Arial"/>
                <w:sz w:val="10"/>
                <w:szCs w:val="10"/>
                <w:b w:val="1"/>
                <w:bCs w:val="1"/>
                <w:color w:val="FFFFFF"/>
              </w:rPr>
              <w:t>of</w:t>
            </w:r>
          </w:p>
        </w:tc>
        <w:tc>
          <w:tcPr>
            <w:tcW w:w="680" w:type="dxa"/>
            <w:vAlign w:val="bottom"/>
            <w:shd w:val="clear" w:color="auto" w:fill="009AD9"/>
          </w:tcPr>
          <w:p>
            <w:pPr>
              <w:jc w:val="center"/>
              <w:ind w:right="72"/>
              <w:spacing w:after="0" w:line="108" w:lineRule="exact"/>
              <w:rPr>
                <w:sz w:val="20"/>
                <w:szCs w:val="20"/>
                <w:color w:val="auto"/>
              </w:rPr>
            </w:pPr>
            <w:r>
              <w:rPr>
                <w:rFonts w:ascii="Arial" w:cs="Arial" w:eastAsia="Arial" w:hAnsi="Arial"/>
                <w:sz w:val="10"/>
                <w:szCs w:val="10"/>
                <w:b w:val="1"/>
                <w:bCs w:val="1"/>
                <w:color w:val="FFFFFF"/>
                <w:w w:val="97"/>
              </w:rPr>
              <w:t>on</w:t>
            </w:r>
          </w:p>
        </w:tc>
      </w:tr>
      <w:tr>
        <w:trPr>
          <w:trHeight w:val="111"/>
        </w:trPr>
        <w:tc>
          <w:tcPr>
            <w:tcW w:w="1060" w:type="dxa"/>
            <w:vAlign w:val="bottom"/>
            <w:shd w:val="clear" w:color="auto" w:fill="009AD9"/>
          </w:tcPr>
          <w:p>
            <w:pPr>
              <w:spacing w:after="0"/>
              <w:rPr>
                <w:sz w:val="9"/>
                <w:szCs w:val="9"/>
                <w:color w:val="auto"/>
              </w:rPr>
            </w:pPr>
          </w:p>
        </w:tc>
        <w:tc>
          <w:tcPr>
            <w:tcW w:w="50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rPr>
              <w:t>Shares</w:t>
            </w:r>
          </w:p>
        </w:tc>
        <w:tc>
          <w:tcPr>
            <w:tcW w:w="58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(b)</w:t>
            </w:r>
          </w:p>
        </w:tc>
        <w:tc>
          <w:tcPr>
            <w:tcW w:w="44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rPr>
              <w:t>Shares</w:t>
            </w:r>
          </w:p>
        </w:tc>
        <w:tc>
          <w:tcPr>
            <w:tcW w:w="52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(c)</w:t>
            </w:r>
          </w:p>
        </w:tc>
        <w:tc>
          <w:tcPr>
            <w:tcW w:w="44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5"/>
              </w:rPr>
              <w:t>Shares</w:t>
            </w:r>
          </w:p>
        </w:tc>
        <w:tc>
          <w:tcPr>
            <w:tcW w:w="54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(d)</w:t>
            </w:r>
          </w:p>
        </w:tc>
        <w:tc>
          <w:tcPr>
            <w:tcW w:w="46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5"/>
              </w:rPr>
              <w:t>Shares</w:t>
            </w:r>
          </w:p>
        </w:tc>
        <w:tc>
          <w:tcPr>
            <w:tcW w:w="54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(e)</w:t>
            </w:r>
          </w:p>
        </w:tc>
        <w:tc>
          <w:tcPr>
            <w:tcW w:w="48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5"/>
              </w:rPr>
              <w:t>Shares</w:t>
            </w:r>
          </w:p>
        </w:tc>
        <w:tc>
          <w:tcPr>
            <w:tcW w:w="500" w:type="dxa"/>
            <w:vAlign w:val="bottom"/>
            <w:shd w:val="clear" w:color="auto" w:fill="009AD9"/>
          </w:tcPr>
          <w:p>
            <w:pPr>
              <w:jc w:val="center"/>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(f)</w:t>
            </w:r>
          </w:p>
        </w:tc>
        <w:tc>
          <w:tcPr>
            <w:tcW w:w="460" w:type="dxa"/>
            <w:vAlign w:val="bottom"/>
            <w:shd w:val="clear" w:color="auto" w:fill="009AD9"/>
          </w:tcPr>
          <w:p>
            <w:pPr>
              <w:jc w:val="center"/>
              <w:spacing w:after="0" w:line="111" w:lineRule="exact"/>
              <w:rPr>
                <w:sz w:val="20"/>
                <w:szCs w:val="20"/>
                <w:color w:val="auto"/>
              </w:rPr>
            </w:pPr>
            <w:r>
              <w:rPr>
                <w:rFonts w:ascii="Arial" w:cs="Arial" w:eastAsia="Arial" w:hAnsi="Arial"/>
                <w:sz w:val="10"/>
                <w:szCs w:val="10"/>
                <w:b w:val="1"/>
                <w:bCs w:val="1"/>
                <w:color w:val="FFFFFF"/>
                <w:w w:val="95"/>
              </w:rPr>
              <w:t>Shares</w:t>
            </w:r>
          </w:p>
        </w:tc>
        <w:tc>
          <w:tcPr>
            <w:tcW w:w="680" w:type="dxa"/>
            <w:vAlign w:val="bottom"/>
            <w:shd w:val="clear" w:color="auto" w:fill="009AD9"/>
          </w:tcPr>
          <w:p>
            <w:pPr>
              <w:jc w:val="center"/>
              <w:ind w:right="72"/>
              <w:spacing w:after="0" w:line="111" w:lineRule="exact"/>
              <w:rPr>
                <w:sz w:val="20"/>
                <w:szCs w:val="20"/>
                <w:color w:val="auto"/>
              </w:rPr>
            </w:pPr>
            <w:r>
              <w:rPr>
                <w:rFonts w:ascii="Arial" w:cs="Arial" w:eastAsia="Arial" w:hAnsi="Arial"/>
                <w:sz w:val="8"/>
                <w:szCs w:val="8"/>
                <w:b w:val="1"/>
                <w:bCs w:val="1"/>
                <w:color w:val="FFFFFF"/>
              </w:rPr>
              <w:t>Vesting</w:t>
            </w:r>
            <w:r>
              <w:rPr>
                <w:rFonts w:ascii="Arial" w:cs="Arial" w:eastAsia="Arial" w:hAnsi="Arial"/>
                <w:sz w:val="12"/>
                <w:szCs w:val="12"/>
                <w:b w:val="1"/>
                <w:bCs w:val="1"/>
                <w:color w:val="FFFFFF"/>
                <w:vertAlign w:val="superscript"/>
              </w:rPr>
              <w:t>(g)</w:t>
            </w:r>
          </w:p>
        </w:tc>
      </w:tr>
      <w:tr>
        <w:trPr>
          <w:trHeight w:val="134"/>
        </w:trPr>
        <w:tc>
          <w:tcPr>
            <w:tcW w:w="106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Name</w:t>
            </w:r>
          </w:p>
        </w:tc>
        <w:tc>
          <w:tcPr>
            <w:tcW w:w="50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4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81"/>
              </w:rPr>
              <w:t>(#)</w:t>
            </w:r>
          </w:p>
        </w:tc>
        <w:tc>
          <w:tcPr>
            <w:tcW w:w="5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81"/>
              </w:rPr>
              <w:t>($)</w:t>
            </w:r>
          </w:p>
        </w:tc>
        <w:tc>
          <w:tcPr>
            <w:tcW w:w="4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4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4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50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4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680" w:type="dxa"/>
            <w:vAlign w:val="bottom"/>
            <w:tcBorders>
              <w:bottom w:val="single" w:sz="8" w:color="009AD9"/>
            </w:tcBorders>
            <w:shd w:val="clear" w:color="auto" w:fill="009AD9"/>
          </w:tcPr>
          <w:p>
            <w:pPr>
              <w:jc w:val="center"/>
              <w:ind w:right="72"/>
              <w:spacing w:after="0"/>
              <w:rPr>
                <w:sz w:val="20"/>
                <w:szCs w:val="20"/>
                <w:color w:val="auto"/>
              </w:rPr>
            </w:pPr>
            <w:r>
              <w:rPr>
                <w:rFonts w:ascii="Arial" w:cs="Arial" w:eastAsia="Arial" w:hAnsi="Arial"/>
                <w:sz w:val="10"/>
                <w:szCs w:val="10"/>
                <w:b w:val="1"/>
                <w:bCs w:val="1"/>
                <w:color w:val="FFFFFF"/>
                <w:w w:val="97"/>
              </w:rPr>
              <w:t>($)</w:t>
            </w:r>
          </w:p>
        </w:tc>
      </w:tr>
      <w:tr>
        <w:trPr>
          <w:trHeight w:val="155"/>
        </w:trPr>
        <w:tc>
          <w:tcPr>
            <w:tcW w:w="1060" w:type="dxa"/>
            <w:vAlign w:val="bottom"/>
          </w:tcPr>
          <w:p>
            <w:pPr>
              <w:ind w:left="40"/>
              <w:spacing w:after="0"/>
              <w:rPr>
                <w:sz w:val="20"/>
                <w:szCs w:val="20"/>
                <w:color w:val="auto"/>
              </w:rPr>
            </w:pPr>
            <w:r>
              <w:rPr>
                <w:rFonts w:ascii="Arial" w:cs="Arial" w:eastAsia="Arial" w:hAnsi="Arial"/>
                <w:sz w:val="10"/>
                <w:szCs w:val="10"/>
                <w:color w:val="auto"/>
              </w:rPr>
              <w:t>Lesar</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510,016</w:t>
            </w:r>
          </w:p>
        </w:tc>
        <w:tc>
          <w:tcPr>
            <w:tcW w:w="580" w:type="dxa"/>
            <w:vAlign w:val="bottom"/>
          </w:tcPr>
          <w:p>
            <w:pPr>
              <w:jc w:val="right"/>
              <w:spacing w:after="0"/>
              <w:rPr>
                <w:sz w:val="20"/>
                <w:szCs w:val="20"/>
                <w:color w:val="auto"/>
              </w:rPr>
            </w:pPr>
            <w:r>
              <w:rPr>
                <w:rFonts w:ascii="Arial" w:cs="Arial" w:eastAsia="Arial" w:hAnsi="Arial"/>
                <w:sz w:val="10"/>
                <w:szCs w:val="10"/>
                <w:color w:val="auto"/>
              </w:rPr>
              <w:t>16,361,313</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17,298</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549,903</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400,000</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12,408,000</w:t>
            </w:r>
          </w:p>
        </w:tc>
      </w:tr>
      <w:tr>
        <w:trPr>
          <w:trHeight w:val="27"/>
        </w:trPr>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62"/>
        </w:trPr>
        <w:tc>
          <w:tcPr>
            <w:tcW w:w="106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Wells</w:t>
            </w:r>
          </w:p>
        </w:tc>
        <w:tc>
          <w:tcPr>
            <w:tcW w:w="50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119,612</w:t>
            </w:r>
          </w:p>
        </w:tc>
        <w:tc>
          <w:tcPr>
            <w:tcW w:w="5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3,837,153</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26,288</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827,283</w:t>
            </w:r>
          </w:p>
        </w:tc>
        <w:tc>
          <w:tcPr>
            <w:tcW w:w="46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w:t>
            </w:r>
          </w:p>
        </w:tc>
      </w:tr>
      <w:tr>
        <w:trPr>
          <w:trHeight w:val="155"/>
        </w:trPr>
        <w:tc>
          <w:tcPr>
            <w:tcW w:w="1060" w:type="dxa"/>
            <w:vAlign w:val="bottom"/>
          </w:tcPr>
          <w:p>
            <w:pPr>
              <w:ind w:left="40"/>
              <w:spacing w:after="0"/>
              <w:rPr>
                <w:sz w:val="20"/>
                <w:szCs w:val="20"/>
                <w:color w:val="auto"/>
              </w:rPr>
            </w:pPr>
            <w:r>
              <w:rPr>
                <w:rFonts w:ascii="Arial" w:cs="Arial" w:eastAsia="Arial" w:hAnsi="Arial"/>
                <w:sz w:val="10"/>
                <w:szCs w:val="10"/>
                <w:color w:val="auto"/>
              </w:rPr>
              <w:t>Doyle</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45,024</w:t>
            </w:r>
          </w:p>
        </w:tc>
        <w:tc>
          <w:tcPr>
            <w:tcW w:w="580" w:type="dxa"/>
            <w:vAlign w:val="bottom"/>
          </w:tcPr>
          <w:p>
            <w:pPr>
              <w:jc w:val="right"/>
              <w:spacing w:after="0"/>
              <w:rPr>
                <w:sz w:val="20"/>
                <w:szCs w:val="20"/>
                <w:color w:val="auto"/>
              </w:rPr>
            </w:pPr>
            <w:r>
              <w:rPr>
                <w:rFonts w:ascii="Arial" w:cs="Arial" w:eastAsia="Arial" w:hAnsi="Arial"/>
                <w:sz w:val="10"/>
                <w:szCs w:val="10"/>
                <w:color w:val="auto"/>
              </w:rPr>
              <w:t>1,444,370</w:t>
            </w:r>
          </w:p>
        </w:tc>
        <w:tc>
          <w:tcPr>
            <w:tcW w:w="440" w:type="dxa"/>
            <w:vAlign w:val="bottom"/>
          </w:tcPr>
          <w:p>
            <w:pPr>
              <w:jc w:val="right"/>
              <w:spacing w:after="0"/>
              <w:rPr>
                <w:sz w:val="20"/>
                <w:szCs w:val="20"/>
                <w:color w:val="auto"/>
              </w:rPr>
            </w:pPr>
            <w:r>
              <w:rPr>
                <w:rFonts w:ascii="Arial" w:cs="Arial" w:eastAsia="Arial" w:hAnsi="Arial"/>
                <w:sz w:val="10"/>
                <w:szCs w:val="10"/>
                <w:color w:val="auto"/>
              </w:rPr>
              <w:t>6,488</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190,228</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27"/>
        </w:trPr>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62"/>
        </w:trPr>
        <w:tc>
          <w:tcPr>
            <w:tcW w:w="106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Karuturi</w:t>
            </w:r>
          </w:p>
        </w:tc>
        <w:tc>
          <w:tcPr>
            <w:tcW w:w="50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30,914</w:t>
            </w:r>
          </w:p>
        </w:tc>
        <w:tc>
          <w:tcPr>
            <w:tcW w:w="5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991,721</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1,243</w:t>
            </w:r>
          </w:p>
        </w:tc>
        <w:tc>
          <w:tcPr>
            <w:tcW w:w="52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36,445</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w:t>
            </w:r>
          </w:p>
        </w:tc>
      </w:tr>
      <w:tr>
        <w:trPr>
          <w:trHeight w:val="155"/>
        </w:trPr>
        <w:tc>
          <w:tcPr>
            <w:tcW w:w="1060" w:type="dxa"/>
            <w:vAlign w:val="bottom"/>
          </w:tcPr>
          <w:p>
            <w:pPr>
              <w:ind w:left="40"/>
              <w:spacing w:after="0"/>
              <w:rPr>
                <w:sz w:val="20"/>
                <w:szCs w:val="20"/>
                <w:color w:val="auto"/>
              </w:rPr>
            </w:pPr>
            <w:r>
              <w:rPr>
                <w:rFonts w:ascii="Arial" w:cs="Arial" w:eastAsia="Arial" w:hAnsi="Arial"/>
                <w:sz w:val="10"/>
                <w:szCs w:val="10"/>
                <w:color w:val="auto"/>
              </w:rPr>
              <w:t>Knight</w:t>
            </w: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52,610</w:t>
            </w:r>
          </w:p>
        </w:tc>
        <w:tc>
          <w:tcPr>
            <w:tcW w:w="580" w:type="dxa"/>
            <w:vAlign w:val="bottom"/>
          </w:tcPr>
          <w:p>
            <w:pPr>
              <w:jc w:val="right"/>
              <w:spacing w:after="0"/>
              <w:rPr>
                <w:sz w:val="20"/>
                <w:szCs w:val="20"/>
                <w:color w:val="auto"/>
              </w:rPr>
            </w:pPr>
            <w:r>
              <w:rPr>
                <w:rFonts w:ascii="Arial" w:cs="Arial" w:eastAsia="Arial" w:hAnsi="Arial"/>
                <w:sz w:val="10"/>
                <w:szCs w:val="10"/>
                <w:color w:val="auto"/>
              </w:rPr>
              <w:t>1,687,729</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4,843</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163,693</w:t>
            </w: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w:t>
            </w:r>
          </w:p>
        </w:tc>
      </w:tr>
    </w:tbl>
    <w:p>
      <w:pPr>
        <w:spacing w:after="0" w:line="112" w:lineRule="exact"/>
        <w:rPr>
          <w:sz w:val="20"/>
          <w:szCs w:val="20"/>
          <w:color w:val="auto"/>
        </w:rPr>
      </w:pPr>
    </w:p>
    <w:p>
      <w:pPr>
        <w:jc w:val="both"/>
        <w:ind w:left="2300" w:right="799" w:hanging="148"/>
        <w:spacing w:after="0" w:line="300" w:lineRule="auto"/>
        <w:tabs>
          <w:tab w:leader="none" w:pos="2300" w:val="left"/>
        </w:tabs>
        <w:numPr>
          <w:ilvl w:val="0"/>
          <w:numId w:val="99"/>
        </w:numPr>
        <w:rPr>
          <w:rFonts w:ascii="Arial" w:cs="Arial" w:eastAsia="Arial" w:hAnsi="Arial"/>
          <w:sz w:val="8"/>
          <w:szCs w:val="8"/>
          <w:color w:val="auto"/>
        </w:rPr>
      </w:pPr>
      <w:r>
        <w:rPr>
          <w:rFonts w:ascii="Arial" w:cs="Arial" w:eastAsia="Arial" w:hAnsi="Arial"/>
          <w:sz w:val="8"/>
          <w:szCs w:val="8"/>
          <w:color w:val="auto"/>
        </w:rPr>
        <w:t>A participant is vested in the right to receive performance share units under the award agreements as of December 31, 2022 (the end of the performance cycle). However, pursuant to the terms of the awards, the actual number of shares to be awarded to the participant is not known until the Compensation Committee determines the applicable performance levels of the underlying goals within 60 days after the end of the performance cycle. Accordingly, the awards are valued for compensation purposes after the Compensation Committee completes its determination and the procedures to verify the financial information used in determining the applicable performance level achievements have been completed. After completion of this process, the actual transfer of the stock is made to participants.</w:t>
      </w:r>
    </w:p>
    <w:p>
      <w:pPr>
        <w:spacing w:after="0" w:line="16" w:lineRule="exact"/>
        <w:rPr>
          <w:rFonts w:ascii="Arial" w:cs="Arial" w:eastAsia="Arial" w:hAnsi="Arial"/>
          <w:sz w:val="8"/>
          <w:szCs w:val="8"/>
          <w:color w:val="auto"/>
        </w:rPr>
      </w:pPr>
    </w:p>
    <w:p>
      <w:pPr>
        <w:jc w:val="both"/>
        <w:ind w:left="2300" w:right="799" w:hanging="148"/>
        <w:spacing w:after="0" w:line="232"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performance share unit awards was determined using the closing market price of our common stock ($29.99) on the New York Stock Exchange on December 30, 2022, together with a dividend equivalent amount equal to the dividends accrued during the performance period ($2.09 per share) on our shares of common stock. The number of performance share units vested was determined based on an overall achievement level of 200%.</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stock awards was determined using the closing market price of our common stock ($26.61) on the New York Stock Exchange on February 18, 2022, together with dividend equivalents per share during the vesting period of $2.71.</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stock awards was determined using the closing market price of our common stock ($30.50) on the New York Stock Exchange on July 1, 2022, together with dividend equivalents per share during the vesting period of $1.29.</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stock awards was determined using the closing market price of our common stock ($32.51) on the New York Stock Exchange on August 17, 2022, together with dividend equivalents per share during the vesting period of $1.29.</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stock awards was determined using the closing market price of our common stock ($30.15) on the New York Stock Exchange on September 28, 2022, together with dividend equivalents per share during the vesting period of $1.32.</w:t>
      </w:r>
    </w:p>
    <w:p>
      <w:pPr>
        <w:spacing w:after="0" w:line="39" w:lineRule="exact"/>
        <w:rPr>
          <w:rFonts w:ascii="Arial" w:cs="Arial" w:eastAsia="Arial" w:hAnsi="Arial"/>
          <w:sz w:val="10"/>
          <w:szCs w:val="10"/>
          <w:color w:val="auto"/>
        </w:rPr>
      </w:pPr>
    </w:p>
    <w:p>
      <w:pPr>
        <w:ind w:left="2300" w:right="819" w:hanging="148"/>
        <w:spacing w:after="0" w:line="234" w:lineRule="auto"/>
        <w:tabs>
          <w:tab w:leader="none" w:pos="23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Value Realized on Vesting for the stock awards was determined using the closing market price of our common stock ($29.99) on the New York Stock Exchange on December 30, 2022, together with dividend equivalents per share during the vesting period of $1.03.</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Our named executive officers hired or rehired before January 1, 2020 (Mr. Doyle and Ms. Karuturi) are eligible for pension benefits under a tax-qualified defined benefit pension plan—the CenterPoint Energy Retirement Plan. Mr. Knight was rehired after January 1, 2020 and, therefore, was ineligible to accrue additional benefits under the plan. However, he retained a vested benefit under the plan from his prior period of employment. In addition, our named executive officers who are eligible to accrue benefits under the CenterPoint Energy Retirement Plan are also eligible to accrue benefits under a benefit restoration plan, which is also a defined benefit plan. Participants are fully vested in both plans after three years of service. For all employees hired on or after January 1, 1999 but prior to January 1, 2009 (including Mr. Knight with respect to his prior benefit), participants accumulated a retirement benefit based upon a cash balance formula of four percent of base salary and short-term incentive compensation through December 31, 2008. For all employees hired prior to January 1, 1999 (including Mr. Doyle), benefits accrued based on a participant’s years of service, final average pay and covered compensation through December 31, 2008. Beginning January 1, 2009, final average pay formula benefits under the retirement plan were frozen as to any future accruals. The lump sum value of the age-65 annuity for all final average pay formula participants was calculated using an interest conversion rate of 4.52% as of December 31, 2008. This lump sum amount will continue to grow annually with interest, based on the 30-year Treasury rate from the prior November, until commencement of the benefit. The participant’s benefit through December 31, 2008 is the greatest of (i) this lump sum value, (ii) the final average pay benefit and (iii) the cash balance benefit. For periods after December 31, 2008, the retirement benefit is based on a cash balance formula of five percent of base salary and short-term incentive compensation.</w:t>
      </w:r>
    </w:p>
    <w:p>
      <w:pPr>
        <w:spacing w:after="0" w:line="258"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Benefits that may not be provided under the retirement plan because of Internal Revenue Code annual limits on benefits and compensation are made in a bookkeeping account under the benefit restoration plan. This excess benefit amount is determined based on the final average pay formula and the cash balance formula under the retirement plan, as applicable. To comply with the requirements under Section 409A of the Internal Revenue Code, we established the CenterPoint Energy Benefit Restoration Plan (CNP Benefit Restoration Plan) for excess benefits that accrued or vested after 2004. This plan is subject to Section 409A. Benefits accrued under this plan are generally paid in a lump sum following the participant’s separation from service. All of our named executive officers who are eligible for the Retirement Plan also participate in this plan and will generally receive payments in a lump sum form under this plan. Benefit payments for our named executive officers and other key employees will be delayed for six months to comply with Section 409A of the Internal Revenue Code. The CNP Benefit Restoration Plan does not provide any past service credits or accelerated service benefits.</w:t>
      </w:r>
    </w:p>
    <w:p>
      <w:pPr>
        <w:spacing w:after="0" w:line="136"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The table below provides information regarding our named executive officers’ accumulated benefits under our retirement and benefit restoration plans.</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2080" w:type="dxa"/>
            <w:vAlign w:val="bottom"/>
            <w:shd w:val="clear" w:color="auto" w:fill="009AD9"/>
          </w:tcPr>
          <w:p>
            <w:pPr>
              <w:spacing w:after="0"/>
              <w:rPr>
                <w:sz w:val="11"/>
                <w:szCs w:val="11"/>
                <w:color w:val="auto"/>
              </w:rPr>
            </w:pPr>
          </w:p>
        </w:tc>
        <w:tc>
          <w:tcPr>
            <w:tcW w:w="1740" w:type="dxa"/>
            <w:vAlign w:val="bottom"/>
            <w:shd w:val="clear" w:color="auto" w:fill="009AD9"/>
          </w:tcPr>
          <w:p>
            <w:pPr>
              <w:spacing w:after="0"/>
              <w:rPr>
                <w:sz w:val="11"/>
                <w:szCs w:val="11"/>
                <w:color w:val="auto"/>
              </w:rPr>
            </w:pPr>
          </w:p>
        </w:tc>
        <w:tc>
          <w:tcPr>
            <w:tcW w:w="102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5"/>
              </w:rPr>
              <w:t>Number of</w:t>
            </w:r>
          </w:p>
        </w:tc>
        <w:tc>
          <w:tcPr>
            <w:tcW w:w="1240" w:type="dxa"/>
            <w:vAlign w:val="bottom"/>
            <w:shd w:val="clear" w:color="auto" w:fill="009AD9"/>
          </w:tcPr>
          <w:p>
            <w:pPr>
              <w:spacing w:after="0"/>
              <w:rPr>
                <w:sz w:val="11"/>
                <w:szCs w:val="11"/>
                <w:color w:val="auto"/>
              </w:rPr>
            </w:pPr>
          </w:p>
        </w:tc>
        <w:tc>
          <w:tcPr>
            <w:tcW w:w="1040" w:type="dxa"/>
            <w:vAlign w:val="bottom"/>
            <w:shd w:val="clear" w:color="auto" w:fill="009AD9"/>
          </w:tcPr>
          <w:p>
            <w:pPr>
              <w:spacing w:after="0"/>
              <w:rPr>
                <w:sz w:val="11"/>
                <w:szCs w:val="11"/>
                <w:color w:val="auto"/>
              </w:rPr>
            </w:pPr>
          </w:p>
        </w:tc>
      </w:tr>
      <w:tr>
        <w:trPr>
          <w:trHeight w:val="109"/>
        </w:trPr>
        <w:tc>
          <w:tcPr>
            <w:tcW w:w="2080" w:type="dxa"/>
            <w:vAlign w:val="bottom"/>
            <w:shd w:val="clear" w:color="auto" w:fill="009AD9"/>
          </w:tcPr>
          <w:p>
            <w:pPr>
              <w:spacing w:after="0"/>
              <w:rPr>
                <w:sz w:val="9"/>
                <w:szCs w:val="9"/>
                <w:color w:val="auto"/>
              </w:rPr>
            </w:pPr>
          </w:p>
        </w:tc>
        <w:tc>
          <w:tcPr>
            <w:tcW w:w="1740" w:type="dxa"/>
            <w:vAlign w:val="bottom"/>
            <w:shd w:val="clear" w:color="auto" w:fill="009AD9"/>
          </w:tcPr>
          <w:p>
            <w:pPr>
              <w:spacing w:after="0"/>
              <w:rPr>
                <w:sz w:val="9"/>
                <w:szCs w:val="9"/>
                <w:color w:val="auto"/>
              </w:rPr>
            </w:pPr>
          </w:p>
        </w:tc>
        <w:tc>
          <w:tcPr>
            <w:tcW w:w="10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87"/>
              </w:rPr>
              <w:t>Years</w:t>
            </w:r>
          </w:p>
        </w:tc>
        <w:tc>
          <w:tcPr>
            <w:tcW w:w="12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Present Value of</w:t>
            </w:r>
          </w:p>
        </w:tc>
        <w:tc>
          <w:tcPr>
            <w:tcW w:w="1040" w:type="dxa"/>
            <w:vAlign w:val="bottom"/>
            <w:shd w:val="clear" w:color="auto" w:fill="009AD9"/>
          </w:tcPr>
          <w:p>
            <w:pPr>
              <w:spacing w:after="0"/>
              <w:rPr>
                <w:sz w:val="9"/>
                <w:szCs w:val="9"/>
                <w:color w:val="auto"/>
              </w:rPr>
            </w:pPr>
          </w:p>
        </w:tc>
      </w:tr>
      <w:tr>
        <w:trPr>
          <w:trHeight w:val="109"/>
        </w:trPr>
        <w:tc>
          <w:tcPr>
            <w:tcW w:w="2080" w:type="dxa"/>
            <w:vAlign w:val="bottom"/>
            <w:shd w:val="clear" w:color="auto" w:fill="009AD9"/>
          </w:tcPr>
          <w:p>
            <w:pPr>
              <w:spacing w:after="0"/>
              <w:rPr>
                <w:sz w:val="9"/>
                <w:szCs w:val="9"/>
                <w:color w:val="auto"/>
              </w:rPr>
            </w:pPr>
          </w:p>
        </w:tc>
        <w:tc>
          <w:tcPr>
            <w:tcW w:w="1740" w:type="dxa"/>
            <w:vAlign w:val="bottom"/>
            <w:shd w:val="clear" w:color="auto" w:fill="009AD9"/>
          </w:tcPr>
          <w:p>
            <w:pPr>
              <w:spacing w:after="0"/>
              <w:rPr>
                <w:sz w:val="9"/>
                <w:szCs w:val="9"/>
                <w:color w:val="auto"/>
              </w:rPr>
            </w:pPr>
          </w:p>
        </w:tc>
        <w:tc>
          <w:tcPr>
            <w:tcW w:w="10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Credited</w:t>
            </w:r>
          </w:p>
        </w:tc>
        <w:tc>
          <w:tcPr>
            <w:tcW w:w="12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Accumulated</w:t>
            </w:r>
          </w:p>
        </w:tc>
        <w:tc>
          <w:tcPr>
            <w:tcW w:w="1040" w:type="dxa"/>
            <w:vAlign w:val="bottom"/>
            <w:shd w:val="clear" w:color="auto" w:fill="009AD9"/>
          </w:tcPr>
          <w:p>
            <w:pPr>
              <w:jc w:val="right"/>
              <w:ind w:right="252"/>
              <w:spacing w:after="0" w:line="109" w:lineRule="exact"/>
              <w:rPr>
                <w:sz w:val="20"/>
                <w:szCs w:val="20"/>
                <w:color w:val="auto"/>
              </w:rPr>
            </w:pPr>
            <w:r>
              <w:rPr>
                <w:rFonts w:ascii="Arial" w:cs="Arial" w:eastAsia="Arial" w:hAnsi="Arial"/>
                <w:sz w:val="10"/>
                <w:szCs w:val="10"/>
                <w:b w:val="1"/>
                <w:bCs w:val="1"/>
                <w:color w:val="FFFFFF"/>
              </w:rPr>
              <w:t>Payments</w:t>
            </w:r>
          </w:p>
        </w:tc>
      </w:tr>
      <w:tr>
        <w:trPr>
          <w:trHeight w:val="109"/>
        </w:trPr>
        <w:tc>
          <w:tcPr>
            <w:tcW w:w="2080" w:type="dxa"/>
            <w:vAlign w:val="bottom"/>
            <w:shd w:val="clear" w:color="auto" w:fill="009AD9"/>
          </w:tcPr>
          <w:p>
            <w:pPr>
              <w:spacing w:after="0"/>
              <w:rPr>
                <w:sz w:val="9"/>
                <w:szCs w:val="9"/>
                <w:color w:val="auto"/>
              </w:rPr>
            </w:pPr>
          </w:p>
        </w:tc>
        <w:tc>
          <w:tcPr>
            <w:tcW w:w="1740" w:type="dxa"/>
            <w:vAlign w:val="bottom"/>
            <w:shd w:val="clear" w:color="auto" w:fill="009AD9"/>
          </w:tcPr>
          <w:p>
            <w:pPr>
              <w:spacing w:after="0"/>
              <w:rPr>
                <w:sz w:val="9"/>
                <w:szCs w:val="9"/>
                <w:color w:val="auto"/>
              </w:rPr>
            </w:pPr>
          </w:p>
        </w:tc>
        <w:tc>
          <w:tcPr>
            <w:tcW w:w="10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rPr>
              <w:t>Service</w:t>
            </w:r>
          </w:p>
        </w:tc>
        <w:tc>
          <w:tcPr>
            <w:tcW w:w="12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Benefit</w:t>
            </w:r>
          </w:p>
        </w:tc>
        <w:tc>
          <w:tcPr>
            <w:tcW w:w="1040" w:type="dxa"/>
            <w:vAlign w:val="bottom"/>
            <w:shd w:val="clear" w:color="auto" w:fill="009AD9"/>
          </w:tcPr>
          <w:p>
            <w:pPr>
              <w:jc w:val="right"/>
              <w:ind w:right="212"/>
              <w:spacing w:after="0" w:line="109" w:lineRule="exact"/>
              <w:rPr>
                <w:sz w:val="20"/>
                <w:szCs w:val="20"/>
                <w:color w:val="auto"/>
              </w:rPr>
            </w:pPr>
            <w:r>
              <w:rPr>
                <w:rFonts w:ascii="Arial" w:cs="Arial" w:eastAsia="Arial" w:hAnsi="Arial"/>
                <w:sz w:val="10"/>
                <w:szCs w:val="10"/>
                <w:b w:val="1"/>
                <w:bCs w:val="1"/>
                <w:color w:val="FFFFFF"/>
              </w:rPr>
              <w:t>during 2022</w:t>
            </w:r>
          </w:p>
        </w:tc>
      </w:tr>
      <w:tr>
        <w:trPr>
          <w:trHeight w:val="143"/>
        </w:trPr>
        <w:tc>
          <w:tcPr>
            <w:tcW w:w="208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1740" w:type="dxa"/>
            <w:vAlign w:val="bottom"/>
            <w:tcBorders>
              <w:bottom w:val="single" w:sz="8" w:color="009AD9"/>
            </w:tcBorders>
            <w:shd w:val="clear" w:color="auto" w:fill="009AD9"/>
          </w:tcPr>
          <w:p>
            <w:pPr>
              <w:ind w:left="740"/>
              <w:spacing w:after="0"/>
              <w:rPr>
                <w:sz w:val="20"/>
                <w:szCs w:val="20"/>
                <w:color w:val="auto"/>
              </w:rPr>
            </w:pPr>
            <w:r>
              <w:rPr>
                <w:rFonts w:ascii="Arial" w:cs="Arial" w:eastAsia="Arial" w:hAnsi="Arial"/>
                <w:sz w:val="10"/>
                <w:szCs w:val="10"/>
                <w:b w:val="1"/>
                <w:bCs w:val="1"/>
                <w:color w:val="FFFFFF"/>
              </w:rPr>
              <w:t>Plan Name</w:t>
            </w:r>
          </w:p>
        </w:tc>
        <w:tc>
          <w:tcPr>
            <w:tcW w:w="10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2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040" w:type="dxa"/>
            <w:vAlign w:val="bottom"/>
            <w:tcBorders>
              <w:bottom w:val="single" w:sz="8" w:color="009AD9"/>
            </w:tcBorders>
            <w:shd w:val="clear" w:color="auto" w:fill="009AD9"/>
          </w:tcPr>
          <w:p>
            <w:pPr>
              <w:jc w:val="right"/>
              <w:ind w:right="412"/>
              <w:spacing w:after="0"/>
              <w:rPr>
                <w:sz w:val="20"/>
                <w:szCs w:val="20"/>
                <w:color w:val="auto"/>
              </w:rPr>
            </w:pPr>
            <w:r>
              <w:rPr>
                <w:rFonts w:ascii="Arial" w:cs="Arial" w:eastAsia="Arial" w:hAnsi="Arial"/>
                <w:sz w:val="10"/>
                <w:szCs w:val="10"/>
                <w:b w:val="1"/>
                <w:bCs w:val="1"/>
                <w:color w:val="FFFFFF"/>
              </w:rPr>
              <w:t>($)</w:t>
            </w:r>
          </w:p>
        </w:tc>
      </w:tr>
      <w:tr>
        <w:trPr>
          <w:trHeight w:val="182"/>
        </w:trPr>
        <w:tc>
          <w:tcPr>
            <w:tcW w:w="2080" w:type="dxa"/>
            <w:vAlign w:val="bottom"/>
          </w:tcPr>
          <w:p>
            <w:pPr>
              <w:ind w:left="40"/>
              <w:spacing w:after="0"/>
              <w:rPr>
                <w:sz w:val="20"/>
                <w:szCs w:val="20"/>
                <w:color w:val="auto"/>
              </w:rPr>
            </w:pPr>
            <w:r>
              <w:rPr>
                <w:rFonts w:ascii="Arial" w:cs="Arial" w:eastAsia="Arial" w:hAnsi="Arial"/>
                <w:sz w:val="10"/>
                <w:szCs w:val="10"/>
                <w:b w:val="1"/>
                <w:bCs w:val="1"/>
                <w:i w:val="1"/>
                <w:iCs w:val="1"/>
                <w:color w:val="auto"/>
              </w:rPr>
              <w:t>Cash Balance Formula</w:t>
            </w:r>
            <w:r>
              <w:rPr>
                <w:rFonts w:ascii="Arial" w:cs="Arial" w:eastAsia="Arial" w:hAnsi="Arial"/>
                <w:sz w:val="14"/>
                <w:szCs w:val="14"/>
                <w:b w:val="1"/>
                <w:bCs w:val="1"/>
                <w:i w:val="1"/>
                <w:iCs w:val="1"/>
                <w:color w:val="auto"/>
                <w:vertAlign w:val="superscript"/>
              </w:rPr>
              <w:t>(1)</w:t>
            </w:r>
          </w:p>
        </w:tc>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20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Karuturi</w:t>
            </w:r>
          </w:p>
        </w:tc>
        <w:tc>
          <w:tcPr>
            <w:tcW w:w="174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color w:val="auto"/>
              </w:rPr>
              <w:t>Retirement Plan</w:t>
            </w:r>
          </w:p>
        </w:tc>
        <w:tc>
          <w:tcPr>
            <w:tcW w:w="1020" w:type="dxa"/>
            <w:vAlign w:val="bottom"/>
            <w:tcBorders>
              <w:bottom w:val="single" w:sz="8" w:color="D8EFF9"/>
            </w:tcBorders>
            <w:shd w:val="clear" w:color="auto" w:fill="D8EFF9"/>
          </w:tcPr>
          <w:p>
            <w:pPr>
              <w:jc w:val="right"/>
              <w:ind w:right="212"/>
              <w:spacing w:after="0"/>
              <w:rPr>
                <w:sz w:val="20"/>
                <w:szCs w:val="20"/>
                <w:color w:val="auto"/>
              </w:rPr>
            </w:pPr>
            <w:r>
              <w:rPr>
                <w:rFonts w:ascii="Arial" w:cs="Arial" w:eastAsia="Arial" w:hAnsi="Arial"/>
                <w:sz w:val="10"/>
                <w:szCs w:val="10"/>
                <w:color w:val="auto"/>
              </w:rPr>
              <w:t>8.4</w:t>
            </w:r>
          </w:p>
        </w:tc>
        <w:tc>
          <w:tcPr>
            <w:tcW w:w="1240" w:type="dxa"/>
            <w:vAlign w:val="bottom"/>
            <w:tcBorders>
              <w:bottom w:val="single" w:sz="8" w:color="D8EFF9"/>
            </w:tcBorders>
            <w:shd w:val="clear" w:color="auto" w:fill="D8EFF9"/>
          </w:tcPr>
          <w:p>
            <w:pPr>
              <w:jc w:val="right"/>
              <w:ind w:right="192"/>
              <w:spacing w:after="0"/>
              <w:rPr>
                <w:sz w:val="20"/>
                <w:szCs w:val="20"/>
                <w:color w:val="auto"/>
              </w:rPr>
            </w:pPr>
            <w:r>
              <w:rPr>
                <w:rFonts w:ascii="Arial" w:cs="Arial" w:eastAsia="Arial" w:hAnsi="Arial"/>
                <w:sz w:val="10"/>
                <w:szCs w:val="10"/>
                <w:color w:val="auto"/>
              </w:rPr>
              <w:t>81,653</w:t>
            </w:r>
          </w:p>
        </w:tc>
        <w:tc>
          <w:tcPr>
            <w:tcW w:w="1040" w:type="dxa"/>
            <w:vAlign w:val="bottom"/>
            <w:tcBorders>
              <w:bottom w:val="single" w:sz="8" w:color="D8EFF9"/>
            </w:tcBorders>
            <w:shd w:val="clear" w:color="auto" w:fill="D8EFF9"/>
          </w:tcPr>
          <w:p>
            <w:pPr>
              <w:jc w:val="right"/>
              <w:ind w:right="212"/>
              <w:spacing w:after="0"/>
              <w:rPr>
                <w:sz w:val="20"/>
                <w:szCs w:val="20"/>
                <w:color w:val="auto"/>
              </w:rPr>
            </w:pPr>
            <w:r>
              <w:rPr>
                <w:rFonts w:ascii="Arial" w:cs="Arial" w:eastAsia="Arial" w:hAnsi="Arial"/>
                <w:sz w:val="10"/>
                <w:szCs w:val="10"/>
                <w:color w:val="auto"/>
              </w:rPr>
              <w:t>—</w:t>
            </w:r>
          </w:p>
        </w:tc>
      </w:tr>
      <w:tr>
        <w:trPr>
          <w:trHeight w:val="155"/>
        </w:trPr>
        <w:tc>
          <w:tcPr>
            <w:tcW w:w="2080" w:type="dxa"/>
            <w:vAlign w:val="bottom"/>
          </w:tcPr>
          <w:p>
            <w:pPr>
              <w:spacing w:after="0"/>
              <w:rPr>
                <w:sz w:val="13"/>
                <w:szCs w:val="13"/>
                <w:color w:val="auto"/>
              </w:rPr>
            </w:pPr>
          </w:p>
        </w:tc>
        <w:tc>
          <w:tcPr>
            <w:tcW w:w="1740" w:type="dxa"/>
            <w:vAlign w:val="bottom"/>
          </w:tcPr>
          <w:p>
            <w:pPr>
              <w:ind w:left="180"/>
              <w:spacing w:after="0"/>
              <w:rPr>
                <w:sz w:val="20"/>
                <w:szCs w:val="20"/>
                <w:color w:val="auto"/>
              </w:rPr>
            </w:pPr>
            <w:r>
              <w:rPr>
                <w:rFonts w:ascii="Arial" w:cs="Arial" w:eastAsia="Arial" w:hAnsi="Arial"/>
                <w:sz w:val="10"/>
                <w:szCs w:val="10"/>
                <w:color w:val="auto"/>
              </w:rPr>
              <w:t>CNP Benefit Restoration Plan</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8.4</w:t>
            </w:r>
          </w:p>
        </w:tc>
        <w:tc>
          <w:tcPr>
            <w:tcW w:w="1240" w:type="dxa"/>
            <w:vAlign w:val="bottom"/>
          </w:tcPr>
          <w:p>
            <w:pPr>
              <w:jc w:val="right"/>
              <w:ind w:right="192"/>
              <w:spacing w:after="0"/>
              <w:rPr>
                <w:sz w:val="20"/>
                <w:szCs w:val="20"/>
                <w:color w:val="auto"/>
              </w:rPr>
            </w:pPr>
            <w:r>
              <w:rPr>
                <w:rFonts w:ascii="Arial" w:cs="Arial" w:eastAsia="Arial" w:hAnsi="Arial"/>
                <w:sz w:val="10"/>
                <w:szCs w:val="10"/>
                <w:color w:val="auto"/>
              </w:rPr>
              <w:t>68,086</w:t>
            </w:r>
          </w:p>
        </w:tc>
        <w:tc>
          <w:tcPr>
            <w:tcW w:w="1040" w:type="dxa"/>
            <w:vAlign w:val="bottom"/>
          </w:tcPr>
          <w:p>
            <w:pPr>
              <w:jc w:val="right"/>
              <w:ind w:right="212"/>
              <w:spacing w:after="0"/>
              <w:rPr>
                <w:sz w:val="20"/>
                <w:szCs w:val="20"/>
                <w:color w:val="auto"/>
              </w:rPr>
            </w:pPr>
            <w:r>
              <w:rPr>
                <w:rFonts w:ascii="Arial" w:cs="Arial" w:eastAsia="Arial" w:hAnsi="Arial"/>
                <w:sz w:val="10"/>
                <w:szCs w:val="10"/>
                <w:color w:val="auto"/>
              </w:rPr>
              <w:t>—</w:t>
            </w:r>
          </w:p>
        </w:tc>
      </w:tr>
      <w:tr>
        <w:trPr>
          <w:trHeight w:val="27"/>
        </w:trPr>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20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Knight</w:t>
            </w:r>
          </w:p>
        </w:tc>
        <w:tc>
          <w:tcPr>
            <w:tcW w:w="1740" w:type="dxa"/>
            <w:vAlign w:val="bottom"/>
            <w:tcBorders>
              <w:bottom w:val="single" w:sz="8" w:color="D8EFF9"/>
            </w:tcBorders>
            <w:shd w:val="clear" w:color="auto" w:fill="D8EFF9"/>
          </w:tcPr>
          <w:p>
            <w:pPr>
              <w:ind w:left="180"/>
              <w:spacing w:after="0"/>
              <w:rPr>
                <w:sz w:val="20"/>
                <w:szCs w:val="20"/>
                <w:color w:val="auto"/>
              </w:rPr>
            </w:pPr>
            <w:r>
              <w:rPr>
                <w:rFonts w:ascii="Arial" w:cs="Arial" w:eastAsia="Arial" w:hAnsi="Arial"/>
                <w:sz w:val="10"/>
                <w:szCs w:val="10"/>
                <w:color w:val="auto"/>
              </w:rPr>
              <w:t>Retirement Plan</w:t>
            </w:r>
          </w:p>
        </w:tc>
        <w:tc>
          <w:tcPr>
            <w:tcW w:w="1020" w:type="dxa"/>
            <w:vAlign w:val="bottom"/>
            <w:tcBorders>
              <w:bottom w:val="single" w:sz="8" w:color="D8EFF9"/>
            </w:tcBorders>
            <w:shd w:val="clear" w:color="auto" w:fill="D8EFF9"/>
          </w:tcPr>
          <w:p>
            <w:pPr>
              <w:jc w:val="right"/>
              <w:ind w:right="212"/>
              <w:spacing w:after="0"/>
              <w:rPr>
                <w:sz w:val="20"/>
                <w:szCs w:val="20"/>
                <w:color w:val="auto"/>
              </w:rPr>
            </w:pPr>
            <w:r>
              <w:rPr>
                <w:rFonts w:ascii="Arial" w:cs="Arial" w:eastAsia="Arial" w:hAnsi="Arial"/>
                <w:sz w:val="10"/>
                <w:szCs w:val="10"/>
                <w:color w:val="auto"/>
              </w:rPr>
              <w:t>12.4</w:t>
            </w:r>
          </w:p>
        </w:tc>
        <w:tc>
          <w:tcPr>
            <w:tcW w:w="1240" w:type="dxa"/>
            <w:vAlign w:val="bottom"/>
            <w:tcBorders>
              <w:bottom w:val="single" w:sz="8" w:color="D8EFF9"/>
            </w:tcBorders>
            <w:shd w:val="clear" w:color="auto" w:fill="D8EFF9"/>
          </w:tcPr>
          <w:p>
            <w:pPr>
              <w:jc w:val="right"/>
              <w:ind w:right="192"/>
              <w:spacing w:after="0"/>
              <w:rPr>
                <w:sz w:val="20"/>
                <w:szCs w:val="20"/>
                <w:color w:val="auto"/>
              </w:rPr>
            </w:pPr>
            <w:r>
              <w:rPr>
                <w:rFonts w:ascii="Arial" w:cs="Arial" w:eastAsia="Arial" w:hAnsi="Arial"/>
                <w:sz w:val="10"/>
                <w:szCs w:val="10"/>
                <w:color w:val="auto"/>
              </w:rPr>
              <w:t>113,328</w:t>
            </w:r>
          </w:p>
        </w:tc>
        <w:tc>
          <w:tcPr>
            <w:tcW w:w="1040" w:type="dxa"/>
            <w:vAlign w:val="bottom"/>
            <w:tcBorders>
              <w:bottom w:val="single" w:sz="8" w:color="D8EFF9"/>
            </w:tcBorders>
            <w:shd w:val="clear" w:color="auto" w:fill="D8EFF9"/>
          </w:tcPr>
          <w:p>
            <w:pPr>
              <w:spacing w:after="0"/>
              <w:rPr>
                <w:sz w:val="14"/>
                <w:szCs w:val="14"/>
                <w:color w:val="auto"/>
              </w:rPr>
            </w:pPr>
          </w:p>
        </w:tc>
      </w:tr>
      <w:tr>
        <w:trPr>
          <w:trHeight w:val="155"/>
        </w:trPr>
        <w:tc>
          <w:tcPr>
            <w:tcW w:w="2080" w:type="dxa"/>
            <w:vAlign w:val="bottom"/>
          </w:tcPr>
          <w:p>
            <w:pPr>
              <w:spacing w:after="0"/>
              <w:rPr>
                <w:sz w:val="13"/>
                <w:szCs w:val="13"/>
                <w:color w:val="auto"/>
              </w:rPr>
            </w:pPr>
          </w:p>
        </w:tc>
        <w:tc>
          <w:tcPr>
            <w:tcW w:w="1740" w:type="dxa"/>
            <w:vAlign w:val="bottom"/>
          </w:tcPr>
          <w:p>
            <w:pPr>
              <w:ind w:left="180"/>
              <w:spacing w:after="0"/>
              <w:rPr>
                <w:sz w:val="20"/>
                <w:szCs w:val="20"/>
                <w:color w:val="auto"/>
              </w:rPr>
            </w:pPr>
            <w:r>
              <w:rPr>
                <w:rFonts w:ascii="Arial" w:cs="Arial" w:eastAsia="Arial" w:hAnsi="Arial"/>
                <w:sz w:val="10"/>
                <w:szCs w:val="10"/>
                <w:color w:val="auto"/>
              </w:rPr>
              <w:t>CNP Benefit Restoration Plan</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12.4</w:t>
            </w:r>
          </w:p>
        </w:tc>
        <w:tc>
          <w:tcPr>
            <w:tcW w:w="124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12"/>
              <w:spacing w:after="0"/>
              <w:rPr>
                <w:sz w:val="20"/>
                <w:szCs w:val="20"/>
                <w:color w:val="auto"/>
              </w:rPr>
            </w:pPr>
            <w:r>
              <w:rPr>
                <w:rFonts w:ascii="Arial" w:cs="Arial" w:eastAsia="Arial" w:hAnsi="Arial"/>
                <w:sz w:val="10"/>
                <w:szCs w:val="10"/>
                <w:color w:val="auto"/>
              </w:rPr>
              <w:t>—</w:t>
            </w:r>
          </w:p>
        </w:tc>
      </w:tr>
      <w:tr>
        <w:trPr>
          <w:trHeight w:val="27"/>
        </w:trPr>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2080" w:type="dxa"/>
            <w:vAlign w:val="bottom"/>
            <w:shd w:val="clear" w:color="auto" w:fill="D8EFF9"/>
          </w:tcPr>
          <w:p>
            <w:pPr>
              <w:ind w:left="40"/>
              <w:spacing w:after="0"/>
              <w:rPr>
                <w:sz w:val="20"/>
                <w:szCs w:val="20"/>
                <w:color w:val="auto"/>
              </w:rPr>
            </w:pPr>
            <w:r>
              <w:rPr>
                <w:rFonts w:ascii="Arial" w:cs="Arial" w:eastAsia="Arial" w:hAnsi="Arial"/>
                <w:sz w:val="10"/>
                <w:szCs w:val="10"/>
                <w:b w:val="1"/>
                <w:bCs w:val="1"/>
                <w:i w:val="1"/>
                <w:iCs w:val="1"/>
                <w:color w:val="auto"/>
              </w:rPr>
              <w:t>Final Average Pay Formula</w:t>
            </w:r>
            <w:r>
              <w:rPr>
                <w:rFonts w:ascii="Arial" w:cs="Arial" w:eastAsia="Arial" w:hAnsi="Arial"/>
                <w:sz w:val="14"/>
                <w:szCs w:val="14"/>
                <w:b w:val="1"/>
                <w:bCs w:val="1"/>
                <w:i w:val="1"/>
                <w:iCs w:val="1"/>
                <w:color w:val="auto"/>
                <w:vertAlign w:val="superscript"/>
              </w:rPr>
              <w:t>(2)</w:t>
            </w:r>
          </w:p>
        </w:tc>
        <w:tc>
          <w:tcPr>
            <w:tcW w:w="1740" w:type="dxa"/>
            <w:vAlign w:val="bottom"/>
            <w:shd w:val="clear" w:color="auto" w:fill="D8EFF9"/>
          </w:tcPr>
          <w:p>
            <w:pPr>
              <w:spacing w:after="0"/>
              <w:rPr>
                <w:sz w:val="15"/>
                <w:szCs w:val="15"/>
                <w:color w:val="auto"/>
              </w:rPr>
            </w:pPr>
          </w:p>
        </w:tc>
        <w:tc>
          <w:tcPr>
            <w:tcW w:w="1020" w:type="dxa"/>
            <w:vAlign w:val="bottom"/>
            <w:shd w:val="clear" w:color="auto" w:fill="D8EFF9"/>
          </w:tcPr>
          <w:p>
            <w:pPr>
              <w:spacing w:after="0"/>
              <w:rPr>
                <w:sz w:val="15"/>
                <w:szCs w:val="15"/>
                <w:color w:val="auto"/>
              </w:rPr>
            </w:pPr>
          </w:p>
        </w:tc>
        <w:tc>
          <w:tcPr>
            <w:tcW w:w="1240" w:type="dxa"/>
            <w:vAlign w:val="bottom"/>
            <w:shd w:val="clear" w:color="auto" w:fill="D8EFF9"/>
          </w:tcPr>
          <w:p>
            <w:pPr>
              <w:spacing w:after="0"/>
              <w:rPr>
                <w:sz w:val="15"/>
                <w:szCs w:val="15"/>
                <w:color w:val="auto"/>
              </w:rPr>
            </w:pPr>
          </w:p>
        </w:tc>
        <w:tc>
          <w:tcPr>
            <w:tcW w:w="1040" w:type="dxa"/>
            <w:vAlign w:val="bottom"/>
            <w:shd w:val="clear" w:color="auto" w:fill="D8EFF9"/>
          </w:tcPr>
          <w:p>
            <w:pPr>
              <w:spacing w:after="0"/>
              <w:rPr>
                <w:sz w:val="15"/>
                <w:szCs w:val="15"/>
                <w:color w:val="auto"/>
              </w:rPr>
            </w:pPr>
          </w:p>
        </w:tc>
      </w:tr>
      <w:tr>
        <w:trPr>
          <w:trHeight w:val="155"/>
        </w:trPr>
        <w:tc>
          <w:tcPr>
            <w:tcW w:w="2080" w:type="dxa"/>
            <w:vAlign w:val="bottom"/>
          </w:tcPr>
          <w:p>
            <w:pPr>
              <w:ind w:left="40"/>
              <w:spacing w:after="0"/>
              <w:rPr>
                <w:sz w:val="20"/>
                <w:szCs w:val="20"/>
                <w:color w:val="auto"/>
              </w:rPr>
            </w:pPr>
            <w:r>
              <w:rPr>
                <w:rFonts w:ascii="Arial" w:cs="Arial" w:eastAsia="Arial" w:hAnsi="Arial"/>
                <w:sz w:val="10"/>
                <w:szCs w:val="10"/>
                <w:color w:val="auto"/>
              </w:rPr>
              <w:t>Doyle</w:t>
            </w:r>
          </w:p>
        </w:tc>
        <w:tc>
          <w:tcPr>
            <w:tcW w:w="1740" w:type="dxa"/>
            <w:vAlign w:val="bottom"/>
          </w:tcPr>
          <w:p>
            <w:pPr>
              <w:ind w:left="180"/>
              <w:spacing w:after="0"/>
              <w:rPr>
                <w:sz w:val="20"/>
                <w:szCs w:val="20"/>
                <w:color w:val="auto"/>
              </w:rPr>
            </w:pPr>
            <w:r>
              <w:rPr>
                <w:rFonts w:ascii="Arial" w:cs="Arial" w:eastAsia="Arial" w:hAnsi="Arial"/>
                <w:sz w:val="10"/>
                <w:szCs w:val="10"/>
                <w:color w:val="auto"/>
              </w:rPr>
              <w:t>Retirement Plan</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27.9</w:t>
            </w:r>
          </w:p>
        </w:tc>
        <w:tc>
          <w:tcPr>
            <w:tcW w:w="1240" w:type="dxa"/>
            <w:vAlign w:val="bottom"/>
          </w:tcPr>
          <w:p>
            <w:pPr>
              <w:jc w:val="right"/>
              <w:ind w:right="192"/>
              <w:spacing w:after="0"/>
              <w:rPr>
                <w:sz w:val="20"/>
                <w:szCs w:val="20"/>
                <w:color w:val="auto"/>
              </w:rPr>
            </w:pPr>
            <w:r>
              <w:rPr>
                <w:rFonts w:ascii="Arial" w:cs="Arial" w:eastAsia="Arial" w:hAnsi="Arial"/>
                <w:sz w:val="10"/>
                <w:szCs w:val="10"/>
                <w:color w:val="auto"/>
              </w:rPr>
              <w:t>353,860</w:t>
            </w:r>
          </w:p>
        </w:tc>
        <w:tc>
          <w:tcPr>
            <w:tcW w:w="1040" w:type="dxa"/>
            <w:vAlign w:val="bottom"/>
          </w:tcPr>
          <w:p>
            <w:pPr>
              <w:jc w:val="right"/>
              <w:ind w:right="212"/>
              <w:spacing w:after="0"/>
              <w:rPr>
                <w:sz w:val="20"/>
                <w:szCs w:val="20"/>
                <w:color w:val="auto"/>
              </w:rPr>
            </w:pPr>
            <w:r>
              <w:rPr>
                <w:rFonts w:ascii="Arial" w:cs="Arial" w:eastAsia="Arial" w:hAnsi="Arial"/>
                <w:sz w:val="10"/>
                <w:szCs w:val="10"/>
                <w:color w:val="auto"/>
              </w:rPr>
              <w:t>—</w:t>
            </w:r>
          </w:p>
        </w:tc>
      </w:tr>
      <w:tr>
        <w:trPr>
          <w:trHeight w:val="27"/>
        </w:trPr>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5"/>
        </w:trPr>
        <w:tc>
          <w:tcPr>
            <w:tcW w:w="2080" w:type="dxa"/>
            <w:vAlign w:val="bottom"/>
            <w:shd w:val="clear" w:color="auto" w:fill="D8EFF9"/>
          </w:tcPr>
          <w:p>
            <w:pPr>
              <w:spacing w:after="0"/>
              <w:rPr>
                <w:sz w:val="13"/>
                <w:szCs w:val="13"/>
                <w:color w:val="auto"/>
              </w:rPr>
            </w:pPr>
          </w:p>
        </w:tc>
        <w:tc>
          <w:tcPr>
            <w:tcW w:w="1740" w:type="dxa"/>
            <w:vAlign w:val="bottom"/>
            <w:shd w:val="clear" w:color="auto" w:fill="D8EFF9"/>
          </w:tcPr>
          <w:p>
            <w:pPr>
              <w:ind w:left="180"/>
              <w:spacing w:after="0"/>
              <w:rPr>
                <w:sz w:val="20"/>
                <w:szCs w:val="20"/>
                <w:color w:val="auto"/>
              </w:rPr>
            </w:pPr>
            <w:r>
              <w:rPr>
                <w:rFonts w:ascii="Arial" w:cs="Arial" w:eastAsia="Arial" w:hAnsi="Arial"/>
                <w:sz w:val="10"/>
                <w:szCs w:val="10"/>
                <w:color w:val="auto"/>
              </w:rPr>
              <w:t>CNP Benefit Restoration Plan</w:t>
            </w:r>
          </w:p>
        </w:tc>
        <w:tc>
          <w:tcPr>
            <w:tcW w:w="1020" w:type="dxa"/>
            <w:vAlign w:val="bottom"/>
            <w:shd w:val="clear" w:color="auto" w:fill="D8EFF9"/>
          </w:tcPr>
          <w:p>
            <w:pPr>
              <w:jc w:val="right"/>
              <w:ind w:right="212"/>
              <w:spacing w:after="0"/>
              <w:rPr>
                <w:sz w:val="20"/>
                <w:szCs w:val="20"/>
                <w:color w:val="auto"/>
              </w:rPr>
            </w:pPr>
            <w:r>
              <w:rPr>
                <w:rFonts w:ascii="Arial" w:cs="Arial" w:eastAsia="Arial" w:hAnsi="Arial"/>
                <w:sz w:val="10"/>
                <w:szCs w:val="10"/>
                <w:color w:val="auto"/>
              </w:rPr>
              <w:t>27.9</w:t>
            </w:r>
          </w:p>
        </w:tc>
        <w:tc>
          <w:tcPr>
            <w:tcW w:w="1240" w:type="dxa"/>
            <w:vAlign w:val="bottom"/>
            <w:shd w:val="clear" w:color="auto" w:fill="D8EFF9"/>
          </w:tcPr>
          <w:p>
            <w:pPr>
              <w:jc w:val="right"/>
              <w:ind w:right="192"/>
              <w:spacing w:after="0"/>
              <w:rPr>
                <w:sz w:val="20"/>
                <w:szCs w:val="20"/>
                <w:color w:val="auto"/>
              </w:rPr>
            </w:pPr>
            <w:r>
              <w:rPr>
                <w:rFonts w:ascii="Arial" w:cs="Arial" w:eastAsia="Arial" w:hAnsi="Arial"/>
                <w:sz w:val="10"/>
                <w:szCs w:val="10"/>
                <w:color w:val="auto"/>
              </w:rPr>
              <w:t>137,352</w:t>
            </w:r>
          </w:p>
        </w:tc>
        <w:tc>
          <w:tcPr>
            <w:tcW w:w="1040" w:type="dxa"/>
            <w:vAlign w:val="bottom"/>
            <w:shd w:val="clear" w:color="auto" w:fill="D8EFF9"/>
          </w:tcPr>
          <w:p>
            <w:pPr>
              <w:jc w:val="right"/>
              <w:ind w:right="212"/>
              <w:spacing w:after="0"/>
              <w:rPr>
                <w:sz w:val="20"/>
                <w:szCs w:val="20"/>
                <w:color w:val="auto"/>
              </w:rPr>
            </w:pPr>
            <w:r>
              <w:rPr>
                <w:rFonts w:ascii="Arial" w:cs="Arial" w:eastAsia="Arial" w:hAnsi="Arial"/>
                <w:sz w:val="10"/>
                <w:szCs w:val="10"/>
                <w:color w:val="auto"/>
              </w:rPr>
              <w:t>—</w:t>
            </w:r>
          </w:p>
        </w:tc>
      </w:tr>
      <w:tr>
        <w:trPr>
          <w:trHeight w:val="27"/>
        </w:trPr>
        <w:tc>
          <w:tcPr>
            <w:tcW w:w="2080" w:type="dxa"/>
            <w:vAlign w:val="bottom"/>
            <w:shd w:val="clear" w:color="auto" w:fill="D8EFF9"/>
          </w:tcPr>
          <w:p>
            <w:pPr>
              <w:spacing w:after="0"/>
              <w:rPr>
                <w:sz w:val="2"/>
                <w:szCs w:val="2"/>
                <w:color w:val="auto"/>
              </w:rPr>
            </w:pPr>
          </w:p>
        </w:tc>
        <w:tc>
          <w:tcPr>
            <w:tcW w:w="1740" w:type="dxa"/>
            <w:vAlign w:val="bottom"/>
            <w:shd w:val="clear" w:color="auto" w:fill="D8EFF9"/>
          </w:tcPr>
          <w:p>
            <w:pPr>
              <w:spacing w:after="0"/>
              <w:rPr>
                <w:sz w:val="2"/>
                <w:szCs w:val="2"/>
                <w:color w:val="auto"/>
              </w:rPr>
            </w:pPr>
          </w:p>
        </w:tc>
        <w:tc>
          <w:tcPr>
            <w:tcW w:w="1020" w:type="dxa"/>
            <w:vAlign w:val="bottom"/>
            <w:shd w:val="clear" w:color="auto" w:fill="D8EFF9"/>
          </w:tcPr>
          <w:p>
            <w:pPr>
              <w:spacing w:after="0"/>
              <w:rPr>
                <w:sz w:val="2"/>
                <w:szCs w:val="2"/>
                <w:color w:val="auto"/>
              </w:rPr>
            </w:pPr>
          </w:p>
        </w:tc>
        <w:tc>
          <w:tcPr>
            <w:tcW w:w="1240" w:type="dxa"/>
            <w:vAlign w:val="bottom"/>
            <w:shd w:val="clear" w:color="auto" w:fill="D8EFF9"/>
          </w:tcPr>
          <w:p>
            <w:pPr>
              <w:spacing w:after="0"/>
              <w:rPr>
                <w:sz w:val="2"/>
                <w:szCs w:val="2"/>
                <w:color w:val="auto"/>
              </w:rPr>
            </w:pPr>
          </w:p>
        </w:tc>
        <w:tc>
          <w:tcPr>
            <w:tcW w:w="1040" w:type="dxa"/>
            <w:vAlign w:val="bottom"/>
            <w:shd w:val="clear" w:color="auto" w:fill="D8EFF9"/>
          </w:tcPr>
          <w:p>
            <w:pPr>
              <w:spacing w:after="0"/>
              <w:rPr>
                <w:sz w:val="2"/>
                <w:szCs w:val="2"/>
                <w:color w:val="auto"/>
              </w:rPr>
            </w:pPr>
          </w:p>
        </w:tc>
      </w:tr>
    </w:tbl>
    <w:p>
      <w:pPr>
        <w:spacing w:after="0" w:line="85" w:lineRule="exact"/>
        <w:rPr>
          <w:sz w:val="20"/>
          <w:szCs w:val="20"/>
          <w:color w:val="auto"/>
        </w:rPr>
      </w:pPr>
    </w:p>
    <w:p>
      <w:pPr>
        <w:jc w:val="both"/>
        <w:ind w:left="2160" w:right="799" w:hanging="226"/>
        <w:spacing w:after="0" w:line="232" w:lineRule="auto"/>
        <w:tabs>
          <w:tab w:leader="none" w:pos="216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The benefits for Ms. Karuturi and Mr. Knight (with respect to his prior benefit) are based solely on the cash balance formula under the retirement plan. Interest accrues in the current year at the average annual interest rate for 30-year Treasury Securities as reported daily during the previous November based upon the account balance as of the end of the previous year. The interest rate for the 2022 plan year was 1.94%.</w:t>
      </w:r>
    </w:p>
    <w:p>
      <w:pPr>
        <w:spacing w:after="0" w:line="131" w:lineRule="exact"/>
        <w:rPr>
          <w:sz w:val="20"/>
          <w:szCs w:val="20"/>
          <w:color w:val="auto"/>
        </w:rPr>
      </w:pPr>
    </w:p>
    <w:p>
      <w:pPr>
        <w:ind w:left="2220" w:hanging="230"/>
        <w:spacing w:after="0"/>
        <w:tabs>
          <w:tab w:leader="none" w:pos="2220" w:val="left"/>
        </w:tabs>
        <w:numPr>
          <w:ilvl w:val="0"/>
          <w:numId w:val="10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84" w:name="page85"/>
    <w:bookmarkEnd w:id="8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8" w:lineRule="exact"/>
        <w:rPr>
          <w:sz w:val="20"/>
          <w:szCs w:val="20"/>
          <w:color w:val="auto"/>
        </w:rPr>
      </w:pPr>
    </w:p>
    <w:p>
      <w:pPr>
        <w:jc w:val="both"/>
        <w:ind w:left="2160" w:right="799"/>
        <w:spacing w:after="0" w:line="230" w:lineRule="auto"/>
        <w:rPr>
          <w:sz w:val="20"/>
          <w:szCs w:val="20"/>
          <w:color w:val="auto"/>
        </w:rPr>
      </w:pPr>
      <w:r>
        <w:rPr>
          <w:rFonts w:ascii="Arial" w:cs="Arial" w:eastAsia="Arial" w:hAnsi="Arial"/>
          <w:sz w:val="10"/>
          <w:szCs w:val="10"/>
          <w:color w:val="auto"/>
        </w:rPr>
        <w:t>Mr. Knight’s benefit under the retirement plan was accrued during a prior period of employment and continues to accrue interest; however, because he was rehired after January 1, 2020, he was ineligible to accrue additional benefits under the retirement plan. In addition, Ms. Karuturi and Mr. Knight (with respect to his prior benefit) accrued an excess benefit amount under the CNP Benefit Restoration Plan based on the cash balance formula as if the Internal Revenue Code annual benefit and compensation limits did not apply. Mr. Knight’s benefit under the CNP Benefit Restoration Plan was accrued during a prior period of employment and was paid upon his prior separation from service. He was not eligible to accrue any further benefits under the plan.</w:t>
      </w:r>
    </w:p>
    <w:p>
      <w:pPr>
        <w:spacing w:after="0" w:line="40" w:lineRule="exact"/>
        <w:rPr>
          <w:sz w:val="20"/>
          <w:szCs w:val="20"/>
          <w:color w:val="auto"/>
        </w:rPr>
      </w:pPr>
    </w:p>
    <w:p>
      <w:pPr>
        <w:jc w:val="both"/>
        <w:ind w:left="2160" w:right="799"/>
        <w:spacing w:after="0" w:line="230" w:lineRule="auto"/>
        <w:rPr>
          <w:sz w:val="20"/>
          <w:szCs w:val="20"/>
          <w:color w:val="auto"/>
        </w:rPr>
      </w:pPr>
      <w:r>
        <w:rPr>
          <w:rFonts w:ascii="Arial" w:cs="Arial" w:eastAsia="Arial" w:hAnsi="Arial"/>
          <w:sz w:val="10"/>
          <w:szCs w:val="10"/>
          <w:color w:val="auto"/>
        </w:rPr>
        <w:t>The present values for Ms. Karuturi and Mr. Knight (with respect to his prior benefit) were calculated based on benefits accrued through December 31, 2022 payable at age 65. Account balances are assumed to accumulate interest credits until age 65 at 3.00%. Since this is a cash balance plan, the lump sum payment is equal to the participant’s account balance at retirement. The single life annuity is calculated by dividing the account balance by the present value factor of an immediate single life annuity assuming an interest rate of 5.15% and using the mortality table prescribed by Section 417(e)(3) of the Internal Revenue Code. To calculate the present value of the benefit in the table, mortality assumptions are based on the PRI-2012 Mortality Table projected using Scale MP-2021, and the interest rate for discounting payments back to December 31, 2022 is 5.15%.</w:t>
      </w:r>
    </w:p>
    <w:p>
      <w:pPr>
        <w:spacing w:after="0" w:line="39" w:lineRule="exact"/>
        <w:rPr>
          <w:sz w:val="20"/>
          <w:szCs w:val="20"/>
          <w:color w:val="auto"/>
        </w:rPr>
      </w:pPr>
    </w:p>
    <w:p>
      <w:pPr>
        <w:ind w:left="2160" w:right="819" w:hanging="226"/>
        <w:spacing w:after="0" w:line="234" w:lineRule="auto"/>
        <w:tabs>
          <w:tab w:leader="none" w:pos="216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Through December 31, 2008, Mr. Doyle accrued benefits based on years of service, final average pay and covered compensation, which we refer to as final average pay (FAP) formulas.</w:t>
      </w:r>
    </w:p>
    <w:p>
      <w:pPr>
        <w:spacing w:after="0" w:line="39" w:lineRule="exact"/>
        <w:rPr>
          <w:sz w:val="20"/>
          <w:szCs w:val="20"/>
          <w:color w:val="auto"/>
        </w:rPr>
      </w:pPr>
    </w:p>
    <w:p>
      <w:pPr>
        <w:jc w:val="both"/>
        <w:ind w:left="2160" w:right="799"/>
        <w:spacing w:after="0" w:line="319" w:lineRule="auto"/>
        <w:rPr>
          <w:sz w:val="20"/>
          <w:szCs w:val="20"/>
          <w:color w:val="auto"/>
        </w:rPr>
      </w:pPr>
      <w:r>
        <w:rPr>
          <w:rFonts w:ascii="Arial" w:cs="Arial" w:eastAsia="Arial" w:hAnsi="Arial"/>
          <w:sz w:val="8"/>
          <w:szCs w:val="8"/>
          <w:color w:val="auto"/>
        </w:rPr>
        <w:t>For Mr. Doyle, final average pay means the highest base salary plus overtime, commissions, and bonuses for the 36 consecutive months out of the 120 consecutive months immediately preceding the earlier of retirement or December 31, 2008. This FAP retirement plan benefit is calculated under the following formula:</w:t>
      </w:r>
    </w:p>
    <w:p>
      <w:pPr>
        <w:ind w:left="3660"/>
        <w:spacing w:after="0"/>
        <w:rPr>
          <w:sz w:val="20"/>
          <w:szCs w:val="20"/>
          <w:color w:val="auto"/>
        </w:rPr>
      </w:pPr>
      <w:r>
        <w:rPr>
          <w:rFonts w:ascii="Arial" w:cs="Arial" w:eastAsia="Arial" w:hAnsi="Arial"/>
          <w:sz w:val="10"/>
          <w:szCs w:val="10"/>
          <w:i w:val="1"/>
          <w:iCs w:val="1"/>
          <w:color w:val="auto"/>
        </w:rPr>
        <w:t>1.25% x FAP x Service + [0.65% x (FAP—Social Security Covered Compensation) x Service]</w:t>
      </w:r>
    </w:p>
    <w:p>
      <w:pPr>
        <w:spacing w:after="0" w:line="50" w:lineRule="exact"/>
        <w:rPr>
          <w:sz w:val="20"/>
          <w:szCs w:val="20"/>
          <w:color w:val="auto"/>
        </w:rPr>
      </w:pPr>
    </w:p>
    <w:p>
      <w:pPr>
        <w:jc w:val="both"/>
        <w:ind w:left="2160" w:right="819"/>
        <w:spacing w:after="0" w:line="343" w:lineRule="auto"/>
        <w:rPr>
          <w:sz w:val="20"/>
          <w:szCs w:val="20"/>
          <w:color w:val="auto"/>
        </w:rPr>
      </w:pPr>
      <w:r>
        <w:rPr>
          <w:rFonts w:ascii="Arial" w:cs="Arial" w:eastAsia="Arial" w:hAnsi="Arial"/>
          <w:sz w:val="8"/>
          <w:szCs w:val="8"/>
          <w:color w:val="auto"/>
        </w:rPr>
        <w:t>In this final average pay formula, the maximum service applicable to the portion of the benefit attributable to FAP in excess of Social Security Covered Compensation is 35 years. The benefit is reduced for early retirement if retirement occurs before age 65. Early retirement subsidies are provided for retirement at age 55 or older.</w:t>
      </w:r>
    </w:p>
    <w:p>
      <w:pPr>
        <w:spacing w:after="0" w:line="1" w:lineRule="exact"/>
        <w:rPr>
          <w:sz w:val="20"/>
          <w:szCs w:val="20"/>
          <w:color w:val="auto"/>
        </w:rPr>
      </w:pPr>
    </w:p>
    <w:p>
      <w:pPr>
        <w:jc w:val="both"/>
        <w:ind w:left="2160" w:right="799"/>
        <w:spacing w:after="0" w:line="232" w:lineRule="auto"/>
        <w:rPr>
          <w:sz w:val="20"/>
          <w:szCs w:val="20"/>
          <w:color w:val="auto"/>
        </w:rPr>
      </w:pPr>
      <w:r>
        <w:rPr>
          <w:rFonts w:ascii="Arial" w:cs="Arial" w:eastAsia="Arial" w:hAnsi="Arial"/>
          <w:sz w:val="10"/>
          <w:szCs w:val="10"/>
          <w:color w:val="auto"/>
        </w:rPr>
        <w:t>Mr. Doyle also accrued a benefit under the benefit restoration plan based on the applicable FAP formula as if the Internal Revenue Code limits did not apply. Beginning in 2009, Mr. Doyle accrued a benefit under the benefit restoration plan based on the cash balance formula as if the Internal Revenue Code compensation limits did not apply.</w:t>
      </w:r>
    </w:p>
    <w:p>
      <w:pPr>
        <w:spacing w:after="0" w:line="39" w:lineRule="exact"/>
        <w:rPr>
          <w:sz w:val="20"/>
          <w:szCs w:val="20"/>
          <w:color w:val="auto"/>
        </w:rPr>
      </w:pPr>
    </w:p>
    <w:p>
      <w:pPr>
        <w:jc w:val="both"/>
        <w:ind w:left="2160" w:right="799"/>
        <w:spacing w:after="0" w:line="229" w:lineRule="auto"/>
        <w:rPr>
          <w:sz w:val="20"/>
          <w:szCs w:val="20"/>
          <w:color w:val="auto"/>
        </w:rPr>
      </w:pPr>
      <w:r>
        <w:rPr>
          <w:rFonts w:ascii="Arial" w:cs="Arial" w:eastAsia="Arial" w:hAnsi="Arial"/>
          <w:sz w:val="10"/>
          <w:szCs w:val="10"/>
          <w:color w:val="auto"/>
        </w:rPr>
        <w:t>The present values for Mr. Doyle were calculated based on benefits accrued through December 31, 2022 assuming retirement at the earliest reduced age. The calculation assumes the participant is 45% likely to commence the benefit in the form of a single life annuity and 55% likely to elect a lump sum distribution. The single life annuity is the normal form of benefit under the plan. Mortality assumptions for discounting annuities are based on the PRI-2012 Mortality Table projected using Scale MP-2021 and an interest rate of 5.15%. The lump sum distribution for benefits accrued through December 31, 2008 is calculated as the greater of the cash balance amount and the present value of the accrued benefit commencing at age 65 assuming an interest rate of 5.15% and using the mortality table prescribed by Section 417(e)(3) of the Internal Revenue Code. The interest rate for discounting payments back to December 31, 2022 was 5.15%. These assumptions, where applicable, are the same assumptions disclosed in “Stock Based Incentive Compensation Plans and Employee Benefit Plans” in Note 8 to our consolidated financial statements included in our annual report on Form 10-K for the year ended December 31, 2022.</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Savings Plan and Savings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7" w:lineRule="auto"/>
        <w:rPr>
          <w:sz w:val="20"/>
          <w:szCs w:val="20"/>
          <w:color w:val="auto"/>
        </w:rPr>
      </w:pPr>
      <w:r>
        <w:rPr>
          <w:rFonts w:ascii="Arial" w:cs="Arial" w:eastAsia="Arial" w:hAnsi="Arial"/>
          <w:sz w:val="12"/>
          <w:szCs w:val="12"/>
          <w:color w:val="auto"/>
        </w:rPr>
        <w:t>Under our savings plan, our named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named executive officers contribute under the plan. For our named executive officers hired or rehired on or after January 1, 2020 (Messrs. Lesar, Wells, and Knight), in lieu of eligibility under the defined benefit pension plans, we also make employer nonelective contributions of 3% of eligible pay. Payment options under the savings plan include</w:t>
      </w:r>
    </w:p>
    <w:p>
      <w:pPr>
        <w:spacing w:after="0" w:line="1" w:lineRule="exact"/>
        <w:rPr>
          <w:sz w:val="20"/>
          <w:szCs w:val="20"/>
          <w:color w:val="auto"/>
        </w:rPr>
      </w:pPr>
    </w:p>
    <w:p>
      <w:pPr>
        <w:jc w:val="both"/>
        <w:ind w:left="1940" w:right="799" w:hanging="6"/>
        <w:spacing w:after="0"/>
        <w:tabs>
          <w:tab w:leader="none" w:pos="2086"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 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 Section 409A. Benefits under this plan are paid in a lump sum following the participant’s separation from service, and all of our named executive officers participate in this plan. Benefit payments for our named executive officers and 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and benefits are paid under this plan at the same time and in the</w:t>
      </w:r>
    </w:p>
    <w:p>
      <w:pPr>
        <w:spacing w:after="0" w:line="288"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Prior to January 1, 2023, our deferred compensation plan permitted eligible key employees to elect voluntarily each year to defer a percentage of up to 90% of salary and/or short-term incentive compensation. The plan was frozen as of January 1, 2023 such that no further compensation may be deferred under the plan after that date. However, interest continues to accrue on prior deferrals at the rate described below.</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Company amended the Deferred Compensation Plan as of December 31, 2007, renamed it the 1989 Deferred Compensation Plan and froze the plan to new participants and benefit accruals as of December 31, 2007. Effective January 1, 2008, obligations with respect to deferrals under the 1989 Deferred Compensation Plan after December 31, 2004, along with all associated earnings were transferred to and are paid from the 2005 Deferred Compensation Plan, which was adopted effective as of January 1, 2008, to replace the 1989 Deferred Compensation Plan. References to our deferred compensation plan include both our 2005 Deferred Compensation Plan, which covers amounts subject to Section 409A, as well as our 1989 Deferred Compensation Plan, which covers amounts which are exempt from Section 409A. Under the terms of our deferred compensation plan, interest accrues on deferrals at a rate adjusted annually equal to the average yield during the year of the Moody’s Long-Term Corporate Bond Index plus two percent.</w:t>
      </w:r>
    </w:p>
    <w:p>
      <w:pPr>
        <w:spacing w:after="0" w:line="137"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Participants in the plan could elect at the time of their deferral election to receive distributions of their deferred compensation and interest in three ways:</w:t>
      </w:r>
    </w:p>
    <w:p>
      <w:pPr>
        <w:spacing w:after="0" w:line="67" w:lineRule="exact"/>
        <w:rPr>
          <w:sz w:val="20"/>
          <w:szCs w:val="20"/>
          <w:color w:val="auto"/>
        </w:rPr>
      </w:pPr>
    </w:p>
    <w:p>
      <w:pPr>
        <w:jc w:val="both"/>
        <w:ind w:left="2220" w:right="799" w:hanging="213"/>
        <w:spacing w:after="0" w:line="243" w:lineRule="auto"/>
        <w:tabs>
          <w:tab w:leader="none" w:pos="2220" w:val="left"/>
        </w:tabs>
        <w:numPr>
          <w:ilvl w:val="0"/>
          <w:numId w:val="104"/>
        </w:numPr>
        <w:rPr>
          <w:rFonts w:ascii="Arial" w:cs="Arial" w:eastAsia="Arial" w:hAnsi="Arial"/>
          <w:sz w:val="12"/>
          <w:szCs w:val="12"/>
          <w:color w:val="009AD9"/>
        </w:rPr>
      </w:pPr>
      <w:r>
        <w:rPr>
          <w:rFonts w:ascii="Arial" w:cs="Arial" w:eastAsia="Arial" w:hAnsi="Arial"/>
          <w:sz w:val="12"/>
          <w:szCs w:val="12"/>
          <w:color w:val="auto"/>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p>
    <w:p>
      <w:pPr>
        <w:spacing w:after="0" w:line="71" w:lineRule="exact"/>
        <w:rPr>
          <w:rFonts w:ascii="Arial" w:cs="Arial" w:eastAsia="Arial" w:hAnsi="Arial"/>
          <w:sz w:val="12"/>
          <w:szCs w:val="12"/>
          <w:color w:val="009AD9"/>
        </w:rPr>
      </w:pPr>
    </w:p>
    <w:p>
      <w:pPr>
        <w:ind w:left="2220" w:hanging="213"/>
        <w:spacing w:after="0"/>
        <w:tabs>
          <w:tab w:leader="none" w:pos="2220" w:val="left"/>
        </w:tabs>
        <w:numPr>
          <w:ilvl w:val="0"/>
          <w:numId w:val="104"/>
        </w:numPr>
        <w:rPr>
          <w:rFonts w:ascii="Arial" w:cs="Arial" w:eastAsia="Arial" w:hAnsi="Arial"/>
          <w:sz w:val="12"/>
          <w:szCs w:val="12"/>
          <w:color w:val="009AD9"/>
        </w:rPr>
      </w:pPr>
      <w:r>
        <w:rPr>
          <w:rFonts w:ascii="Arial" w:cs="Arial" w:eastAsia="Arial" w:hAnsi="Arial"/>
          <w:sz w:val="12"/>
          <w:szCs w:val="12"/>
          <w:color w:val="auto"/>
        </w:rPr>
        <w:t>a lump sum distribution upon termination of employment on or after age 55; or</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104"/>
        </w:numPr>
        <w:rPr>
          <w:rFonts w:ascii="Arial" w:cs="Arial" w:eastAsia="Arial" w:hAnsi="Arial"/>
          <w:sz w:val="12"/>
          <w:szCs w:val="12"/>
          <w:color w:val="009AD9"/>
        </w:rPr>
      </w:pPr>
      <w:r>
        <w:rPr>
          <w:rFonts w:ascii="Arial" w:cs="Arial" w:eastAsia="Arial" w:hAnsi="Arial"/>
          <w:sz w:val="12"/>
          <w:szCs w:val="12"/>
          <w:color w:val="auto"/>
        </w:rPr>
        <w:t>15 annual installments commencing upon termination of employment on or after age 55.</w:t>
      </w:r>
    </w:p>
    <w:p>
      <w:pPr>
        <w:spacing w:after="0" w:line="144"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If a participant terminates employment prior to age 55, a lump sum distribution of his or her deferral amount plus interest, calculated using the Moody’s rate and excluding the additional two percentage points, will be made regardless of his or her form of election. For deferrals under the 2005 Deferred Compensation Plan,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 Mr. Doyle was the only named executive officer who elected to defer compensation under the plan during 2022.</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For deferrals under the 1989 Deferred Compensation Plan, if a participant terminates employment from and after age 55 but prior to age 60, the deferral amount plus interest (including the additional two percent) will be paid in accordance with the participant’s distribution elections, in either a lump sum payment in the January after his or her separation from service or 15 annual installments commencing upon his or her separation from service. If a participant terminates employment after age 60 under the 1989 Deferred Compensation Plan, the deferral amount plus interest, including the additional two percent, will be paid in accordance with the participant’s distribution elections after he or she reaches age 65.</w:t>
      </w:r>
    </w:p>
    <w:p>
      <w:pPr>
        <w:spacing w:after="0" w:line="139"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Each of our deferred compensation plans discussed above is a nonqualified, unfunded plan, and the employees are general, unsecured creditors of CenterPoint Energy. No fund or other assets of CenterPoint Energy have been set aside or segregated to pay benefits under any of these plans. Please refer to “Rabbi Trust” under “Potential Payments upon Change in Control or Termination” for information on funding of the plans upon a change in control.</w:t>
      </w:r>
    </w:p>
    <w:p>
      <w:pPr>
        <w:spacing w:after="0" w:line="132" w:lineRule="exact"/>
        <w:rPr>
          <w:sz w:val="20"/>
          <w:szCs w:val="20"/>
          <w:color w:val="auto"/>
        </w:rPr>
      </w:pPr>
    </w:p>
    <w:p>
      <w:pPr>
        <w:ind w:left="2220" w:hanging="230"/>
        <w:spacing w:after="0"/>
        <w:tabs>
          <w:tab w:leader="none" w:pos="2220" w:val="left"/>
        </w:tabs>
        <w:numPr>
          <w:ilvl w:val="0"/>
          <w:numId w:val="105"/>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The following table provides information with respect to benefits under the deferred compensation plans and the savings restoration plans.</w:t>
      </w:r>
    </w:p>
    <w:p>
      <w:pPr>
        <w:spacing w:after="0" w:line="163"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1120" w:type="dxa"/>
            <w:vAlign w:val="bottom"/>
            <w:shd w:val="clear" w:color="auto" w:fill="009AD9"/>
          </w:tcPr>
          <w:p>
            <w:pPr>
              <w:spacing w:after="0"/>
              <w:rPr>
                <w:sz w:val="11"/>
                <w:szCs w:val="11"/>
                <w:color w:val="auto"/>
              </w:rPr>
            </w:pPr>
          </w:p>
        </w:tc>
        <w:tc>
          <w:tcPr>
            <w:tcW w:w="1800" w:type="dxa"/>
            <w:vAlign w:val="bottom"/>
            <w:shd w:val="clear" w:color="auto" w:fill="009AD9"/>
          </w:tcPr>
          <w:p>
            <w:pPr>
              <w:spacing w:after="0"/>
              <w:rPr>
                <w:sz w:val="11"/>
                <w:szCs w:val="11"/>
                <w:color w:val="auto"/>
              </w:rPr>
            </w:pPr>
          </w:p>
        </w:tc>
        <w:tc>
          <w:tcPr>
            <w:tcW w:w="980" w:type="dxa"/>
            <w:vAlign w:val="bottom"/>
            <w:shd w:val="clear" w:color="auto" w:fill="009AD9"/>
          </w:tcPr>
          <w:p>
            <w:pPr>
              <w:spacing w:after="0"/>
              <w:rPr>
                <w:sz w:val="11"/>
                <w:szCs w:val="11"/>
                <w:color w:val="auto"/>
              </w:rPr>
            </w:pPr>
          </w:p>
        </w:tc>
        <w:tc>
          <w:tcPr>
            <w:tcW w:w="1020" w:type="dxa"/>
            <w:vAlign w:val="bottom"/>
            <w:shd w:val="clear" w:color="auto" w:fill="009AD9"/>
          </w:tcPr>
          <w:p>
            <w:pPr>
              <w:spacing w:after="0"/>
              <w:rPr>
                <w:sz w:val="11"/>
                <w:szCs w:val="11"/>
                <w:color w:val="auto"/>
              </w:rPr>
            </w:pPr>
          </w:p>
        </w:tc>
        <w:tc>
          <w:tcPr>
            <w:tcW w:w="880" w:type="dxa"/>
            <w:vAlign w:val="bottom"/>
            <w:shd w:val="clear" w:color="auto" w:fill="009AD9"/>
          </w:tcPr>
          <w:p>
            <w:pPr>
              <w:spacing w:after="0"/>
              <w:rPr>
                <w:sz w:val="11"/>
                <w:szCs w:val="11"/>
                <w:color w:val="auto"/>
              </w:rPr>
            </w:pPr>
          </w:p>
        </w:tc>
        <w:tc>
          <w:tcPr>
            <w:tcW w:w="820" w:type="dxa"/>
            <w:vAlign w:val="bottom"/>
            <w:shd w:val="clear" w:color="auto" w:fill="009AD9"/>
          </w:tcPr>
          <w:p>
            <w:pPr>
              <w:spacing w:after="0"/>
              <w:rPr>
                <w:sz w:val="11"/>
                <w:szCs w:val="11"/>
                <w:color w:val="auto"/>
              </w:rPr>
            </w:pPr>
          </w:p>
        </w:tc>
        <w:tc>
          <w:tcPr>
            <w:tcW w:w="80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6"/>
              </w:rPr>
              <w:t>Aggregate</w:t>
            </w:r>
          </w:p>
        </w:tc>
      </w:tr>
      <w:tr>
        <w:trPr>
          <w:trHeight w:val="109"/>
        </w:trPr>
        <w:tc>
          <w:tcPr>
            <w:tcW w:w="1120" w:type="dxa"/>
            <w:vAlign w:val="bottom"/>
            <w:shd w:val="clear" w:color="auto" w:fill="009AD9"/>
          </w:tcPr>
          <w:p>
            <w:pPr>
              <w:spacing w:after="0"/>
              <w:rPr>
                <w:sz w:val="9"/>
                <w:szCs w:val="9"/>
                <w:color w:val="auto"/>
              </w:rPr>
            </w:pPr>
          </w:p>
        </w:tc>
        <w:tc>
          <w:tcPr>
            <w:tcW w:w="1800" w:type="dxa"/>
            <w:vAlign w:val="bottom"/>
            <w:shd w:val="clear" w:color="auto" w:fill="009AD9"/>
          </w:tcPr>
          <w:p>
            <w:pPr>
              <w:spacing w:after="0"/>
              <w:rPr>
                <w:sz w:val="9"/>
                <w:szCs w:val="9"/>
                <w:color w:val="auto"/>
              </w:rPr>
            </w:pPr>
          </w:p>
        </w:tc>
        <w:tc>
          <w:tcPr>
            <w:tcW w:w="9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Executive</w:t>
            </w:r>
          </w:p>
        </w:tc>
        <w:tc>
          <w:tcPr>
            <w:tcW w:w="10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Registrant</w:t>
            </w:r>
          </w:p>
        </w:tc>
        <w:tc>
          <w:tcPr>
            <w:tcW w:w="880" w:type="dxa"/>
            <w:vAlign w:val="bottom"/>
            <w:shd w:val="clear" w:color="auto" w:fill="009AD9"/>
          </w:tcPr>
          <w:p>
            <w:pPr>
              <w:jc w:val="right"/>
              <w:ind w:right="112"/>
              <w:spacing w:after="0" w:line="109" w:lineRule="exact"/>
              <w:rPr>
                <w:sz w:val="20"/>
                <w:szCs w:val="20"/>
                <w:color w:val="auto"/>
              </w:rPr>
            </w:pPr>
            <w:r>
              <w:rPr>
                <w:rFonts w:ascii="Arial" w:cs="Arial" w:eastAsia="Arial" w:hAnsi="Arial"/>
                <w:sz w:val="10"/>
                <w:szCs w:val="10"/>
                <w:b w:val="1"/>
                <w:bCs w:val="1"/>
                <w:color w:val="FFFFFF"/>
              </w:rPr>
              <w:t>Aggregate</w:t>
            </w:r>
          </w:p>
        </w:tc>
        <w:tc>
          <w:tcPr>
            <w:tcW w:w="820" w:type="dxa"/>
            <w:vAlign w:val="bottom"/>
            <w:shd w:val="clear" w:color="auto" w:fill="009AD9"/>
          </w:tcPr>
          <w:p>
            <w:pPr>
              <w:jc w:val="right"/>
              <w:ind w:right="72"/>
              <w:spacing w:after="0" w:line="109" w:lineRule="exact"/>
              <w:rPr>
                <w:sz w:val="20"/>
                <w:szCs w:val="20"/>
                <w:color w:val="auto"/>
              </w:rPr>
            </w:pPr>
            <w:r>
              <w:rPr>
                <w:rFonts w:ascii="Arial" w:cs="Arial" w:eastAsia="Arial" w:hAnsi="Arial"/>
                <w:sz w:val="10"/>
                <w:szCs w:val="10"/>
                <w:b w:val="1"/>
                <w:bCs w:val="1"/>
                <w:color w:val="FFFFFF"/>
              </w:rPr>
              <w:t>Aggregate</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Balance at</w:t>
            </w:r>
          </w:p>
        </w:tc>
      </w:tr>
      <w:tr>
        <w:trPr>
          <w:trHeight w:val="109"/>
        </w:trPr>
        <w:tc>
          <w:tcPr>
            <w:tcW w:w="1120" w:type="dxa"/>
            <w:vAlign w:val="bottom"/>
            <w:shd w:val="clear" w:color="auto" w:fill="009AD9"/>
          </w:tcPr>
          <w:p>
            <w:pPr>
              <w:spacing w:after="0"/>
              <w:rPr>
                <w:sz w:val="9"/>
                <w:szCs w:val="9"/>
                <w:color w:val="auto"/>
              </w:rPr>
            </w:pPr>
          </w:p>
        </w:tc>
        <w:tc>
          <w:tcPr>
            <w:tcW w:w="1800" w:type="dxa"/>
            <w:vAlign w:val="bottom"/>
            <w:shd w:val="clear" w:color="auto" w:fill="009AD9"/>
          </w:tcPr>
          <w:p>
            <w:pPr>
              <w:spacing w:after="0"/>
              <w:rPr>
                <w:sz w:val="9"/>
                <w:szCs w:val="9"/>
                <w:color w:val="auto"/>
              </w:rPr>
            </w:pPr>
          </w:p>
        </w:tc>
        <w:tc>
          <w:tcPr>
            <w:tcW w:w="98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Contributions</w:t>
            </w:r>
          </w:p>
        </w:tc>
        <w:tc>
          <w:tcPr>
            <w:tcW w:w="102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Contributions</w:t>
            </w:r>
          </w:p>
        </w:tc>
        <w:tc>
          <w:tcPr>
            <w:tcW w:w="880" w:type="dxa"/>
            <w:vAlign w:val="bottom"/>
            <w:shd w:val="clear" w:color="auto" w:fill="009AD9"/>
          </w:tcPr>
          <w:p>
            <w:pPr>
              <w:jc w:val="right"/>
              <w:ind w:right="92"/>
              <w:spacing w:after="0" w:line="109" w:lineRule="exact"/>
              <w:rPr>
                <w:sz w:val="20"/>
                <w:szCs w:val="20"/>
                <w:color w:val="auto"/>
              </w:rPr>
            </w:pPr>
            <w:r>
              <w:rPr>
                <w:rFonts w:ascii="Arial" w:cs="Arial" w:eastAsia="Arial" w:hAnsi="Arial"/>
                <w:sz w:val="10"/>
                <w:szCs w:val="10"/>
                <w:b w:val="1"/>
                <w:bCs w:val="1"/>
                <w:color w:val="FFFFFF"/>
              </w:rPr>
              <w:t>Earnings in</w:t>
            </w:r>
          </w:p>
        </w:tc>
        <w:tc>
          <w:tcPr>
            <w:tcW w:w="820" w:type="dxa"/>
            <w:vAlign w:val="bottom"/>
            <w:shd w:val="clear" w:color="auto" w:fill="009AD9"/>
          </w:tcPr>
          <w:p>
            <w:pPr>
              <w:jc w:val="right"/>
              <w:ind w:right="12"/>
              <w:spacing w:after="0" w:line="109" w:lineRule="exact"/>
              <w:rPr>
                <w:sz w:val="20"/>
                <w:szCs w:val="20"/>
                <w:color w:val="auto"/>
              </w:rPr>
            </w:pPr>
            <w:r>
              <w:rPr>
                <w:rFonts w:ascii="Arial" w:cs="Arial" w:eastAsia="Arial" w:hAnsi="Arial"/>
                <w:sz w:val="10"/>
                <w:szCs w:val="10"/>
                <w:b w:val="1"/>
                <w:bCs w:val="1"/>
                <w:color w:val="FFFFFF"/>
              </w:rPr>
              <w:t>Withdrawals/</w:t>
            </w:r>
          </w:p>
        </w:tc>
        <w:tc>
          <w:tcPr>
            <w:tcW w:w="80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5"/>
              </w:rPr>
              <w:t>December 31,</w:t>
            </w:r>
          </w:p>
        </w:tc>
      </w:tr>
      <w:tr>
        <w:trPr>
          <w:trHeight w:val="109"/>
        </w:trPr>
        <w:tc>
          <w:tcPr>
            <w:tcW w:w="1120" w:type="dxa"/>
            <w:vAlign w:val="bottom"/>
            <w:shd w:val="clear" w:color="auto" w:fill="009AD9"/>
          </w:tcPr>
          <w:p>
            <w:pPr>
              <w:spacing w:after="0"/>
              <w:rPr>
                <w:sz w:val="9"/>
                <w:szCs w:val="9"/>
                <w:color w:val="auto"/>
              </w:rPr>
            </w:pPr>
          </w:p>
        </w:tc>
        <w:tc>
          <w:tcPr>
            <w:tcW w:w="1800" w:type="dxa"/>
            <w:vAlign w:val="bottom"/>
            <w:shd w:val="clear" w:color="auto" w:fill="009AD9"/>
          </w:tcPr>
          <w:p>
            <w:pPr>
              <w:spacing w:after="0"/>
              <w:rPr>
                <w:sz w:val="9"/>
                <w:szCs w:val="9"/>
                <w:color w:val="auto"/>
              </w:rPr>
            </w:pPr>
          </w:p>
        </w:tc>
        <w:tc>
          <w:tcPr>
            <w:tcW w:w="980" w:type="dxa"/>
            <w:vAlign w:val="bottom"/>
            <w:shd w:val="clear" w:color="auto" w:fill="009AD9"/>
          </w:tcPr>
          <w:p>
            <w:pPr>
              <w:jc w:val="center"/>
              <w:spacing w:after="0" w:line="110" w:lineRule="exact"/>
              <w:rPr>
                <w:sz w:val="20"/>
                <w:szCs w:val="20"/>
                <w:color w:val="auto"/>
              </w:rPr>
            </w:pPr>
            <w:r>
              <w:rPr>
                <w:rFonts w:ascii="Arial" w:cs="Arial" w:eastAsia="Arial" w:hAnsi="Arial"/>
                <w:sz w:val="8"/>
                <w:szCs w:val="8"/>
                <w:b w:val="1"/>
                <w:bCs w:val="1"/>
                <w:color w:val="FFFFFF"/>
              </w:rPr>
              <w:t>in 2022</w:t>
            </w:r>
            <w:r>
              <w:rPr>
                <w:rFonts w:ascii="Arial" w:cs="Arial" w:eastAsia="Arial" w:hAnsi="Arial"/>
                <w:sz w:val="12"/>
                <w:szCs w:val="12"/>
                <w:b w:val="1"/>
                <w:bCs w:val="1"/>
                <w:color w:val="FFFFFF"/>
                <w:vertAlign w:val="superscript"/>
              </w:rPr>
              <w:t>(1)</w:t>
            </w:r>
          </w:p>
        </w:tc>
        <w:tc>
          <w:tcPr>
            <w:tcW w:w="1020" w:type="dxa"/>
            <w:vAlign w:val="bottom"/>
            <w:shd w:val="clear" w:color="auto" w:fill="009AD9"/>
          </w:tcPr>
          <w:p>
            <w:pPr>
              <w:jc w:val="center"/>
              <w:spacing w:after="0" w:line="110" w:lineRule="exact"/>
              <w:rPr>
                <w:sz w:val="20"/>
                <w:szCs w:val="20"/>
                <w:color w:val="auto"/>
              </w:rPr>
            </w:pPr>
            <w:r>
              <w:rPr>
                <w:rFonts w:ascii="Arial" w:cs="Arial" w:eastAsia="Arial" w:hAnsi="Arial"/>
                <w:sz w:val="8"/>
                <w:szCs w:val="8"/>
                <w:b w:val="1"/>
                <w:bCs w:val="1"/>
                <w:color w:val="FFFFFF"/>
              </w:rPr>
              <w:t>in 2022</w:t>
            </w:r>
            <w:r>
              <w:rPr>
                <w:rFonts w:ascii="Arial" w:cs="Arial" w:eastAsia="Arial" w:hAnsi="Arial"/>
                <w:sz w:val="12"/>
                <w:szCs w:val="12"/>
                <w:b w:val="1"/>
                <w:bCs w:val="1"/>
                <w:color w:val="FFFFFF"/>
                <w:vertAlign w:val="superscript"/>
              </w:rPr>
              <w:t>(1)</w:t>
            </w:r>
          </w:p>
        </w:tc>
        <w:tc>
          <w:tcPr>
            <w:tcW w:w="880" w:type="dxa"/>
            <w:vAlign w:val="bottom"/>
            <w:shd w:val="clear" w:color="auto" w:fill="009AD9"/>
          </w:tcPr>
          <w:p>
            <w:pPr>
              <w:jc w:val="right"/>
              <w:ind w:right="212"/>
              <w:spacing w:after="0" w:line="110" w:lineRule="exact"/>
              <w:rPr>
                <w:sz w:val="20"/>
                <w:szCs w:val="20"/>
                <w:color w:val="auto"/>
              </w:rPr>
            </w:pPr>
            <w:r>
              <w:rPr>
                <w:rFonts w:ascii="Arial" w:cs="Arial" w:eastAsia="Arial" w:hAnsi="Arial"/>
                <w:sz w:val="8"/>
                <w:szCs w:val="8"/>
                <w:b w:val="1"/>
                <w:bCs w:val="1"/>
                <w:color w:val="FFFFFF"/>
              </w:rPr>
              <w:t>2022</w:t>
            </w:r>
            <w:r>
              <w:rPr>
                <w:rFonts w:ascii="Arial" w:cs="Arial" w:eastAsia="Arial" w:hAnsi="Arial"/>
                <w:sz w:val="12"/>
                <w:szCs w:val="12"/>
                <w:b w:val="1"/>
                <w:bCs w:val="1"/>
                <w:color w:val="FFFFFF"/>
                <w:vertAlign w:val="superscript"/>
              </w:rPr>
              <w:t>(2)</w:t>
            </w:r>
          </w:p>
        </w:tc>
        <w:tc>
          <w:tcPr>
            <w:tcW w:w="820" w:type="dxa"/>
            <w:vAlign w:val="bottom"/>
            <w:shd w:val="clear" w:color="auto" w:fill="009AD9"/>
          </w:tcPr>
          <w:p>
            <w:pPr>
              <w:jc w:val="right"/>
              <w:ind w:right="12"/>
              <w:spacing w:after="0" w:line="110" w:lineRule="exact"/>
              <w:rPr>
                <w:sz w:val="20"/>
                <w:szCs w:val="20"/>
                <w:color w:val="auto"/>
              </w:rPr>
            </w:pPr>
            <w:r>
              <w:rPr>
                <w:rFonts w:ascii="Arial" w:cs="Arial" w:eastAsia="Arial" w:hAnsi="Arial"/>
                <w:sz w:val="10"/>
                <w:szCs w:val="10"/>
                <w:b w:val="1"/>
                <w:bCs w:val="1"/>
                <w:color w:val="FFFFFF"/>
              </w:rPr>
              <w:t>Distributions</w:t>
            </w:r>
          </w:p>
        </w:tc>
        <w:tc>
          <w:tcPr>
            <w:tcW w:w="800" w:type="dxa"/>
            <w:vAlign w:val="bottom"/>
            <w:shd w:val="clear" w:color="auto" w:fill="009AD9"/>
          </w:tcPr>
          <w:p>
            <w:pPr>
              <w:jc w:val="right"/>
              <w:ind w:right="212"/>
              <w:spacing w:after="0" w:line="110" w:lineRule="exact"/>
              <w:rPr>
                <w:sz w:val="20"/>
                <w:szCs w:val="20"/>
                <w:color w:val="auto"/>
              </w:rPr>
            </w:pPr>
            <w:r>
              <w:rPr>
                <w:rFonts w:ascii="Arial" w:cs="Arial" w:eastAsia="Arial" w:hAnsi="Arial"/>
                <w:sz w:val="8"/>
                <w:szCs w:val="8"/>
                <w:b w:val="1"/>
                <w:bCs w:val="1"/>
                <w:color w:val="FFFFFF"/>
              </w:rPr>
              <w:t>2022</w:t>
            </w:r>
            <w:r>
              <w:rPr>
                <w:rFonts w:ascii="Arial" w:cs="Arial" w:eastAsia="Arial" w:hAnsi="Arial"/>
                <w:sz w:val="12"/>
                <w:szCs w:val="12"/>
                <w:b w:val="1"/>
                <w:bCs w:val="1"/>
                <w:color w:val="FFFFFF"/>
                <w:vertAlign w:val="superscript"/>
              </w:rPr>
              <w:t>(3)</w:t>
            </w:r>
          </w:p>
        </w:tc>
      </w:tr>
      <w:tr>
        <w:trPr>
          <w:trHeight w:val="143"/>
        </w:trPr>
        <w:tc>
          <w:tcPr>
            <w:tcW w:w="112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Name</w:t>
            </w:r>
          </w:p>
        </w:tc>
        <w:tc>
          <w:tcPr>
            <w:tcW w:w="1800" w:type="dxa"/>
            <w:vAlign w:val="bottom"/>
            <w:tcBorders>
              <w:bottom w:val="single" w:sz="8" w:color="009AD9"/>
            </w:tcBorders>
            <w:shd w:val="clear" w:color="auto" w:fill="009AD9"/>
          </w:tcPr>
          <w:p>
            <w:pPr>
              <w:ind w:left="680"/>
              <w:spacing w:after="0"/>
              <w:rPr>
                <w:sz w:val="20"/>
                <w:szCs w:val="20"/>
                <w:color w:val="auto"/>
              </w:rPr>
            </w:pPr>
            <w:r>
              <w:rPr>
                <w:rFonts w:ascii="Arial" w:cs="Arial" w:eastAsia="Arial" w:hAnsi="Arial"/>
                <w:sz w:val="10"/>
                <w:szCs w:val="10"/>
                <w:b w:val="1"/>
                <w:bCs w:val="1"/>
                <w:color w:val="FFFFFF"/>
              </w:rPr>
              <w:t>Plan Name</w:t>
            </w:r>
          </w:p>
        </w:tc>
        <w:tc>
          <w:tcPr>
            <w:tcW w:w="98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10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7"/>
              </w:rPr>
              <w:t>($)</w:t>
            </w:r>
          </w:p>
        </w:tc>
        <w:tc>
          <w:tcPr>
            <w:tcW w:w="880" w:type="dxa"/>
            <w:vAlign w:val="bottom"/>
            <w:tcBorders>
              <w:bottom w:val="single" w:sz="8" w:color="009AD9"/>
            </w:tcBorders>
            <w:shd w:val="clear" w:color="auto" w:fill="009AD9"/>
          </w:tcPr>
          <w:p>
            <w:pPr>
              <w:jc w:val="right"/>
              <w:ind w:right="292"/>
              <w:spacing w:after="0"/>
              <w:rPr>
                <w:sz w:val="20"/>
                <w:szCs w:val="20"/>
                <w:color w:val="auto"/>
              </w:rPr>
            </w:pPr>
            <w:r>
              <w:rPr>
                <w:rFonts w:ascii="Arial" w:cs="Arial" w:eastAsia="Arial" w:hAnsi="Arial"/>
                <w:sz w:val="10"/>
                <w:szCs w:val="10"/>
                <w:b w:val="1"/>
                <w:bCs w:val="1"/>
                <w:color w:val="FFFFFF"/>
              </w:rPr>
              <w:t>($)</w:t>
            </w:r>
          </w:p>
        </w:tc>
        <w:tc>
          <w:tcPr>
            <w:tcW w:w="820" w:type="dxa"/>
            <w:vAlign w:val="bottom"/>
            <w:tcBorders>
              <w:bottom w:val="single" w:sz="8" w:color="009AD9"/>
            </w:tcBorders>
            <w:shd w:val="clear" w:color="auto" w:fill="009AD9"/>
          </w:tcPr>
          <w:p>
            <w:pPr>
              <w:jc w:val="right"/>
              <w:ind w:right="252"/>
              <w:spacing w:after="0"/>
              <w:rPr>
                <w:sz w:val="20"/>
                <w:szCs w:val="20"/>
                <w:color w:val="auto"/>
              </w:rPr>
            </w:pPr>
            <w:r>
              <w:rPr>
                <w:rFonts w:ascii="Arial" w:cs="Arial" w:eastAsia="Arial" w:hAnsi="Arial"/>
                <w:sz w:val="10"/>
                <w:szCs w:val="10"/>
                <w:b w:val="1"/>
                <w:bCs w:val="1"/>
                <w:color w:val="FFFFFF"/>
              </w:rPr>
              <w:t>($)</w:t>
            </w:r>
          </w:p>
        </w:tc>
        <w:tc>
          <w:tcPr>
            <w:tcW w:w="800" w:type="dxa"/>
            <w:vAlign w:val="bottom"/>
            <w:tcBorders>
              <w:bottom w:val="single" w:sz="8" w:color="009AD9"/>
            </w:tcBorders>
            <w:shd w:val="clear" w:color="auto" w:fill="009AD9"/>
          </w:tcPr>
          <w:p>
            <w:pPr>
              <w:jc w:val="right"/>
              <w:ind w:right="292"/>
              <w:spacing w:after="0"/>
              <w:rPr>
                <w:sz w:val="20"/>
                <w:szCs w:val="20"/>
                <w:color w:val="auto"/>
              </w:rPr>
            </w:pPr>
            <w:r>
              <w:rPr>
                <w:rFonts w:ascii="Arial" w:cs="Arial" w:eastAsia="Arial" w:hAnsi="Arial"/>
                <w:sz w:val="10"/>
                <w:szCs w:val="10"/>
                <w:b w:val="1"/>
                <w:bCs w:val="1"/>
                <w:color w:val="FFFFFF"/>
              </w:rPr>
              <w:t>($)</w:t>
            </w:r>
          </w:p>
        </w:tc>
      </w:tr>
      <w:tr>
        <w:trPr>
          <w:trHeight w:val="155"/>
        </w:trPr>
        <w:tc>
          <w:tcPr>
            <w:tcW w:w="1120" w:type="dxa"/>
            <w:vAlign w:val="bottom"/>
          </w:tcPr>
          <w:p>
            <w:pPr>
              <w:ind w:left="40"/>
              <w:spacing w:after="0"/>
              <w:rPr>
                <w:sz w:val="20"/>
                <w:szCs w:val="20"/>
                <w:color w:val="auto"/>
              </w:rPr>
            </w:pPr>
            <w:r>
              <w:rPr>
                <w:rFonts w:ascii="Arial" w:cs="Arial" w:eastAsia="Arial" w:hAnsi="Arial"/>
                <w:sz w:val="10"/>
                <w:szCs w:val="10"/>
                <w:color w:val="auto"/>
              </w:rPr>
              <w:t>Lesar</w:t>
            </w:r>
          </w:p>
        </w:tc>
        <w:tc>
          <w:tcPr>
            <w:tcW w:w="1800" w:type="dxa"/>
            <w:vAlign w:val="bottom"/>
          </w:tcPr>
          <w:p>
            <w:pPr>
              <w:ind w:left="120"/>
              <w:spacing w:after="0"/>
              <w:rPr>
                <w:sz w:val="20"/>
                <w:szCs w:val="20"/>
                <w:color w:val="auto"/>
              </w:rPr>
            </w:pPr>
            <w:r>
              <w:rPr>
                <w:rFonts w:ascii="Arial" w:cs="Arial" w:eastAsia="Arial" w:hAnsi="Arial"/>
                <w:sz w:val="10"/>
                <w:szCs w:val="10"/>
                <w:color w:val="auto"/>
              </w:rPr>
              <w:t>CNP Savings Restoration Plan</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72"/>
              <w:spacing w:after="0"/>
              <w:rPr>
                <w:sz w:val="20"/>
                <w:szCs w:val="20"/>
                <w:color w:val="auto"/>
              </w:rPr>
            </w:pPr>
            <w:r>
              <w:rPr>
                <w:rFonts w:ascii="Arial" w:cs="Arial" w:eastAsia="Arial" w:hAnsi="Arial"/>
                <w:sz w:val="10"/>
                <w:szCs w:val="10"/>
                <w:color w:val="auto"/>
              </w:rPr>
              <w:t>291,093</w:t>
            </w:r>
          </w:p>
        </w:tc>
        <w:tc>
          <w:tcPr>
            <w:tcW w:w="880" w:type="dxa"/>
            <w:vAlign w:val="bottom"/>
          </w:tcPr>
          <w:p>
            <w:pPr>
              <w:jc w:val="right"/>
              <w:ind w:right="112"/>
              <w:spacing w:after="0"/>
              <w:rPr>
                <w:sz w:val="20"/>
                <w:szCs w:val="20"/>
                <w:color w:val="auto"/>
              </w:rPr>
            </w:pPr>
            <w:r>
              <w:rPr>
                <w:rFonts w:ascii="Arial" w:cs="Arial" w:eastAsia="Arial" w:hAnsi="Arial"/>
                <w:sz w:val="10"/>
                <w:szCs w:val="10"/>
                <w:color w:val="auto"/>
              </w:rPr>
              <w:t>(130,775)</w:t>
            </w:r>
          </w:p>
        </w:tc>
        <w:tc>
          <w:tcPr>
            <w:tcW w:w="8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629,543</w:t>
            </w:r>
          </w:p>
        </w:tc>
      </w:tr>
      <w:tr>
        <w:trPr>
          <w:trHeight w:val="27"/>
        </w:trPr>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2"/>
        </w:trPr>
        <w:tc>
          <w:tcPr>
            <w:tcW w:w="112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Wells</w:t>
            </w:r>
          </w:p>
        </w:tc>
        <w:tc>
          <w:tcPr>
            <w:tcW w:w="1800" w:type="dxa"/>
            <w:vAlign w:val="bottom"/>
            <w:tcBorders>
              <w:bottom w:val="single" w:sz="8" w:color="D8EFF9"/>
            </w:tcBorders>
            <w:shd w:val="clear" w:color="auto" w:fill="D8EFF9"/>
          </w:tcPr>
          <w:p>
            <w:pPr>
              <w:ind w:left="120"/>
              <w:spacing w:after="0"/>
              <w:rPr>
                <w:sz w:val="20"/>
                <w:szCs w:val="20"/>
                <w:color w:val="auto"/>
              </w:rPr>
            </w:pPr>
            <w:r>
              <w:rPr>
                <w:rFonts w:ascii="Arial" w:cs="Arial" w:eastAsia="Arial" w:hAnsi="Arial"/>
                <w:sz w:val="10"/>
                <w:szCs w:val="10"/>
                <w:color w:val="auto"/>
              </w:rPr>
              <w:t>CNP Savings Restoration Plan</w:t>
            </w:r>
          </w:p>
        </w:tc>
        <w:tc>
          <w:tcPr>
            <w:tcW w:w="980" w:type="dxa"/>
            <w:vAlign w:val="bottom"/>
            <w:tcBorders>
              <w:bottom w:val="single" w:sz="8" w:color="D8EFF9"/>
            </w:tcBorders>
            <w:shd w:val="clear" w:color="auto" w:fill="D8EFF9"/>
          </w:tcPr>
          <w:p>
            <w:pPr>
              <w:jc w:val="right"/>
              <w:ind w:right="272"/>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8EFF9"/>
            </w:tcBorders>
            <w:shd w:val="clear" w:color="auto" w:fill="D8EFF9"/>
          </w:tcPr>
          <w:p>
            <w:pPr>
              <w:jc w:val="right"/>
              <w:ind w:right="272"/>
              <w:spacing w:after="0"/>
              <w:rPr>
                <w:sz w:val="20"/>
                <w:szCs w:val="20"/>
                <w:color w:val="auto"/>
              </w:rPr>
            </w:pPr>
            <w:r>
              <w:rPr>
                <w:rFonts w:ascii="Arial" w:cs="Arial" w:eastAsia="Arial" w:hAnsi="Arial"/>
                <w:sz w:val="10"/>
                <w:szCs w:val="10"/>
                <w:color w:val="auto"/>
              </w:rPr>
              <w:t>81,998</w:t>
            </w:r>
          </w:p>
        </w:tc>
        <w:tc>
          <w:tcPr>
            <w:tcW w:w="88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(28,652)</w:t>
            </w:r>
          </w:p>
        </w:tc>
        <w:tc>
          <w:tcPr>
            <w:tcW w:w="8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163,257</w:t>
            </w:r>
          </w:p>
        </w:tc>
      </w:tr>
      <w:tr>
        <w:trPr>
          <w:trHeight w:val="155"/>
        </w:trPr>
        <w:tc>
          <w:tcPr>
            <w:tcW w:w="1120" w:type="dxa"/>
            <w:vAlign w:val="bottom"/>
          </w:tcPr>
          <w:p>
            <w:pPr>
              <w:ind w:left="40"/>
              <w:spacing w:after="0"/>
              <w:rPr>
                <w:sz w:val="20"/>
                <w:szCs w:val="20"/>
                <w:color w:val="auto"/>
              </w:rPr>
            </w:pPr>
            <w:r>
              <w:rPr>
                <w:rFonts w:ascii="Arial" w:cs="Arial" w:eastAsia="Arial" w:hAnsi="Arial"/>
                <w:sz w:val="10"/>
                <w:szCs w:val="10"/>
                <w:color w:val="auto"/>
              </w:rPr>
              <w:t>Doyle</w:t>
            </w:r>
          </w:p>
        </w:tc>
        <w:tc>
          <w:tcPr>
            <w:tcW w:w="1800" w:type="dxa"/>
            <w:vAlign w:val="bottom"/>
          </w:tcPr>
          <w:p>
            <w:pPr>
              <w:ind w:left="120"/>
              <w:spacing w:after="0"/>
              <w:rPr>
                <w:sz w:val="20"/>
                <w:szCs w:val="20"/>
                <w:color w:val="auto"/>
              </w:rPr>
            </w:pPr>
            <w:r>
              <w:rPr>
                <w:rFonts w:ascii="Arial" w:cs="Arial" w:eastAsia="Arial" w:hAnsi="Arial"/>
                <w:sz w:val="10"/>
                <w:szCs w:val="10"/>
                <w:color w:val="auto"/>
              </w:rPr>
              <w:t>2005 Deferred Compensation Plan</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40,000</w:t>
            </w:r>
          </w:p>
        </w:tc>
        <w:tc>
          <w:tcPr>
            <w:tcW w:w="102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33,819</w:t>
            </w:r>
          </w:p>
        </w:tc>
        <w:tc>
          <w:tcPr>
            <w:tcW w:w="8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545,595</w:t>
            </w:r>
          </w:p>
        </w:tc>
      </w:tr>
      <w:tr>
        <w:trPr>
          <w:trHeight w:val="27"/>
        </w:trPr>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2"/>
        </w:trPr>
        <w:tc>
          <w:tcPr>
            <w:tcW w:w="1120" w:type="dxa"/>
            <w:vAlign w:val="bottom"/>
            <w:tcBorders>
              <w:bottom w:val="single" w:sz="8" w:color="D8EFF9"/>
            </w:tcBorders>
            <w:shd w:val="clear" w:color="auto" w:fill="D8EFF9"/>
          </w:tcPr>
          <w:p>
            <w:pPr>
              <w:spacing w:after="0"/>
              <w:rPr>
                <w:sz w:val="14"/>
                <w:szCs w:val="14"/>
                <w:color w:val="auto"/>
              </w:rPr>
            </w:pPr>
          </w:p>
        </w:tc>
        <w:tc>
          <w:tcPr>
            <w:tcW w:w="1800" w:type="dxa"/>
            <w:vAlign w:val="bottom"/>
            <w:tcBorders>
              <w:bottom w:val="single" w:sz="8" w:color="D8EFF9"/>
            </w:tcBorders>
            <w:shd w:val="clear" w:color="auto" w:fill="D8EFF9"/>
          </w:tcPr>
          <w:p>
            <w:pPr>
              <w:ind w:left="120"/>
              <w:spacing w:after="0"/>
              <w:rPr>
                <w:sz w:val="20"/>
                <w:szCs w:val="20"/>
                <w:color w:val="auto"/>
              </w:rPr>
            </w:pPr>
            <w:r>
              <w:rPr>
                <w:rFonts w:ascii="Arial" w:cs="Arial" w:eastAsia="Arial" w:hAnsi="Arial"/>
                <w:sz w:val="10"/>
                <w:szCs w:val="10"/>
                <w:color w:val="auto"/>
              </w:rPr>
              <w:t>CNP Savings Restoration Plan</w:t>
            </w:r>
          </w:p>
        </w:tc>
        <w:tc>
          <w:tcPr>
            <w:tcW w:w="980" w:type="dxa"/>
            <w:vAlign w:val="bottom"/>
            <w:tcBorders>
              <w:bottom w:val="single" w:sz="8" w:color="D8EFF9"/>
            </w:tcBorders>
            <w:shd w:val="clear" w:color="auto" w:fill="D8EFF9"/>
          </w:tcPr>
          <w:p>
            <w:pPr>
              <w:jc w:val="right"/>
              <w:ind w:right="272"/>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8EFF9"/>
            </w:tcBorders>
            <w:shd w:val="clear" w:color="auto" w:fill="D8EFF9"/>
          </w:tcPr>
          <w:p>
            <w:pPr>
              <w:jc w:val="right"/>
              <w:ind w:right="272"/>
              <w:spacing w:after="0"/>
              <w:rPr>
                <w:sz w:val="20"/>
                <w:szCs w:val="20"/>
                <w:color w:val="auto"/>
              </w:rPr>
            </w:pPr>
            <w:r>
              <w:rPr>
                <w:rFonts w:ascii="Arial" w:cs="Arial" w:eastAsia="Arial" w:hAnsi="Arial"/>
                <w:sz w:val="10"/>
                <w:szCs w:val="10"/>
                <w:color w:val="auto"/>
              </w:rPr>
              <w:t>34,898</w:t>
            </w:r>
          </w:p>
        </w:tc>
        <w:tc>
          <w:tcPr>
            <w:tcW w:w="88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(26,291)</w:t>
            </w:r>
          </w:p>
        </w:tc>
        <w:tc>
          <w:tcPr>
            <w:tcW w:w="8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225,781</w:t>
            </w:r>
          </w:p>
        </w:tc>
      </w:tr>
      <w:tr>
        <w:trPr>
          <w:trHeight w:val="155"/>
        </w:trPr>
        <w:tc>
          <w:tcPr>
            <w:tcW w:w="1120" w:type="dxa"/>
            <w:vAlign w:val="bottom"/>
          </w:tcPr>
          <w:p>
            <w:pPr>
              <w:ind w:left="40"/>
              <w:spacing w:after="0"/>
              <w:rPr>
                <w:sz w:val="20"/>
                <w:szCs w:val="20"/>
                <w:color w:val="auto"/>
              </w:rPr>
            </w:pPr>
            <w:r>
              <w:rPr>
                <w:rFonts w:ascii="Arial" w:cs="Arial" w:eastAsia="Arial" w:hAnsi="Arial"/>
                <w:sz w:val="10"/>
                <w:szCs w:val="10"/>
                <w:color w:val="auto"/>
              </w:rPr>
              <w:t>Karuturi</w:t>
            </w:r>
          </w:p>
        </w:tc>
        <w:tc>
          <w:tcPr>
            <w:tcW w:w="1800" w:type="dxa"/>
            <w:vAlign w:val="bottom"/>
          </w:tcPr>
          <w:p>
            <w:pPr>
              <w:ind w:left="120"/>
              <w:spacing w:after="0"/>
              <w:rPr>
                <w:sz w:val="20"/>
                <w:szCs w:val="20"/>
                <w:color w:val="auto"/>
              </w:rPr>
            </w:pPr>
            <w:r>
              <w:rPr>
                <w:rFonts w:ascii="Arial" w:cs="Arial" w:eastAsia="Arial" w:hAnsi="Arial"/>
                <w:sz w:val="10"/>
                <w:szCs w:val="10"/>
                <w:color w:val="auto"/>
              </w:rPr>
              <w:t>CNP Savings Restoration Plan</w:t>
            </w:r>
          </w:p>
        </w:tc>
        <w:tc>
          <w:tcPr>
            <w:tcW w:w="98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72"/>
              <w:spacing w:after="0"/>
              <w:rPr>
                <w:sz w:val="20"/>
                <w:szCs w:val="20"/>
                <w:color w:val="auto"/>
              </w:rPr>
            </w:pPr>
            <w:r>
              <w:rPr>
                <w:rFonts w:ascii="Arial" w:cs="Arial" w:eastAsia="Arial" w:hAnsi="Arial"/>
                <w:sz w:val="10"/>
                <w:szCs w:val="10"/>
                <w:color w:val="auto"/>
              </w:rPr>
              <w:t>43,477</w:t>
            </w:r>
          </w:p>
        </w:tc>
        <w:tc>
          <w:tcPr>
            <w:tcW w:w="880" w:type="dxa"/>
            <w:vAlign w:val="bottom"/>
          </w:tcPr>
          <w:p>
            <w:pPr>
              <w:jc w:val="right"/>
              <w:ind w:right="112"/>
              <w:spacing w:after="0"/>
              <w:rPr>
                <w:sz w:val="20"/>
                <w:szCs w:val="20"/>
                <w:color w:val="auto"/>
              </w:rPr>
            </w:pPr>
            <w:r>
              <w:rPr>
                <w:rFonts w:ascii="Arial" w:cs="Arial" w:eastAsia="Arial" w:hAnsi="Arial"/>
                <w:sz w:val="10"/>
                <w:szCs w:val="10"/>
                <w:color w:val="auto"/>
              </w:rPr>
              <w:t>(27,005)</w:t>
            </w:r>
          </w:p>
        </w:tc>
        <w:tc>
          <w:tcPr>
            <w:tcW w:w="8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131,196</w:t>
            </w:r>
          </w:p>
        </w:tc>
      </w:tr>
      <w:tr>
        <w:trPr>
          <w:trHeight w:val="27"/>
        </w:trPr>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5"/>
        </w:trPr>
        <w:tc>
          <w:tcPr>
            <w:tcW w:w="1120" w:type="dxa"/>
            <w:vAlign w:val="bottom"/>
            <w:shd w:val="clear" w:color="auto" w:fill="D8EFF9"/>
          </w:tcPr>
          <w:p>
            <w:pPr>
              <w:ind w:left="40"/>
              <w:spacing w:after="0"/>
              <w:rPr>
                <w:sz w:val="20"/>
                <w:szCs w:val="20"/>
                <w:color w:val="auto"/>
              </w:rPr>
            </w:pPr>
            <w:r>
              <w:rPr>
                <w:rFonts w:ascii="Arial" w:cs="Arial" w:eastAsia="Arial" w:hAnsi="Arial"/>
                <w:sz w:val="10"/>
                <w:szCs w:val="10"/>
                <w:color w:val="auto"/>
              </w:rPr>
              <w:t>Knight</w:t>
            </w:r>
          </w:p>
        </w:tc>
        <w:tc>
          <w:tcPr>
            <w:tcW w:w="1800" w:type="dxa"/>
            <w:vAlign w:val="bottom"/>
            <w:shd w:val="clear" w:color="auto" w:fill="D8EFF9"/>
          </w:tcPr>
          <w:p>
            <w:pPr>
              <w:ind w:left="120"/>
              <w:spacing w:after="0"/>
              <w:rPr>
                <w:sz w:val="20"/>
                <w:szCs w:val="20"/>
                <w:color w:val="auto"/>
              </w:rPr>
            </w:pPr>
            <w:r>
              <w:rPr>
                <w:rFonts w:ascii="Arial" w:cs="Arial" w:eastAsia="Arial" w:hAnsi="Arial"/>
                <w:sz w:val="10"/>
                <w:szCs w:val="10"/>
                <w:color w:val="auto"/>
              </w:rPr>
              <w:t>CNP Savings Restoration Plan</w:t>
            </w:r>
          </w:p>
        </w:tc>
        <w:tc>
          <w:tcPr>
            <w:tcW w:w="980" w:type="dxa"/>
            <w:vAlign w:val="bottom"/>
            <w:shd w:val="clear" w:color="auto" w:fill="D8EFF9"/>
          </w:tcPr>
          <w:p>
            <w:pPr>
              <w:jc w:val="right"/>
              <w:ind w:right="2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D8EFF9"/>
          </w:tcPr>
          <w:p>
            <w:pPr>
              <w:jc w:val="right"/>
              <w:ind w:right="272"/>
              <w:spacing w:after="0"/>
              <w:rPr>
                <w:sz w:val="20"/>
                <w:szCs w:val="20"/>
                <w:color w:val="auto"/>
              </w:rPr>
            </w:pPr>
            <w:r>
              <w:rPr>
                <w:rFonts w:ascii="Arial" w:cs="Arial" w:eastAsia="Arial" w:hAnsi="Arial"/>
                <w:sz w:val="10"/>
                <w:szCs w:val="10"/>
                <w:color w:val="auto"/>
              </w:rPr>
              <w:t>52,516</w:t>
            </w:r>
          </w:p>
        </w:tc>
        <w:tc>
          <w:tcPr>
            <w:tcW w:w="88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(11,553)</w:t>
            </w:r>
          </w:p>
        </w:tc>
        <w:tc>
          <w:tcPr>
            <w:tcW w:w="820" w:type="dxa"/>
            <w:vAlign w:val="bottom"/>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8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79,918</w:t>
            </w:r>
          </w:p>
        </w:tc>
      </w:tr>
      <w:tr>
        <w:trPr>
          <w:trHeight w:val="27"/>
        </w:trPr>
        <w:tc>
          <w:tcPr>
            <w:tcW w:w="1120" w:type="dxa"/>
            <w:vAlign w:val="bottom"/>
            <w:shd w:val="clear" w:color="auto" w:fill="D8EFF9"/>
          </w:tcPr>
          <w:p>
            <w:pPr>
              <w:spacing w:after="0"/>
              <w:rPr>
                <w:sz w:val="2"/>
                <w:szCs w:val="2"/>
                <w:color w:val="auto"/>
              </w:rPr>
            </w:pPr>
          </w:p>
        </w:tc>
        <w:tc>
          <w:tcPr>
            <w:tcW w:w="1800" w:type="dxa"/>
            <w:vAlign w:val="bottom"/>
            <w:shd w:val="clear" w:color="auto" w:fill="D8EFF9"/>
          </w:tcPr>
          <w:p>
            <w:pPr>
              <w:spacing w:after="0"/>
              <w:rPr>
                <w:sz w:val="2"/>
                <w:szCs w:val="2"/>
                <w:color w:val="auto"/>
              </w:rPr>
            </w:pPr>
          </w:p>
        </w:tc>
        <w:tc>
          <w:tcPr>
            <w:tcW w:w="980" w:type="dxa"/>
            <w:vAlign w:val="bottom"/>
            <w:shd w:val="clear" w:color="auto" w:fill="D8EFF9"/>
          </w:tcPr>
          <w:p>
            <w:pPr>
              <w:spacing w:after="0"/>
              <w:rPr>
                <w:sz w:val="2"/>
                <w:szCs w:val="2"/>
                <w:color w:val="auto"/>
              </w:rPr>
            </w:pPr>
          </w:p>
        </w:tc>
        <w:tc>
          <w:tcPr>
            <w:tcW w:w="1020" w:type="dxa"/>
            <w:vAlign w:val="bottom"/>
            <w:shd w:val="clear" w:color="auto" w:fill="D8EFF9"/>
          </w:tcPr>
          <w:p>
            <w:pPr>
              <w:spacing w:after="0"/>
              <w:rPr>
                <w:sz w:val="2"/>
                <w:szCs w:val="2"/>
                <w:color w:val="auto"/>
              </w:rPr>
            </w:pPr>
          </w:p>
        </w:tc>
        <w:tc>
          <w:tcPr>
            <w:tcW w:w="880" w:type="dxa"/>
            <w:vAlign w:val="bottom"/>
            <w:shd w:val="clear" w:color="auto" w:fill="D8EFF9"/>
          </w:tcPr>
          <w:p>
            <w:pPr>
              <w:spacing w:after="0"/>
              <w:rPr>
                <w:sz w:val="2"/>
                <w:szCs w:val="2"/>
                <w:color w:val="auto"/>
              </w:rPr>
            </w:pPr>
          </w:p>
        </w:tc>
        <w:tc>
          <w:tcPr>
            <w:tcW w:w="820" w:type="dxa"/>
            <w:vAlign w:val="bottom"/>
            <w:shd w:val="clear" w:color="auto" w:fill="D8EFF9"/>
          </w:tcPr>
          <w:p>
            <w:pPr>
              <w:spacing w:after="0"/>
              <w:rPr>
                <w:sz w:val="2"/>
                <w:szCs w:val="2"/>
                <w:color w:val="auto"/>
              </w:rPr>
            </w:pPr>
          </w:p>
        </w:tc>
        <w:tc>
          <w:tcPr>
            <w:tcW w:w="800" w:type="dxa"/>
            <w:vAlign w:val="bottom"/>
            <w:shd w:val="clear" w:color="auto" w:fill="D8EFF9"/>
          </w:tcPr>
          <w:p>
            <w:pPr>
              <w:spacing w:after="0"/>
              <w:rPr>
                <w:sz w:val="2"/>
                <w:szCs w:val="2"/>
                <w:color w:val="auto"/>
              </w:rPr>
            </w:pPr>
          </w:p>
        </w:tc>
      </w:tr>
    </w:tbl>
    <w:p>
      <w:pPr>
        <w:spacing w:after="0" w:line="85" w:lineRule="exact"/>
        <w:rPr>
          <w:sz w:val="20"/>
          <w:szCs w:val="20"/>
          <w:color w:val="auto"/>
        </w:rPr>
      </w:pPr>
    </w:p>
    <w:p>
      <w:pPr>
        <w:jc w:val="both"/>
        <w:ind w:left="2160" w:right="799" w:hanging="226"/>
        <w:spacing w:after="0" w:line="231" w:lineRule="auto"/>
        <w:tabs>
          <w:tab w:leader="none" w:pos="216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The Registrant Contributions in 2022 column for the savings restoration plan include employer matching contributions that could not be made to the savings plan due to limitations under the Internal Revenue Code. Mr. Doyle’s contributions to the deferred compensation plan from salary are included in the Salary column of the Summary Compensation Table. Our contributions to the savings plan and savings restoration plan for the named executive officers are also included in the footnote to the All Other Compensation column of the Summary Compensation Table.</w:t>
      </w:r>
    </w:p>
    <w:p>
      <w:pPr>
        <w:spacing w:after="0" w:line="39" w:lineRule="exact"/>
        <w:rPr>
          <w:rFonts w:ascii="Arial" w:cs="Arial" w:eastAsia="Arial" w:hAnsi="Arial"/>
          <w:sz w:val="10"/>
          <w:szCs w:val="10"/>
          <w:color w:val="auto"/>
        </w:rPr>
      </w:pPr>
    </w:p>
    <w:p>
      <w:pPr>
        <w:jc w:val="both"/>
        <w:ind w:left="2160" w:right="819" w:hanging="226"/>
        <w:spacing w:after="0" w:line="232" w:lineRule="auto"/>
        <w:tabs>
          <w:tab w:leader="none" w:pos="216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For the deferred compensation plans, Aggregate Earnings in 2022 consist of earnings on prior plan deferrals. For Mr. Doyle, the 2022 interest rate for the 2005 Deferred Compensation Plan was 6.61% with interest compounded annually. The amounts are also included in the footnote to the Change in Pension Value and Nonqualified Deferred Compensation Earnings column of the Summary Compensation Table.</w:t>
      </w:r>
    </w:p>
    <w:p>
      <w:pPr>
        <w:spacing w:after="0" w:line="39" w:lineRule="exact"/>
        <w:rPr>
          <w:rFonts w:ascii="Arial" w:cs="Arial" w:eastAsia="Arial" w:hAnsi="Arial"/>
          <w:sz w:val="10"/>
          <w:szCs w:val="10"/>
          <w:color w:val="auto"/>
        </w:rPr>
      </w:pPr>
    </w:p>
    <w:p>
      <w:pPr>
        <w:jc w:val="both"/>
        <w:ind w:left="2160" w:right="799"/>
        <w:spacing w:after="0" w:line="232" w:lineRule="auto"/>
        <w:rPr>
          <w:rFonts w:ascii="Arial" w:cs="Arial" w:eastAsia="Arial" w:hAnsi="Arial"/>
          <w:sz w:val="10"/>
          <w:szCs w:val="10"/>
          <w:color w:val="auto"/>
        </w:rPr>
      </w:pPr>
      <w:r>
        <w:rPr>
          <w:rFonts w:ascii="Arial" w:cs="Arial" w:eastAsia="Arial" w:hAnsi="Arial"/>
          <w:sz w:val="10"/>
          <w:szCs w:val="10"/>
          <w:color w:val="auto"/>
        </w:rPr>
        <w:t>For the savings restoration plans, Aggregate Earnings in 2022 include gains and losses determined based on the participant’s balances as of January 1, 2022 plus any matching contributions credited for that year. The gains and losses are calculated using the annualized rate of return for the participant’s account in the plans based on the investment funds selected by the participant.</w:t>
      </w:r>
    </w:p>
    <w:p>
      <w:pPr>
        <w:spacing w:after="0" w:line="39"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The table below sets forth the portion of these aggregate account balances that were reported as compensation in the Summary Compensation Table for 2020 and 2021.</w:t>
      </w:r>
    </w:p>
    <w:p>
      <w:pPr>
        <w:spacing w:after="0" w:line="154" w:lineRule="exact"/>
        <w:rPr>
          <w:sz w:val="20"/>
          <w:szCs w:val="20"/>
          <w:color w:val="auto"/>
        </w:rPr>
      </w:pPr>
    </w:p>
    <w:tbl>
      <w:tblPr>
        <w:tblLayout w:type="fixed"/>
        <w:tblInd w:w="2160" w:type="dxa"/>
        <w:tblCellMar>
          <w:top w:w="0" w:type="dxa"/>
          <w:left w:w="0" w:type="dxa"/>
          <w:bottom w:w="0" w:type="dxa"/>
          <w:right w:w="0" w:type="dxa"/>
        </w:tblCellMar>
      </w:tblPr>
      <w:tr>
        <w:trPr>
          <w:trHeight w:val="180"/>
        </w:trPr>
        <w:tc>
          <w:tcPr>
            <w:tcW w:w="5040" w:type="dxa"/>
            <w:vAlign w:val="bottom"/>
            <w:tcBorders>
              <w:bottom w:val="single" w:sz="8" w:color="009AD9"/>
            </w:tcBorders>
            <w:shd w:val="clear" w:color="auto" w:fill="009AD9"/>
          </w:tcPr>
          <w:p>
            <w:pPr>
              <w:ind w:left="60"/>
              <w:spacing w:after="0"/>
              <w:rPr>
                <w:sz w:val="20"/>
                <w:szCs w:val="20"/>
                <w:color w:val="auto"/>
              </w:rPr>
            </w:pPr>
            <w:r>
              <w:rPr>
                <w:rFonts w:ascii="Arial" w:cs="Arial" w:eastAsia="Arial" w:hAnsi="Arial"/>
                <w:sz w:val="10"/>
                <w:szCs w:val="10"/>
                <w:b w:val="1"/>
                <w:bCs w:val="1"/>
                <w:color w:val="FFFFFF"/>
              </w:rPr>
              <w:t>Name</w:t>
            </w:r>
          </w:p>
        </w:tc>
        <w:tc>
          <w:tcPr>
            <w:tcW w:w="2160" w:type="dxa"/>
            <w:vAlign w:val="bottom"/>
            <w:tcBorders>
              <w:bottom w:val="single" w:sz="8" w:color="009AD9"/>
            </w:tcBorders>
            <w:shd w:val="clear" w:color="auto" w:fill="009AD9"/>
          </w:tcPr>
          <w:p>
            <w:pPr>
              <w:ind w:left="600"/>
              <w:spacing w:after="0"/>
              <w:rPr>
                <w:sz w:val="20"/>
                <w:szCs w:val="20"/>
                <w:color w:val="auto"/>
              </w:rPr>
            </w:pPr>
            <w:r>
              <w:rPr>
                <w:rFonts w:ascii="Arial" w:cs="Arial" w:eastAsia="Arial" w:hAnsi="Arial"/>
                <w:sz w:val="10"/>
                <w:szCs w:val="10"/>
                <w:b w:val="1"/>
                <w:bCs w:val="1"/>
                <w:color w:val="FFFFFF"/>
              </w:rPr>
              <w:t>Amount Previously Reported ($)</w:t>
            </w:r>
          </w:p>
        </w:tc>
      </w:tr>
      <w:tr>
        <w:trPr>
          <w:trHeight w:val="162"/>
        </w:trPr>
        <w:tc>
          <w:tcPr>
            <w:tcW w:w="50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David J. Lesar</w:t>
            </w:r>
          </w:p>
        </w:tc>
        <w:tc>
          <w:tcPr>
            <w:tcW w:w="2160" w:type="dxa"/>
            <w:vAlign w:val="bottom"/>
            <w:tcBorders>
              <w:bottom w:val="single" w:sz="8" w:color="D8EFF9"/>
            </w:tcBorders>
            <w:shd w:val="clear" w:color="auto" w:fill="D8EFF9"/>
          </w:tcPr>
          <w:p>
            <w:pPr>
              <w:jc w:val="center"/>
              <w:ind w:left="452"/>
              <w:spacing w:after="0"/>
              <w:rPr>
                <w:sz w:val="20"/>
                <w:szCs w:val="20"/>
                <w:color w:val="auto"/>
              </w:rPr>
            </w:pPr>
            <w:r>
              <w:rPr>
                <w:rFonts w:ascii="Arial" w:cs="Arial" w:eastAsia="Arial" w:hAnsi="Arial"/>
                <w:sz w:val="10"/>
                <w:szCs w:val="10"/>
                <w:color w:val="auto"/>
                <w:w w:val="99"/>
              </w:rPr>
              <w:t>—</w:t>
            </w:r>
          </w:p>
        </w:tc>
      </w:tr>
      <w:tr>
        <w:trPr>
          <w:trHeight w:val="155"/>
        </w:trPr>
        <w:tc>
          <w:tcPr>
            <w:tcW w:w="5040" w:type="dxa"/>
            <w:vAlign w:val="bottom"/>
          </w:tcPr>
          <w:p>
            <w:pPr>
              <w:ind w:left="40"/>
              <w:spacing w:after="0"/>
              <w:rPr>
                <w:sz w:val="20"/>
                <w:szCs w:val="20"/>
                <w:color w:val="auto"/>
              </w:rPr>
            </w:pPr>
            <w:r>
              <w:rPr>
                <w:rFonts w:ascii="Arial" w:cs="Arial" w:eastAsia="Arial" w:hAnsi="Arial"/>
                <w:sz w:val="10"/>
                <w:szCs w:val="10"/>
                <w:b w:val="1"/>
                <w:bCs w:val="1"/>
                <w:color w:val="auto"/>
              </w:rPr>
              <w:t>Jason P. Wells</w:t>
            </w:r>
          </w:p>
        </w:tc>
        <w:tc>
          <w:tcPr>
            <w:tcW w:w="2160" w:type="dxa"/>
            <w:vAlign w:val="bottom"/>
          </w:tcPr>
          <w:p>
            <w:pPr>
              <w:jc w:val="center"/>
              <w:ind w:left="452"/>
              <w:spacing w:after="0"/>
              <w:rPr>
                <w:sz w:val="20"/>
                <w:szCs w:val="20"/>
                <w:color w:val="auto"/>
              </w:rPr>
            </w:pPr>
            <w:r>
              <w:rPr>
                <w:rFonts w:ascii="Arial" w:cs="Arial" w:eastAsia="Arial" w:hAnsi="Arial"/>
                <w:sz w:val="10"/>
                <w:szCs w:val="10"/>
                <w:color w:val="auto"/>
                <w:w w:val="99"/>
              </w:rPr>
              <w:t>—</w:t>
            </w:r>
          </w:p>
        </w:tc>
      </w:tr>
      <w:tr>
        <w:trPr>
          <w:trHeight w:val="27"/>
        </w:trPr>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62"/>
        </w:trPr>
        <w:tc>
          <w:tcPr>
            <w:tcW w:w="50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Scott E. Doyle</w:t>
            </w:r>
          </w:p>
        </w:tc>
        <w:tc>
          <w:tcPr>
            <w:tcW w:w="2160" w:type="dxa"/>
            <w:vAlign w:val="bottom"/>
            <w:tcBorders>
              <w:bottom w:val="single" w:sz="8" w:color="D8EFF9"/>
            </w:tcBorders>
            <w:shd w:val="clear" w:color="auto" w:fill="D8EFF9"/>
          </w:tcPr>
          <w:p>
            <w:pPr>
              <w:jc w:val="center"/>
              <w:ind w:left="452"/>
              <w:spacing w:after="0"/>
              <w:rPr>
                <w:sz w:val="20"/>
                <w:szCs w:val="20"/>
                <w:color w:val="auto"/>
              </w:rPr>
            </w:pPr>
            <w:r>
              <w:rPr>
                <w:rFonts w:ascii="Arial" w:cs="Arial" w:eastAsia="Arial" w:hAnsi="Arial"/>
                <w:sz w:val="10"/>
                <w:szCs w:val="10"/>
                <w:color w:val="auto"/>
                <w:w w:val="97"/>
              </w:rPr>
              <w:t>24,946</w:t>
            </w:r>
          </w:p>
        </w:tc>
      </w:tr>
      <w:tr>
        <w:trPr>
          <w:trHeight w:val="155"/>
        </w:trPr>
        <w:tc>
          <w:tcPr>
            <w:tcW w:w="5040" w:type="dxa"/>
            <w:vAlign w:val="bottom"/>
          </w:tcPr>
          <w:p>
            <w:pPr>
              <w:ind w:left="40"/>
              <w:spacing w:after="0"/>
              <w:rPr>
                <w:sz w:val="20"/>
                <w:szCs w:val="20"/>
                <w:color w:val="auto"/>
              </w:rPr>
            </w:pPr>
            <w:r>
              <w:rPr>
                <w:rFonts w:ascii="Arial" w:cs="Arial" w:eastAsia="Arial" w:hAnsi="Arial"/>
                <w:sz w:val="10"/>
                <w:szCs w:val="10"/>
                <w:b w:val="1"/>
                <w:bCs w:val="1"/>
                <w:color w:val="auto"/>
              </w:rPr>
              <w:t>Monica Karuturi</w:t>
            </w:r>
          </w:p>
        </w:tc>
        <w:tc>
          <w:tcPr>
            <w:tcW w:w="2160" w:type="dxa"/>
            <w:vAlign w:val="bottom"/>
          </w:tcPr>
          <w:p>
            <w:pPr>
              <w:jc w:val="center"/>
              <w:ind w:left="452"/>
              <w:spacing w:after="0"/>
              <w:rPr>
                <w:sz w:val="20"/>
                <w:szCs w:val="20"/>
                <w:color w:val="auto"/>
              </w:rPr>
            </w:pPr>
            <w:r>
              <w:rPr>
                <w:rFonts w:ascii="Arial" w:cs="Arial" w:eastAsia="Arial" w:hAnsi="Arial"/>
                <w:sz w:val="10"/>
                <w:szCs w:val="10"/>
                <w:color w:val="auto"/>
                <w:w w:val="99"/>
              </w:rPr>
              <w:t>—</w:t>
            </w:r>
          </w:p>
        </w:tc>
      </w:tr>
      <w:tr>
        <w:trPr>
          <w:trHeight w:val="27"/>
        </w:trPr>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55"/>
        </w:trPr>
        <w:tc>
          <w:tcPr>
            <w:tcW w:w="504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Gregory E. Knight</w:t>
            </w:r>
          </w:p>
        </w:tc>
        <w:tc>
          <w:tcPr>
            <w:tcW w:w="2160" w:type="dxa"/>
            <w:vAlign w:val="bottom"/>
            <w:shd w:val="clear" w:color="auto" w:fill="D8EFF9"/>
          </w:tcPr>
          <w:p>
            <w:pPr>
              <w:jc w:val="center"/>
              <w:ind w:left="452"/>
              <w:spacing w:after="0"/>
              <w:rPr>
                <w:sz w:val="20"/>
                <w:szCs w:val="20"/>
                <w:color w:val="auto"/>
              </w:rPr>
            </w:pPr>
            <w:r>
              <w:rPr>
                <w:rFonts w:ascii="Arial" w:cs="Arial" w:eastAsia="Arial" w:hAnsi="Arial"/>
                <w:sz w:val="10"/>
                <w:szCs w:val="10"/>
                <w:color w:val="auto"/>
                <w:w w:val="99"/>
              </w:rPr>
              <w:t>—</w:t>
            </w:r>
          </w:p>
        </w:tc>
      </w:tr>
      <w:tr>
        <w:trPr>
          <w:trHeight w:val="27"/>
        </w:trPr>
        <w:tc>
          <w:tcPr>
            <w:tcW w:w="5040" w:type="dxa"/>
            <w:vAlign w:val="bottom"/>
            <w:shd w:val="clear" w:color="auto" w:fill="D8EFF9"/>
          </w:tcPr>
          <w:p>
            <w:pPr>
              <w:spacing w:after="0"/>
              <w:rPr>
                <w:sz w:val="2"/>
                <w:szCs w:val="2"/>
                <w:color w:val="auto"/>
              </w:rPr>
            </w:pPr>
          </w:p>
        </w:tc>
        <w:tc>
          <w:tcPr>
            <w:tcW w:w="2160" w:type="dxa"/>
            <w:vAlign w:val="bottom"/>
            <w:shd w:val="clear" w:color="auto" w:fill="D8EFF9"/>
          </w:tcPr>
          <w:p>
            <w:pPr>
              <w:spacing w:after="0"/>
              <w:rPr>
                <w:sz w:val="2"/>
                <w:szCs w:val="2"/>
                <w:color w:val="auto"/>
              </w:rPr>
            </w:pPr>
          </w:p>
        </w:tc>
      </w:tr>
    </w:tbl>
    <w:p>
      <w:pPr>
        <w:spacing w:after="0" w:line="21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Potential Payments upon Change in Control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Our Board adopted a change in control plan to ensure consistency of officer benefits and to simplify administration, which was effective January 1, 2015, and was subsequently amended and restated, effective May 1, 2017 (the plan). All of our named executive officers are participants in the plan.</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p>
    <w:p>
      <w:pPr>
        <w:spacing w:after="0" w:line="73" w:lineRule="exact"/>
        <w:rPr>
          <w:sz w:val="20"/>
          <w:szCs w:val="20"/>
          <w:color w:val="auto"/>
        </w:rPr>
      </w:pPr>
    </w:p>
    <w:p>
      <w:pPr>
        <w:jc w:val="both"/>
        <w:ind w:left="2220" w:right="819" w:hanging="213"/>
        <w:spacing w:after="0" w:line="243" w:lineRule="auto"/>
        <w:tabs>
          <w:tab w:leader="none" w:pos="2220" w:val="left"/>
        </w:tabs>
        <w:numPr>
          <w:ilvl w:val="0"/>
          <w:numId w:val="107"/>
        </w:numPr>
        <w:rPr>
          <w:rFonts w:ascii="Arial" w:cs="Arial" w:eastAsia="Arial" w:hAnsi="Arial"/>
          <w:sz w:val="12"/>
          <w:szCs w:val="12"/>
          <w:color w:val="009AD9"/>
        </w:rPr>
      </w:pPr>
      <w:r>
        <w:rPr>
          <w:rFonts w:ascii="Arial" w:cs="Arial" w:eastAsia="Arial" w:hAnsi="Arial"/>
          <w:sz w:val="12"/>
          <w:szCs w:val="12"/>
          <w:color w:val="auto"/>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0" w:lineRule="exact"/>
        <w:rPr>
          <w:sz w:val="20"/>
          <w:szCs w:val="20"/>
          <w:color w:val="auto"/>
        </w:rPr>
      </w:pPr>
    </w:p>
    <w:p>
      <w:pPr>
        <w:ind w:left="2220" w:right="819" w:hanging="213"/>
        <w:spacing w:after="0" w:line="250" w:lineRule="auto"/>
        <w:tabs>
          <w:tab w:leader="none" w:pos="2220" w:val="left"/>
        </w:tabs>
        <w:numPr>
          <w:ilvl w:val="0"/>
          <w:numId w:val="108"/>
        </w:numPr>
        <w:rPr>
          <w:rFonts w:ascii="Arial" w:cs="Arial" w:eastAsia="Arial" w:hAnsi="Arial"/>
          <w:sz w:val="12"/>
          <w:szCs w:val="12"/>
          <w:color w:val="009AD9"/>
        </w:rPr>
      </w:pPr>
      <w:r>
        <w:rPr>
          <w:rFonts w:ascii="Arial" w:cs="Arial" w:eastAsia="Arial" w:hAnsi="Arial"/>
          <w:sz w:val="12"/>
          <w:szCs w:val="12"/>
          <w:color w:val="auto"/>
        </w:rPr>
        <w:t>the members of our Board on the effective date of the plan, and successors designated as provided in the agreement, cease to constitute a majority of the Board;</w:t>
      </w:r>
    </w:p>
    <w:p>
      <w:pPr>
        <w:spacing w:after="0" w:line="67"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108"/>
        </w:numPr>
        <w:rPr>
          <w:rFonts w:ascii="Arial" w:cs="Arial" w:eastAsia="Arial" w:hAnsi="Arial"/>
          <w:sz w:val="12"/>
          <w:szCs w:val="12"/>
          <w:color w:val="009AD9"/>
        </w:rPr>
      </w:pPr>
      <w:r>
        <w:rPr>
          <w:rFonts w:ascii="Arial" w:cs="Arial" w:eastAsia="Arial" w:hAnsi="Arial"/>
          <w:sz w:val="12"/>
          <w:szCs w:val="12"/>
          <w:color w:val="auto"/>
        </w:rPr>
        <w:t>approval by the shareholders of (or if there is no such approval, consummation of) a merger or consolidation of, or involving, CenterPoint Energy unless:</w:t>
      </w:r>
    </w:p>
    <w:p>
      <w:pPr>
        <w:spacing w:after="0" w:line="67"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more than 70% of the surviving corporation’s outstanding voting securities are owned by former shareholders of CenterPoint Energy,</w:t>
      </w:r>
    </w:p>
    <w:p>
      <w:pPr>
        <w:spacing w:after="0" w:line="67" w:lineRule="exact"/>
        <w:rPr>
          <w:rFonts w:ascii="Arial" w:cs="Arial" w:eastAsia="Arial" w:hAnsi="Arial"/>
          <w:sz w:val="12"/>
          <w:szCs w:val="12"/>
          <w:color w:val="009AD9"/>
        </w:rPr>
      </w:pPr>
    </w:p>
    <w:p>
      <w:pPr>
        <w:jc w:val="both"/>
        <w:ind w:left="2520" w:right="799" w:hanging="295"/>
        <w:spacing w:after="0" w:line="243"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p>
    <w:p>
      <w:pPr>
        <w:spacing w:after="0" w:line="71"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no person is the direct or indirect beneficial owner of 30% or more of the then outstanding shares of voting stock of the parent corporation resulting from the transaction, and</w:t>
      </w:r>
    </w:p>
    <w:p>
      <w:pPr>
        <w:spacing w:after="0" w:line="67"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a majority of the members of the board of directors of the parent corporation resulting from the transaction were members of our Board immediately prior to consummation of the transaction; or</w:t>
      </w:r>
    </w:p>
    <w:p>
      <w:pPr>
        <w:spacing w:after="0" w:line="67"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108"/>
        </w:numPr>
        <w:rPr>
          <w:rFonts w:ascii="Arial" w:cs="Arial" w:eastAsia="Arial" w:hAnsi="Arial"/>
          <w:sz w:val="12"/>
          <w:szCs w:val="12"/>
          <w:color w:val="009AD9"/>
        </w:rPr>
      </w:pPr>
      <w:r>
        <w:rPr>
          <w:rFonts w:ascii="Arial" w:cs="Arial" w:eastAsia="Arial" w:hAnsi="Arial"/>
          <w:sz w:val="12"/>
          <w:szCs w:val="12"/>
          <w:color w:val="auto"/>
        </w:rPr>
        <w:t>approval by the shareholders of (or if there is no such approval, consummation of) a sale or disposition of 70% or more of CenterPoint Energy’s assets unless:</w:t>
      </w:r>
    </w:p>
    <w:p>
      <w:pPr>
        <w:spacing w:after="0" w:line="67" w:lineRule="exact"/>
        <w:rPr>
          <w:rFonts w:ascii="Arial" w:cs="Arial" w:eastAsia="Arial" w:hAnsi="Arial"/>
          <w:sz w:val="12"/>
          <w:szCs w:val="12"/>
          <w:color w:val="009AD9"/>
        </w:rPr>
      </w:pPr>
    </w:p>
    <w:p>
      <w:pPr>
        <w:jc w:val="both"/>
        <w:ind w:left="2520" w:right="799" w:hanging="295"/>
        <w:spacing w:after="0" w:line="241"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p>
    <w:p>
      <w:pPr>
        <w:spacing w:after="0" w:line="73" w:lineRule="exact"/>
        <w:rPr>
          <w:rFonts w:ascii="Arial" w:cs="Arial" w:eastAsia="Arial" w:hAnsi="Arial"/>
          <w:sz w:val="12"/>
          <w:szCs w:val="12"/>
          <w:color w:val="009AD9"/>
        </w:rPr>
      </w:pPr>
    </w:p>
    <w:p>
      <w:pPr>
        <w:jc w:val="both"/>
        <w:ind w:left="2520" w:right="799" w:hanging="295"/>
        <w:spacing w:after="0" w:line="243" w:lineRule="auto"/>
        <w:tabs>
          <w:tab w:leader="none" w:pos="2520" w:val="left"/>
        </w:tabs>
        <w:numPr>
          <w:ilvl w:val="1"/>
          <w:numId w:val="108"/>
        </w:numPr>
        <w:rPr>
          <w:rFonts w:ascii="Arial" w:cs="Arial" w:eastAsia="Arial" w:hAnsi="Arial"/>
          <w:sz w:val="12"/>
          <w:szCs w:val="12"/>
          <w:color w:val="009AD9"/>
        </w:rPr>
      </w:pPr>
      <w:r>
        <w:rPr>
          <w:rFonts w:ascii="Arial" w:cs="Arial" w:eastAsia="Arial" w:hAnsi="Arial"/>
          <w:sz w:val="12"/>
          <w:szCs w:val="12"/>
          <w:color w:val="auto"/>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p>
    <w:p>
      <w:pPr>
        <w:spacing w:after="0" w:line="136"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p>
    <w:p>
      <w:pPr>
        <w:spacing w:after="0" w:line="141"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plan provides that we would pay our named executive officers experiencing a covered termination of employment a lump sum amount equal to (i) three times, in the case of Mr. Lesar, and (ii) two times, in the case of Messrs. Wells, Doyle, and Knight, and Ms. Karuturi, the sum of the officer’s base salary plus short-term incentive award at target, if applicable.</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For officers who are not age 55 or older with five years of service (which includes Messrs. Lesar, Wells and Doyle and Ms. Karuturi), the plan also provides for a prorated short-term incentive lump sum payment based on the officer’s annualized base pay as of the date of termination multiplied by his or her short-term incentive target and is prorated based on the number of days he or she was employed during the performance year. In addition, Mr. Doyle and</w:t>
      </w:r>
    </w:p>
    <w:p>
      <w:pPr>
        <w:spacing w:after="0" w:line="132" w:lineRule="exact"/>
        <w:rPr>
          <w:sz w:val="20"/>
          <w:szCs w:val="20"/>
          <w:color w:val="auto"/>
        </w:rPr>
      </w:pPr>
    </w:p>
    <w:p>
      <w:pPr>
        <w:ind w:left="2220" w:hanging="230"/>
        <w:spacing w:after="0"/>
        <w:tabs>
          <w:tab w:leader="none" w:pos="2220" w:val="left"/>
        </w:tabs>
        <w:numPr>
          <w:ilvl w:val="0"/>
          <w:numId w:val="10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4"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Ms. Karuturi will be entitled to a benefit equal to two additional years of pay credits under the cash balance formula under the retirement plan, and such additional benefit will be paid in the same time and manner that the officer’s benefit under the benefit restoration plan is paid. The plan provides a similar benefit for officers who are not eligible to participate in the retirement plan. Mr. Lesar will be entitled to a benefit equal to three additional years, and Messrs. Wells and Knight will be entitled to a benefit equal to two additional years, of employer nonelective contributions under the savings plan, and such additional benefit will be paid in the same time and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p>
    <w:p>
      <w:pPr>
        <w:spacing w:after="0" w:line="136"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Due to Messrs. Doyle and Knight’s terminations from the Company, they are no longer eligible to receive any payments upon a change in control under the plan.</w:t>
      </w:r>
    </w:p>
    <w:p>
      <w:pPr>
        <w:spacing w:after="0" w:line="13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p>
    <w:p>
      <w:pPr>
        <w:spacing w:after="0" w:line="126" w:lineRule="exact"/>
        <w:rPr>
          <w:sz w:val="20"/>
          <w:szCs w:val="20"/>
          <w:color w:val="auto"/>
        </w:rPr>
      </w:pPr>
    </w:p>
    <w:p>
      <w:pPr>
        <w:jc w:val="both"/>
        <w:ind w:left="1940" w:right="819"/>
        <w:spacing w:after="0" w:line="254" w:lineRule="auto"/>
        <w:rPr>
          <w:sz w:val="20"/>
          <w:szCs w:val="20"/>
          <w:color w:val="auto"/>
        </w:rPr>
      </w:pPr>
      <w:r>
        <w:rPr>
          <w:rFonts w:ascii="Arial" w:cs="Arial" w:eastAsia="Arial" w:hAnsi="Arial"/>
          <w:sz w:val="12"/>
          <w:szCs w:val="12"/>
          <w:i w:val="1"/>
          <w:iCs w:val="1"/>
          <w:color w:val="auto"/>
        </w:rPr>
        <w:t>Change in control provisions in awards under our current long-term incentive plan</w:t>
      </w:r>
      <w:r>
        <w:rPr>
          <w:rFonts w:ascii="Arial" w:cs="Arial" w:eastAsia="Arial" w:hAnsi="Arial"/>
          <w:sz w:val="12"/>
          <w:szCs w:val="12"/>
          <w:color w:val="auto"/>
        </w:rPr>
        <w:t>. Awards granted under the long-term incentive plan are</w:t>
      </w:r>
      <w:r>
        <w:rPr>
          <w:rFonts w:ascii="Arial" w:cs="Arial" w:eastAsia="Arial" w:hAnsi="Arial"/>
          <w:sz w:val="12"/>
          <w:szCs w:val="12"/>
          <w:i w:val="1"/>
          <w:iCs w:val="1"/>
          <w:color w:val="auto"/>
        </w:rPr>
        <w:t xml:space="preserve"> </w:t>
      </w:r>
      <w:r>
        <w:rPr>
          <w:rFonts w:ascii="Arial" w:cs="Arial" w:eastAsia="Arial" w:hAnsi="Arial"/>
          <w:sz w:val="12"/>
          <w:szCs w:val="12"/>
          <w:color w:val="auto"/>
        </w:rPr>
        <w:t>not subject to the plan and are governed by the long-term incentive plan and the applicable award agreements. The different outstanding award types under the long-term incentive plan are treated as follows:</w:t>
      </w:r>
    </w:p>
    <w:p>
      <w:pPr>
        <w:spacing w:after="0" w:line="129"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u w:val="single" w:color="auto"/>
          <w:color w:val="auto"/>
        </w:rPr>
        <w:t>Stock Awards</w:t>
      </w:r>
      <w:r>
        <w:rPr>
          <w:rFonts w:ascii="Arial" w:cs="Arial" w:eastAsia="Arial" w:hAnsi="Arial"/>
          <w:sz w:val="12"/>
          <w:szCs w:val="12"/>
          <w:color w:val="auto"/>
        </w:rPr>
        <w:t>. For all outstanding stock awards (other than the retention awards granted to Mr. Lesar),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 The retention awards granted to Mr. Lesar do not provide for accelerated vesting upon a change in control but provide for accelerated vesting upon his death, disability, termination of employment without cause (as defined in the award agreement) or resignation for good reason (as defined in the award agreement) that is not cured within the cure period set forth in the award agreement.</w:t>
      </w:r>
    </w:p>
    <w:p>
      <w:pPr>
        <w:spacing w:after="0" w:line="141"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u w:val="single" w:color="auto"/>
          <w:color w:val="auto"/>
        </w:rPr>
        <w:t>Performance Share Units</w:t>
      </w:r>
      <w:r>
        <w:rPr>
          <w:rFonts w:ascii="Arial" w:cs="Arial" w:eastAsia="Arial" w:hAnsi="Arial"/>
          <w:sz w:val="12"/>
          <w:szCs w:val="12"/>
          <w:color w:val="auto"/>
        </w:rPr>
        <w:t>. For all outstanding performance share units, “double trigger” vesting applies, and vesting is accelerated upon a change in control only if the award is not continued, assumed, or substituted or if a covered termination of employment occurs (as described above for stock awards).</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0"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u w:val="single" w:color="auto"/>
          <w:color w:val="auto"/>
        </w:rPr>
        <w:t>Executive Severance Guidelines</w:t>
      </w:r>
      <w:r>
        <w:rPr>
          <w:rFonts w:ascii="Arial" w:cs="Arial" w:eastAsia="Arial" w:hAnsi="Arial"/>
          <w:sz w:val="12"/>
          <w:szCs w:val="12"/>
          <w:color w:val="auto"/>
        </w:rPr>
        <w:t>. We do not maintain individual employee agreements or a separate non-change-in-control severance plan for executives. However, in response to shareholder feedback, the Compensation Committee has adopted executive severance guidelines that set forth appropriate limits on any severance payments made to our named executive officers. The guidelines do not entitle any executive to severance benefits upon termination. The Compensation Committee continues to have discretion to determine the eligibility of a named executive officer for severance benefits and the amounts of any benefits. Under the guidelines, severance payments are to be made only upon a named executive officer’s involuntary termination without cause, and if a cash severance payment is determined to be appropriate, such payment may not exceed, absent compelling reasons, the sum of (i) one-half (1.5) times (or in the case of the Chief Executive Officer, two (2) times) annual base salary, with the actual multiplier determined based on relevant factors such as years of service, and (ii) the executive’s target short-term incentive award. An additional amount may also be paid to compensate for any short-term incentive award forfeited due to the executive’s termination. Additional amounts or benefits may also be provided as deemed appropriate to reasonably compensate the executive for the loss of active employee welfare benefits, financial services, or other benefits or for relocation expenses, and reasonable outplacement services may be provided. The guidelines do not apply to payments or benefits payable under any separate benefit plan or agreement, such as awards under our long-term incentive plan. Further, in the event of a covered termination under the change in control plan, the guidelines will not apply, and the change in control plan will govern.</w:t>
      </w:r>
    </w:p>
    <w:p>
      <w:pPr>
        <w:spacing w:after="0" w:line="158" w:lineRule="exact"/>
        <w:rPr>
          <w:sz w:val="20"/>
          <w:szCs w:val="20"/>
          <w:color w:val="auto"/>
        </w:rPr>
      </w:pPr>
    </w:p>
    <w:tbl>
      <w:tblPr>
        <w:tblLayout w:type="fixed"/>
        <w:tblInd w:w="2530" w:type="dxa"/>
        <w:tblCellMar>
          <w:top w:w="0" w:type="dxa"/>
          <w:left w:w="0" w:type="dxa"/>
          <w:bottom w:w="0" w:type="dxa"/>
          <w:right w:w="0" w:type="dxa"/>
        </w:tblCellMar>
      </w:tblPr>
      <w:tr>
        <w:trPr>
          <w:trHeight w:val="158"/>
        </w:trPr>
        <w:tc>
          <w:tcPr>
            <w:tcW w:w="1600" w:type="dxa"/>
            <w:vAlign w:val="bottom"/>
            <w:tcBorders>
              <w:left w:val="single" w:sz="8" w:color="009AD9"/>
              <w:right w:val="single" w:sz="8" w:color="009AD9"/>
            </w:tcBorders>
            <w:shd w:val="clear" w:color="auto" w:fill="009AD9"/>
          </w:tcPr>
          <w:p>
            <w:pPr>
              <w:spacing w:after="0"/>
              <w:rPr>
                <w:sz w:val="13"/>
                <w:szCs w:val="13"/>
                <w:color w:val="auto"/>
              </w:rPr>
            </w:pPr>
          </w:p>
        </w:tc>
        <w:tc>
          <w:tcPr>
            <w:tcW w:w="110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7"/>
              </w:rPr>
              <w:t>BASE PAY</w:t>
            </w:r>
          </w:p>
        </w:tc>
        <w:tc>
          <w:tcPr>
            <w:tcW w:w="356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MAXIMUM CASH SEVERANCE PAYMENT UNDER</w:t>
            </w:r>
          </w:p>
        </w:tc>
        <w:tc>
          <w:tcPr>
            <w:tcW w:w="0" w:type="dxa"/>
            <w:vAlign w:val="bottom"/>
          </w:tcPr>
          <w:p>
            <w:pPr>
              <w:spacing w:after="0"/>
              <w:rPr>
                <w:sz w:val="1"/>
                <w:szCs w:val="1"/>
                <w:color w:val="auto"/>
              </w:rPr>
            </w:pPr>
          </w:p>
        </w:tc>
      </w:tr>
      <w:tr>
        <w:trPr>
          <w:trHeight w:val="187"/>
        </w:trPr>
        <w:tc>
          <w:tcPr>
            <w:tcW w:w="1600" w:type="dxa"/>
            <w:vAlign w:val="bottom"/>
            <w:tcBorders>
              <w:left w:val="single" w:sz="8" w:color="009AD9"/>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EXECUTIVE</w:t>
            </w:r>
          </w:p>
        </w:tc>
        <w:tc>
          <w:tcPr>
            <w:tcW w:w="1100" w:type="dxa"/>
            <w:vAlign w:val="bottom"/>
            <w:tcBorders>
              <w:right w:val="single" w:sz="8" w:color="009AD9"/>
            </w:tcBorders>
            <w:shd w:val="clear" w:color="auto" w:fill="009AD9"/>
          </w:tcPr>
          <w:p>
            <w:pPr>
              <w:jc w:val="center"/>
              <w:spacing w:after="0"/>
              <w:rPr>
                <w:sz w:val="20"/>
                <w:szCs w:val="20"/>
                <w:color w:val="auto"/>
              </w:rPr>
            </w:pPr>
            <w:r>
              <w:rPr>
                <w:rFonts w:ascii="Arial" w:cs="Arial" w:eastAsia="Arial" w:hAnsi="Arial"/>
                <w:sz w:val="12"/>
                <w:szCs w:val="12"/>
                <w:b w:val="1"/>
                <w:bCs w:val="1"/>
                <w:color w:val="FFFFFF"/>
                <w:w w:val="99"/>
              </w:rPr>
              <w:t>MULTIPLIER</w:t>
            </w:r>
          </w:p>
        </w:tc>
        <w:tc>
          <w:tcPr>
            <w:tcW w:w="3560" w:type="dxa"/>
            <w:vAlign w:val="bottom"/>
            <w:tcBorders>
              <w:right w:val="single" w:sz="8" w:color="009AD9"/>
            </w:tcBorders>
            <w:shd w:val="clear" w:color="auto" w:fill="009AD9"/>
          </w:tcPr>
          <w:p>
            <w:pPr>
              <w:jc w:val="center"/>
              <w:spacing w:after="0" w:line="188" w:lineRule="exact"/>
              <w:rPr>
                <w:sz w:val="20"/>
                <w:szCs w:val="20"/>
                <w:color w:val="auto"/>
              </w:rPr>
            </w:pPr>
            <w:r>
              <w:rPr>
                <w:rFonts w:ascii="Arial" w:cs="Arial" w:eastAsia="Arial" w:hAnsi="Arial"/>
                <w:sz w:val="12"/>
                <w:szCs w:val="12"/>
                <w:b w:val="1"/>
                <w:bCs w:val="1"/>
                <w:color w:val="FFFFFF"/>
                <w:w w:val="99"/>
              </w:rPr>
              <w:t>EXECUTIVE SEVERANCE GUIDELINES</w:t>
            </w:r>
            <w:r>
              <w:rPr>
                <w:rFonts w:ascii="Arial" w:cs="Arial" w:eastAsia="Arial" w:hAnsi="Arial"/>
                <w:sz w:val="18"/>
                <w:szCs w:val="18"/>
                <w:b w:val="1"/>
                <w:bCs w:val="1"/>
                <w:color w:val="FFFFFF"/>
                <w:w w:val="99"/>
                <w:vertAlign w:val="superscript"/>
              </w:rPr>
              <w:t>(1)</w:t>
            </w:r>
          </w:p>
        </w:tc>
        <w:tc>
          <w:tcPr>
            <w:tcW w:w="0" w:type="dxa"/>
            <w:vAlign w:val="bottom"/>
          </w:tcPr>
          <w:p>
            <w:pPr>
              <w:spacing w:after="0"/>
              <w:rPr>
                <w:sz w:val="1"/>
                <w:szCs w:val="1"/>
                <w:color w:val="auto"/>
              </w:rPr>
            </w:pPr>
          </w:p>
        </w:tc>
      </w:tr>
      <w:tr>
        <w:trPr>
          <w:trHeight w:val="181"/>
        </w:trPr>
        <w:tc>
          <w:tcPr>
            <w:tcW w:w="1600" w:type="dxa"/>
            <w:vAlign w:val="bottom"/>
            <w:tcBorders>
              <w:left w:val="single" w:sz="8" w:color="009AD9"/>
              <w:right w:val="single" w:sz="8" w:color="009AD9"/>
            </w:tcBorders>
            <w:vMerge w:val="restart"/>
          </w:tcPr>
          <w:p>
            <w:pPr>
              <w:jc w:val="center"/>
              <w:spacing w:after="0"/>
              <w:rPr>
                <w:sz w:val="20"/>
                <w:szCs w:val="20"/>
                <w:color w:val="auto"/>
              </w:rPr>
            </w:pPr>
            <w:r>
              <w:rPr>
                <w:rFonts w:ascii="Arial" w:cs="Arial" w:eastAsia="Arial" w:hAnsi="Arial"/>
                <w:sz w:val="12"/>
                <w:szCs w:val="12"/>
                <w:b w:val="1"/>
                <w:bCs w:val="1"/>
                <w:color w:val="auto"/>
              </w:rPr>
              <w:t>Chief Executive Officer</w:t>
            </w:r>
          </w:p>
        </w:tc>
        <w:tc>
          <w:tcPr>
            <w:tcW w:w="1100" w:type="dxa"/>
            <w:vAlign w:val="bottom"/>
            <w:tcBorders>
              <w:right w:val="single" w:sz="8" w:color="009AD9"/>
            </w:tcBorders>
            <w:vMerge w:val="restart"/>
          </w:tcPr>
          <w:p>
            <w:pPr>
              <w:jc w:val="center"/>
              <w:ind w:right="59"/>
              <w:spacing w:after="0"/>
              <w:rPr>
                <w:sz w:val="20"/>
                <w:szCs w:val="20"/>
                <w:color w:val="auto"/>
              </w:rPr>
            </w:pPr>
            <w:r>
              <w:rPr>
                <w:rFonts w:ascii="Arial" w:cs="Arial" w:eastAsia="Arial" w:hAnsi="Arial"/>
                <w:sz w:val="12"/>
                <w:szCs w:val="12"/>
                <w:b w:val="1"/>
                <w:bCs w:val="1"/>
                <w:color w:val="auto"/>
              </w:rPr>
              <w:t>2x</w:t>
            </w:r>
          </w:p>
        </w:tc>
        <w:tc>
          <w:tcPr>
            <w:tcW w:w="3560" w:type="dxa"/>
            <w:vAlign w:val="bottom"/>
            <w:tcBorders>
              <w:right w:val="single" w:sz="8" w:color="009AD9"/>
            </w:tcBorders>
          </w:tcPr>
          <w:p>
            <w:pPr>
              <w:jc w:val="center"/>
              <w:spacing w:after="0"/>
              <w:rPr>
                <w:sz w:val="20"/>
                <w:szCs w:val="20"/>
                <w:color w:val="auto"/>
              </w:rPr>
            </w:pPr>
            <w:r>
              <w:rPr>
                <w:rFonts w:ascii="Arial" w:cs="Arial" w:eastAsia="Arial" w:hAnsi="Arial"/>
                <w:sz w:val="12"/>
                <w:szCs w:val="12"/>
                <w:color w:val="auto"/>
              </w:rPr>
              <w:t>Two (2) times annual base salary plus target short-</w:t>
            </w:r>
          </w:p>
        </w:tc>
        <w:tc>
          <w:tcPr>
            <w:tcW w:w="0" w:type="dxa"/>
            <w:vAlign w:val="bottom"/>
          </w:tcPr>
          <w:p>
            <w:pPr>
              <w:spacing w:after="0"/>
              <w:rPr>
                <w:sz w:val="1"/>
                <w:szCs w:val="1"/>
                <w:color w:val="auto"/>
              </w:rPr>
            </w:pPr>
          </w:p>
        </w:tc>
      </w:tr>
      <w:tr>
        <w:trPr>
          <w:trHeight w:val="82"/>
        </w:trPr>
        <w:tc>
          <w:tcPr>
            <w:tcW w:w="1600" w:type="dxa"/>
            <w:vAlign w:val="bottom"/>
            <w:tcBorders>
              <w:left w:val="single" w:sz="8" w:color="009AD9"/>
              <w:right w:val="single" w:sz="8" w:color="009AD9"/>
            </w:tcBorders>
            <w:vMerge w:val="continue"/>
          </w:tcPr>
          <w:p>
            <w:pPr>
              <w:spacing w:after="0"/>
              <w:rPr>
                <w:sz w:val="7"/>
                <w:szCs w:val="7"/>
                <w:color w:val="auto"/>
              </w:rPr>
            </w:pPr>
          </w:p>
        </w:tc>
        <w:tc>
          <w:tcPr>
            <w:tcW w:w="1100" w:type="dxa"/>
            <w:vAlign w:val="bottom"/>
            <w:tcBorders>
              <w:right w:val="single" w:sz="8" w:color="009AD9"/>
            </w:tcBorders>
            <w:vMerge w:val="continue"/>
          </w:tcPr>
          <w:p>
            <w:pPr>
              <w:spacing w:after="0"/>
              <w:rPr>
                <w:sz w:val="7"/>
                <w:szCs w:val="7"/>
                <w:color w:val="auto"/>
              </w:rPr>
            </w:pPr>
          </w:p>
        </w:tc>
        <w:tc>
          <w:tcPr>
            <w:tcW w:w="3560" w:type="dxa"/>
            <w:vAlign w:val="bottom"/>
            <w:tcBorders>
              <w:right w:val="single" w:sz="8" w:color="009AD9"/>
            </w:tcBorders>
            <w:vMerge w:val="restart"/>
          </w:tcPr>
          <w:p>
            <w:pPr>
              <w:jc w:val="center"/>
              <w:spacing w:after="0"/>
              <w:rPr>
                <w:sz w:val="20"/>
                <w:szCs w:val="20"/>
                <w:color w:val="auto"/>
              </w:rPr>
            </w:pPr>
            <w:r>
              <w:rPr>
                <w:rFonts w:ascii="Arial" w:cs="Arial" w:eastAsia="Arial" w:hAnsi="Arial"/>
                <w:sz w:val="12"/>
                <w:szCs w:val="12"/>
                <w:color w:val="auto"/>
              </w:rPr>
              <w:t>term incentive award</w:t>
            </w:r>
          </w:p>
        </w:tc>
        <w:tc>
          <w:tcPr>
            <w:tcW w:w="0" w:type="dxa"/>
            <w:vAlign w:val="bottom"/>
          </w:tcPr>
          <w:p>
            <w:pPr>
              <w:spacing w:after="0"/>
              <w:rPr>
                <w:sz w:val="1"/>
                <w:szCs w:val="1"/>
                <w:color w:val="auto"/>
              </w:rPr>
            </w:pPr>
          </w:p>
        </w:tc>
      </w:tr>
      <w:tr>
        <w:trPr>
          <w:trHeight w:val="64"/>
        </w:trPr>
        <w:tc>
          <w:tcPr>
            <w:tcW w:w="1600" w:type="dxa"/>
            <w:vAlign w:val="bottom"/>
            <w:tcBorders>
              <w:left w:val="single" w:sz="8" w:color="009AD9"/>
              <w:right w:val="single" w:sz="8" w:color="009AD9"/>
            </w:tcBorders>
          </w:tcPr>
          <w:p>
            <w:pPr>
              <w:spacing w:after="0"/>
              <w:rPr>
                <w:sz w:val="5"/>
                <w:szCs w:val="5"/>
                <w:color w:val="auto"/>
              </w:rPr>
            </w:pPr>
          </w:p>
        </w:tc>
        <w:tc>
          <w:tcPr>
            <w:tcW w:w="1100" w:type="dxa"/>
            <w:vAlign w:val="bottom"/>
            <w:tcBorders>
              <w:right w:val="single" w:sz="8" w:color="009AD9"/>
            </w:tcBorders>
          </w:tcPr>
          <w:p>
            <w:pPr>
              <w:spacing w:after="0"/>
              <w:rPr>
                <w:sz w:val="5"/>
                <w:szCs w:val="5"/>
                <w:color w:val="auto"/>
              </w:rPr>
            </w:pPr>
          </w:p>
        </w:tc>
        <w:tc>
          <w:tcPr>
            <w:tcW w:w="3560" w:type="dxa"/>
            <w:vAlign w:val="bottom"/>
            <w:tcBorders>
              <w:right w:val="single" w:sz="8" w:color="009AD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600" w:type="dxa"/>
            <w:vAlign w:val="bottom"/>
            <w:tcBorders>
              <w:left w:val="single" w:sz="8" w:color="009AD9"/>
              <w:bottom w:val="single" w:sz="8" w:color="009AD9"/>
              <w:right w:val="single" w:sz="8" w:color="009AD9"/>
            </w:tcBorders>
          </w:tcPr>
          <w:p>
            <w:pPr>
              <w:spacing w:after="0"/>
              <w:rPr>
                <w:sz w:val="3"/>
                <w:szCs w:val="3"/>
                <w:color w:val="auto"/>
              </w:rPr>
            </w:pPr>
          </w:p>
        </w:tc>
        <w:tc>
          <w:tcPr>
            <w:tcW w:w="1100" w:type="dxa"/>
            <w:vAlign w:val="bottom"/>
            <w:tcBorders>
              <w:bottom w:val="single" w:sz="8" w:color="009AD9"/>
              <w:right w:val="single" w:sz="8" w:color="009AD9"/>
            </w:tcBorders>
          </w:tcPr>
          <w:p>
            <w:pPr>
              <w:spacing w:after="0"/>
              <w:rPr>
                <w:sz w:val="3"/>
                <w:szCs w:val="3"/>
                <w:color w:val="auto"/>
              </w:rPr>
            </w:pPr>
          </w:p>
        </w:tc>
        <w:tc>
          <w:tcPr>
            <w:tcW w:w="3560" w:type="dxa"/>
            <w:vAlign w:val="bottom"/>
            <w:tcBorders>
              <w:bottom w:val="single" w:sz="8" w:color="009AD9"/>
              <w:right w:val="single" w:sz="8" w:color="009AD9"/>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600" w:type="dxa"/>
            <w:vAlign w:val="bottom"/>
            <w:tcBorders>
              <w:left w:val="single" w:sz="8" w:color="009AD9"/>
              <w:right w:val="single" w:sz="8" w:color="009AD9"/>
            </w:tcBorders>
            <w:shd w:val="clear" w:color="auto" w:fill="D8EFF9"/>
          </w:tcPr>
          <w:p>
            <w:pPr>
              <w:jc w:val="center"/>
              <w:spacing w:after="0"/>
              <w:rPr>
                <w:sz w:val="20"/>
                <w:szCs w:val="20"/>
                <w:color w:val="auto"/>
              </w:rPr>
            </w:pPr>
            <w:r>
              <w:rPr>
                <w:rFonts w:ascii="Arial" w:cs="Arial" w:eastAsia="Arial" w:hAnsi="Arial"/>
                <w:sz w:val="12"/>
                <w:szCs w:val="12"/>
                <w:b w:val="1"/>
                <w:bCs w:val="1"/>
                <w:color w:val="auto"/>
              </w:rPr>
              <w:t>Non-CEO Named</w:t>
            </w:r>
          </w:p>
        </w:tc>
        <w:tc>
          <w:tcPr>
            <w:tcW w:w="1100" w:type="dxa"/>
            <w:vAlign w:val="bottom"/>
            <w:tcBorders>
              <w:right w:val="single" w:sz="8" w:color="009AD9"/>
            </w:tcBorders>
            <w:vMerge w:val="restart"/>
            <w:shd w:val="clear" w:color="auto" w:fill="D8EFF9"/>
          </w:tcPr>
          <w:p>
            <w:pPr>
              <w:jc w:val="center"/>
              <w:ind w:right="59"/>
              <w:spacing w:after="0"/>
              <w:rPr>
                <w:sz w:val="20"/>
                <w:szCs w:val="20"/>
                <w:color w:val="auto"/>
              </w:rPr>
            </w:pPr>
            <w:r>
              <w:rPr>
                <w:rFonts w:ascii="Arial" w:cs="Arial" w:eastAsia="Arial" w:hAnsi="Arial"/>
                <w:sz w:val="12"/>
                <w:szCs w:val="12"/>
                <w:b w:val="1"/>
                <w:bCs w:val="1"/>
                <w:color w:val="auto"/>
                <w:w w:val="93"/>
              </w:rPr>
              <w:t>1.5x</w:t>
            </w:r>
          </w:p>
        </w:tc>
        <w:tc>
          <w:tcPr>
            <w:tcW w:w="3560" w:type="dxa"/>
            <w:vAlign w:val="bottom"/>
            <w:tcBorders>
              <w:right w:val="single" w:sz="8" w:color="009AD9"/>
            </w:tcBorders>
            <w:shd w:val="clear" w:color="auto" w:fill="D8EFF9"/>
          </w:tcPr>
          <w:p>
            <w:pPr>
              <w:jc w:val="center"/>
              <w:spacing w:after="0"/>
              <w:rPr>
                <w:sz w:val="20"/>
                <w:szCs w:val="20"/>
                <w:color w:val="auto"/>
              </w:rPr>
            </w:pPr>
            <w:r>
              <w:rPr>
                <w:rFonts w:ascii="Arial" w:cs="Arial" w:eastAsia="Arial" w:hAnsi="Arial"/>
                <w:sz w:val="12"/>
                <w:szCs w:val="12"/>
                <w:color w:val="auto"/>
              </w:rPr>
              <w:t>One and a half (1.5) times annual base salary plus</w:t>
            </w:r>
          </w:p>
        </w:tc>
        <w:tc>
          <w:tcPr>
            <w:tcW w:w="0" w:type="dxa"/>
            <w:vAlign w:val="bottom"/>
          </w:tcPr>
          <w:p>
            <w:pPr>
              <w:spacing w:after="0"/>
              <w:rPr>
                <w:sz w:val="1"/>
                <w:szCs w:val="1"/>
                <w:color w:val="auto"/>
              </w:rPr>
            </w:pPr>
          </w:p>
        </w:tc>
      </w:tr>
      <w:tr>
        <w:trPr>
          <w:trHeight w:val="96"/>
        </w:trPr>
        <w:tc>
          <w:tcPr>
            <w:tcW w:w="1600" w:type="dxa"/>
            <w:vAlign w:val="bottom"/>
            <w:tcBorders>
              <w:left w:val="single" w:sz="8" w:color="009AD9"/>
              <w:right w:val="single" w:sz="8" w:color="009AD9"/>
            </w:tcBorders>
            <w:vMerge w:val="restart"/>
            <w:shd w:val="clear" w:color="auto" w:fill="D8EFF9"/>
          </w:tcPr>
          <w:p>
            <w:pPr>
              <w:jc w:val="center"/>
              <w:spacing w:after="0"/>
              <w:rPr>
                <w:sz w:val="20"/>
                <w:szCs w:val="20"/>
                <w:color w:val="auto"/>
              </w:rPr>
            </w:pPr>
            <w:r>
              <w:rPr>
                <w:rFonts w:ascii="Arial" w:cs="Arial" w:eastAsia="Arial" w:hAnsi="Arial"/>
                <w:sz w:val="12"/>
                <w:szCs w:val="12"/>
                <w:b w:val="1"/>
                <w:bCs w:val="1"/>
                <w:color w:val="auto"/>
              </w:rPr>
              <w:t>Executive Officer</w:t>
            </w:r>
          </w:p>
        </w:tc>
        <w:tc>
          <w:tcPr>
            <w:tcW w:w="1100" w:type="dxa"/>
            <w:vAlign w:val="bottom"/>
            <w:tcBorders>
              <w:right w:val="single" w:sz="8" w:color="009AD9"/>
            </w:tcBorders>
            <w:vMerge w:val="continue"/>
            <w:shd w:val="clear" w:color="auto" w:fill="D8EFF9"/>
          </w:tcPr>
          <w:p>
            <w:pPr>
              <w:spacing w:after="0"/>
              <w:rPr>
                <w:sz w:val="8"/>
                <w:szCs w:val="8"/>
                <w:color w:val="auto"/>
              </w:rPr>
            </w:pPr>
          </w:p>
        </w:tc>
        <w:tc>
          <w:tcPr>
            <w:tcW w:w="3560" w:type="dxa"/>
            <w:vAlign w:val="bottom"/>
            <w:tcBorders>
              <w:right w:val="single" w:sz="8" w:color="009AD9"/>
            </w:tcBorders>
            <w:vMerge w:val="restart"/>
            <w:shd w:val="clear" w:color="auto" w:fill="D8EFF9"/>
          </w:tcPr>
          <w:p>
            <w:pPr>
              <w:jc w:val="center"/>
              <w:spacing w:after="0"/>
              <w:rPr>
                <w:sz w:val="20"/>
                <w:szCs w:val="20"/>
                <w:color w:val="auto"/>
              </w:rPr>
            </w:pPr>
            <w:r>
              <w:rPr>
                <w:rFonts w:ascii="Arial" w:cs="Arial" w:eastAsia="Arial" w:hAnsi="Arial"/>
                <w:sz w:val="12"/>
                <w:szCs w:val="12"/>
                <w:color w:val="auto"/>
              </w:rPr>
              <w:t>target short-term incentive award</w:t>
            </w:r>
          </w:p>
        </w:tc>
        <w:tc>
          <w:tcPr>
            <w:tcW w:w="0" w:type="dxa"/>
            <w:vAlign w:val="bottom"/>
          </w:tcPr>
          <w:p>
            <w:pPr>
              <w:spacing w:after="0"/>
              <w:rPr>
                <w:sz w:val="1"/>
                <w:szCs w:val="1"/>
                <w:color w:val="auto"/>
              </w:rPr>
            </w:pPr>
          </w:p>
        </w:tc>
      </w:tr>
      <w:tr>
        <w:trPr>
          <w:trHeight w:val="80"/>
        </w:trPr>
        <w:tc>
          <w:tcPr>
            <w:tcW w:w="1600" w:type="dxa"/>
            <w:vAlign w:val="bottom"/>
            <w:tcBorders>
              <w:left w:val="single" w:sz="8" w:color="009AD9"/>
              <w:bottom w:val="single" w:sz="8" w:color="D8EFF9"/>
              <w:right w:val="single" w:sz="8" w:color="009AD9"/>
            </w:tcBorders>
            <w:vMerge w:val="continue"/>
            <w:shd w:val="clear" w:color="auto" w:fill="D8EFF9"/>
          </w:tcPr>
          <w:p>
            <w:pPr>
              <w:spacing w:after="0"/>
              <w:rPr>
                <w:sz w:val="6"/>
                <w:szCs w:val="6"/>
                <w:color w:val="auto"/>
              </w:rPr>
            </w:pPr>
          </w:p>
        </w:tc>
        <w:tc>
          <w:tcPr>
            <w:tcW w:w="1100" w:type="dxa"/>
            <w:vAlign w:val="bottom"/>
            <w:tcBorders>
              <w:bottom w:val="single" w:sz="8" w:color="D8EFF9"/>
              <w:right w:val="single" w:sz="8" w:color="009AD9"/>
            </w:tcBorders>
            <w:shd w:val="clear" w:color="auto" w:fill="D8EFF9"/>
          </w:tcPr>
          <w:p>
            <w:pPr>
              <w:spacing w:after="0"/>
              <w:rPr>
                <w:sz w:val="6"/>
                <w:szCs w:val="6"/>
                <w:color w:val="auto"/>
              </w:rPr>
            </w:pPr>
          </w:p>
        </w:tc>
        <w:tc>
          <w:tcPr>
            <w:tcW w:w="3560" w:type="dxa"/>
            <w:vAlign w:val="bottom"/>
            <w:tcBorders>
              <w:bottom w:val="single" w:sz="8" w:color="D8EFF9"/>
              <w:right w:val="single" w:sz="8" w:color="009AD9"/>
            </w:tcBorders>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009AD9"/>
              <w:right w:val="single" w:sz="8" w:color="009AD9"/>
            </w:tcBorders>
            <w:shd w:val="clear" w:color="auto" w:fill="009AD9"/>
          </w:tcPr>
          <w:p>
            <w:pPr>
              <w:spacing w:after="0" w:line="20" w:lineRule="exact"/>
              <w:rPr>
                <w:sz w:val="1"/>
                <w:szCs w:val="1"/>
                <w:color w:val="auto"/>
              </w:rPr>
            </w:pPr>
          </w:p>
        </w:tc>
        <w:tc>
          <w:tcPr>
            <w:tcW w:w="1100" w:type="dxa"/>
            <w:vAlign w:val="bottom"/>
            <w:tcBorders>
              <w:right w:val="single" w:sz="8" w:color="009AD9"/>
            </w:tcBorders>
            <w:shd w:val="clear" w:color="auto" w:fill="009AD9"/>
          </w:tcPr>
          <w:p>
            <w:pPr>
              <w:spacing w:after="0" w:line="20" w:lineRule="exact"/>
              <w:rPr>
                <w:sz w:val="1"/>
                <w:szCs w:val="1"/>
                <w:color w:val="auto"/>
              </w:rPr>
            </w:pPr>
          </w:p>
        </w:tc>
        <w:tc>
          <w:tcPr>
            <w:tcW w:w="3560" w:type="dxa"/>
            <w:vAlign w:val="bottom"/>
            <w:tcBorders>
              <w:right w:val="single" w:sz="8" w:color="009AD9"/>
            </w:tcBorders>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160" w:right="819" w:hanging="226"/>
        <w:spacing w:after="0" w:line="234" w:lineRule="auto"/>
        <w:tabs>
          <w:tab w:leader="none" w:pos="21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The executive severance guidelines also permit the payment of certain other compensation and benefits, as appropriate, in addition to the cash severance payment, as described above.</w:t>
      </w:r>
    </w:p>
    <w:p>
      <w:pPr>
        <w:spacing w:after="0" w:line="124" w:lineRule="exact"/>
        <w:rPr>
          <w:sz w:val="20"/>
          <w:szCs w:val="20"/>
          <w:color w:val="auto"/>
        </w:rPr>
      </w:pPr>
    </w:p>
    <w:p>
      <w:pPr>
        <w:jc w:val="both"/>
        <w:ind w:left="1940" w:right="799"/>
        <w:spacing w:after="0" w:line="254" w:lineRule="auto"/>
        <w:rPr>
          <w:sz w:val="20"/>
          <w:szCs w:val="20"/>
          <w:color w:val="auto"/>
        </w:rPr>
      </w:pPr>
      <w:r>
        <w:rPr>
          <w:rFonts w:ascii="Arial" w:cs="Arial" w:eastAsia="Arial" w:hAnsi="Arial"/>
          <w:sz w:val="12"/>
          <w:szCs w:val="12"/>
          <w:i w:val="1"/>
          <w:iCs w:val="1"/>
          <w:color w:val="auto"/>
        </w:rPr>
        <w:t>Payments in the event of change in control</w:t>
      </w:r>
      <w:r>
        <w:rPr>
          <w:rFonts w:ascii="Arial" w:cs="Arial" w:eastAsia="Arial" w:hAnsi="Arial"/>
          <w:sz w:val="12"/>
          <w:szCs w:val="12"/>
          <w:color w:val="auto"/>
        </w:rPr>
        <w:t>. The table below presents amounts that would have been payable and the value of the benefits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under the change in control plan assuming a covered termination of employment occurred on December 31, 2022 following a change of control. The numbers in the table have been rounded to the nearest one thousand dollars.</w:t>
      </w:r>
    </w:p>
    <w:p>
      <w:pPr>
        <w:spacing w:after="0" w:line="147"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30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Type of Payment</w:t>
            </w:r>
          </w:p>
        </w:tc>
        <w:tc>
          <w:tcPr>
            <w:tcW w:w="60" w:type="dxa"/>
            <w:vAlign w:val="bottom"/>
            <w:tcBorders>
              <w:bottom w:val="single" w:sz="8" w:color="009AD9"/>
            </w:tcBorders>
            <w:shd w:val="clear" w:color="auto" w:fill="009AD9"/>
          </w:tcPr>
          <w:p>
            <w:pPr>
              <w:spacing w:after="0"/>
              <w:rPr>
                <w:sz w:val="14"/>
                <w:szCs w:val="14"/>
                <w:color w:val="auto"/>
              </w:rPr>
            </w:pPr>
          </w:p>
        </w:tc>
        <w:tc>
          <w:tcPr>
            <w:tcW w:w="20" w:type="dxa"/>
            <w:vAlign w:val="bottom"/>
            <w:tcBorders>
              <w:bottom w:val="single" w:sz="8" w:color="009AD9"/>
            </w:tcBorders>
            <w:shd w:val="clear" w:color="auto" w:fill="009AD9"/>
          </w:tcPr>
          <w:p>
            <w:pPr>
              <w:spacing w:after="0"/>
              <w:rPr>
                <w:sz w:val="14"/>
                <w:szCs w:val="14"/>
                <w:color w:val="auto"/>
              </w:rPr>
            </w:pPr>
          </w:p>
        </w:tc>
        <w:tc>
          <w:tcPr>
            <w:tcW w:w="40" w:type="dxa"/>
            <w:vAlign w:val="bottom"/>
            <w:tcBorders>
              <w:bottom w:val="single" w:sz="8" w:color="009AD9"/>
            </w:tcBorders>
            <w:shd w:val="clear" w:color="auto" w:fill="009AD9"/>
          </w:tcPr>
          <w:p>
            <w:pPr>
              <w:spacing w:after="0"/>
              <w:rPr>
                <w:sz w:val="14"/>
                <w:szCs w:val="14"/>
                <w:color w:val="auto"/>
              </w:rPr>
            </w:pPr>
          </w:p>
        </w:tc>
        <w:tc>
          <w:tcPr>
            <w:tcW w:w="500" w:type="dxa"/>
            <w:vAlign w:val="bottom"/>
            <w:tcBorders>
              <w:bottom w:val="single" w:sz="8" w:color="009AD9"/>
            </w:tcBorders>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Lesar</w:t>
            </w:r>
          </w:p>
        </w:tc>
        <w:tc>
          <w:tcPr>
            <w:tcW w:w="10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480" w:type="dxa"/>
            <w:vAlign w:val="bottom"/>
            <w:tcBorders>
              <w:bottom w:val="single" w:sz="8" w:color="009AD9"/>
            </w:tcBorders>
            <w:shd w:val="clear" w:color="auto" w:fill="009AD9"/>
          </w:tcPr>
          <w:p>
            <w:pPr>
              <w:jc w:val="right"/>
              <w:ind w:right="92"/>
              <w:spacing w:after="0"/>
              <w:rPr>
                <w:sz w:val="20"/>
                <w:szCs w:val="20"/>
                <w:color w:val="auto"/>
              </w:rPr>
            </w:pPr>
            <w:r>
              <w:rPr>
                <w:rFonts w:ascii="Arial" w:cs="Arial" w:eastAsia="Arial" w:hAnsi="Arial"/>
                <w:sz w:val="10"/>
                <w:szCs w:val="10"/>
                <w:b w:val="1"/>
                <w:bCs w:val="1"/>
                <w:color w:val="FFFFFF"/>
              </w:rPr>
              <w:t>Wells</w:t>
            </w:r>
          </w:p>
        </w:tc>
        <w:tc>
          <w:tcPr>
            <w:tcW w:w="10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Doyle</w:t>
            </w:r>
          </w:p>
        </w:tc>
        <w:tc>
          <w:tcPr>
            <w:tcW w:w="100" w:type="dxa"/>
            <w:vAlign w:val="bottom"/>
            <w:tcBorders>
              <w:bottom w:val="single" w:sz="8" w:color="009AD9"/>
            </w:tcBorders>
            <w:shd w:val="clear" w:color="auto" w:fill="009AD9"/>
          </w:tcPr>
          <w:p>
            <w:pPr>
              <w:spacing w:after="0"/>
              <w:rPr>
                <w:sz w:val="14"/>
                <w:szCs w:val="14"/>
                <w:color w:val="auto"/>
              </w:rPr>
            </w:pPr>
          </w:p>
        </w:tc>
        <w:tc>
          <w:tcPr>
            <w:tcW w:w="40" w:type="dxa"/>
            <w:vAlign w:val="bottom"/>
            <w:tcBorders>
              <w:bottom w:val="single" w:sz="8" w:color="009AD9"/>
            </w:tcBorders>
            <w:shd w:val="clear" w:color="auto" w:fill="009AD9"/>
          </w:tcPr>
          <w:p>
            <w:pPr>
              <w:spacing w:after="0"/>
              <w:rPr>
                <w:sz w:val="14"/>
                <w:szCs w:val="14"/>
                <w:color w:val="auto"/>
              </w:rPr>
            </w:pPr>
          </w:p>
        </w:tc>
        <w:tc>
          <w:tcPr>
            <w:tcW w:w="46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w w:val="92"/>
              </w:rPr>
              <w:t>Karuturi</w:t>
            </w:r>
          </w:p>
        </w:tc>
        <w:tc>
          <w:tcPr>
            <w:tcW w:w="8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520" w:type="dxa"/>
            <w:vAlign w:val="bottom"/>
            <w:tcBorders>
              <w:bottom w:val="single" w:sz="8" w:color="009AD9"/>
            </w:tcBorders>
            <w:gridSpan w:val="2"/>
            <w:shd w:val="clear" w:color="auto" w:fill="009AD9"/>
          </w:tcPr>
          <w:p>
            <w:pPr>
              <w:jc w:val="right"/>
              <w:ind w:right="180"/>
              <w:spacing w:after="0"/>
              <w:rPr>
                <w:sz w:val="20"/>
                <w:szCs w:val="20"/>
                <w:color w:val="auto"/>
              </w:rPr>
            </w:pPr>
            <w:r>
              <w:rPr>
                <w:rFonts w:ascii="Arial" w:cs="Arial" w:eastAsia="Arial" w:hAnsi="Arial"/>
                <w:sz w:val="10"/>
                <w:szCs w:val="10"/>
                <w:b w:val="1"/>
                <w:bCs w:val="1"/>
                <w:color w:val="FFFFFF"/>
              </w:rPr>
              <w:t>Knight</w:t>
            </w:r>
          </w:p>
        </w:tc>
      </w:tr>
      <w:tr>
        <w:trPr>
          <w:trHeight w:val="155"/>
        </w:trPr>
        <w:tc>
          <w:tcPr>
            <w:tcW w:w="4300" w:type="dxa"/>
            <w:vAlign w:val="bottom"/>
          </w:tcPr>
          <w:p>
            <w:pPr>
              <w:ind w:left="40"/>
              <w:spacing w:after="0"/>
              <w:rPr>
                <w:sz w:val="20"/>
                <w:szCs w:val="20"/>
                <w:color w:val="auto"/>
              </w:rPr>
            </w:pPr>
            <w:r>
              <w:rPr>
                <w:rFonts w:ascii="Arial" w:cs="Arial" w:eastAsia="Arial" w:hAnsi="Arial"/>
                <w:sz w:val="10"/>
                <w:szCs w:val="10"/>
                <w:color w:val="auto"/>
              </w:rPr>
              <w:t>Severance amount</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10,620,000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2,433,000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2,100,000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1,972,000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1,802,000</w:t>
            </w:r>
          </w:p>
        </w:tc>
        <w:tc>
          <w:tcPr>
            <w:tcW w:w="80" w:type="dxa"/>
            <w:vAlign w:val="bottom"/>
          </w:tcPr>
          <w:p>
            <w:pPr>
              <w:spacing w:after="0"/>
              <w:rPr>
                <w:sz w:val="13"/>
                <w:szCs w:val="13"/>
                <w:color w:val="auto"/>
              </w:rPr>
            </w:pPr>
          </w:p>
        </w:tc>
      </w:tr>
      <w:tr>
        <w:trPr>
          <w:trHeight w:val="27"/>
        </w:trPr>
        <w:tc>
          <w:tcPr>
            <w:tcW w:w="4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4300" w:type="dxa"/>
            <w:vAlign w:val="bottom"/>
            <w:shd w:val="clear" w:color="auto" w:fill="D8EFF9"/>
          </w:tcPr>
          <w:p>
            <w:pPr>
              <w:ind w:left="40"/>
              <w:spacing w:after="0"/>
              <w:rPr>
                <w:sz w:val="20"/>
                <w:szCs w:val="20"/>
                <w:color w:val="auto"/>
              </w:rPr>
            </w:pPr>
            <w:r>
              <w:rPr>
                <w:rFonts w:ascii="Arial" w:cs="Arial" w:eastAsia="Arial" w:hAnsi="Arial"/>
                <w:sz w:val="10"/>
                <w:szCs w:val="10"/>
                <w:color w:val="auto"/>
              </w:rPr>
              <w:t>Retention amount</w:t>
            </w:r>
            <w:r>
              <w:rPr>
                <w:rFonts w:ascii="Arial" w:cs="Arial" w:eastAsia="Arial" w:hAnsi="Arial"/>
                <w:sz w:val="14"/>
                <w:szCs w:val="14"/>
                <w:color w:val="auto"/>
                <w:vertAlign w:val="superscript"/>
              </w:rPr>
              <w:t>(1)</w:t>
            </w:r>
          </w:p>
        </w:tc>
        <w:tc>
          <w:tcPr>
            <w:tcW w:w="120" w:type="dxa"/>
            <w:vAlign w:val="bottom"/>
            <w:gridSpan w:val="3"/>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6,204,000</w:t>
            </w:r>
          </w:p>
        </w:tc>
        <w:tc>
          <w:tcPr>
            <w:tcW w:w="10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8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8EFF9"/>
          </w:tcPr>
          <w:p>
            <w:pPr>
              <w:spacing w:after="0"/>
              <w:rPr>
                <w:sz w:val="15"/>
                <w:szCs w:val="15"/>
                <w:color w:val="auto"/>
              </w:rPr>
            </w:pPr>
          </w:p>
        </w:tc>
        <w:tc>
          <w:tcPr>
            <w:tcW w:w="40" w:type="dxa"/>
            <w:vAlign w:val="bottom"/>
            <w:shd w:val="clear" w:color="auto" w:fill="D8EFF9"/>
          </w:tcPr>
          <w:p>
            <w:pPr>
              <w:spacing w:after="0"/>
              <w:rPr>
                <w:sz w:val="15"/>
                <w:szCs w:val="15"/>
                <w:color w:val="auto"/>
              </w:rPr>
            </w:pP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520" w:type="dxa"/>
            <w:vAlign w:val="bottom"/>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r>
      <w:tr>
        <w:trPr>
          <w:trHeight w:val="182"/>
        </w:trPr>
        <w:tc>
          <w:tcPr>
            <w:tcW w:w="4300" w:type="dxa"/>
            <w:vAlign w:val="bottom"/>
          </w:tcPr>
          <w:p>
            <w:pPr>
              <w:ind w:left="40"/>
              <w:spacing w:after="0"/>
              <w:rPr>
                <w:sz w:val="20"/>
                <w:szCs w:val="20"/>
                <w:color w:val="auto"/>
              </w:rPr>
            </w:pPr>
            <w:r>
              <w:rPr>
                <w:rFonts w:ascii="Arial" w:cs="Arial" w:eastAsia="Arial" w:hAnsi="Arial"/>
                <w:sz w:val="10"/>
                <w:szCs w:val="10"/>
                <w:color w:val="auto"/>
              </w:rPr>
              <w:t>Short-term Incentive Plan</w:t>
            </w:r>
            <w:r>
              <w:rPr>
                <w:rFonts w:ascii="Arial" w:cs="Arial" w:eastAsia="Arial" w:hAnsi="Arial"/>
                <w:sz w:val="14"/>
                <w:szCs w:val="14"/>
                <w:color w:val="auto"/>
                <w:vertAlign w:val="superscript"/>
              </w:rPr>
              <w:t>(2)</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2,065,000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521,000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450,000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406,000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371,000</w:t>
            </w:r>
          </w:p>
        </w:tc>
        <w:tc>
          <w:tcPr>
            <w:tcW w:w="80" w:type="dxa"/>
            <w:vAlign w:val="bottom"/>
          </w:tcPr>
          <w:p>
            <w:pPr>
              <w:spacing w:after="0"/>
              <w:rPr>
                <w:sz w:val="15"/>
                <w:szCs w:val="15"/>
                <w:color w:val="auto"/>
              </w:rPr>
            </w:pPr>
          </w:p>
        </w:tc>
      </w:tr>
      <w:tr>
        <w:trPr>
          <w:trHeight w:val="182"/>
        </w:trPr>
        <w:tc>
          <w:tcPr>
            <w:tcW w:w="4300" w:type="dxa"/>
            <w:vAlign w:val="bottom"/>
            <w:shd w:val="clear" w:color="auto" w:fill="D8EFF9"/>
          </w:tcPr>
          <w:p>
            <w:pPr>
              <w:ind w:left="40"/>
              <w:spacing w:after="0"/>
              <w:rPr>
                <w:sz w:val="20"/>
                <w:szCs w:val="20"/>
                <w:color w:val="auto"/>
              </w:rPr>
            </w:pPr>
            <w:r>
              <w:rPr>
                <w:rFonts w:ascii="Arial" w:cs="Arial" w:eastAsia="Arial" w:hAnsi="Arial"/>
                <w:sz w:val="10"/>
                <w:szCs w:val="10"/>
                <w:color w:val="auto"/>
              </w:rPr>
              <w:t>Long-term Incentive Plan:</w:t>
            </w:r>
            <w:r>
              <w:rPr>
                <w:rFonts w:ascii="Arial" w:cs="Arial" w:eastAsia="Arial" w:hAnsi="Arial"/>
                <w:sz w:val="14"/>
                <w:szCs w:val="14"/>
                <w:color w:val="auto"/>
                <w:vertAlign w:val="superscript"/>
              </w:rPr>
              <w:t>(3)</w:t>
            </w:r>
          </w:p>
        </w:tc>
        <w:tc>
          <w:tcPr>
            <w:tcW w:w="60" w:type="dxa"/>
            <w:vAlign w:val="bottom"/>
            <w:shd w:val="clear" w:color="auto" w:fill="D8EFF9"/>
          </w:tcPr>
          <w:p>
            <w:pPr>
              <w:spacing w:after="0"/>
              <w:rPr>
                <w:sz w:val="15"/>
                <w:szCs w:val="15"/>
                <w:color w:val="auto"/>
              </w:rPr>
            </w:pPr>
          </w:p>
        </w:tc>
        <w:tc>
          <w:tcPr>
            <w:tcW w:w="20" w:type="dxa"/>
            <w:vAlign w:val="bottom"/>
            <w:shd w:val="clear" w:color="auto" w:fill="D8EFF9"/>
          </w:tcPr>
          <w:p>
            <w:pPr>
              <w:spacing w:after="0"/>
              <w:rPr>
                <w:sz w:val="15"/>
                <w:szCs w:val="15"/>
                <w:color w:val="auto"/>
              </w:rPr>
            </w:pPr>
          </w:p>
        </w:tc>
        <w:tc>
          <w:tcPr>
            <w:tcW w:w="40" w:type="dxa"/>
            <w:vAlign w:val="bottom"/>
            <w:shd w:val="clear" w:color="auto" w:fill="D8EFF9"/>
          </w:tcPr>
          <w:p>
            <w:pPr>
              <w:spacing w:after="0"/>
              <w:rPr>
                <w:sz w:val="15"/>
                <w:szCs w:val="15"/>
                <w:color w:val="auto"/>
              </w:rPr>
            </w:pPr>
          </w:p>
        </w:tc>
        <w:tc>
          <w:tcPr>
            <w:tcW w:w="500" w:type="dxa"/>
            <w:vAlign w:val="bottom"/>
            <w:shd w:val="clear" w:color="auto" w:fill="D8EFF9"/>
          </w:tcPr>
          <w:p>
            <w:pPr>
              <w:spacing w:after="0"/>
              <w:rPr>
                <w:sz w:val="15"/>
                <w:szCs w:val="15"/>
                <w:color w:val="auto"/>
              </w:rPr>
            </w:pPr>
          </w:p>
        </w:tc>
        <w:tc>
          <w:tcPr>
            <w:tcW w:w="10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80" w:type="dxa"/>
            <w:vAlign w:val="bottom"/>
            <w:shd w:val="clear" w:color="auto" w:fill="D8EFF9"/>
          </w:tcPr>
          <w:p>
            <w:pPr>
              <w:spacing w:after="0"/>
              <w:rPr>
                <w:sz w:val="15"/>
                <w:szCs w:val="15"/>
                <w:color w:val="auto"/>
              </w:rPr>
            </w:pPr>
          </w:p>
        </w:tc>
        <w:tc>
          <w:tcPr>
            <w:tcW w:w="10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40" w:type="dxa"/>
            <w:vAlign w:val="bottom"/>
            <w:shd w:val="clear" w:color="auto" w:fill="D8EFF9"/>
          </w:tcPr>
          <w:p>
            <w:pPr>
              <w:spacing w:after="0"/>
              <w:rPr>
                <w:sz w:val="15"/>
                <w:szCs w:val="15"/>
                <w:color w:val="auto"/>
              </w:rPr>
            </w:pPr>
          </w:p>
        </w:tc>
        <w:tc>
          <w:tcPr>
            <w:tcW w:w="100" w:type="dxa"/>
            <w:vAlign w:val="bottom"/>
            <w:shd w:val="clear" w:color="auto" w:fill="D8EFF9"/>
          </w:tcPr>
          <w:p>
            <w:pPr>
              <w:spacing w:after="0"/>
              <w:rPr>
                <w:sz w:val="15"/>
                <w:szCs w:val="15"/>
                <w:color w:val="auto"/>
              </w:rPr>
            </w:pPr>
          </w:p>
        </w:tc>
        <w:tc>
          <w:tcPr>
            <w:tcW w:w="40" w:type="dxa"/>
            <w:vAlign w:val="bottom"/>
            <w:shd w:val="clear" w:color="auto" w:fill="D8EFF9"/>
          </w:tcPr>
          <w:p>
            <w:pPr>
              <w:spacing w:after="0"/>
              <w:rPr>
                <w:sz w:val="15"/>
                <w:szCs w:val="15"/>
                <w:color w:val="auto"/>
              </w:rPr>
            </w:pPr>
          </w:p>
        </w:tc>
        <w:tc>
          <w:tcPr>
            <w:tcW w:w="460" w:type="dxa"/>
            <w:vAlign w:val="bottom"/>
            <w:shd w:val="clear" w:color="auto" w:fill="D8EFF9"/>
          </w:tcPr>
          <w:p>
            <w:pPr>
              <w:spacing w:after="0"/>
              <w:rPr>
                <w:sz w:val="15"/>
                <w:szCs w:val="15"/>
                <w:color w:val="auto"/>
              </w:rPr>
            </w:pPr>
          </w:p>
        </w:tc>
        <w:tc>
          <w:tcPr>
            <w:tcW w:w="8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40" w:type="dxa"/>
            <w:vAlign w:val="bottom"/>
            <w:shd w:val="clear" w:color="auto" w:fill="D8EFF9"/>
          </w:tcPr>
          <w:p>
            <w:pPr>
              <w:spacing w:after="0"/>
              <w:rPr>
                <w:sz w:val="15"/>
                <w:szCs w:val="15"/>
                <w:color w:val="auto"/>
              </w:rPr>
            </w:pPr>
          </w:p>
        </w:tc>
        <w:tc>
          <w:tcPr>
            <w:tcW w:w="80" w:type="dxa"/>
            <w:vAlign w:val="bottom"/>
            <w:shd w:val="clear" w:color="auto" w:fill="D8EFF9"/>
          </w:tcPr>
          <w:p>
            <w:pPr>
              <w:spacing w:after="0"/>
              <w:rPr>
                <w:sz w:val="15"/>
                <w:szCs w:val="15"/>
                <w:color w:val="auto"/>
              </w:rPr>
            </w:pPr>
          </w:p>
        </w:tc>
      </w:tr>
      <w:tr>
        <w:trPr>
          <w:trHeight w:val="155"/>
        </w:trPr>
        <w:tc>
          <w:tcPr>
            <w:tcW w:w="4300" w:type="dxa"/>
            <w:vAlign w:val="bottom"/>
          </w:tcPr>
          <w:p>
            <w:pPr>
              <w:ind w:left="140"/>
              <w:spacing w:after="0"/>
              <w:rPr>
                <w:sz w:val="20"/>
                <w:szCs w:val="20"/>
                <w:color w:val="auto"/>
              </w:rPr>
            </w:pPr>
            <w:r>
              <w:rPr>
                <w:rFonts w:ascii="Arial" w:cs="Arial" w:eastAsia="Arial" w:hAnsi="Arial"/>
                <w:sz w:val="10"/>
                <w:szCs w:val="10"/>
                <w:color w:val="auto"/>
              </w:rPr>
              <w:t>Performance Share Units (Unvested)</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16,015,000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3,293,000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2,360,000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1,991,000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1,886,000</w:t>
            </w:r>
          </w:p>
        </w:tc>
        <w:tc>
          <w:tcPr>
            <w:tcW w:w="80" w:type="dxa"/>
            <w:vAlign w:val="bottom"/>
          </w:tcPr>
          <w:p>
            <w:pPr>
              <w:spacing w:after="0"/>
              <w:rPr>
                <w:sz w:val="13"/>
                <w:szCs w:val="13"/>
                <w:color w:val="auto"/>
              </w:rPr>
            </w:pPr>
          </w:p>
        </w:tc>
      </w:tr>
      <w:tr>
        <w:trPr>
          <w:trHeight w:val="27"/>
        </w:trPr>
        <w:tc>
          <w:tcPr>
            <w:tcW w:w="4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4300" w:type="dxa"/>
            <w:vAlign w:val="bottom"/>
            <w:shd w:val="clear" w:color="auto" w:fill="D8EFF9"/>
          </w:tcPr>
          <w:p>
            <w:pPr>
              <w:ind w:left="140"/>
              <w:spacing w:after="0"/>
              <w:rPr>
                <w:sz w:val="20"/>
                <w:szCs w:val="20"/>
                <w:color w:val="auto"/>
              </w:rPr>
            </w:pPr>
            <w:r>
              <w:rPr>
                <w:rFonts w:ascii="Arial" w:cs="Arial" w:eastAsia="Arial" w:hAnsi="Arial"/>
                <w:sz w:val="10"/>
                <w:szCs w:val="10"/>
                <w:color w:val="auto"/>
              </w:rPr>
              <w:t xml:space="preserve">Performance Share Units (Vested) </w:t>
            </w:r>
            <w:r>
              <w:rPr>
                <w:rFonts w:ascii="Arial" w:cs="Arial" w:eastAsia="Arial" w:hAnsi="Arial"/>
                <w:sz w:val="14"/>
                <w:szCs w:val="14"/>
                <w:color w:val="auto"/>
                <w:vertAlign w:val="superscript"/>
              </w:rPr>
              <w:t>(4)</w:t>
            </w:r>
          </w:p>
        </w:tc>
        <w:tc>
          <w:tcPr>
            <w:tcW w:w="120" w:type="dxa"/>
            <w:vAlign w:val="bottom"/>
            <w:gridSpan w:val="3"/>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8,181,000</w:t>
            </w:r>
          </w:p>
        </w:tc>
        <w:tc>
          <w:tcPr>
            <w:tcW w:w="160" w:type="dxa"/>
            <w:vAlign w:val="bottom"/>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1,919,000</w:t>
            </w:r>
          </w:p>
        </w:tc>
        <w:tc>
          <w:tcPr>
            <w:tcW w:w="160" w:type="dxa"/>
            <w:vAlign w:val="bottom"/>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722,000</w:t>
            </w:r>
          </w:p>
        </w:tc>
        <w:tc>
          <w:tcPr>
            <w:tcW w:w="140" w:type="dxa"/>
            <w:vAlign w:val="bottom"/>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496,000</w:t>
            </w:r>
          </w:p>
        </w:tc>
        <w:tc>
          <w:tcPr>
            <w:tcW w:w="140" w:type="dxa"/>
            <w:vAlign w:val="bottom"/>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844,000</w:t>
            </w:r>
          </w:p>
        </w:tc>
        <w:tc>
          <w:tcPr>
            <w:tcW w:w="80" w:type="dxa"/>
            <w:vAlign w:val="bottom"/>
            <w:shd w:val="clear" w:color="auto" w:fill="D8EFF9"/>
          </w:tcPr>
          <w:p>
            <w:pPr>
              <w:spacing w:after="0"/>
              <w:rPr>
                <w:sz w:val="15"/>
                <w:szCs w:val="15"/>
                <w:color w:val="auto"/>
              </w:rPr>
            </w:pPr>
          </w:p>
        </w:tc>
      </w:tr>
      <w:tr>
        <w:trPr>
          <w:trHeight w:val="155"/>
        </w:trPr>
        <w:tc>
          <w:tcPr>
            <w:tcW w:w="4300" w:type="dxa"/>
            <w:vAlign w:val="bottom"/>
          </w:tcPr>
          <w:p>
            <w:pPr>
              <w:ind w:left="140"/>
              <w:spacing w:after="0"/>
              <w:rPr>
                <w:sz w:val="20"/>
                <w:szCs w:val="20"/>
                <w:color w:val="auto"/>
              </w:rPr>
            </w:pPr>
            <w:r>
              <w:rPr>
                <w:rFonts w:ascii="Arial" w:cs="Arial" w:eastAsia="Arial" w:hAnsi="Arial"/>
                <w:sz w:val="10"/>
                <w:szCs w:val="10"/>
                <w:color w:val="auto"/>
              </w:rPr>
              <w:t>Stock awards (Unvested)</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21,751,000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1,905,000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1,096,000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874,000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1,139,000</w:t>
            </w:r>
          </w:p>
        </w:tc>
        <w:tc>
          <w:tcPr>
            <w:tcW w:w="80" w:type="dxa"/>
            <w:vAlign w:val="bottom"/>
          </w:tcPr>
          <w:p>
            <w:pPr>
              <w:spacing w:after="0"/>
              <w:rPr>
                <w:sz w:val="13"/>
                <w:szCs w:val="13"/>
                <w:color w:val="auto"/>
              </w:rPr>
            </w:pPr>
          </w:p>
        </w:tc>
      </w:tr>
      <w:tr>
        <w:trPr>
          <w:trHeight w:val="27"/>
        </w:trPr>
        <w:tc>
          <w:tcPr>
            <w:tcW w:w="4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300" w:type="dxa"/>
            <w:vAlign w:val="bottom"/>
            <w:tcBorders>
              <w:bottom w:val="single" w:sz="8" w:color="D8EFF9"/>
            </w:tcBorders>
            <w:shd w:val="clear" w:color="auto" w:fill="D8EFF9"/>
          </w:tcPr>
          <w:p>
            <w:pPr>
              <w:ind w:left="140"/>
              <w:spacing w:after="0"/>
              <w:rPr>
                <w:sz w:val="20"/>
                <w:szCs w:val="20"/>
                <w:color w:val="auto"/>
              </w:rPr>
            </w:pPr>
            <w:r>
              <w:rPr>
                <w:rFonts w:ascii="Arial" w:cs="Arial" w:eastAsia="Arial" w:hAnsi="Arial"/>
                <w:sz w:val="10"/>
                <w:szCs w:val="10"/>
                <w:color w:val="auto"/>
              </w:rPr>
              <w:t>Stock awards (Vested)</w:t>
            </w:r>
          </w:p>
        </w:tc>
        <w:tc>
          <w:tcPr>
            <w:tcW w:w="120" w:type="dxa"/>
            <w:vAlign w:val="bottom"/>
            <w:tcBorders>
              <w:bottom w:val="single" w:sz="8" w:color="D8EFF9"/>
            </w:tcBorders>
            <w:gridSpan w:val="3"/>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5"/>
              </w:rPr>
              <w:t>12,408,000</w:t>
            </w:r>
          </w:p>
        </w:tc>
        <w:tc>
          <w:tcPr>
            <w:tcW w:w="100" w:type="dxa"/>
            <w:vAlign w:val="bottom"/>
            <w:tcBorders>
              <w:bottom w:val="single" w:sz="8" w:color="D8EFF9"/>
            </w:tcBorders>
            <w:shd w:val="clear" w:color="auto" w:fill="D8EFF9"/>
          </w:tcPr>
          <w:p>
            <w:pPr>
              <w:spacing w:after="0"/>
              <w:rPr>
                <w:sz w:val="14"/>
                <w:szCs w:val="14"/>
                <w:color w:val="auto"/>
              </w:rPr>
            </w:pPr>
          </w:p>
        </w:tc>
        <w:tc>
          <w:tcPr>
            <w:tcW w:w="60" w:type="dxa"/>
            <w:vAlign w:val="bottom"/>
            <w:tcBorders>
              <w:bottom w:val="single" w:sz="8" w:color="D8EFF9"/>
            </w:tcBorders>
            <w:shd w:val="clear" w:color="auto" w:fill="D8EFF9"/>
          </w:tcPr>
          <w:p>
            <w:pPr>
              <w:spacing w:after="0"/>
              <w:rPr>
                <w:sz w:val="14"/>
                <w:szCs w:val="14"/>
                <w:color w:val="auto"/>
              </w:rPr>
            </w:pP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8EFF9"/>
            </w:tcBorders>
            <w:shd w:val="clear" w:color="auto" w:fill="D8EFF9"/>
          </w:tcPr>
          <w:p>
            <w:pPr>
              <w:spacing w:after="0"/>
              <w:rPr>
                <w:sz w:val="14"/>
                <w:szCs w:val="14"/>
                <w:color w:val="auto"/>
              </w:rPr>
            </w:pPr>
          </w:p>
        </w:tc>
        <w:tc>
          <w:tcPr>
            <w:tcW w:w="60" w:type="dxa"/>
            <w:vAlign w:val="bottom"/>
            <w:tcBorders>
              <w:bottom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8EFF9"/>
            </w:tcBorders>
            <w:shd w:val="clear" w:color="auto" w:fill="D8EFF9"/>
          </w:tcPr>
          <w:p>
            <w:pPr>
              <w:spacing w:after="0"/>
              <w:rPr>
                <w:sz w:val="14"/>
                <w:szCs w:val="14"/>
                <w:color w:val="auto"/>
              </w:rPr>
            </w:pPr>
          </w:p>
        </w:tc>
        <w:tc>
          <w:tcPr>
            <w:tcW w:w="40" w:type="dxa"/>
            <w:vAlign w:val="bottom"/>
            <w:tcBorders>
              <w:bottom w:val="single" w:sz="8" w:color="D8EFF9"/>
            </w:tcBorders>
            <w:shd w:val="clear" w:color="auto" w:fill="D8EFF9"/>
          </w:tcPr>
          <w:p>
            <w:pPr>
              <w:spacing w:after="0"/>
              <w:rPr>
                <w:sz w:val="14"/>
                <w:szCs w:val="14"/>
                <w:color w:val="auto"/>
              </w:rPr>
            </w:pP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4"/>
                <w:szCs w:val="14"/>
                <w:color w:val="auto"/>
              </w:rPr>
            </w:pPr>
          </w:p>
        </w:tc>
        <w:tc>
          <w:tcPr>
            <w:tcW w:w="60" w:type="dxa"/>
            <w:vAlign w:val="bottom"/>
            <w:tcBorders>
              <w:bottom w:val="single" w:sz="8" w:color="D8EFF9"/>
            </w:tcBorders>
            <w:shd w:val="clear" w:color="auto" w:fill="D8EFF9"/>
          </w:tcPr>
          <w:p>
            <w:pPr>
              <w:spacing w:after="0"/>
              <w:rPr>
                <w:sz w:val="14"/>
                <w:szCs w:val="14"/>
                <w:color w:val="auto"/>
              </w:rPr>
            </w:pPr>
          </w:p>
        </w:tc>
        <w:tc>
          <w:tcPr>
            <w:tcW w:w="52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r>
      <w:tr>
        <w:trPr>
          <w:trHeight w:val="182"/>
        </w:trPr>
        <w:tc>
          <w:tcPr>
            <w:tcW w:w="4300" w:type="dxa"/>
            <w:vAlign w:val="bottom"/>
          </w:tcPr>
          <w:p>
            <w:pPr>
              <w:ind w:left="40"/>
              <w:spacing w:after="0"/>
              <w:rPr>
                <w:sz w:val="20"/>
                <w:szCs w:val="20"/>
                <w:color w:val="auto"/>
              </w:rPr>
            </w:pPr>
            <w:r>
              <w:rPr>
                <w:rFonts w:ascii="Arial" w:cs="Arial" w:eastAsia="Arial" w:hAnsi="Arial"/>
                <w:sz w:val="10"/>
                <w:szCs w:val="10"/>
                <w:color w:val="auto"/>
              </w:rPr>
              <w:t>Benefit restoration plan</w:t>
            </w:r>
            <w:r>
              <w:rPr>
                <w:rFonts w:ascii="Arial" w:cs="Arial" w:eastAsia="Arial" w:hAnsi="Arial"/>
                <w:sz w:val="14"/>
                <w:szCs w:val="14"/>
                <w:color w:val="auto"/>
                <w:vertAlign w:val="superscript"/>
              </w:rPr>
              <w:t>(5)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274,000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198,000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r>
      <w:tr>
        <w:trPr>
          <w:trHeight w:val="182"/>
        </w:trPr>
        <w:tc>
          <w:tcPr>
            <w:tcW w:w="4300" w:type="dxa"/>
            <w:vAlign w:val="bottom"/>
            <w:shd w:val="clear" w:color="auto" w:fill="D8EFF9"/>
          </w:tcPr>
          <w:p>
            <w:pPr>
              <w:ind w:left="40"/>
              <w:spacing w:after="0"/>
              <w:rPr>
                <w:sz w:val="20"/>
                <w:szCs w:val="20"/>
                <w:color w:val="auto"/>
              </w:rPr>
            </w:pPr>
            <w:r>
              <w:rPr>
                <w:rFonts w:ascii="Arial" w:cs="Arial" w:eastAsia="Arial" w:hAnsi="Arial"/>
                <w:sz w:val="10"/>
                <w:szCs w:val="10"/>
                <w:color w:val="auto"/>
              </w:rPr>
              <w:t>Savings restoration plan</w:t>
            </w:r>
            <w:r>
              <w:rPr>
                <w:rFonts w:ascii="Arial" w:cs="Arial" w:eastAsia="Arial" w:hAnsi="Arial"/>
                <w:sz w:val="14"/>
                <w:szCs w:val="14"/>
                <w:color w:val="auto"/>
                <w:vertAlign w:val="superscript"/>
              </w:rPr>
              <w:t>(6)</w:t>
            </w:r>
          </w:p>
        </w:tc>
        <w:tc>
          <w:tcPr>
            <w:tcW w:w="120" w:type="dxa"/>
            <w:vAlign w:val="bottom"/>
            <w:gridSpan w:val="3"/>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319,000</w:t>
            </w:r>
          </w:p>
        </w:tc>
        <w:tc>
          <w:tcPr>
            <w:tcW w:w="160" w:type="dxa"/>
            <w:vAlign w:val="bottom"/>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shd w:val="clear" w:color="auto" w:fill="D8EFF9"/>
          </w:tcPr>
          <w:p>
            <w:pPr>
              <w:jc w:val="right"/>
              <w:spacing w:after="0"/>
              <w:rPr>
                <w:sz w:val="20"/>
                <w:szCs w:val="20"/>
                <w:color w:val="auto"/>
              </w:rPr>
            </w:pPr>
            <w:r>
              <w:rPr>
                <w:rFonts w:ascii="Arial" w:cs="Arial" w:eastAsia="Arial" w:hAnsi="Arial"/>
                <w:sz w:val="10"/>
                <w:szCs w:val="10"/>
                <w:color w:val="auto"/>
              </w:rPr>
              <w:t>73,000</w:t>
            </w:r>
          </w:p>
        </w:tc>
        <w:tc>
          <w:tcPr>
            <w:tcW w:w="10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8EFF9"/>
          </w:tcPr>
          <w:p>
            <w:pPr>
              <w:spacing w:after="0"/>
              <w:rPr>
                <w:sz w:val="15"/>
                <w:szCs w:val="15"/>
                <w:color w:val="auto"/>
              </w:rPr>
            </w:pPr>
          </w:p>
        </w:tc>
        <w:tc>
          <w:tcPr>
            <w:tcW w:w="40" w:type="dxa"/>
            <w:vAlign w:val="bottom"/>
            <w:shd w:val="clear" w:color="auto" w:fill="D8EFF9"/>
          </w:tcPr>
          <w:p>
            <w:pPr>
              <w:spacing w:after="0"/>
              <w:rPr>
                <w:sz w:val="15"/>
                <w:szCs w:val="15"/>
                <w:color w:val="auto"/>
              </w:rPr>
            </w:pP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40" w:type="dxa"/>
            <w:vAlign w:val="bottom"/>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53,000</w:t>
            </w:r>
          </w:p>
        </w:tc>
        <w:tc>
          <w:tcPr>
            <w:tcW w:w="80" w:type="dxa"/>
            <w:vAlign w:val="bottom"/>
            <w:shd w:val="clear" w:color="auto" w:fill="D8EFF9"/>
          </w:tcPr>
          <w:p>
            <w:pPr>
              <w:spacing w:after="0"/>
              <w:rPr>
                <w:sz w:val="15"/>
                <w:szCs w:val="15"/>
                <w:color w:val="auto"/>
              </w:rPr>
            </w:pPr>
          </w:p>
        </w:tc>
      </w:tr>
      <w:tr>
        <w:trPr>
          <w:trHeight w:val="155"/>
        </w:trPr>
        <w:tc>
          <w:tcPr>
            <w:tcW w:w="4300" w:type="dxa"/>
            <w:vAlign w:val="bottom"/>
          </w:tcPr>
          <w:p>
            <w:pPr>
              <w:ind w:left="40"/>
              <w:spacing w:after="0"/>
              <w:rPr>
                <w:sz w:val="20"/>
                <w:szCs w:val="20"/>
                <w:color w:val="auto"/>
              </w:rPr>
            </w:pPr>
            <w:r>
              <w:rPr>
                <w:rFonts w:ascii="Arial" w:cs="Arial" w:eastAsia="Arial" w:hAnsi="Arial"/>
                <w:sz w:val="10"/>
                <w:szCs w:val="10"/>
                <w:color w:val="auto"/>
              </w:rPr>
              <w:t>Health and welfare benefits</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23,000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24,000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29,000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37,000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11,000</w:t>
            </w:r>
          </w:p>
        </w:tc>
        <w:tc>
          <w:tcPr>
            <w:tcW w:w="80" w:type="dxa"/>
            <w:vAlign w:val="bottom"/>
          </w:tcPr>
          <w:p>
            <w:pPr>
              <w:spacing w:after="0"/>
              <w:rPr>
                <w:sz w:val="13"/>
                <w:szCs w:val="13"/>
                <w:color w:val="auto"/>
              </w:rPr>
            </w:pPr>
          </w:p>
        </w:tc>
      </w:tr>
      <w:tr>
        <w:trPr>
          <w:trHeight w:val="27"/>
        </w:trPr>
        <w:tc>
          <w:tcPr>
            <w:tcW w:w="4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3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Outplacement</w:t>
            </w:r>
          </w:p>
        </w:tc>
        <w:tc>
          <w:tcPr>
            <w:tcW w:w="120" w:type="dxa"/>
            <w:vAlign w:val="bottom"/>
            <w:tcBorders>
              <w:bottom w:val="single" w:sz="8" w:color="D8EFF9"/>
            </w:tcBorders>
            <w:gridSpan w:val="3"/>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8,000</w:t>
            </w:r>
          </w:p>
        </w:tc>
        <w:tc>
          <w:tcPr>
            <w:tcW w:w="160" w:type="dxa"/>
            <w:vAlign w:val="bottom"/>
            <w:tcBorders>
              <w:bottom w:val="single" w:sz="8" w:color="D8EFF9"/>
            </w:tcBorders>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8,000</w:t>
            </w:r>
          </w:p>
        </w:tc>
        <w:tc>
          <w:tcPr>
            <w:tcW w:w="16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8,000</w:t>
            </w:r>
          </w:p>
        </w:tc>
        <w:tc>
          <w:tcPr>
            <w:tcW w:w="14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8,000</w:t>
            </w:r>
          </w:p>
        </w:tc>
        <w:tc>
          <w:tcPr>
            <w:tcW w:w="140" w:type="dxa"/>
            <w:vAlign w:val="bottom"/>
            <w:tcBorders>
              <w:bottom w:val="single" w:sz="8" w:color="D8EFF9"/>
            </w:tcBorders>
            <w:gridSpan w:val="2"/>
            <w:shd w:val="clear" w:color="auto" w:fill="D8EFF9"/>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36"/>
        </w:trPr>
        <w:tc>
          <w:tcPr>
            <w:tcW w:w="4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53"/>
        </w:trPr>
        <w:tc>
          <w:tcPr>
            <w:tcW w:w="4300" w:type="dxa"/>
            <w:vAlign w:val="bottom"/>
          </w:tcPr>
          <w:p>
            <w:pPr>
              <w:ind w:left="140"/>
              <w:spacing w:after="0"/>
              <w:rPr>
                <w:sz w:val="20"/>
                <w:szCs w:val="20"/>
                <w:color w:val="auto"/>
              </w:rPr>
            </w:pPr>
            <w:r>
              <w:rPr>
                <w:rFonts w:ascii="Arial" w:cs="Arial" w:eastAsia="Arial" w:hAnsi="Arial"/>
                <w:sz w:val="10"/>
                <w:szCs w:val="10"/>
                <w:color w:val="auto"/>
              </w:rPr>
              <w:t>Total benefit and payment</w:t>
            </w:r>
          </w:p>
        </w:tc>
        <w:tc>
          <w:tcPr>
            <w:tcW w:w="1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77,594,000</w:t>
            </w:r>
          </w:p>
        </w:tc>
        <w:tc>
          <w:tcPr>
            <w:tcW w:w="1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w w:val="91"/>
              </w:rPr>
              <w:t>10,176,000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7,039,000</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8"/>
              </w:rPr>
              <w:t>5,982,000</w:t>
            </w:r>
          </w:p>
        </w:tc>
        <w:tc>
          <w:tcPr>
            <w:tcW w:w="14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6,114,000</w:t>
            </w:r>
          </w:p>
        </w:tc>
        <w:tc>
          <w:tcPr>
            <w:tcW w:w="80" w:type="dxa"/>
            <w:vAlign w:val="bottom"/>
          </w:tcPr>
          <w:p>
            <w:pPr>
              <w:spacing w:after="0"/>
              <w:rPr>
                <w:sz w:val="13"/>
                <w:szCs w:val="13"/>
                <w:color w:val="auto"/>
              </w:rPr>
            </w:pPr>
          </w:p>
        </w:tc>
      </w:tr>
      <w:tr>
        <w:trPr>
          <w:trHeight w:val="34"/>
        </w:trPr>
        <w:tc>
          <w:tcPr>
            <w:tcW w:w="4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94" w:lineRule="exact"/>
        <w:rPr>
          <w:sz w:val="20"/>
          <w:szCs w:val="20"/>
          <w:color w:val="auto"/>
        </w:rPr>
      </w:pPr>
    </w:p>
    <w:p>
      <w:pPr>
        <w:jc w:val="both"/>
        <w:ind w:left="2160" w:right="819" w:hanging="226"/>
        <w:spacing w:after="0" w:line="232" w:lineRule="auto"/>
        <w:tabs>
          <w:tab w:leader="none" w:pos="21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Amounts shown consist of the cash payments payable to Mr. Lesar under his Retention Incentive Agreement upon a termination of employment without cause or a resignation for good reason, which consist of the value of the portion of the Total Stock Award provided for under the agreement that had not yet been granted as of December 31, 2022 (which was 200,000 shares), based on the New York Stock</w:t>
      </w:r>
    </w:p>
    <w:p>
      <w:pPr>
        <w:spacing w:after="0" w:line="131" w:lineRule="exact"/>
        <w:rPr>
          <w:sz w:val="20"/>
          <w:szCs w:val="20"/>
          <w:color w:val="auto"/>
        </w:rPr>
      </w:pPr>
    </w:p>
    <w:p>
      <w:pPr>
        <w:ind w:left="2220" w:hanging="230"/>
        <w:spacing w:after="0"/>
        <w:tabs>
          <w:tab w:leader="none" w:pos="2220" w:val="left"/>
        </w:tabs>
        <w:numPr>
          <w:ilvl w:val="0"/>
          <w:numId w:val="11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8" w:lineRule="exact"/>
        <w:rPr>
          <w:sz w:val="20"/>
          <w:szCs w:val="20"/>
          <w:color w:val="auto"/>
        </w:rPr>
      </w:pPr>
    </w:p>
    <w:p>
      <w:pPr>
        <w:jc w:val="both"/>
        <w:ind w:left="2160" w:right="799"/>
        <w:spacing w:after="0" w:line="230" w:lineRule="auto"/>
        <w:rPr>
          <w:sz w:val="20"/>
          <w:szCs w:val="20"/>
          <w:color w:val="auto"/>
        </w:rPr>
      </w:pPr>
      <w:r>
        <w:rPr>
          <w:rFonts w:ascii="Arial" w:cs="Arial" w:eastAsia="Arial" w:hAnsi="Arial"/>
          <w:sz w:val="10"/>
          <w:szCs w:val="10"/>
          <w:color w:val="auto"/>
        </w:rPr>
        <w:t>Exchange closing trading price for CenterPoint Energy common stock on December 30, 2022 (which was $29.99), and any amounts accrued through December 31, 2022 under the Dividend Equivalent Award.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 The Retention Incentive Agreement provides for these payments upon any termination of employment without cause or resignation for good reason regardless of whether a change in control has occurred.</w:t>
      </w:r>
    </w:p>
    <w:p>
      <w:pPr>
        <w:spacing w:after="0" w:line="40" w:lineRule="exact"/>
        <w:rPr>
          <w:sz w:val="20"/>
          <w:szCs w:val="20"/>
          <w:color w:val="auto"/>
        </w:rPr>
      </w:pPr>
    </w:p>
    <w:p>
      <w:pPr>
        <w:jc w:val="both"/>
        <w:ind w:left="2160" w:right="799" w:hanging="226"/>
        <w:spacing w:after="0" w:line="231" w:lineRule="auto"/>
        <w:tabs>
          <w:tab w:leader="none" w:pos="216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Under the terms of our short-term incentive plan, an individual age 55 or older with at least five years of service satisfies the retirement provisions under the plan. If the individual terminates employment during the plan year, he or she is eligible for a pro rata payment at the target level of achievement, without regard to whether it is preceded by a change in control, based on his or her eligible earnings to the date of termination multiplied by his or her short-term incentive target. Refer to “— Payments upon termination of employment.”</w:t>
      </w:r>
    </w:p>
    <w:p>
      <w:pPr>
        <w:spacing w:after="0" w:line="39" w:lineRule="exact"/>
        <w:rPr>
          <w:rFonts w:ascii="Arial" w:cs="Arial" w:eastAsia="Arial" w:hAnsi="Arial"/>
          <w:sz w:val="10"/>
          <w:szCs w:val="10"/>
          <w:color w:val="auto"/>
        </w:rPr>
      </w:pPr>
    </w:p>
    <w:p>
      <w:pPr>
        <w:jc w:val="both"/>
        <w:ind w:left="2160" w:right="799" w:hanging="226"/>
        <w:spacing w:after="0" w:line="229" w:lineRule="auto"/>
        <w:tabs>
          <w:tab w:leader="none" w:pos="216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For purposes of the calculations, amounts that would be payable in shares have been converted to dollars using the New York Stock Exchange closing price for CenterPoint Energy common stock on December 30, 2022 (which was $29.99). The payments are determined as described under “—Change in control provisions in awards under our current long-term incentive plan.” Amounts shown are calculated based on a target level of achievement of any applicable performance goals. Amounts shown for stock awards for Mr. Lesar include the retention award of 800,000 restricted stock units granted to Mr. Lesar under his Retention Incentive Agreement that remained outstanding on December 31, 2022, including 400,000 RSUs that were fully vested and payable on such date regardless of whether Mr. Lesar terminated employment or whether a change in control occurred, as set forth in the award agreement. Amounts shown for the long-term incentive plan in this table include amounts in the “Payments upon termination of employment” table below.</w:t>
      </w:r>
    </w:p>
    <w:p>
      <w:pPr>
        <w:spacing w:after="0" w:line="41"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Amounts shown include PSUs granted in 2020 that vested on December 31, 2022, which were payable regardless of whether the officer terminated of employment or whether a change in control occurred, as set forth in the award agreement.</w:t>
      </w:r>
    </w:p>
    <w:p>
      <w:pPr>
        <w:spacing w:after="0" w:line="39"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Amounts shown consist of the increase in cash balance accounts that would result from crediting an additional two years of pay credits under the cash balance formula for Mr. Doyle and Ms. Karuturi.</w:t>
      </w:r>
    </w:p>
    <w:p>
      <w:pPr>
        <w:spacing w:after="0" w:line="39"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Amounts shown consist of a benefit equal to an additional three years of employer non-matching contributions under the savings plan for Mr. Lesar and two years for Messrs. Wells and Knight.</w:t>
      </w:r>
    </w:p>
    <w:p>
      <w:pPr>
        <w:spacing w:after="0" w:line="136"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Upon a change in control, each named executive officer would also be entitled to receive payment for any fully vested benefits to which 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p>
    <w:p>
      <w:pPr>
        <w:spacing w:after="0" w:line="125" w:lineRule="exact"/>
        <w:rPr>
          <w:sz w:val="20"/>
          <w:szCs w:val="20"/>
          <w:color w:val="auto"/>
        </w:rPr>
      </w:pPr>
    </w:p>
    <w:p>
      <w:pPr>
        <w:jc w:val="both"/>
        <w:ind w:left="1940" w:right="799"/>
        <w:spacing w:after="0" w:line="248" w:lineRule="auto"/>
        <w:rPr>
          <w:sz w:val="20"/>
          <w:szCs w:val="20"/>
          <w:color w:val="auto"/>
        </w:rPr>
      </w:pPr>
      <w:r>
        <w:rPr>
          <w:rFonts w:ascii="Arial" w:cs="Arial" w:eastAsia="Arial" w:hAnsi="Arial"/>
          <w:sz w:val="12"/>
          <w:szCs w:val="12"/>
          <w:i w:val="1"/>
          <w:iCs w:val="1"/>
          <w:color w:val="auto"/>
        </w:rPr>
        <w:t>Payments upon termination of employment</w:t>
      </w:r>
      <w:r>
        <w:rPr>
          <w:rFonts w:ascii="Arial" w:cs="Arial" w:eastAsia="Arial" w:hAnsi="Arial"/>
          <w:sz w:val="12"/>
          <w:szCs w:val="12"/>
          <w:color w:val="auto"/>
        </w:rPr>
        <w:t>. Certain benefits are payable to a named executive officer upon his or her termination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2022. The numbers in the table have been rounded to the nearest one thousand dollars.</w:t>
      </w:r>
    </w:p>
    <w:p>
      <w:pPr>
        <w:spacing w:after="0" w:line="151"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14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Type of Payment</w:t>
            </w:r>
          </w:p>
        </w:tc>
        <w:tc>
          <w:tcPr>
            <w:tcW w:w="220" w:type="dxa"/>
            <w:vAlign w:val="bottom"/>
            <w:tcBorders>
              <w:bottom w:val="single" w:sz="8" w:color="009AD9"/>
              <w:right w:val="single" w:sz="8" w:color="009AD9"/>
            </w:tcBorders>
            <w:shd w:val="clear" w:color="auto" w:fill="009AD9"/>
          </w:tcPr>
          <w:p>
            <w:pPr>
              <w:spacing w:after="0"/>
              <w:rPr>
                <w:sz w:val="14"/>
                <w:szCs w:val="14"/>
                <w:color w:val="auto"/>
              </w:rPr>
            </w:pPr>
          </w:p>
        </w:tc>
        <w:tc>
          <w:tcPr>
            <w:tcW w:w="500" w:type="dxa"/>
            <w:vAlign w:val="bottom"/>
            <w:tcBorders>
              <w:bottom w:val="single" w:sz="8" w:color="009AD9"/>
            </w:tcBorders>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Lesar</w:t>
            </w:r>
          </w:p>
        </w:tc>
        <w:tc>
          <w:tcPr>
            <w:tcW w:w="160" w:type="dxa"/>
            <w:vAlign w:val="bottom"/>
            <w:tcBorders>
              <w:bottom w:val="single" w:sz="8" w:color="009AD9"/>
            </w:tcBorders>
            <w:shd w:val="clear" w:color="auto" w:fill="009AD9"/>
          </w:tcPr>
          <w:p>
            <w:pPr>
              <w:spacing w:after="0"/>
              <w:rPr>
                <w:sz w:val="14"/>
                <w:szCs w:val="14"/>
                <w:color w:val="auto"/>
              </w:rPr>
            </w:pPr>
          </w:p>
        </w:tc>
        <w:tc>
          <w:tcPr>
            <w:tcW w:w="50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Wells</w:t>
            </w:r>
          </w:p>
        </w:tc>
        <w:tc>
          <w:tcPr>
            <w:tcW w:w="180" w:type="dxa"/>
            <w:vAlign w:val="bottom"/>
            <w:tcBorders>
              <w:bottom w:val="single" w:sz="8" w:color="009AD9"/>
            </w:tcBorders>
            <w:shd w:val="clear" w:color="auto" w:fill="009AD9"/>
          </w:tcPr>
          <w:p>
            <w:pPr>
              <w:spacing w:after="0"/>
              <w:rPr>
                <w:sz w:val="14"/>
                <w:szCs w:val="14"/>
                <w:color w:val="auto"/>
              </w:rPr>
            </w:pPr>
          </w:p>
        </w:tc>
        <w:tc>
          <w:tcPr>
            <w:tcW w:w="420" w:type="dxa"/>
            <w:vAlign w:val="bottom"/>
            <w:tcBorders>
              <w:bottom w:val="single" w:sz="8" w:color="009AD9"/>
            </w:tcBorders>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rPr>
              <w:t>Doyle</w:t>
            </w:r>
          </w:p>
        </w:tc>
        <w:tc>
          <w:tcPr>
            <w:tcW w:w="180" w:type="dxa"/>
            <w:vAlign w:val="bottom"/>
            <w:tcBorders>
              <w:bottom w:val="single" w:sz="8" w:color="009AD9"/>
            </w:tcBorders>
            <w:shd w:val="clear" w:color="auto" w:fill="009AD9"/>
          </w:tcPr>
          <w:p>
            <w:pPr>
              <w:spacing w:after="0"/>
              <w:rPr>
                <w:sz w:val="14"/>
                <w:szCs w:val="14"/>
                <w:color w:val="auto"/>
              </w:rPr>
            </w:pPr>
          </w:p>
        </w:tc>
        <w:tc>
          <w:tcPr>
            <w:tcW w:w="420" w:type="dxa"/>
            <w:vAlign w:val="bottom"/>
            <w:tcBorders>
              <w:bottom w:val="single" w:sz="8" w:color="009AD9"/>
            </w:tcBorders>
            <w:shd w:val="clear" w:color="auto" w:fill="009AD9"/>
          </w:tcPr>
          <w:p>
            <w:pPr>
              <w:jc w:val="right"/>
              <w:spacing w:after="0"/>
              <w:rPr>
                <w:sz w:val="20"/>
                <w:szCs w:val="20"/>
                <w:color w:val="auto"/>
              </w:rPr>
            </w:pPr>
            <w:r>
              <w:rPr>
                <w:rFonts w:ascii="Arial" w:cs="Arial" w:eastAsia="Arial" w:hAnsi="Arial"/>
                <w:sz w:val="10"/>
                <w:szCs w:val="10"/>
                <w:b w:val="1"/>
                <w:bCs w:val="1"/>
                <w:color w:val="FFFFFF"/>
                <w:w w:val="92"/>
              </w:rPr>
              <w:t>Karuturi</w:t>
            </w:r>
          </w:p>
        </w:tc>
        <w:tc>
          <w:tcPr>
            <w:tcW w:w="160" w:type="dxa"/>
            <w:vAlign w:val="bottom"/>
            <w:tcBorders>
              <w:bottom w:val="single" w:sz="8" w:color="009AD9"/>
              <w:right w:val="single" w:sz="8" w:color="009AD9"/>
            </w:tcBorders>
            <w:shd w:val="clear" w:color="auto" w:fill="009AD9"/>
          </w:tcPr>
          <w:p>
            <w:pPr>
              <w:spacing w:after="0"/>
              <w:rPr>
                <w:sz w:val="14"/>
                <w:szCs w:val="14"/>
                <w:color w:val="auto"/>
              </w:rPr>
            </w:pPr>
          </w:p>
        </w:tc>
        <w:tc>
          <w:tcPr>
            <w:tcW w:w="540" w:type="dxa"/>
            <w:vAlign w:val="bottom"/>
            <w:tcBorders>
              <w:bottom w:val="single" w:sz="8" w:color="009AD9"/>
            </w:tcBorders>
            <w:gridSpan w:val="2"/>
            <w:shd w:val="clear" w:color="auto" w:fill="009AD9"/>
          </w:tcPr>
          <w:p>
            <w:pPr>
              <w:ind w:left="40"/>
              <w:spacing w:after="0"/>
              <w:rPr>
                <w:sz w:val="20"/>
                <w:szCs w:val="20"/>
                <w:color w:val="auto"/>
              </w:rPr>
            </w:pPr>
            <w:r>
              <w:rPr>
                <w:rFonts w:ascii="Arial" w:cs="Arial" w:eastAsia="Arial" w:hAnsi="Arial"/>
                <w:sz w:val="10"/>
                <w:szCs w:val="10"/>
                <w:b w:val="1"/>
                <w:bCs w:val="1"/>
                <w:color w:val="FFFFFF"/>
              </w:rPr>
              <w:t>Knight</w:t>
            </w:r>
          </w:p>
        </w:tc>
      </w:tr>
      <w:tr>
        <w:trPr>
          <w:trHeight w:val="182"/>
        </w:trPr>
        <w:tc>
          <w:tcPr>
            <w:tcW w:w="4140" w:type="dxa"/>
            <w:vAlign w:val="bottom"/>
          </w:tcPr>
          <w:p>
            <w:pPr>
              <w:ind w:left="40"/>
              <w:spacing w:after="0"/>
              <w:rPr>
                <w:sz w:val="20"/>
                <w:szCs w:val="20"/>
                <w:color w:val="auto"/>
              </w:rPr>
            </w:pPr>
            <w:r>
              <w:rPr>
                <w:rFonts w:ascii="Arial" w:cs="Arial" w:eastAsia="Arial" w:hAnsi="Arial"/>
                <w:sz w:val="10"/>
                <w:szCs w:val="10"/>
                <w:color w:val="auto"/>
              </w:rPr>
              <w:t>Retention amount</w:t>
            </w:r>
            <w:r>
              <w:rPr>
                <w:rFonts w:ascii="Arial" w:cs="Arial" w:eastAsia="Arial" w:hAnsi="Arial"/>
                <w:sz w:val="14"/>
                <w:szCs w:val="14"/>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6,204,000</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140" w:type="dxa"/>
            <w:vAlign w:val="bottom"/>
            <w:shd w:val="clear" w:color="auto" w:fill="D8EFF9"/>
          </w:tcPr>
          <w:p>
            <w:pPr>
              <w:ind w:left="40"/>
              <w:spacing w:after="0"/>
              <w:rPr>
                <w:sz w:val="20"/>
                <w:szCs w:val="20"/>
                <w:color w:val="auto"/>
              </w:rPr>
            </w:pPr>
            <w:r>
              <w:rPr>
                <w:rFonts w:ascii="Arial" w:cs="Arial" w:eastAsia="Arial" w:hAnsi="Arial"/>
                <w:sz w:val="10"/>
                <w:szCs w:val="10"/>
                <w:color w:val="auto"/>
              </w:rPr>
              <w:t>Short-term Incentive Plan</w:t>
            </w:r>
            <w:r>
              <w:rPr>
                <w:rFonts w:ascii="Arial" w:cs="Arial" w:eastAsia="Arial" w:hAnsi="Arial"/>
                <w:sz w:val="14"/>
                <w:szCs w:val="14"/>
                <w:color w:val="auto"/>
                <w:vertAlign w:val="superscript"/>
              </w:rPr>
              <w:t>(2)</w:t>
            </w:r>
          </w:p>
        </w:tc>
        <w:tc>
          <w:tcPr>
            <w:tcW w:w="220" w:type="dxa"/>
            <w:vAlign w:val="bottom"/>
            <w:tcBorders>
              <w:right w:val="single" w:sz="8" w:color="D8EFF9"/>
            </w:tcBorders>
            <w:shd w:val="clear" w:color="auto" w:fill="D8EFF9"/>
          </w:tcPr>
          <w:p>
            <w:pPr>
              <w:spacing w:after="0"/>
              <w:rPr>
                <w:sz w:val="15"/>
                <w:szCs w:val="15"/>
                <w:color w:val="auto"/>
              </w:rPr>
            </w:pP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8EFF9"/>
          </w:tcPr>
          <w:p>
            <w:pPr>
              <w:spacing w:after="0"/>
              <w:rPr>
                <w:sz w:val="15"/>
                <w:szCs w:val="15"/>
                <w:color w:val="auto"/>
              </w:rPr>
            </w:pP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8EFF9"/>
          </w:tcPr>
          <w:p>
            <w:pPr>
              <w:spacing w:after="0"/>
              <w:rPr>
                <w:sz w:val="15"/>
                <w:szCs w:val="15"/>
                <w:color w:val="auto"/>
              </w:rPr>
            </w:pPr>
          </w:p>
        </w:tc>
        <w:tc>
          <w:tcPr>
            <w:tcW w:w="4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D8EFF9"/>
          </w:tcPr>
          <w:p>
            <w:pPr>
              <w:spacing w:after="0"/>
              <w:rPr>
                <w:sz w:val="15"/>
                <w:szCs w:val="15"/>
                <w:color w:val="auto"/>
              </w:rPr>
            </w:pPr>
          </w:p>
        </w:tc>
        <w:tc>
          <w:tcPr>
            <w:tcW w:w="4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371,000</w:t>
            </w:r>
          </w:p>
        </w:tc>
        <w:tc>
          <w:tcPr>
            <w:tcW w:w="80" w:type="dxa"/>
            <w:vAlign w:val="bottom"/>
            <w:shd w:val="clear" w:color="auto" w:fill="D8EFF9"/>
          </w:tcPr>
          <w:p>
            <w:pPr>
              <w:spacing w:after="0"/>
              <w:rPr>
                <w:sz w:val="15"/>
                <w:szCs w:val="15"/>
                <w:color w:val="auto"/>
              </w:rPr>
            </w:pPr>
          </w:p>
        </w:tc>
      </w:tr>
      <w:tr>
        <w:trPr>
          <w:trHeight w:val="182"/>
        </w:trPr>
        <w:tc>
          <w:tcPr>
            <w:tcW w:w="4140" w:type="dxa"/>
            <w:vAlign w:val="bottom"/>
          </w:tcPr>
          <w:p>
            <w:pPr>
              <w:ind w:left="40"/>
              <w:spacing w:after="0"/>
              <w:rPr>
                <w:sz w:val="20"/>
                <w:szCs w:val="20"/>
                <w:color w:val="auto"/>
              </w:rPr>
            </w:pPr>
            <w:r>
              <w:rPr>
                <w:rFonts w:ascii="Arial" w:cs="Arial" w:eastAsia="Arial" w:hAnsi="Arial"/>
                <w:sz w:val="10"/>
                <w:szCs w:val="10"/>
                <w:color w:val="auto"/>
              </w:rPr>
              <w:t>Long-term Incentive Plan:</w:t>
            </w:r>
            <w:r>
              <w:rPr>
                <w:rFonts w:ascii="Arial" w:cs="Arial" w:eastAsia="Arial" w:hAnsi="Arial"/>
                <w:sz w:val="14"/>
                <w:szCs w:val="14"/>
                <w:color w:val="auto"/>
                <w:vertAlign w:val="superscript"/>
              </w:rPr>
              <w:t>(3)</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1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Performance Share Units (Unvested)</w:t>
            </w:r>
          </w:p>
        </w:tc>
        <w:tc>
          <w:tcPr>
            <w:tcW w:w="220" w:type="dxa"/>
            <w:vAlign w:val="bottom"/>
            <w:tcBorders>
              <w:bottom w:val="single" w:sz="8" w:color="D8EFF9"/>
              <w:right w:val="single" w:sz="8" w:color="D8EFF9"/>
            </w:tcBorders>
            <w:shd w:val="clear" w:color="auto" w:fill="D8EFF9"/>
          </w:tcPr>
          <w:p>
            <w:pPr>
              <w:spacing w:after="0"/>
              <w:rPr>
                <w:sz w:val="14"/>
                <w:szCs w:val="14"/>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8EFF9"/>
            </w:tcBorders>
            <w:shd w:val="clear" w:color="auto" w:fill="D8EFF9"/>
          </w:tcPr>
          <w:p>
            <w:pPr>
              <w:spacing w:after="0"/>
              <w:rPr>
                <w:sz w:val="14"/>
                <w:szCs w:val="14"/>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969,000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82"/>
        </w:trPr>
        <w:tc>
          <w:tcPr>
            <w:tcW w:w="4140" w:type="dxa"/>
            <w:vAlign w:val="bottom"/>
          </w:tcPr>
          <w:p>
            <w:pPr>
              <w:ind w:left="240"/>
              <w:spacing w:after="0"/>
              <w:rPr>
                <w:sz w:val="20"/>
                <w:szCs w:val="20"/>
                <w:color w:val="auto"/>
              </w:rPr>
            </w:pPr>
            <w:r>
              <w:rPr>
                <w:rFonts w:ascii="Arial" w:cs="Arial" w:eastAsia="Arial" w:hAnsi="Arial"/>
                <w:sz w:val="10"/>
                <w:szCs w:val="10"/>
                <w:color w:val="auto"/>
              </w:rPr>
              <w:t xml:space="preserve">Performance Share Units (Vested) </w:t>
            </w:r>
            <w:r>
              <w:rPr>
                <w:rFonts w:ascii="Arial" w:cs="Arial" w:eastAsia="Arial" w:hAnsi="Arial"/>
                <w:sz w:val="14"/>
                <w:szCs w:val="14"/>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8,181,000</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$ 1,919,000</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$ 722,000</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$ 496,000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844,000</w:t>
            </w:r>
          </w:p>
        </w:tc>
        <w:tc>
          <w:tcPr>
            <w:tcW w:w="80" w:type="dxa"/>
            <w:vAlign w:val="bottom"/>
          </w:tcPr>
          <w:p>
            <w:pPr>
              <w:spacing w:after="0"/>
              <w:rPr>
                <w:sz w:val="15"/>
                <w:szCs w:val="15"/>
                <w:color w:val="auto"/>
              </w:rPr>
            </w:pPr>
          </w:p>
        </w:tc>
      </w:tr>
      <w:tr>
        <w:trPr>
          <w:trHeight w:val="162"/>
        </w:trPr>
        <w:tc>
          <w:tcPr>
            <w:tcW w:w="41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Stock Awards (Unvested)</w:t>
            </w:r>
          </w:p>
        </w:tc>
        <w:tc>
          <w:tcPr>
            <w:tcW w:w="22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12,408,000</w:t>
            </w:r>
          </w:p>
        </w:tc>
        <w:tc>
          <w:tcPr>
            <w:tcW w:w="160" w:type="dxa"/>
            <w:vAlign w:val="bottom"/>
            <w:tcBorders>
              <w:bottom w:val="single" w:sz="8" w:color="D8EFF9"/>
            </w:tcBorders>
            <w:shd w:val="clear" w:color="auto" w:fill="D8EFF9"/>
          </w:tcPr>
          <w:p>
            <w:pPr>
              <w:spacing w:after="0"/>
              <w:rPr>
                <w:sz w:val="14"/>
                <w:szCs w:val="14"/>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578,000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55"/>
        </w:trPr>
        <w:tc>
          <w:tcPr>
            <w:tcW w:w="4140" w:type="dxa"/>
            <w:vAlign w:val="bottom"/>
          </w:tcPr>
          <w:p>
            <w:pPr>
              <w:ind w:left="240"/>
              <w:spacing w:after="0"/>
              <w:rPr>
                <w:sz w:val="20"/>
                <w:szCs w:val="20"/>
                <w:color w:val="auto"/>
              </w:rPr>
            </w:pPr>
            <w:r>
              <w:rPr>
                <w:rFonts w:ascii="Arial" w:cs="Arial" w:eastAsia="Arial" w:hAnsi="Arial"/>
                <w:sz w:val="10"/>
                <w:szCs w:val="10"/>
                <w:color w:val="auto"/>
              </w:rPr>
              <w:t>Stock Awards (Vested)</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12,408,000</w:t>
            </w: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0"/>
        </w:trPr>
        <w:tc>
          <w:tcPr>
            <w:tcW w:w="41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Total</w:t>
            </w:r>
          </w:p>
        </w:tc>
        <w:tc>
          <w:tcPr>
            <w:tcW w:w="22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39,201,000</w:t>
            </w:r>
          </w:p>
        </w:tc>
        <w:tc>
          <w:tcPr>
            <w:tcW w:w="66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1,919,000</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$ 722,000</w:t>
            </w:r>
          </w:p>
        </w:tc>
        <w:tc>
          <w:tcPr>
            <w:tcW w:w="6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$ 496,000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8"/>
              </w:rPr>
              <w:t>2,762,000</w:t>
            </w:r>
          </w:p>
        </w:tc>
        <w:tc>
          <w:tcPr>
            <w:tcW w:w="80" w:type="dxa"/>
            <w:vAlign w:val="bottom"/>
            <w:tcBorders>
              <w:bottom w:val="single" w:sz="8" w:color="D8EFF9"/>
            </w:tcBorders>
            <w:shd w:val="clear" w:color="auto" w:fill="D8EFF9"/>
          </w:tcPr>
          <w:p>
            <w:pPr>
              <w:spacing w:after="0"/>
              <w:rPr>
                <w:sz w:val="13"/>
                <w:szCs w:val="13"/>
                <w:color w:val="auto"/>
              </w:rPr>
            </w:pPr>
          </w:p>
        </w:tc>
      </w:tr>
      <w:tr>
        <w:trPr>
          <w:trHeight w:val="27"/>
        </w:trPr>
        <w:tc>
          <w:tcPr>
            <w:tcW w:w="4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94" w:lineRule="exact"/>
        <w:rPr>
          <w:sz w:val="20"/>
          <w:szCs w:val="20"/>
          <w:color w:val="auto"/>
        </w:rPr>
      </w:pPr>
    </w:p>
    <w:p>
      <w:pPr>
        <w:jc w:val="both"/>
        <w:ind w:left="2160" w:right="799" w:hanging="226"/>
        <w:spacing w:after="0" w:line="230" w:lineRule="auto"/>
        <w:tabs>
          <w:tab w:leader="none" w:pos="216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Amounts consist of the cash payments payable to Mr. Lesar under his Retention Incentive Agreement upon a termination of employment without cause or a resignation for good reason, which consist of the value of the portion of the Total Stock Award provided for under the agreement that had not yet been granted as of December 31, 2022 (which was 200,0000 shares), based on the New York Stock Exchange closing trading price for CenterPoint Energy common stock on December 30, 2022 (which was $29.99), and any amounts accrued through December 31, 2022 under the Dividend Equivalent Award. The Retention Incentive Agreement also provides for the payment of Mr. Lesar’s expenses to maintain an office and administrative assistant for five years following his termination without cause or resignation for good reason, the value of which is not included in the amount shown as the cost of such expenses will not be known until incurred.</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4" w:lineRule="exact"/>
        <w:rPr>
          <w:sz w:val="20"/>
          <w:szCs w:val="20"/>
          <w:color w:val="auto"/>
        </w:rPr>
      </w:pPr>
    </w:p>
    <w:p>
      <w:pPr>
        <w:jc w:val="both"/>
        <w:ind w:left="2160" w:right="819" w:hanging="226"/>
        <w:spacing w:after="0" w:line="232" w:lineRule="auto"/>
        <w:tabs>
          <w:tab w:leader="none" w:pos="216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Under the terms of our short-term incentive plan, an individual age 55 with five years of service satisfies the retirement provisions under the plan. If the individual terminates employment during the plan year, he or she is eligible for a pro rata plan distribution at the target level of achievement based on eligible earnings to date multiplied by his or her short-term incentive target.</w:t>
      </w:r>
    </w:p>
    <w:p>
      <w:pPr>
        <w:spacing w:after="0" w:line="39" w:lineRule="exact"/>
        <w:rPr>
          <w:rFonts w:ascii="Arial" w:cs="Arial" w:eastAsia="Arial" w:hAnsi="Arial"/>
          <w:sz w:val="10"/>
          <w:szCs w:val="10"/>
          <w:color w:val="auto"/>
        </w:rPr>
      </w:pPr>
    </w:p>
    <w:p>
      <w:pPr>
        <w:jc w:val="both"/>
        <w:ind w:left="2160" w:right="799" w:hanging="226"/>
        <w:spacing w:after="0" w:line="229" w:lineRule="auto"/>
        <w:tabs>
          <w:tab w:leader="none" w:pos="216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For purposes of the calculations, amounts that would be payable in shares have been converted to dollars using the New York Stock Exchange closing price for CenterPoint Energy common stock on December 30, 2022 (which was $29.99). Under the terms of our long-term incentive awards (other than the retention awards granted to Mr. Lesar and any sign-on awards), an individual age 55 with five years of service (or, for Mr. Lesar, at least three years of service) satisfies the retirement provisions under the plan and is eligible for a pro rata plan distribution. Such distribution is based on the number of days employed in the performance cycle for performance share units or in the vesting period for stock awards and the actual level of achievement of any applicable performance goals. All amounts above have been calculated assuming the target level of achievement. Amounts shown for stock awards for Mr. Lesar consist of the retention award of 800,000 restricted stock units granted to Mr. Lesar under his Retention Incentive Agreement that remained outstanding on December 31, 2022, including 400,000 RSUs that were fully vested and payable on such date regardless of whether Mr. Lesar terminated employment, as set forth in the award agreement.</w:t>
      </w:r>
    </w:p>
    <w:p>
      <w:pPr>
        <w:spacing w:after="0" w:line="40"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Amounts shown include PSUs granted in 2020 that vested on December 31, 2022, which were payable regardless of whether the officer terminated of employment, as set forth in the award agreement.</w:t>
      </w:r>
    </w:p>
    <w:p>
      <w:pPr>
        <w:spacing w:after="0" w:line="63"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Upon termination of employment, each named executive officer would also be entitled to receive payment for any fully vested benefits to which 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25" w:lineRule="exact"/>
        <w:rPr>
          <w:sz w:val="20"/>
          <w:szCs w:val="20"/>
          <w:color w:val="auto"/>
        </w:rPr>
      </w:pPr>
    </w:p>
    <w:p>
      <w:pPr>
        <w:jc w:val="both"/>
        <w:ind w:left="1940" w:right="799"/>
        <w:spacing w:after="0" w:line="254" w:lineRule="auto"/>
        <w:rPr>
          <w:sz w:val="20"/>
          <w:szCs w:val="20"/>
          <w:color w:val="auto"/>
        </w:rPr>
      </w:pPr>
      <w:r>
        <w:rPr>
          <w:rFonts w:ascii="Arial" w:cs="Arial" w:eastAsia="Arial" w:hAnsi="Arial"/>
          <w:sz w:val="12"/>
          <w:szCs w:val="12"/>
          <w:i w:val="1"/>
          <w:iCs w:val="1"/>
          <w:color w:val="auto"/>
        </w:rPr>
        <w:t xml:space="preserve">Payments upon termination due to death. </w:t>
      </w:r>
      <w:r>
        <w:rPr>
          <w:rFonts w:ascii="Arial" w:cs="Arial" w:eastAsia="Arial" w:hAnsi="Arial"/>
          <w:sz w:val="12"/>
          <w:szCs w:val="12"/>
          <w:color w:val="auto"/>
        </w:rPr>
        <w:t>The table below presents information on the value of the benefits payable if a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 had died on December 31, 2022. The numbers in the table have been rounded to the nearest one thousand dollars. The beneficiaries would have been entitled to the following amounts:</w:t>
      </w:r>
    </w:p>
    <w:p>
      <w:pPr>
        <w:spacing w:after="0" w:line="147"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38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10"/>
                <w:szCs w:val="10"/>
                <w:b w:val="1"/>
                <w:bCs w:val="1"/>
                <w:color w:val="FFFFFF"/>
              </w:rPr>
              <w:t>Type of Payment</w:t>
            </w:r>
          </w:p>
        </w:tc>
        <w:tc>
          <w:tcPr>
            <w:tcW w:w="6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500" w:type="dxa"/>
            <w:vAlign w:val="bottom"/>
            <w:tcBorders>
              <w:bottom w:val="single" w:sz="8" w:color="009AD9"/>
            </w:tcBorders>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Lesar</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Wells</w:t>
            </w:r>
          </w:p>
        </w:tc>
        <w:tc>
          <w:tcPr>
            <w:tcW w:w="16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Doyle</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12"/>
              <w:spacing w:after="0"/>
              <w:rPr>
                <w:sz w:val="20"/>
                <w:szCs w:val="20"/>
                <w:color w:val="auto"/>
              </w:rPr>
            </w:pPr>
            <w:r>
              <w:rPr>
                <w:rFonts w:ascii="Arial" w:cs="Arial" w:eastAsia="Arial" w:hAnsi="Arial"/>
                <w:sz w:val="10"/>
                <w:szCs w:val="10"/>
                <w:b w:val="1"/>
                <w:bCs w:val="1"/>
                <w:color w:val="FFFFFF"/>
                <w:w w:val="92"/>
              </w:rPr>
              <w:t>Karuturi</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520" w:type="dxa"/>
            <w:vAlign w:val="bottom"/>
            <w:tcBorders>
              <w:bottom w:val="single" w:sz="8" w:color="009AD9"/>
            </w:tcBorders>
            <w:gridSpan w:val="2"/>
            <w:shd w:val="clear" w:color="auto" w:fill="009AD9"/>
          </w:tcPr>
          <w:p>
            <w:pPr>
              <w:ind w:left="40"/>
              <w:spacing w:after="0"/>
              <w:rPr>
                <w:sz w:val="20"/>
                <w:szCs w:val="20"/>
                <w:color w:val="auto"/>
              </w:rPr>
            </w:pPr>
            <w:r>
              <w:rPr>
                <w:rFonts w:ascii="Arial" w:cs="Arial" w:eastAsia="Arial" w:hAnsi="Arial"/>
                <w:sz w:val="10"/>
                <w:szCs w:val="10"/>
                <w:b w:val="1"/>
                <w:bCs w:val="1"/>
                <w:color w:val="FFFFFF"/>
              </w:rPr>
              <w:t>Knight</w:t>
            </w:r>
          </w:p>
        </w:tc>
      </w:tr>
      <w:tr>
        <w:trPr>
          <w:trHeight w:val="182"/>
        </w:trPr>
        <w:tc>
          <w:tcPr>
            <w:tcW w:w="4380" w:type="dxa"/>
            <w:vAlign w:val="bottom"/>
          </w:tcPr>
          <w:p>
            <w:pPr>
              <w:ind w:left="40"/>
              <w:spacing w:after="0"/>
              <w:rPr>
                <w:sz w:val="20"/>
                <w:szCs w:val="20"/>
                <w:color w:val="auto"/>
              </w:rPr>
            </w:pPr>
            <w:r>
              <w:rPr>
                <w:rFonts w:ascii="Arial" w:cs="Arial" w:eastAsia="Arial" w:hAnsi="Arial"/>
                <w:sz w:val="10"/>
                <w:szCs w:val="10"/>
                <w:color w:val="auto"/>
              </w:rPr>
              <w:t>Retention amount</w:t>
            </w:r>
            <w:r>
              <w:rPr>
                <w:rFonts w:ascii="Arial" w:cs="Arial" w:eastAsia="Arial" w:hAnsi="Arial"/>
                <w:sz w:val="14"/>
                <w:szCs w:val="14"/>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6,204,000</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380" w:type="dxa"/>
            <w:vAlign w:val="bottom"/>
            <w:shd w:val="clear" w:color="auto" w:fill="D8EFF9"/>
          </w:tcPr>
          <w:p>
            <w:pPr>
              <w:ind w:left="40"/>
              <w:spacing w:after="0"/>
              <w:rPr>
                <w:sz w:val="20"/>
                <w:szCs w:val="20"/>
                <w:color w:val="auto"/>
              </w:rPr>
            </w:pPr>
            <w:r>
              <w:rPr>
                <w:rFonts w:ascii="Arial" w:cs="Arial" w:eastAsia="Arial" w:hAnsi="Arial"/>
                <w:sz w:val="10"/>
                <w:szCs w:val="10"/>
                <w:color w:val="auto"/>
              </w:rPr>
              <w:t>Short-term Incentive Plan</w:t>
            </w:r>
            <w:r>
              <w:rPr>
                <w:rFonts w:ascii="Arial" w:cs="Arial" w:eastAsia="Arial" w:hAnsi="Arial"/>
                <w:sz w:val="14"/>
                <w:szCs w:val="14"/>
                <w:color w:val="auto"/>
                <w:vertAlign w:val="superscript"/>
              </w:rPr>
              <w:t>(2)</w:t>
            </w:r>
          </w:p>
        </w:tc>
        <w:tc>
          <w:tcPr>
            <w:tcW w:w="120" w:type="dxa"/>
            <w:vAlign w:val="bottom"/>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2,065,000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521,000</w:t>
            </w:r>
          </w:p>
        </w:tc>
        <w:tc>
          <w:tcPr>
            <w:tcW w:w="16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450,000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406,000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371,000</w:t>
            </w:r>
          </w:p>
        </w:tc>
        <w:tc>
          <w:tcPr>
            <w:tcW w:w="80" w:type="dxa"/>
            <w:vAlign w:val="bottom"/>
            <w:shd w:val="clear" w:color="auto" w:fill="D8EFF9"/>
          </w:tcPr>
          <w:p>
            <w:pPr>
              <w:spacing w:after="0"/>
              <w:rPr>
                <w:sz w:val="15"/>
                <w:szCs w:val="15"/>
                <w:color w:val="auto"/>
              </w:rPr>
            </w:pPr>
          </w:p>
        </w:tc>
      </w:tr>
      <w:tr>
        <w:trPr>
          <w:trHeight w:val="182"/>
        </w:trPr>
        <w:tc>
          <w:tcPr>
            <w:tcW w:w="4380" w:type="dxa"/>
            <w:vAlign w:val="bottom"/>
          </w:tcPr>
          <w:p>
            <w:pPr>
              <w:ind w:left="40"/>
              <w:spacing w:after="0"/>
              <w:rPr>
                <w:sz w:val="20"/>
                <w:szCs w:val="20"/>
                <w:color w:val="auto"/>
              </w:rPr>
            </w:pPr>
            <w:r>
              <w:rPr>
                <w:rFonts w:ascii="Arial" w:cs="Arial" w:eastAsia="Arial" w:hAnsi="Arial"/>
                <w:sz w:val="10"/>
                <w:szCs w:val="10"/>
                <w:color w:val="auto"/>
              </w:rPr>
              <w:t>Long-term Incentive Plan:</w:t>
            </w:r>
            <w:r>
              <w:rPr>
                <w:rFonts w:ascii="Arial" w:cs="Arial" w:eastAsia="Arial" w:hAnsi="Arial"/>
                <w:sz w:val="14"/>
                <w:szCs w:val="14"/>
                <w:color w:val="auto"/>
                <w:vertAlign w:val="superscript"/>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3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Performance Share Units (Unvested)</w:t>
            </w:r>
          </w:p>
        </w:tc>
        <w:tc>
          <w:tcPr>
            <w:tcW w:w="12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16,015,000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3,293,000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89"/>
              </w:rPr>
              <w:t>2,360,000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1,991,000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1,886,000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82"/>
        </w:trPr>
        <w:tc>
          <w:tcPr>
            <w:tcW w:w="4380" w:type="dxa"/>
            <w:vAlign w:val="bottom"/>
          </w:tcPr>
          <w:p>
            <w:pPr>
              <w:ind w:left="240"/>
              <w:spacing w:after="0"/>
              <w:rPr>
                <w:sz w:val="20"/>
                <w:szCs w:val="20"/>
                <w:color w:val="auto"/>
              </w:rPr>
            </w:pPr>
            <w:r>
              <w:rPr>
                <w:rFonts w:ascii="Arial" w:cs="Arial" w:eastAsia="Arial" w:hAnsi="Arial"/>
                <w:sz w:val="10"/>
                <w:szCs w:val="10"/>
                <w:color w:val="auto"/>
              </w:rPr>
              <w:t xml:space="preserve">Performance Share Units (Vested) </w:t>
            </w:r>
            <w:r>
              <w:rPr>
                <w:rFonts w:ascii="Arial" w:cs="Arial" w:eastAsia="Arial" w:hAnsi="Arial"/>
                <w:sz w:val="14"/>
                <w:szCs w:val="14"/>
                <w:color w:val="auto"/>
                <w:vertAlign w:val="superscript"/>
              </w:rPr>
              <w:t>4)</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8,181,000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1,919,000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722,000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496,000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844,000</w:t>
            </w:r>
          </w:p>
        </w:tc>
        <w:tc>
          <w:tcPr>
            <w:tcW w:w="80" w:type="dxa"/>
            <w:vAlign w:val="bottom"/>
          </w:tcPr>
          <w:p>
            <w:pPr>
              <w:spacing w:after="0"/>
              <w:rPr>
                <w:sz w:val="15"/>
                <w:szCs w:val="15"/>
                <w:color w:val="auto"/>
              </w:rPr>
            </w:pPr>
          </w:p>
        </w:tc>
      </w:tr>
      <w:tr>
        <w:trPr>
          <w:trHeight w:val="162"/>
        </w:trPr>
        <w:tc>
          <w:tcPr>
            <w:tcW w:w="43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Stock Awards (Unvested)</w:t>
            </w:r>
          </w:p>
        </w:tc>
        <w:tc>
          <w:tcPr>
            <w:tcW w:w="12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21,204,000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1,905,000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89"/>
              </w:rPr>
              <w:t>1,096,000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874,000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985,000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55"/>
        </w:trPr>
        <w:tc>
          <w:tcPr>
            <w:tcW w:w="4380" w:type="dxa"/>
            <w:vAlign w:val="bottom"/>
          </w:tcPr>
          <w:p>
            <w:pPr>
              <w:ind w:left="240"/>
              <w:spacing w:after="0"/>
              <w:rPr>
                <w:sz w:val="20"/>
                <w:szCs w:val="20"/>
                <w:color w:val="auto"/>
              </w:rPr>
            </w:pPr>
            <w:r>
              <w:rPr>
                <w:rFonts w:ascii="Arial" w:cs="Arial" w:eastAsia="Arial" w:hAnsi="Arial"/>
                <w:sz w:val="10"/>
                <w:szCs w:val="10"/>
                <w:color w:val="auto"/>
              </w:rPr>
              <w:t>Stock Awards (Vested)</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12,408,000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3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Executive life insurance plan</w:t>
            </w:r>
          </w:p>
        </w:tc>
        <w:tc>
          <w:tcPr>
            <w:tcW w:w="60" w:type="dxa"/>
            <w:vAlign w:val="bottom"/>
            <w:tcBorders>
              <w:bottom w:val="single" w:sz="8" w:color="D8EFF9"/>
            </w:tcBorders>
            <w:shd w:val="clear" w:color="auto" w:fill="D8EFF9"/>
          </w:tcPr>
          <w:p>
            <w:pPr>
              <w:spacing w:after="0"/>
              <w:rPr>
                <w:sz w:val="14"/>
                <w:szCs w:val="14"/>
                <w:color w:val="auto"/>
              </w:rPr>
            </w:pPr>
          </w:p>
        </w:tc>
        <w:tc>
          <w:tcPr>
            <w:tcW w:w="60" w:type="dxa"/>
            <w:vAlign w:val="bottom"/>
            <w:tcBorders>
              <w:bottom w:val="single" w:sz="8" w:color="D8EFF9"/>
            </w:tcBorders>
            <w:shd w:val="clear" w:color="auto" w:fill="D8EFF9"/>
          </w:tcPr>
          <w:p>
            <w:pPr>
              <w:spacing w:after="0"/>
              <w:rPr>
                <w:sz w:val="14"/>
                <w:szCs w:val="14"/>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8EFF9"/>
              <w:right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8EFF9"/>
              <w:right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8EFF9"/>
              <w:right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8EFF9"/>
              <w:right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shd w:val="clear" w:color="auto" w:fill="D8EFF9"/>
          </w:tcPr>
          <w:p>
            <w:pPr>
              <w:spacing w:after="0"/>
              <w:rPr>
                <w:sz w:val="14"/>
                <w:szCs w:val="14"/>
                <w:color w:val="auto"/>
              </w:rPr>
            </w:pPr>
          </w:p>
        </w:tc>
        <w:tc>
          <w:tcPr>
            <w:tcW w:w="80" w:type="dxa"/>
            <w:vAlign w:val="bottom"/>
            <w:tcBorders>
              <w:bottom w:val="single" w:sz="8" w:color="D8EFF9"/>
            </w:tcBorders>
            <w:shd w:val="clear" w:color="auto" w:fill="D8EFF9"/>
          </w:tcPr>
          <w:p>
            <w:pPr>
              <w:spacing w:after="0"/>
              <w:rPr>
                <w:sz w:val="14"/>
                <w:szCs w:val="14"/>
                <w:color w:val="auto"/>
              </w:rPr>
            </w:pPr>
          </w:p>
        </w:tc>
      </w:tr>
      <w:tr>
        <w:trPr>
          <w:trHeight w:val="182"/>
        </w:trPr>
        <w:tc>
          <w:tcPr>
            <w:tcW w:w="4380" w:type="dxa"/>
            <w:vAlign w:val="bottom"/>
          </w:tcPr>
          <w:p>
            <w:pPr>
              <w:ind w:left="40"/>
              <w:spacing w:after="0"/>
              <w:rPr>
                <w:sz w:val="20"/>
                <w:szCs w:val="20"/>
                <w:color w:val="auto"/>
              </w:rPr>
            </w:pPr>
            <w:r>
              <w:rPr>
                <w:rFonts w:ascii="Arial" w:cs="Arial" w:eastAsia="Arial" w:hAnsi="Arial"/>
                <w:sz w:val="10"/>
                <w:szCs w:val="10"/>
                <w:color w:val="auto"/>
              </w:rPr>
              <w:t>Basic life insurance</w:t>
            </w:r>
            <w:r>
              <w:rPr>
                <w:rFonts w:ascii="Arial" w:cs="Arial" w:eastAsia="Arial" w:hAnsi="Arial"/>
                <w:sz w:val="14"/>
                <w:szCs w:val="14"/>
                <w:color w:val="auto"/>
                <w:vertAlign w:val="superscript"/>
              </w:rPr>
              <w:t>(5)</w:t>
            </w:r>
          </w:p>
        </w:tc>
        <w:tc>
          <w:tcPr>
            <w:tcW w:w="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50,000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50,000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50,000</w:t>
            </w:r>
          </w:p>
        </w:tc>
        <w:tc>
          <w:tcPr>
            <w:tcW w:w="8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3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Total</w:t>
            </w:r>
          </w:p>
        </w:tc>
        <w:tc>
          <w:tcPr>
            <w:tcW w:w="60" w:type="dxa"/>
            <w:vAlign w:val="bottom"/>
            <w:tcBorders>
              <w:bottom w:val="single" w:sz="8" w:color="D8EFF9"/>
            </w:tcBorders>
            <w:shd w:val="clear" w:color="auto" w:fill="D8EFF9"/>
          </w:tcPr>
          <w:p>
            <w:pPr>
              <w:spacing w:after="0"/>
              <w:rPr>
                <w:sz w:val="13"/>
                <w:szCs w:val="13"/>
                <w:color w:val="auto"/>
              </w:rPr>
            </w:pPr>
          </w:p>
        </w:tc>
        <w:tc>
          <w:tcPr>
            <w:tcW w:w="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66,127,000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7,688,000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89"/>
              </w:rPr>
              <w:t>4,678,000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3,817,000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4,136,000</w:t>
            </w:r>
          </w:p>
        </w:tc>
        <w:tc>
          <w:tcPr>
            <w:tcW w:w="80" w:type="dxa"/>
            <w:vAlign w:val="bottom"/>
            <w:tcBorders>
              <w:bottom w:val="single" w:sz="8" w:color="D8EFF9"/>
            </w:tcBorders>
            <w:shd w:val="clear" w:color="auto" w:fill="D8EFF9"/>
          </w:tcPr>
          <w:p>
            <w:pPr>
              <w:spacing w:after="0"/>
              <w:rPr>
                <w:sz w:val="13"/>
                <w:szCs w:val="13"/>
                <w:color w:val="auto"/>
              </w:rPr>
            </w:pPr>
          </w:p>
        </w:tc>
      </w:tr>
      <w:tr>
        <w:trPr>
          <w:trHeight w:val="27"/>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94" w:lineRule="exact"/>
        <w:rPr>
          <w:sz w:val="20"/>
          <w:szCs w:val="20"/>
          <w:color w:val="auto"/>
        </w:rPr>
      </w:pPr>
    </w:p>
    <w:p>
      <w:pPr>
        <w:jc w:val="both"/>
        <w:ind w:left="2160" w:right="799" w:hanging="226"/>
        <w:spacing w:after="0" w:line="231" w:lineRule="auto"/>
        <w:tabs>
          <w:tab w:leader="none" w:pos="216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Amounts consist of the cash payments payable to Mr. Lesar under his Retention Incentive Agreement upon his death, which consist of the value of the portion of the Total Stock Award provided for under the agreement that had not yet been granted as of December 31, 2022 (which was 200,000 shares), based on the New York Stock Exchange closing trading price for CenterPoint Energy common stock on December 30, 2022 (which was $29.99), and any amounts accrued through December 31, 2022 under the Dividend Equivalent Award.</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Under the terms of our short-term incentive plan, an individual who dies during the plan year is eligible for a pro rata plan distribution at the target level of achievement based on eligible earnings to date multiplied by his or her short-term incentive target.</w:t>
      </w:r>
    </w:p>
    <w:p>
      <w:pPr>
        <w:spacing w:after="0" w:line="39" w:lineRule="exact"/>
        <w:rPr>
          <w:rFonts w:ascii="Arial" w:cs="Arial" w:eastAsia="Arial" w:hAnsi="Arial"/>
          <w:sz w:val="10"/>
          <w:szCs w:val="10"/>
          <w:color w:val="auto"/>
        </w:rPr>
      </w:pPr>
    </w:p>
    <w:p>
      <w:pPr>
        <w:jc w:val="both"/>
        <w:ind w:left="2160" w:right="799" w:hanging="226"/>
        <w:spacing w:after="0" w:line="230" w:lineRule="auto"/>
        <w:tabs>
          <w:tab w:leader="none" w:pos="216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For purposes of the calculations, amounts that would be payable in shares have been converted to dollars using the New York Stock Exchange closing price for CenterPoint Energy common stock on December 30, 2022 (which was $29.99). Under the terms of the long-term incentive awards (other than any sign-on awards), an individual who dies prior to vesting is eligible for a full distribution of the award, based on the target level of achievement of any applicable performance goals. Amounts shown for stock awards for Mr. Lesar include the retention award of 800,000 restricted stock units granted to Mr. Lesar under his Retention Incentive Agreement that remained outstanding on December 31, 2022, Including 400,000 RSUs that were fully vested and payable on such date regardless of Mr. Lesar’s death, as set forth in the award agreement.</w:t>
      </w:r>
    </w:p>
    <w:p>
      <w:pPr>
        <w:spacing w:after="0" w:line="38"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Amounts shown include PSUs granted in 2020 that vested on December 31, 2022, which were payable regardless of the officer’s death, as set forth in the award agreement.</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Amounts payable by third party insurance providers.</w:t>
      </w:r>
    </w:p>
    <w:p>
      <w:pPr>
        <w:spacing w:after="0" w:line="131" w:lineRule="exact"/>
        <w:rPr>
          <w:sz w:val="20"/>
          <w:szCs w:val="20"/>
          <w:color w:val="auto"/>
        </w:rPr>
      </w:pPr>
    </w:p>
    <w:p>
      <w:pPr>
        <w:ind w:left="2220" w:hanging="230"/>
        <w:spacing w:after="0"/>
        <w:tabs>
          <w:tab w:leader="none" w:pos="2220" w:val="left"/>
        </w:tabs>
        <w:numPr>
          <w:ilvl w:val="0"/>
          <w:numId w:val="117"/>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92" w:name="page93"/>
    <w:bookmarkEnd w:id="9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64"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25" w:lineRule="exact"/>
        <w:rPr>
          <w:sz w:val="20"/>
          <w:szCs w:val="20"/>
          <w:color w:val="auto"/>
        </w:rPr>
      </w:pPr>
    </w:p>
    <w:p>
      <w:pPr>
        <w:jc w:val="both"/>
        <w:ind w:left="1940" w:right="799"/>
        <w:spacing w:after="0" w:line="254" w:lineRule="auto"/>
        <w:rPr>
          <w:sz w:val="20"/>
          <w:szCs w:val="20"/>
          <w:color w:val="auto"/>
        </w:rPr>
      </w:pPr>
      <w:r>
        <w:rPr>
          <w:rFonts w:ascii="Arial" w:cs="Arial" w:eastAsia="Arial" w:hAnsi="Arial"/>
          <w:sz w:val="12"/>
          <w:szCs w:val="12"/>
          <w:i w:val="1"/>
          <w:iCs w:val="1"/>
          <w:color w:val="auto"/>
        </w:rPr>
        <w:t xml:space="preserve">Payments upon disability. </w:t>
      </w:r>
      <w:r>
        <w:rPr>
          <w:rFonts w:ascii="Arial" w:cs="Arial" w:eastAsia="Arial" w:hAnsi="Arial"/>
          <w:sz w:val="12"/>
          <w:szCs w:val="12"/>
          <w:color w:val="auto"/>
        </w:rPr>
        <w:t>If a named executive officer becomes disabled as defined under our long-term disability plan on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2022, he or she would receive the payments stated in the table below. The numbers in the table have been rounded to the nearest one thousand dollars.</w:t>
      </w:r>
    </w:p>
    <w:p>
      <w:pPr>
        <w:spacing w:after="0" w:line="147"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380" w:type="dxa"/>
            <w:vAlign w:val="bottom"/>
            <w:tcBorders>
              <w:bottom w:val="single" w:sz="8" w:color="009AD9"/>
            </w:tcBorders>
            <w:shd w:val="clear" w:color="auto" w:fill="009AD9"/>
          </w:tcPr>
          <w:p>
            <w:pPr>
              <w:ind w:left="20"/>
              <w:spacing w:after="0"/>
              <w:rPr>
                <w:sz w:val="20"/>
                <w:szCs w:val="20"/>
                <w:color w:val="auto"/>
              </w:rPr>
            </w:pPr>
            <w:r>
              <w:rPr>
                <w:rFonts w:ascii="Arial" w:cs="Arial" w:eastAsia="Arial" w:hAnsi="Arial"/>
                <w:sz w:val="10"/>
                <w:szCs w:val="10"/>
                <w:b w:val="1"/>
                <w:bCs w:val="1"/>
                <w:color w:val="FFFFFF"/>
              </w:rPr>
              <w:t>Type of Payment</w:t>
            </w:r>
          </w:p>
        </w:tc>
        <w:tc>
          <w:tcPr>
            <w:tcW w:w="6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500" w:type="dxa"/>
            <w:vAlign w:val="bottom"/>
            <w:tcBorders>
              <w:bottom w:val="single" w:sz="8" w:color="009AD9"/>
            </w:tcBorders>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Lesar</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Wells</w:t>
            </w:r>
          </w:p>
        </w:tc>
        <w:tc>
          <w:tcPr>
            <w:tcW w:w="16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72"/>
              <w:spacing w:after="0"/>
              <w:rPr>
                <w:sz w:val="20"/>
                <w:szCs w:val="20"/>
                <w:color w:val="auto"/>
              </w:rPr>
            </w:pPr>
            <w:r>
              <w:rPr>
                <w:rFonts w:ascii="Arial" w:cs="Arial" w:eastAsia="Arial" w:hAnsi="Arial"/>
                <w:sz w:val="10"/>
                <w:szCs w:val="10"/>
                <w:b w:val="1"/>
                <w:bCs w:val="1"/>
                <w:color w:val="FFFFFF"/>
              </w:rPr>
              <w:t>Doyle</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440" w:type="dxa"/>
            <w:vAlign w:val="bottom"/>
            <w:tcBorders>
              <w:bottom w:val="single" w:sz="8" w:color="009AD9"/>
            </w:tcBorders>
            <w:shd w:val="clear" w:color="auto" w:fill="009AD9"/>
          </w:tcPr>
          <w:p>
            <w:pPr>
              <w:jc w:val="right"/>
              <w:ind w:right="12"/>
              <w:spacing w:after="0"/>
              <w:rPr>
                <w:sz w:val="20"/>
                <w:szCs w:val="20"/>
                <w:color w:val="auto"/>
              </w:rPr>
            </w:pPr>
            <w:r>
              <w:rPr>
                <w:rFonts w:ascii="Arial" w:cs="Arial" w:eastAsia="Arial" w:hAnsi="Arial"/>
                <w:sz w:val="10"/>
                <w:szCs w:val="10"/>
                <w:b w:val="1"/>
                <w:bCs w:val="1"/>
                <w:color w:val="FFFFFF"/>
                <w:w w:val="92"/>
              </w:rPr>
              <w:t>Karuturi</w:t>
            </w:r>
          </w:p>
        </w:tc>
        <w:tc>
          <w:tcPr>
            <w:tcW w:w="140" w:type="dxa"/>
            <w:vAlign w:val="bottom"/>
            <w:tcBorders>
              <w:bottom w:val="single" w:sz="8" w:color="009AD9"/>
              <w:right w:val="single" w:sz="8" w:color="009AD9"/>
            </w:tcBorders>
            <w:shd w:val="clear" w:color="auto" w:fill="009AD9"/>
          </w:tcPr>
          <w:p>
            <w:pPr>
              <w:spacing w:after="0"/>
              <w:rPr>
                <w:sz w:val="14"/>
                <w:szCs w:val="14"/>
                <w:color w:val="auto"/>
              </w:rPr>
            </w:pPr>
          </w:p>
        </w:tc>
        <w:tc>
          <w:tcPr>
            <w:tcW w:w="520" w:type="dxa"/>
            <w:vAlign w:val="bottom"/>
            <w:tcBorders>
              <w:bottom w:val="single" w:sz="8" w:color="009AD9"/>
            </w:tcBorders>
            <w:gridSpan w:val="2"/>
            <w:shd w:val="clear" w:color="auto" w:fill="009AD9"/>
          </w:tcPr>
          <w:p>
            <w:pPr>
              <w:jc w:val="right"/>
              <w:ind w:right="180"/>
              <w:spacing w:after="0"/>
              <w:rPr>
                <w:sz w:val="20"/>
                <w:szCs w:val="20"/>
                <w:color w:val="auto"/>
              </w:rPr>
            </w:pPr>
            <w:r>
              <w:rPr>
                <w:rFonts w:ascii="Arial" w:cs="Arial" w:eastAsia="Arial" w:hAnsi="Arial"/>
                <w:sz w:val="10"/>
                <w:szCs w:val="10"/>
                <w:b w:val="1"/>
                <w:bCs w:val="1"/>
                <w:color w:val="FFFFFF"/>
              </w:rPr>
              <w:t>Knight</w:t>
            </w:r>
          </w:p>
        </w:tc>
      </w:tr>
      <w:tr>
        <w:trPr>
          <w:trHeight w:val="182"/>
        </w:trPr>
        <w:tc>
          <w:tcPr>
            <w:tcW w:w="4380" w:type="dxa"/>
            <w:vAlign w:val="bottom"/>
          </w:tcPr>
          <w:p>
            <w:pPr>
              <w:ind w:left="40"/>
              <w:spacing w:after="0"/>
              <w:rPr>
                <w:sz w:val="20"/>
                <w:szCs w:val="20"/>
                <w:color w:val="auto"/>
              </w:rPr>
            </w:pPr>
            <w:r>
              <w:rPr>
                <w:rFonts w:ascii="Arial" w:cs="Arial" w:eastAsia="Arial" w:hAnsi="Arial"/>
                <w:sz w:val="10"/>
                <w:szCs w:val="10"/>
                <w:color w:val="auto"/>
              </w:rPr>
              <w:t>Retention amount</w:t>
            </w:r>
            <w:r>
              <w:rPr>
                <w:rFonts w:ascii="Arial" w:cs="Arial" w:eastAsia="Arial" w:hAnsi="Arial"/>
                <w:sz w:val="14"/>
                <w:szCs w:val="14"/>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6,204,000</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r>
      <w:tr>
        <w:trPr>
          <w:trHeight w:val="182"/>
        </w:trPr>
        <w:tc>
          <w:tcPr>
            <w:tcW w:w="4380" w:type="dxa"/>
            <w:vAlign w:val="bottom"/>
            <w:shd w:val="clear" w:color="auto" w:fill="D8EFF9"/>
          </w:tcPr>
          <w:p>
            <w:pPr>
              <w:ind w:left="40"/>
              <w:spacing w:after="0"/>
              <w:rPr>
                <w:sz w:val="20"/>
                <w:szCs w:val="20"/>
                <w:color w:val="auto"/>
              </w:rPr>
            </w:pPr>
            <w:r>
              <w:rPr>
                <w:rFonts w:ascii="Arial" w:cs="Arial" w:eastAsia="Arial" w:hAnsi="Arial"/>
                <w:sz w:val="10"/>
                <w:szCs w:val="10"/>
                <w:color w:val="auto"/>
              </w:rPr>
              <w:t>Short-term Incentive Plan</w:t>
            </w:r>
            <w:r>
              <w:rPr>
                <w:rFonts w:ascii="Arial" w:cs="Arial" w:eastAsia="Arial" w:hAnsi="Arial"/>
                <w:sz w:val="14"/>
                <w:szCs w:val="14"/>
                <w:color w:val="auto"/>
                <w:vertAlign w:val="superscript"/>
              </w:rPr>
              <w:t>(2)</w:t>
            </w:r>
          </w:p>
        </w:tc>
        <w:tc>
          <w:tcPr>
            <w:tcW w:w="120" w:type="dxa"/>
            <w:vAlign w:val="bottom"/>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2,065,000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521,000</w:t>
            </w:r>
          </w:p>
        </w:tc>
        <w:tc>
          <w:tcPr>
            <w:tcW w:w="16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450,000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406,000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371,000</w:t>
            </w:r>
          </w:p>
        </w:tc>
        <w:tc>
          <w:tcPr>
            <w:tcW w:w="80" w:type="dxa"/>
            <w:vAlign w:val="bottom"/>
            <w:shd w:val="clear" w:color="auto" w:fill="D8EFF9"/>
          </w:tcPr>
          <w:p>
            <w:pPr>
              <w:spacing w:after="0"/>
              <w:rPr>
                <w:sz w:val="15"/>
                <w:szCs w:val="15"/>
                <w:color w:val="auto"/>
              </w:rPr>
            </w:pPr>
          </w:p>
        </w:tc>
      </w:tr>
      <w:tr>
        <w:trPr>
          <w:trHeight w:val="182"/>
        </w:trPr>
        <w:tc>
          <w:tcPr>
            <w:tcW w:w="4380" w:type="dxa"/>
            <w:vAlign w:val="bottom"/>
          </w:tcPr>
          <w:p>
            <w:pPr>
              <w:ind w:left="40"/>
              <w:spacing w:after="0"/>
              <w:rPr>
                <w:sz w:val="20"/>
                <w:szCs w:val="20"/>
                <w:color w:val="auto"/>
              </w:rPr>
            </w:pPr>
            <w:r>
              <w:rPr>
                <w:rFonts w:ascii="Arial" w:cs="Arial" w:eastAsia="Arial" w:hAnsi="Arial"/>
                <w:sz w:val="10"/>
                <w:szCs w:val="10"/>
                <w:color w:val="auto"/>
              </w:rPr>
              <w:t>Long-term Incentive Plan:</w:t>
            </w:r>
            <w:r>
              <w:rPr>
                <w:rFonts w:ascii="Arial" w:cs="Arial" w:eastAsia="Arial" w:hAnsi="Arial"/>
                <w:sz w:val="14"/>
                <w:szCs w:val="14"/>
                <w:color w:val="auto"/>
                <w:vertAlign w:val="superscript"/>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3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Performance Share Units (Unvested)</w:t>
            </w:r>
          </w:p>
        </w:tc>
        <w:tc>
          <w:tcPr>
            <w:tcW w:w="12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16,015,000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3,293,000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89"/>
              </w:rPr>
              <w:t>2,360,000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1,991,000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1,886,000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82"/>
        </w:trPr>
        <w:tc>
          <w:tcPr>
            <w:tcW w:w="4380" w:type="dxa"/>
            <w:vAlign w:val="bottom"/>
          </w:tcPr>
          <w:p>
            <w:pPr>
              <w:ind w:left="240"/>
              <w:spacing w:after="0"/>
              <w:rPr>
                <w:sz w:val="20"/>
                <w:szCs w:val="20"/>
                <w:color w:val="auto"/>
              </w:rPr>
            </w:pPr>
            <w:r>
              <w:rPr>
                <w:rFonts w:ascii="Arial" w:cs="Arial" w:eastAsia="Arial" w:hAnsi="Arial"/>
                <w:sz w:val="10"/>
                <w:szCs w:val="10"/>
                <w:color w:val="auto"/>
              </w:rPr>
              <w:t xml:space="preserve">Performance Share Units (Vested) </w:t>
            </w:r>
            <w:r>
              <w:rPr>
                <w:rFonts w:ascii="Arial" w:cs="Arial" w:eastAsia="Arial" w:hAnsi="Arial"/>
                <w:sz w:val="14"/>
                <w:szCs w:val="14"/>
                <w:color w:val="auto"/>
                <w:vertAlign w:val="superscript"/>
              </w:rPr>
              <w:t>(4)</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8,181,000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1,919,000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722,000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496,000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844,000</w:t>
            </w:r>
          </w:p>
        </w:tc>
        <w:tc>
          <w:tcPr>
            <w:tcW w:w="80" w:type="dxa"/>
            <w:vAlign w:val="bottom"/>
          </w:tcPr>
          <w:p>
            <w:pPr>
              <w:spacing w:after="0"/>
              <w:rPr>
                <w:sz w:val="15"/>
                <w:szCs w:val="15"/>
                <w:color w:val="auto"/>
              </w:rPr>
            </w:pPr>
          </w:p>
        </w:tc>
      </w:tr>
      <w:tr>
        <w:trPr>
          <w:trHeight w:val="162"/>
        </w:trPr>
        <w:tc>
          <w:tcPr>
            <w:tcW w:w="43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Stock Awards (Unvested)</w:t>
            </w:r>
          </w:p>
        </w:tc>
        <w:tc>
          <w:tcPr>
            <w:tcW w:w="12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1"/>
              </w:rPr>
              <w:t>21,204,000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4"/>
              </w:rPr>
              <w:t>1,905,000</w:t>
            </w:r>
          </w:p>
        </w:tc>
        <w:tc>
          <w:tcPr>
            <w:tcW w:w="16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89"/>
              </w:rPr>
              <w:t>1,096,000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874,000</w:t>
            </w: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985,000</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55"/>
        </w:trPr>
        <w:tc>
          <w:tcPr>
            <w:tcW w:w="4380" w:type="dxa"/>
            <w:vAlign w:val="bottom"/>
          </w:tcPr>
          <w:p>
            <w:pPr>
              <w:ind w:left="240"/>
              <w:spacing w:after="0"/>
              <w:rPr>
                <w:sz w:val="20"/>
                <w:szCs w:val="20"/>
                <w:color w:val="auto"/>
              </w:rPr>
            </w:pPr>
            <w:r>
              <w:rPr>
                <w:rFonts w:ascii="Arial" w:cs="Arial" w:eastAsia="Arial" w:hAnsi="Arial"/>
                <w:sz w:val="10"/>
                <w:szCs w:val="10"/>
                <w:color w:val="auto"/>
              </w:rPr>
              <w:t>Stock Awards (Vested)</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12,408,000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4380" w:type="dxa"/>
            <w:vAlign w:val="bottom"/>
            <w:shd w:val="clear" w:color="auto" w:fill="D8EFF9"/>
          </w:tcPr>
          <w:p>
            <w:pPr>
              <w:ind w:left="40"/>
              <w:spacing w:after="0"/>
              <w:rPr>
                <w:sz w:val="20"/>
                <w:szCs w:val="20"/>
                <w:color w:val="auto"/>
              </w:rPr>
            </w:pPr>
            <w:r>
              <w:rPr>
                <w:rFonts w:ascii="Arial" w:cs="Arial" w:eastAsia="Arial" w:hAnsi="Arial"/>
                <w:sz w:val="10"/>
                <w:szCs w:val="10"/>
                <w:color w:val="auto"/>
              </w:rPr>
              <w:t>Long-term Disability Per Month</w:t>
            </w:r>
            <w:r>
              <w:rPr>
                <w:rFonts w:ascii="Arial" w:cs="Arial" w:eastAsia="Arial" w:hAnsi="Arial"/>
                <w:sz w:val="14"/>
                <w:szCs w:val="14"/>
                <w:color w:val="auto"/>
                <w:vertAlign w:val="superscript"/>
              </w:rPr>
              <w:t>(5)</w:t>
            </w:r>
          </w:p>
        </w:tc>
        <w:tc>
          <w:tcPr>
            <w:tcW w:w="60" w:type="dxa"/>
            <w:vAlign w:val="bottom"/>
            <w:shd w:val="clear" w:color="auto" w:fill="D8EFF9"/>
          </w:tcPr>
          <w:p>
            <w:pPr>
              <w:spacing w:after="0"/>
              <w:rPr>
                <w:sz w:val="15"/>
                <w:szCs w:val="15"/>
                <w:color w:val="auto"/>
              </w:rPr>
            </w:pPr>
          </w:p>
        </w:tc>
        <w:tc>
          <w:tcPr>
            <w:tcW w:w="60" w:type="dxa"/>
            <w:vAlign w:val="bottom"/>
            <w:shd w:val="clear" w:color="auto" w:fill="D8EFF9"/>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20,000</w:t>
            </w:r>
          </w:p>
        </w:tc>
        <w:tc>
          <w:tcPr>
            <w:tcW w:w="16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20,000</w:t>
            </w:r>
          </w:p>
        </w:tc>
        <w:tc>
          <w:tcPr>
            <w:tcW w:w="140" w:type="dxa"/>
            <w:vAlign w:val="bottom"/>
            <w:tcBorders>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20,000</w:t>
            </w:r>
          </w:p>
        </w:tc>
        <w:tc>
          <w:tcPr>
            <w:tcW w:w="80" w:type="dxa"/>
            <w:vAlign w:val="bottom"/>
            <w:shd w:val="clear" w:color="auto" w:fill="D8EFF9"/>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3"/>
        </w:trPr>
        <w:tc>
          <w:tcPr>
            <w:tcW w:w="4380" w:type="dxa"/>
            <w:vAlign w:val="bottom"/>
          </w:tcPr>
          <w:p>
            <w:pPr>
              <w:ind w:left="40"/>
              <w:spacing w:after="0"/>
              <w:rPr>
                <w:sz w:val="20"/>
                <w:szCs w:val="20"/>
                <w:color w:val="auto"/>
              </w:rPr>
            </w:pPr>
            <w:r>
              <w:rPr>
                <w:rFonts w:ascii="Arial" w:cs="Arial" w:eastAsia="Arial" w:hAnsi="Arial"/>
                <w:sz w:val="10"/>
                <w:szCs w:val="10"/>
                <w:color w:val="auto"/>
              </w:rPr>
              <w:t>Total</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66,097,000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7,658,000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89"/>
              </w:rPr>
              <w:t>4,648,000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3,787,000</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4,106,000</w:t>
            </w:r>
          </w:p>
        </w:tc>
        <w:tc>
          <w:tcPr>
            <w:tcW w:w="80" w:type="dxa"/>
            <w:vAlign w:val="bottom"/>
          </w:tcPr>
          <w:p>
            <w:pPr>
              <w:spacing w:after="0"/>
              <w:rPr>
                <w:sz w:val="13"/>
                <w:szCs w:val="13"/>
                <w:color w:val="auto"/>
              </w:rPr>
            </w:pPr>
          </w:p>
        </w:tc>
      </w:tr>
      <w:tr>
        <w:trPr>
          <w:trHeight w:val="34"/>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94" w:lineRule="exact"/>
        <w:rPr>
          <w:sz w:val="20"/>
          <w:szCs w:val="20"/>
          <w:color w:val="auto"/>
        </w:rPr>
      </w:pPr>
    </w:p>
    <w:p>
      <w:pPr>
        <w:jc w:val="both"/>
        <w:ind w:left="2160" w:right="799" w:hanging="226"/>
        <w:spacing w:after="0" w:line="231" w:lineRule="auto"/>
        <w:tabs>
          <w:tab w:leader="none" w:pos="21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Amounts consist of the cash payments payable to Mr. Lesar under his Retention Incentive Agreement upon his disability, which consist of the value of the portion of the Total Stock Award provided for under the agreement that had not yet been granted as of December 31, 2022 (which was 200,000 shares), based on the New York Stock Exchange closing trading price for CenterPoint Energy common stock on December 30, 2022 (which was $29.99), and any amounts accrued through December 31, 2022 under the Dividend Equivalent Award.</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Under the terms of our short-term incentive plan, an individual who becomes disabled as defined under our long-term disability plan during the plan year is eligible for a pro rata plan distribution at the target level of achievement based on eligible earnings to date multiplied by his or her short-term incentive target.</w:t>
      </w:r>
    </w:p>
    <w:p>
      <w:pPr>
        <w:spacing w:after="0" w:line="39" w:lineRule="exact"/>
        <w:rPr>
          <w:rFonts w:ascii="Arial" w:cs="Arial" w:eastAsia="Arial" w:hAnsi="Arial"/>
          <w:sz w:val="10"/>
          <w:szCs w:val="10"/>
          <w:color w:val="auto"/>
        </w:rPr>
      </w:pPr>
    </w:p>
    <w:p>
      <w:pPr>
        <w:jc w:val="both"/>
        <w:ind w:left="2160" w:right="799" w:hanging="226"/>
        <w:spacing w:after="0" w:line="230" w:lineRule="auto"/>
        <w:tabs>
          <w:tab w:leader="none" w:pos="21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For purposes of the calculations, amounts that would be payable in shares have been converted to dollars using the New York Stock Exchange closing price for CenterPoint Energy common stock on December 30, 2022 (which was $29.99). Under the terms of the long-term incentive awards (other than any sign-on awards), an individual who dies prior to vesting is eligible for a full distribution of the award, based on the target level of achievement of any applicable performance goals. Amounts shown for stock awards for Mr. Lesar include the retention award of 800,000 restricted stock units granted to Mr. Lesar under his Retention Incentive Agreement that remained outstanding on December 31, 2022, including 400,000 RSUs that were fully vested and payable on such date regardless of Mr. Lesar’s disability, as set forth in the award agreement.</w:t>
      </w:r>
    </w:p>
    <w:p>
      <w:pPr>
        <w:spacing w:after="0" w:line="38" w:lineRule="exact"/>
        <w:rPr>
          <w:rFonts w:ascii="Arial" w:cs="Arial" w:eastAsia="Arial" w:hAnsi="Arial"/>
          <w:sz w:val="10"/>
          <w:szCs w:val="10"/>
          <w:color w:val="auto"/>
        </w:rPr>
      </w:pPr>
    </w:p>
    <w:p>
      <w:pPr>
        <w:ind w:left="2160" w:right="819" w:hanging="226"/>
        <w:spacing w:after="0" w:line="234" w:lineRule="auto"/>
        <w:tabs>
          <w:tab w:leader="none" w:pos="21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Amounts shown include PSUs granted in 2020 that vested on December 31, 2022, which were payable regardless of the officer’s disability, as set forth in the award agreement</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Amounts payable by third party insurance providers.</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Upon becoming disabled as defined under our long-term disability plan, each named executive officer would also be entitled to receive payment for any fully vested benefits to which 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23"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Rabbi Trust</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w:t>
      </w:r>
    </w:p>
    <w:p>
      <w:pPr>
        <w:spacing w:after="0" w:line="163"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Executive Compensation Tables (continued)</w:t>
      </w:r>
    </w:p>
    <w:p>
      <w:pPr>
        <w:spacing w:after="0" w:line="10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p>
    <w:p>
      <w:pPr>
        <w:spacing w:after="0" w:line="134" w:lineRule="exact"/>
        <w:rPr>
          <w:sz w:val="20"/>
          <w:szCs w:val="20"/>
          <w:color w:val="auto"/>
        </w:rPr>
      </w:pPr>
    </w:p>
    <w:p>
      <w:pPr>
        <w:ind w:left="2220" w:hanging="230"/>
        <w:spacing w:after="0"/>
        <w:tabs>
          <w:tab w:leader="none" w:pos="2220" w:val="left"/>
        </w:tabs>
        <w:numPr>
          <w:ilvl w:val="0"/>
          <w:numId w:val="119"/>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94" w:name="page95"/>
    <w:bookmarkEnd w:id="94"/>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ectPr>
          <w:pgSz w:w="11900" w:h="16838" w:orient="portrait"/>
          <w:cols w:equalWidth="0" w:num="1">
            <w:col w:w="10159"/>
          </w:cols>
          <w:pgMar w:left="300" w:top="372" w:right="1440" w:bottom="1440" w:gutter="0" w:footer="0" w:header="0"/>
        </w:sectPr>
      </w:pPr>
    </w:p>
    <w:bookmarkStart w:id="95" w:name="page96"/>
    <w:bookmarkEnd w:id="95"/>
    <w:p>
      <w:pPr>
        <w:ind w:left="6900"/>
        <w:spacing w:after="0"/>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5093970</wp:posOffset>
            </wp:positionH>
            <wp:positionV relativeFrom="page">
              <wp:posOffset>88900</wp:posOffset>
            </wp:positionV>
            <wp:extent cx="1039495" cy="1498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039495" cy="149860"/>
                    </a:xfrm>
                    <a:prstGeom prst="rect">
                      <a:avLst/>
                    </a:prstGeom>
                    <a:noFill/>
                  </pic:spPr>
                </pic:pic>
              </a:graphicData>
            </a:graphic>
          </wp:anchor>
        </w:drawing>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40005</wp:posOffset>
            </wp:positionV>
            <wp:extent cx="367220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26035</wp:posOffset>
            </wp:positionV>
            <wp:extent cx="471170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800" w:right="799"/>
        <w:spacing w:after="0"/>
        <w:rPr>
          <w:sz w:val="20"/>
          <w:szCs w:val="20"/>
          <w:color w:val="auto"/>
        </w:rPr>
      </w:pPr>
      <w:r>
        <w:rPr>
          <w:rFonts w:ascii="Arial" w:cs="Arial" w:eastAsia="Arial" w:hAnsi="Arial"/>
          <w:sz w:val="12"/>
          <w:szCs w:val="12"/>
          <w:color w:val="auto"/>
        </w:rPr>
        <w:t>As required by Item 402(v) of Regulation S-K, as adopted pursuant to Section 953(a) of the Dodd-Frank Wall Street Reform and Consumer Protection Act, we are providing information about the relationship between compensation actually paid to our named executive officers and each of the following company performance measures, which, in the company’s assessment, are also the most important financial performance measures used for the most recently completed fiscal year to link compensation actually paid to our named executive officers to company performance:</w:t>
      </w:r>
    </w:p>
    <w:p>
      <w:pPr>
        <w:spacing w:after="0" w:line="151" w:lineRule="exact"/>
        <w:rPr>
          <w:sz w:val="20"/>
          <w:szCs w:val="20"/>
          <w:color w:val="auto"/>
        </w:rPr>
      </w:pPr>
    </w:p>
    <w:p>
      <w:pPr>
        <w:ind w:left="3100"/>
        <w:spacing w:after="0"/>
        <w:rPr>
          <w:sz w:val="20"/>
          <w:szCs w:val="20"/>
          <w:color w:val="auto"/>
        </w:rPr>
      </w:pPr>
      <w:r>
        <w:rPr>
          <w:rFonts w:ascii="Arial" w:cs="Arial" w:eastAsia="Arial" w:hAnsi="Arial"/>
          <w:sz w:val="12"/>
          <w:szCs w:val="12"/>
          <w:b w:val="1"/>
          <w:bCs w:val="1"/>
          <w:color w:val="FFFFFF"/>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-83820</wp:posOffset>
            </wp:positionV>
            <wp:extent cx="3955415" cy="1041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955415" cy="104140"/>
                    </a:xfrm>
                    <a:prstGeom prst="rect">
                      <a:avLst/>
                    </a:prstGeom>
                    <a:noFill/>
                  </pic:spPr>
                </pic:pic>
              </a:graphicData>
            </a:graphic>
          </wp:anchor>
        </w:drawing>
      </w:r>
    </w:p>
    <w:p>
      <w:pPr>
        <w:spacing w:after="0" w:line="38"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Cumulative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10795</wp:posOffset>
            </wp:positionV>
            <wp:extent cx="3955415" cy="1155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955415" cy="115570"/>
                    </a:xfrm>
                    <a:prstGeom prst="rect">
                      <a:avLst/>
                    </a:prstGeom>
                    <a:noFill/>
                  </pic:spPr>
                </pic:pic>
              </a:graphicData>
            </a:graphic>
          </wp:anchor>
        </w:drawing>
      </w:r>
    </w:p>
    <w:p>
      <w:pPr>
        <w:spacing w:after="0" w:line="2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Net income</w:t>
      </w:r>
    </w:p>
    <w:p>
      <w:pPr>
        <w:spacing w:after="0" w:line="4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Adjusted EPS (company-selected financial performance measure)</w:t>
      </w:r>
    </w:p>
    <w:p>
      <w:pPr>
        <w:spacing w:after="0" w:line="162" w:lineRule="exact"/>
        <w:rPr>
          <w:sz w:val="20"/>
          <w:szCs w:val="20"/>
          <w:color w:val="auto"/>
        </w:rPr>
      </w:pPr>
    </w:p>
    <w:p>
      <w:pPr>
        <w:jc w:val="both"/>
        <w:ind w:left="800" w:right="819"/>
        <w:spacing w:after="0" w:line="250" w:lineRule="auto"/>
        <w:rPr>
          <w:sz w:val="20"/>
          <w:szCs w:val="20"/>
          <w:color w:val="auto"/>
        </w:rPr>
      </w:pPr>
      <w:r>
        <w:rPr>
          <w:rFonts w:ascii="Arial" w:cs="Arial" w:eastAsia="Arial" w:hAnsi="Arial"/>
          <w:sz w:val="12"/>
          <w:szCs w:val="12"/>
          <w:color w:val="auto"/>
        </w:rPr>
        <w:t>Information for each of the last three completed fiscal years is shown in the table below for each principal executive officer (“PEO”) and for our non-PEO named executive officers (“Non-PEO NEOs”) as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95250</wp:posOffset>
            </wp:positionV>
            <wp:extent cx="4711700" cy="7277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11700" cy="727710"/>
                    </a:xfrm>
                    <a:prstGeom prst="rect">
                      <a:avLst/>
                    </a:prstGeom>
                    <a:noFill/>
                  </pic:spPr>
                </pic:pic>
              </a:graphicData>
            </a:graphic>
          </wp:anchor>
        </w:drawing>
      </w:r>
    </w:p>
    <w:p>
      <w:pPr>
        <w:spacing w:after="0" w:line="130" w:lineRule="exact"/>
        <w:rPr>
          <w:sz w:val="20"/>
          <w:szCs w:val="20"/>
          <w:color w:val="auto"/>
        </w:rPr>
      </w:pPr>
    </w:p>
    <w:tbl>
      <w:tblPr>
        <w:tblLayout w:type="fixed"/>
        <w:tblInd w:w="800" w:type="dxa"/>
        <w:tblCellMar>
          <w:top w:w="0" w:type="dxa"/>
          <w:left w:w="0" w:type="dxa"/>
          <w:bottom w:w="0" w:type="dxa"/>
          <w:right w:w="0" w:type="dxa"/>
        </w:tblCellMar>
      </w:tblPr>
      <w:tr>
        <w:trPr>
          <w:trHeight w:val="113"/>
        </w:trPr>
        <w:tc>
          <w:tcPr>
            <w:tcW w:w="40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10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12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320" w:type="dxa"/>
            <w:vAlign w:val="bottom"/>
            <w:shd w:val="clear" w:color="auto" w:fill="009AD9"/>
          </w:tcPr>
          <w:p>
            <w:pPr>
              <w:spacing w:after="0"/>
              <w:rPr>
                <w:sz w:val="9"/>
                <w:szCs w:val="9"/>
                <w:color w:val="auto"/>
              </w:rPr>
            </w:pPr>
          </w:p>
        </w:tc>
        <w:tc>
          <w:tcPr>
            <w:tcW w:w="280" w:type="dxa"/>
            <w:vAlign w:val="bottom"/>
            <w:shd w:val="clear" w:color="auto" w:fill="009AD9"/>
          </w:tcPr>
          <w:p>
            <w:pPr>
              <w:spacing w:after="0"/>
              <w:rPr>
                <w:sz w:val="9"/>
                <w:szCs w:val="9"/>
                <w:color w:val="auto"/>
              </w:rPr>
            </w:pPr>
          </w:p>
        </w:tc>
        <w:tc>
          <w:tcPr>
            <w:tcW w:w="12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120" w:type="dxa"/>
            <w:vAlign w:val="bottom"/>
            <w:shd w:val="clear" w:color="auto" w:fill="009AD9"/>
          </w:tcPr>
          <w:p>
            <w:pPr>
              <w:spacing w:after="0"/>
              <w:rPr>
                <w:sz w:val="9"/>
                <w:szCs w:val="9"/>
                <w:color w:val="auto"/>
              </w:rPr>
            </w:pPr>
          </w:p>
        </w:tc>
        <w:tc>
          <w:tcPr>
            <w:tcW w:w="640" w:type="dxa"/>
            <w:vAlign w:val="bottom"/>
            <w:gridSpan w:val="2"/>
            <w:shd w:val="clear" w:color="auto" w:fill="009AD9"/>
          </w:tcPr>
          <w:p>
            <w:pPr>
              <w:jc w:val="center"/>
              <w:ind w:left="58"/>
              <w:spacing w:after="0"/>
              <w:rPr>
                <w:sz w:val="20"/>
                <w:szCs w:val="20"/>
                <w:color w:val="auto"/>
              </w:rPr>
            </w:pPr>
            <w:r>
              <w:rPr>
                <w:rFonts w:ascii="Arial" w:cs="Arial" w:eastAsia="Arial" w:hAnsi="Arial"/>
                <w:sz w:val="8"/>
                <w:szCs w:val="8"/>
                <w:b w:val="1"/>
                <w:bCs w:val="1"/>
                <w:color w:val="FFFFFF"/>
              </w:rPr>
              <w:t>Other</w:t>
            </w:r>
          </w:p>
        </w:tc>
        <w:tc>
          <w:tcPr>
            <w:tcW w:w="220" w:type="dxa"/>
            <w:vAlign w:val="bottom"/>
            <w:shd w:val="clear" w:color="auto" w:fill="009AD9"/>
          </w:tcPr>
          <w:p>
            <w:pPr>
              <w:spacing w:after="0"/>
              <w:rPr>
                <w:sz w:val="9"/>
                <w:szCs w:val="9"/>
                <w:color w:val="auto"/>
              </w:rPr>
            </w:pPr>
          </w:p>
        </w:tc>
      </w:tr>
      <w:tr>
        <w:trPr>
          <w:trHeight w:val="96"/>
        </w:trPr>
        <w:tc>
          <w:tcPr>
            <w:tcW w:w="400" w:type="dxa"/>
            <w:vAlign w:val="bottom"/>
            <w:shd w:val="clear" w:color="auto" w:fill="009AD9"/>
          </w:tcPr>
          <w:p>
            <w:pPr>
              <w:spacing w:after="0"/>
              <w:rPr>
                <w:sz w:val="8"/>
                <w:szCs w:val="8"/>
                <w:color w:val="auto"/>
              </w:rPr>
            </w:pPr>
          </w:p>
        </w:tc>
        <w:tc>
          <w:tcPr>
            <w:tcW w:w="560" w:type="dxa"/>
            <w:vAlign w:val="bottom"/>
            <w:shd w:val="clear" w:color="auto" w:fill="009AD9"/>
          </w:tcPr>
          <w:p>
            <w:pPr>
              <w:spacing w:after="0"/>
              <w:rPr>
                <w:sz w:val="8"/>
                <w:szCs w:val="8"/>
                <w:color w:val="auto"/>
              </w:rPr>
            </w:pPr>
          </w:p>
        </w:tc>
        <w:tc>
          <w:tcPr>
            <w:tcW w:w="620" w:type="dxa"/>
            <w:vAlign w:val="bottom"/>
            <w:shd w:val="clear" w:color="auto" w:fill="009AD9"/>
          </w:tcPr>
          <w:p>
            <w:pPr>
              <w:spacing w:after="0"/>
              <w:rPr>
                <w:sz w:val="8"/>
                <w:szCs w:val="8"/>
                <w:color w:val="auto"/>
              </w:rPr>
            </w:pPr>
          </w:p>
        </w:tc>
        <w:tc>
          <w:tcPr>
            <w:tcW w:w="540" w:type="dxa"/>
            <w:vAlign w:val="bottom"/>
            <w:shd w:val="clear" w:color="auto" w:fill="009AD9"/>
          </w:tcPr>
          <w:p>
            <w:pPr>
              <w:spacing w:after="0"/>
              <w:rPr>
                <w:sz w:val="8"/>
                <w:szCs w:val="8"/>
                <w:color w:val="auto"/>
              </w:rPr>
            </w:pPr>
          </w:p>
        </w:tc>
        <w:tc>
          <w:tcPr>
            <w:tcW w:w="520" w:type="dxa"/>
            <w:vAlign w:val="bottom"/>
            <w:shd w:val="clear" w:color="auto" w:fill="009AD9"/>
          </w:tcPr>
          <w:p>
            <w:pPr>
              <w:spacing w:after="0"/>
              <w:rPr>
                <w:sz w:val="8"/>
                <w:szCs w:val="8"/>
                <w:color w:val="auto"/>
              </w:rPr>
            </w:pPr>
          </w:p>
        </w:tc>
        <w:tc>
          <w:tcPr>
            <w:tcW w:w="640" w:type="dxa"/>
            <w:vAlign w:val="bottom"/>
            <w:shd w:val="clear" w:color="auto" w:fill="009AD9"/>
          </w:tcPr>
          <w:p>
            <w:pPr>
              <w:spacing w:after="0"/>
              <w:rPr>
                <w:sz w:val="8"/>
                <w:szCs w:val="8"/>
                <w:color w:val="auto"/>
              </w:rPr>
            </w:pPr>
          </w:p>
        </w:tc>
        <w:tc>
          <w:tcPr>
            <w:tcW w:w="540" w:type="dxa"/>
            <w:vAlign w:val="bottom"/>
            <w:shd w:val="clear" w:color="auto" w:fill="009AD9"/>
          </w:tcPr>
          <w:p>
            <w:pPr>
              <w:spacing w:after="0"/>
              <w:rPr>
                <w:sz w:val="8"/>
                <w:szCs w:val="8"/>
                <w:color w:val="auto"/>
              </w:rPr>
            </w:pPr>
          </w:p>
        </w:tc>
        <w:tc>
          <w:tcPr>
            <w:tcW w:w="10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120" w:type="dxa"/>
            <w:vAlign w:val="bottom"/>
            <w:shd w:val="clear" w:color="auto" w:fill="009AD9"/>
          </w:tcPr>
          <w:p>
            <w:pPr>
              <w:spacing w:after="0"/>
              <w:rPr>
                <w:sz w:val="8"/>
                <w:szCs w:val="8"/>
                <w:color w:val="auto"/>
              </w:rPr>
            </w:pPr>
          </w:p>
        </w:tc>
        <w:tc>
          <w:tcPr>
            <w:tcW w:w="580" w:type="dxa"/>
            <w:vAlign w:val="bottom"/>
            <w:shd w:val="clear" w:color="auto" w:fill="009AD9"/>
          </w:tcPr>
          <w:p>
            <w:pPr>
              <w:spacing w:after="0"/>
              <w:rPr>
                <w:sz w:val="8"/>
                <w:szCs w:val="8"/>
                <w:color w:val="auto"/>
              </w:rPr>
            </w:pPr>
          </w:p>
        </w:tc>
        <w:tc>
          <w:tcPr>
            <w:tcW w:w="1240" w:type="dxa"/>
            <w:vAlign w:val="bottom"/>
            <w:gridSpan w:val="4"/>
            <w:shd w:val="clear" w:color="auto" w:fill="009AD9"/>
          </w:tcPr>
          <w:p>
            <w:pPr>
              <w:jc w:val="center"/>
              <w:spacing w:after="0"/>
              <w:rPr>
                <w:sz w:val="20"/>
                <w:szCs w:val="20"/>
                <w:color w:val="auto"/>
              </w:rPr>
            </w:pPr>
            <w:r>
              <w:rPr>
                <w:rFonts w:ascii="Arial" w:cs="Arial" w:eastAsia="Arial" w:hAnsi="Arial"/>
                <w:sz w:val="8"/>
                <w:szCs w:val="8"/>
                <w:b w:val="1"/>
                <w:bCs w:val="1"/>
                <w:color w:val="FFFFFF"/>
              </w:rPr>
              <w:t>Value of Initial Fixed $100</w:t>
            </w:r>
          </w:p>
        </w:tc>
        <w:tc>
          <w:tcPr>
            <w:tcW w:w="120" w:type="dxa"/>
            <w:vAlign w:val="bottom"/>
            <w:shd w:val="clear" w:color="auto" w:fill="009AD9"/>
          </w:tcPr>
          <w:p>
            <w:pPr>
              <w:spacing w:after="0"/>
              <w:rPr>
                <w:sz w:val="8"/>
                <w:szCs w:val="8"/>
                <w:color w:val="auto"/>
              </w:rPr>
            </w:pPr>
          </w:p>
        </w:tc>
        <w:tc>
          <w:tcPr>
            <w:tcW w:w="640" w:type="dxa"/>
            <w:vAlign w:val="bottom"/>
            <w:gridSpan w:val="2"/>
            <w:shd w:val="clear" w:color="auto" w:fill="009AD9"/>
          </w:tcPr>
          <w:p>
            <w:pPr>
              <w:jc w:val="center"/>
              <w:ind w:left="38"/>
              <w:spacing w:after="0"/>
              <w:rPr>
                <w:sz w:val="20"/>
                <w:szCs w:val="20"/>
                <w:color w:val="auto"/>
              </w:rPr>
            </w:pPr>
            <w:r>
              <w:rPr>
                <w:rFonts w:ascii="Arial" w:cs="Arial" w:eastAsia="Arial" w:hAnsi="Arial"/>
                <w:sz w:val="8"/>
                <w:szCs w:val="8"/>
                <w:b w:val="1"/>
                <w:bCs w:val="1"/>
                <w:color w:val="FFFFFF"/>
              </w:rPr>
              <w:t>Performance</w:t>
            </w:r>
          </w:p>
        </w:tc>
        <w:tc>
          <w:tcPr>
            <w:tcW w:w="220" w:type="dxa"/>
            <w:vAlign w:val="bottom"/>
            <w:shd w:val="clear" w:color="auto" w:fill="009AD9"/>
          </w:tcPr>
          <w:p>
            <w:pPr>
              <w:spacing w:after="0"/>
              <w:rPr>
                <w:sz w:val="8"/>
                <w:szCs w:val="8"/>
                <w:color w:val="auto"/>
              </w:rPr>
            </w:pPr>
          </w:p>
        </w:tc>
      </w:tr>
      <w:tr>
        <w:trPr>
          <w:trHeight w:val="149"/>
        </w:trPr>
        <w:tc>
          <w:tcPr>
            <w:tcW w:w="400" w:type="dxa"/>
            <w:vAlign w:val="bottom"/>
            <w:shd w:val="clear" w:color="auto" w:fill="009AD9"/>
          </w:tcPr>
          <w:p>
            <w:pPr>
              <w:spacing w:after="0"/>
              <w:rPr>
                <w:sz w:val="12"/>
                <w:szCs w:val="12"/>
                <w:color w:val="auto"/>
              </w:rPr>
            </w:pPr>
          </w:p>
        </w:tc>
        <w:tc>
          <w:tcPr>
            <w:tcW w:w="560" w:type="dxa"/>
            <w:vAlign w:val="bottom"/>
            <w:shd w:val="clear" w:color="auto" w:fill="009AD9"/>
          </w:tcPr>
          <w:p>
            <w:pPr>
              <w:spacing w:after="0"/>
              <w:rPr>
                <w:sz w:val="12"/>
                <w:szCs w:val="12"/>
                <w:color w:val="auto"/>
              </w:rPr>
            </w:pPr>
          </w:p>
        </w:tc>
        <w:tc>
          <w:tcPr>
            <w:tcW w:w="620" w:type="dxa"/>
            <w:vAlign w:val="bottom"/>
            <w:shd w:val="clear" w:color="auto" w:fill="009AD9"/>
          </w:tcPr>
          <w:p>
            <w:pPr>
              <w:spacing w:after="0"/>
              <w:rPr>
                <w:sz w:val="12"/>
                <w:szCs w:val="12"/>
                <w:color w:val="auto"/>
              </w:rPr>
            </w:pPr>
          </w:p>
        </w:tc>
        <w:tc>
          <w:tcPr>
            <w:tcW w:w="1060" w:type="dxa"/>
            <w:vAlign w:val="bottom"/>
            <w:gridSpan w:val="2"/>
            <w:shd w:val="clear" w:color="auto" w:fill="009AD9"/>
          </w:tcPr>
          <w:p>
            <w:pPr>
              <w:ind w:left="320"/>
              <w:spacing w:after="0"/>
              <w:rPr>
                <w:sz w:val="20"/>
                <w:szCs w:val="20"/>
                <w:color w:val="auto"/>
              </w:rPr>
            </w:pPr>
            <w:r>
              <w:rPr>
                <w:rFonts w:ascii="Arial" w:cs="Arial" w:eastAsia="Arial" w:hAnsi="Arial"/>
                <w:sz w:val="8"/>
                <w:szCs w:val="8"/>
                <w:b w:val="1"/>
                <w:bCs w:val="1"/>
                <w:color w:val="FFFFFF"/>
              </w:rPr>
              <w:t>PEO Pay</w:t>
            </w:r>
            <w:r>
              <w:rPr>
                <w:rFonts w:ascii="Arial" w:cs="Arial" w:eastAsia="Arial" w:hAnsi="Arial"/>
                <w:sz w:val="10"/>
                <w:szCs w:val="10"/>
                <w:b w:val="1"/>
                <w:bCs w:val="1"/>
                <w:color w:val="FFFFFF"/>
                <w:vertAlign w:val="superscript"/>
              </w:rPr>
              <w:t>(1)</w:t>
            </w:r>
          </w:p>
        </w:tc>
        <w:tc>
          <w:tcPr>
            <w:tcW w:w="640" w:type="dxa"/>
            <w:vAlign w:val="bottom"/>
            <w:shd w:val="clear" w:color="auto" w:fill="009AD9"/>
          </w:tcPr>
          <w:p>
            <w:pPr>
              <w:spacing w:after="0"/>
              <w:rPr>
                <w:sz w:val="12"/>
                <w:szCs w:val="12"/>
                <w:color w:val="auto"/>
              </w:rPr>
            </w:pPr>
          </w:p>
        </w:tc>
        <w:tc>
          <w:tcPr>
            <w:tcW w:w="54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1280" w:type="dxa"/>
            <w:vAlign w:val="bottom"/>
            <w:gridSpan w:val="3"/>
            <w:shd w:val="clear" w:color="auto" w:fill="009AD9"/>
          </w:tcPr>
          <w:p>
            <w:pPr>
              <w:jc w:val="right"/>
              <w:ind w:right="218"/>
              <w:spacing w:after="0"/>
              <w:rPr>
                <w:sz w:val="20"/>
                <w:szCs w:val="20"/>
                <w:color w:val="auto"/>
              </w:rPr>
            </w:pPr>
            <w:r>
              <w:rPr>
                <w:rFonts w:ascii="Arial" w:cs="Arial" w:eastAsia="Arial" w:hAnsi="Arial"/>
                <w:sz w:val="8"/>
                <w:szCs w:val="8"/>
                <w:b w:val="1"/>
                <w:bCs w:val="1"/>
                <w:color w:val="FFFFFF"/>
              </w:rPr>
              <w:t>Non-PEO NEOs Pay</w:t>
            </w:r>
            <w:r>
              <w:rPr>
                <w:rFonts w:ascii="Arial" w:cs="Arial" w:eastAsia="Arial" w:hAnsi="Arial"/>
                <w:sz w:val="10"/>
                <w:szCs w:val="10"/>
                <w:b w:val="1"/>
                <w:bCs w:val="1"/>
                <w:color w:val="FFFFFF"/>
                <w:vertAlign w:val="superscript"/>
              </w:rPr>
              <w:t>(2)</w:t>
            </w:r>
          </w:p>
        </w:tc>
        <w:tc>
          <w:tcPr>
            <w:tcW w:w="1240" w:type="dxa"/>
            <w:vAlign w:val="bottom"/>
            <w:gridSpan w:val="4"/>
            <w:shd w:val="clear" w:color="auto" w:fill="009AD9"/>
          </w:tcPr>
          <w:p>
            <w:pPr>
              <w:jc w:val="center"/>
              <w:spacing w:after="0"/>
              <w:rPr>
                <w:sz w:val="20"/>
                <w:szCs w:val="20"/>
                <w:color w:val="auto"/>
              </w:rPr>
            </w:pPr>
            <w:r>
              <w:rPr>
                <w:rFonts w:ascii="Arial" w:cs="Arial" w:eastAsia="Arial" w:hAnsi="Arial"/>
                <w:sz w:val="8"/>
                <w:szCs w:val="8"/>
                <w:b w:val="1"/>
                <w:bCs w:val="1"/>
                <w:color w:val="FFFFFF"/>
              </w:rPr>
              <w:t>Investment Based on:</w:t>
            </w:r>
          </w:p>
        </w:tc>
        <w:tc>
          <w:tcPr>
            <w:tcW w:w="120" w:type="dxa"/>
            <w:vAlign w:val="bottom"/>
            <w:shd w:val="clear" w:color="auto" w:fill="009AD9"/>
          </w:tcPr>
          <w:p>
            <w:pPr>
              <w:spacing w:after="0"/>
              <w:rPr>
                <w:sz w:val="12"/>
                <w:szCs w:val="12"/>
                <w:color w:val="auto"/>
              </w:rPr>
            </w:pPr>
          </w:p>
        </w:tc>
        <w:tc>
          <w:tcPr>
            <w:tcW w:w="640" w:type="dxa"/>
            <w:vAlign w:val="bottom"/>
            <w:gridSpan w:val="2"/>
            <w:shd w:val="clear" w:color="auto" w:fill="009AD9"/>
          </w:tcPr>
          <w:p>
            <w:pPr>
              <w:jc w:val="center"/>
              <w:ind w:left="58"/>
              <w:spacing w:after="0"/>
              <w:rPr>
                <w:sz w:val="20"/>
                <w:szCs w:val="20"/>
                <w:color w:val="auto"/>
              </w:rPr>
            </w:pPr>
            <w:r>
              <w:rPr>
                <w:rFonts w:ascii="Arial" w:cs="Arial" w:eastAsia="Arial" w:hAnsi="Arial"/>
                <w:sz w:val="8"/>
                <w:szCs w:val="8"/>
                <w:b w:val="1"/>
                <w:bCs w:val="1"/>
                <w:color w:val="FFFFFF"/>
              </w:rPr>
              <w:t>Measures</w:t>
            </w:r>
          </w:p>
        </w:tc>
        <w:tc>
          <w:tcPr>
            <w:tcW w:w="220" w:type="dxa"/>
            <w:vAlign w:val="bottom"/>
            <w:shd w:val="clear" w:color="auto" w:fill="009AD9"/>
          </w:tcPr>
          <w:p>
            <w:pPr>
              <w:spacing w:after="0"/>
              <w:rPr>
                <w:sz w:val="12"/>
                <w:szCs w:val="12"/>
                <w:color w:val="auto"/>
              </w:rPr>
            </w:pPr>
          </w:p>
        </w:tc>
      </w:tr>
      <w:tr>
        <w:trPr>
          <w:trHeight w:val="114"/>
        </w:trPr>
        <w:tc>
          <w:tcPr>
            <w:tcW w:w="400" w:type="dxa"/>
            <w:vAlign w:val="bottom"/>
            <w:shd w:val="clear" w:color="auto" w:fill="009AD9"/>
          </w:tcPr>
          <w:p>
            <w:pPr>
              <w:spacing w:after="0"/>
              <w:rPr>
                <w:sz w:val="9"/>
                <w:szCs w:val="9"/>
                <w:color w:val="auto"/>
              </w:rPr>
            </w:pPr>
          </w:p>
        </w:tc>
        <w:tc>
          <w:tcPr>
            <w:tcW w:w="560" w:type="dxa"/>
            <w:vAlign w:val="bottom"/>
            <w:shd w:val="clear" w:color="auto" w:fill="009AD9"/>
          </w:tcPr>
          <w:p>
            <w:pPr>
              <w:spacing w:after="0"/>
              <w:rPr>
                <w:sz w:val="9"/>
                <w:szCs w:val="9"/>
                <w:color w:val="auto"/>
              </w:rPr>
            </w:pPr>
          </w:p>
        </w:tc>
        <w:tc>
          <w:tcPr>
            <w:tcW w:w="62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520" w:type="dxa"/>
            <w:vAlign w:val="bottom"/>
            <w:shd w:val="clear" w:color="auto" w:fill="009AD9"/>
          </w:tcPr>
          <w:p>
            <w:pPr>
              <w:spacing w:after="0"/>
              <w:rPr>
                <w:sz w:val="9"/>
                <w:szCs w:val="9"/>
                <w:color w:val="auto"/>
              </w:rPr>
            </w:pPr>
          </w:p>
        </w:tc>
        <w:tc>
          <w:tcPr>
            <w:tcW w:w="640" w:type="dxa"/>
            <w:vAlign w:val="bottom"/>
            <w:shd w:val="clear" w:color="auto" w:fill="009AD9"/>
          </w:tcPr>
          <w:p>
            <w:pPr>
              <w:spacing w:after="0"/>
              <w:rPr>
                <w:sz w:val="9"/>
                <w:szCs w:val="9"/>
                <w:color w:val="auto"/>
              </w:rPr>
            </w:pPr>
          </w:p>
        </w:tc>
        <w:tc>
          <w:tcPr>
            <w:tcW w:w="540" w:type="dxa"/>
            <w:vAlign w:val="bottom"/>
            <w:shd w:val="clear" w:color="auto" w:fill="009AD9"/>
          </w:tcPr>
          <w:p>
            <w:pPr>
              <w:spacing w:after="0"/>
              <w:rPr>
                <w:sz w:val="9"/>
                <w:szCs w:val="9"/>
                <w:color w:val="auto"/>
              </w:rPr>
            </w:pPr>
          </w:p>
        </w:tc>
        <w:tc>
          <w:tcPr>
            <w:tcW w:w="100" w:type="dxa"/>
            <w:vAlign w:val="bottom"/>
            <w:shd w:val="clear" w:color="auto" w:fill="009AD9"/>
          </w:tcPr>
          <w:p>
            <w:pPr>
              <w:spacing w:after="0"/>
              <w:rPr>
                <w:sz w:val="9"/>
                <w:szCs w:val="9"/>
                <w:color w:val="auto"/>
              </w:rPr>
            </w:pPr>
          </w:p>
        </w:tc>
        <w:tc>
          <w:tcPr>
            <w:tcW w:w="580" w:type="dxa"/>
            <w:vAlign w:val="bottom"/>
            <w:shd w:val="clear" w:color="auto" w:fill="009AD9"/>
          </w:tcPr>
          <w:p>
            <w:pPr>
              <w:jc w:val="center"/>
              <w:ind w:right="58"/>
              <w:spacing w:after="0"/>
              <w:rPr>
                <w:sz w:val="20"/>
                <w:szCs w:val="20"/>
                <w:color w:val="auto"/>
              </w:rPr>
            </w:pPr>
            <w:r>
              <w:rPr>
                <w:rFonts w:ascii="Arial" w:cs="Arial" w:eastAsia="Arial" w:hAnsi="Arial"/>
                <w:sz w:val="8"/>
                <w:szCs w:val="8"/>
                <w:b w:val="1"/>
                <w:bCs w:val="1"/>
                <w:color w:val="FFFFFF"/>
              </w:rPr>
              <w:t>Average</w:t>
            </w:r>
          </w:p>
        </w:tc>
        <w:tc>
          <w:tcPr>
            <w:tcW w:w="120" w:type="dxa"/>
            <w:vAlign w:val="bottom"/>
            <w:shd w:val="clear" w:color="auto" w:fill="009AD9"/>
          </w:tcPr>
          <w:p>
            <w:pPr>
              <w:spacing w:after="0"/>
              <w:rPr>
                <w:sz w:val="9"/>
                <w:szCs w:val="9"/>
                <w:color w:val="auto"/>
              </w:rPr>
            </w:pPr>
          </w:p>
        </w:tc>
        <w:tc>
          <w:tcPr>
            <w:tcW w:w="580" w:type="dxa"/>
            <w:vAlign w:val="bottom"/>
            <w:shd w:val="clear" w:color="auto" w:fill="009AD9"/>
          </w:tcPr>
          <w:p>
            <w:pPr>
              <w:spacing w:after="0"/>
              <w:rPr>
                <w:sz w:val="9"/>
                <w:szCs w:val="9"/>
                <w:color w:val="auto"/>
              </w:rPr>
            </w:pPr>
          </w:p>
        </w:tc>
        <w:tc>
          <w:tcPr>
            <w:tcW w:w="320" w:type="dxa"/>
            <w:vAlign w:val="bottom"/>
            <w:shd w:val="clear" w:color="auto" w:fill="009AD9"/>
          </w:tcPr>
          <w:p>
            <w:pPr>
              <w:spacing w:after="0"/>
              <w:rPr>
                <w:sz w:val="9"/>
                <w:szCs w:val="9"/>
                <w:color w:val="auto"/>
              </w:rPr>
            </w:pPr>
          </w:p>
        </w:tc>
        <w:tc>
          <w:tcPr>
            <w:tcW w:w="280" w:type="dxa"/>
            <w:vAlign w:val="bottom"/>
            <w:shd w:val="clear" w:color="auto" w:fill="009AD9"/>
          </w:tcPr>
          <w:p>
            <w:pPr>
              <w:spacing w:after="0"/>
              <w:rPr>
                <w:sz w:val="9"/>
                <w:szCs w:val="9"/>
                <w:color w:val="auto"/>
              </w:rPr>
            </w:pPr>
          </w:p>
        </w:tc>
        <w:tc>
          <w:tcPr>
            <w:tcW w:w="640" w:type="dxa"/>
            <w:vAlign w:val="bottom"/>
            <w:gridSpan w:val="2"/>
            <w:shd w:val="clear" w:color="auto" w:fill="009AD9"/>
          </w:tcPr>
          <w:p>
            <w:pPr>
              <w:ind w:left="40"/>
              <w:spacing w:after="0"/>
              <w:rPr>
                <w:sz w:val="20"/>
                <w:szCs w:val="20"/>
                <w:color w:val="auto"/>
              </w:rPr>
            </w:pPr>
            <w:r>
              <w:rPr>
                <w:rFonts w:ascii="Arial" w:cs="Arial" w:eastAsia="Arial" w:hAnsi="Arial"/>
                <w:sz w:val="8"/>
                <w:szCs w:val="8"/>
                <w:b w:val="1"/>
                <w:bCs w:val="1"/>
                <w:color w:val="FFFFFF"/>
              </w:rPr>
              <w:t>“Peer Group”</w:t>
            </w:r>
          </w:p>
        </w:tc>
        <w:tc>
          <w:tcPr>
            <w:tcW w:w="120" w:type="dxa"/>
            <w:vAlign w:val="bottom"/>
            <w:shd w:val="clear" w:color="auto" w:fill="009AD9"/>
          </w:tcPr>
          <w:p>
            <w:pPr>
              <w:spacing w:after="0"/>
              <w:rPr>
                <w:sz w:val="9"/>
                <w:szCs w:val="9"/>
                <w:color w:val="auto"/>
              </w:rPr>
            </w:pPr>
          </w:p>
        </w:tc>
        <w:tc>
          <w:tcPr>
            <w:tcW w:w="360" w:type="dxa"/>
            <w:vAlign w:val="bottom"/>
            <w:shd w:val="clear" w:color="auto" w:fill="009AD9"/>
          </w:tcPr>
          <w:p>
            <w:pPr>
              <w:spacing w:after="0"/>
              <w:rPr>
                <w:sz w:val="9"/>
                <w:szCs w:val="9"/>
                <w:color w:val="auto"/>
              </w:rPr>
            </w:pPr>
          </w:p>
        </w:tc>
        <w:tc>
          <w:tcPr>
            <w:tcW w:w="280" w:type="dxa"/>
            <w:vAlign w:val="bottom"/>
            <w:shd w:val="clear" w:color="auto" w:fill="009AD9"/>
          </w:tcPr>
          <w:p>
            <w:pPr>
              <w:spacing w:after="0"/>
              <w:rPr>
                <w:sz w:val="9"/>
                <w:szCs w:val="9"/>
                <w:color w:val="auto"/>
              </w:rPr>
            </w:pPr>
          </w:p>
        </w:tc>
        <w:tc>
          <w:tcPr>
            <w:tcW w:w="220" w:type="dxa"/>
            <w:vAlign w:val="bottom"/>
            <w:shd w:val="clear" w:color="auto" w:fill="009AD9"/>
          </w:tcPr>
          <w:p>
            <w:pPr>
              <w:spacing w:after="0"/>
              <w:rPr>
                <w:sz w:val="9"/>
                <w:szCs w:val="9"/>
                <w:color w:val="auto"/>
              </w:rPr>
            </w:pPr>
          </w:p>
        </w:tc>
      </w:tr>
      <w:tr>
        <w:trPr>
          <w:trHeight w:val="91"/>
        </w:trPr>
        <w:tc>
          <w:tcPr>
            <w:tcW w:w="400" w:type="dxa"/>
            <w:vAlign w:val="bottom"/>
            <w:shd w:val="clear" w:color="auto" w:fill="009AD9"/>
          </w:tcPr>
          <w:p>
            <w:pPr>
              <w:spacing w:after="0"/>
              <w:rPr>
                <w:sz w:val="7"/>
                <w:szCs w:val="7"/>
                <w:color w:val="auto"/>
              </w:rPr>
            </w:pPr>
          </w:p>
        </w:tc>
        <w:tc>
          <w:tcPr>
            <w:tcW w:w="560" w:type="dxa"/>
            <w:vAlign w:val="bottom"/>
            <w:shd w:val="clear" w:color="auto" w:fill="009AD9"/>
          </w:tcPr>
          <w:p>
            <w:pPr>
              <w:spacing w:after="0"/>
              <w:rPr>
                <w:sz w:val="7"/>
                <w:szCs w:val="7"/>
                <w:color w:val="auto"/>
              </w:rPr>
            </w:pPr>
          </w:p>
        </w:tc>
        <w:tc>
          <w:tcPr>
            <w:tcW w:w="62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520" w:type="dxa"/>
            <w:vAlign w:val="bottom"/>
            <w:shd w:val="clear" w:color="auto" w:fill="009AD9"/>
          </w:tcPr>
          <w:p>
            <w:pPr>
              <w:spacing w:after="0"/>
              <w:rPr>
                <w:sz w:val="7"/>
                <w:szCs w:val="7"/>
                <w:color w:val="auto"/>
              </w:rPr>
            </w:pPr>
          </w:p>
        </w:tc>
        <w:tc>
          <w:tcPr>
            <w:tcW w:w="64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100" w:type="dxa"/>
            <w:vAlign w:val="bottom"/>
            <w:shd w:val="clear" w:color="auto" w:fill="009AD9"/>
          </w:tcPr>
          <w:p>
            <w:pPr>
              <w:spacing w:after="0"/>
              <w:rPr>
                <w:sz w:val="7"/>
                <w:szCs w:val="7"/>
                <w:color w:val="auto"/>
              </w:rPr>
            </w:pPr>
          </w:p>
        </w:tc>
        <w:tc>
          <w:tcPr>
            <w:tcW w:w="580" w:type="dxa"/>
            <w:vAlign w:val="bottom"/>
            <w:shd w:val="clear" w:color="auto" w:fill="009AD9"/>
          </w:tcPr>
          <w:p>
            <w:pPr>
              <w:jc w:val="center"/>
              <w:ind w:right="58"/>
              <w:spacing w:after="0" w:line="91" w:lineRule="exact"/>
              <w:rPr>
                <w:sz w:val="20"/>
                <w:szCs w:val="20"/>
                <w:color w:val="auto"/>
              </w:rPr>
            </w:pPr>
            <w:r>
              <w:rPr>
                <w:rFonts w:ascii="Arial" w:cs="Arial" w:eastAsia="Arial" w:hAnsi="Arial"/>
                <w:sz w:val="8"/>
                <w:szCs w:val="8"/>
                <w:b w:val="1"/>
                <w:bCs w:val="1"/>
                <w:color w:val="FFFFFF"/>
              </w:rPr>
              <w:t>Summary</w:t>
            </w:r>
          </w:p>
        </w:tc>
        <w:tc>
          <w:tcPr>
            <w:tcW w:w="120" w:type="dxa"/>
            <w:vAlign w:val="bottom"/>
            <w:shd w:val="clear" w:color="auto" w:fill="009AD9"/>
          </w:tcPr>
          <w:p>
            <w:pPr>
              <w:spacing w:after="0"/>
              <w:rPr>
                <w:sz w:val="7"/>
                <w:szCs w:val="7"/>
                <w:color w:val="auto"/>
              </w:rPr>
            </w:pPr>
          </w:p>
        </w:tc>
        <w:tc>
          <w:tcPr>
            <w:tcW w:w="580" w:type="dxa"/>
            <w:vAlign w:val="bottom"/>
            <w:shd w:val="clear" w:color="auto" w:fill="009AD9"/>
          </w:tcPr>
          <w:p>
            <w:pPr>
              <w:spacing w:after="0"/>
              <w:rPr>
                <w:sz w:val="7"/>
                <w:szCs w:val="7"/>
                <w:color w:val="auto"/>
              </w:rPr>
            </w:pPr>
          </w:p>
        </w:tc>
        <w:tc>
          <w:tcPr>
            <w:tcW w:w="60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Total</w:t>
            </w:r>
          </w:p>
        </w:tc>
        <w:tc>
          <w:tcPr>
            <w:tcW w:w="120" w:type="dxa"/>
            <w:vAlign w:val="bottom"/>
            <w:shd w:val="clear" w:color="auto" w:fill="009AD9"/>
          </w:tcPr>
          <w:p>
            <w:pPr>
              <w:spacing w:after="0"/>
              <w:rPr>
                <w:sz w:val="7"/>
                <w:szCs w:val="7"/>
                <w:color w:val="auto"/>
              </w:rPr>
            </w:pPr>
          </w:p>
        </w:tc>
        <w:tc>
          <w:tcPr>
            <w:tcW w:w="520" w:type="dxa"/>
            <w:vAlign w:val="bottom"/>
            <w:shd w:val="clear" w:color="auto" w:fill="009AD9"/>
          </w:tcPr>
          <w:p>
            <w:pPr>
              <w:jc w:val="center"/>
              <w:ind w:right="78"/>
              <w:spacing w:after="0" w:line="91" w:lineRule="exact"/>
              <w:rPr>
                <w:sz w:val="20"/>
                <w:szCs w:val="20"/>
                <w:color w:val="auto"/>
              </w:rPr>
            </w:pPr>
            <w:r>
              <w:rPr>
                <w:rFonts w:ascii="Arial" w:cs="Arial" w:eastAsia="Arial" w:hAnsi="Arial"/>
                <w:sz w:val="8"/>
                <w:szCs w:val="8"/>
                <w:b w:val="1"/>
                <w:bCs w:val="1"/>
                <w:color w:val="FFFFFF"/>
              </w:rPr>
              <w:t>Total</w:t>
            </w:r>
          </w:p>
        </w:tc>
        <w:tc>
          <w:tcPr>
            <w:tcW w:w="120" w:type="dxa"/>
            <w:vAlign w:val="bottom"/>
            <w:shd w:val="clear" w:color="auto" w:fill="009AD9"/>
          </w:tcPr>
          <w:p>
            <w:pPr>
              <w:spacing w:after="0"/>
              <w:rPr>
                <w:sz w:val="7"/>
                <w:szCs w:val="7"/>
                <w:color w:val="auto"/>
              </w:rPr>
            </w:pPr>
          </w:p>
        </w:tc>
        <w:tc>
          <w:tcPr>
            <w:tcW w:w="360" w:type="dxa"/>
            <w:vAlign w:val="bottom"/>
            <w:shd w:val="clear" w:color="auto" w:fill="009AD9"/>
          </w:tcPr>
          <w:p>
            <w:pPr>
              <w:spacing w:after="0"/>
              <w:rPr>
                <w:sz w:val="7"/>
                <w:szCs w:val="7"/>
                <w:color w:val="auto"/>
              </w:rPr>
            </w:pPr>
          </w:p>
        </w:tc>
        <w:tc>
          <w:tcPr>
            <w:tcW w:w="500" w:type="dxa"/>
            <w:vAlign w:val="bottom"/>
            <w:gridSpan w:val="2"/>
            <w:shd w:val="clear" w:color="auto" w:fill="009AD9"/>
          </w:tcPr>
          <w:p>
            <w:pPr>
              <w:ind w:left="40"/>
              <w:spacing w:after="0" w:line="91" w:lineRule="exact"/>
              <w:rPr>
                <w:sz w:val="20"/>
                <w:szCs w:val="20"/>
                <w:color w:val="auto"/>
              </w:rPr>
            </w:pPr>
            <w:r>
              <w:rPr>
                <w:rFonts w:ascii="Arial" w:cs="Arial" w:eastAsia="Arial" w:hAnsi="Arial"/>
                <w:sz w:val="8"/>
                <w:szCs w:val="8"/>
                <w:b w:val="1"/>
                <w:bCs w:val="1"/>
                <w:color w:val="FFFFFF"/>
              </w:rPr>
              <w:t>Company-</w:t>
            </w:r>
          </w:p>
        </w:tc>
      </w:tr>
      <w:tr>
        <w:trPr>
          <w:trHeight w:val="91"/>
        </w:trPr>
        <w:tc>
          <w:tcPr>
            <w:tcW w:w="400" w:type="dxa"/>
            <w:vAlign w:val="bottom"/>
            <w:shd w:val="clear" w:color="auto" w:fill="009AD9"/>
          </w:tcPr>
          <w:p>
            <w:pPr>
              <w:spacing w:after="0"/>
              <w:rPr>
                <w:sz w:val="7"/>
                <w:szCs w:val="7"/>
                <w:color w:val="auto"/>
              </w:rPr>
            </w:pPr>
          </w:p>
        </w:tc>
        <w:tc>
          <w:tcPr>
            <w:tcW w:w="560" w:type="dxa"/>
            <w:vAlign w:val="bottom"/>
            <w:shd w:val="clear" w:color="auto" w:fill="009AD9"/>
          </w:tcPr>
          <w:p>
            <w:pPr>
              <w:spacing w:after="0"/>
              <w:rPr>
                <w:sz w:val="7"/>
                <w:szCs w:val="7"/>
                <w:color w:val="auto"/>
              </w:rPr>
            </w:pPr>
          </w:p>
        </w:tc>
        <w:tc>
          <w:tcPr>
            <w:tcW w:w="62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520" w:type="dxa"/>
            <w:vAlign w:val="bottom"/>
            <w:shd w:val="clear" w:color="auto" w:fill="009AD9"/>
          </w:tcPr>
          <w:p>
            <w:pPr>
              <w:spacing w:after="0"/>
              <w:rPr>
                <w:sz w:val="7"/>
                <w:szCs w:val="7"/>
                <w:color w:val="auto"/>
              </w:rPr>
            </w:pPr>
          </w:p>
        </w:tc>
        <w:tc>
          <w:tcPr>
            <w:tcW w:w="64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680" w:type="dxa"/>
            <w:vAlign w:val="bottom"/>
            <w:gridSpan w:val="2"/>
            <w:shd w:val="clear" w:color="auto" w:fill="009AD9"/>
          </w:tcPr>
          <w:p>
            <w:pPr>
              <w:ind w:left="40"/>
              <w:spacing w:after="0" w:line="91" w:lineRule="exact"/>
              <w:rPr>
                <w:sz w:val="20"/>
                <w:szCs w:val="20"/>
                <w:color w:val="auto"/>
              </w:rPr>
            </w:pPr>
            <w:r>
              <w:rPr>
                <w:rFonts w:ascii="Arial" w:cs="Arial" w:eastAsia="Arial" w:hAnsi="Arial"/>
                <w:sz w:val="8"/>
                <w:szCs w:val="8"/>
                <w:b w:val="1"/>
                <w:bCs w:val="1"/>
                <w:color w:val="FFFFFF"/>
              </w:rPr>
              <w:t>Compensation</w:t>
            </w:r>
          </w:p>
        </w:tc>
        <w:tc>
          <w:tcPr>
            <w:tcW w:w="120" w:type="dxa"/>
            <w:vAlign w:val="bottom"/>
            <w:shd w:val="clear" w:color="auto" w:fill="009AD9"/>
          </w:tcPr>
          <w:p>
            <w:pPr>
              <w:spacing w:after="0"/>
              <w:rPr>
                <w:sz w:val="7"/>
                <w:szCs w:val="7"/>
                <w:color w:val="auto"/>
              </w:rPr>
            </w:pPr>
          </w:p>
        </w:tc>
        <w:tc>
          <w:tcPr>
            <w:tcW w:w="580" w:type="dxa"/>
            <w:vAlign w:val="bottom"/>
            <w:shd w:val="clear" w:color="auto" w:fill="009AD9"/>
          </w:tcPr>
          <w:p>
            <w:pPr>
              <w:jc w:val="center"/>
              <w:ind w:right="78"/>
              <w:spacing w:after="0" w:line="91" w:lineRule="exact"/>
              <w:rPr>
                <w:sz w:val="20"/>
                <w:szCs w:val="20"/>
                <w:color w:val="auto"/>
              </w:rPr>
            </w:pPr>
            <w:r>
              <w:rPr>
                <w:rFonts w:ascii="Arial" w:cs="Arial" w:eastAsia="Arial" w:hAnsi="Arial"/>
                <w:sz w:val="8"/>
                <w:szCs w:val="8"/>
                <w:b w:val="1"/>
                <w:bCs w:val="1"/>
                <w:color w:val="FFFFFF"/>
              </w:rPr>
              <w:t>Average</w:t>
            </w:r>
          </w:p>
        </w:tc>
        <w:tc>
          <w:tcPr>
            <w:tcW w:w="600" w:type="dxa"/>
            <w:vAlign w:val="bottom"/>
            <w:gridSpan w:val="2"/>
            <w:shd w:val="clear" w:color="auto" w:fill="009AD9"/>
          </w:tcPr>
          <w:p>
            <w:pPr>
              <w:ind w:left="40"/>
              <w:spacing w:after="0" w:line="91" w:lineRule="exact"/>
              <w:rPr>
                <w:sz w:val="20"/>
                <w:szCs w:val="20"/>
                <w:color w:val="auto"/>
              </w:rPr>
            </w:pPr>
            <w:r>
              <w:rPr>
                <w:rFonts w:ascii="Arial" w:cs="Arial" w:eastAsia="Arial" w:hAnsi="Arial"/>
                <w:sz w:val="8"/>
                <w:szCs w:val="8"/>
                <w:b w:val="1"/>
                <w:bCs w:val="1"/>
                <w:color w:val="FFFFFF"/>
              </w:rPr>
              <w:t>Shareholder</w:t>
            </w:r>
          </w:p>
        </w:tc>
        <w:tc>
          <w:tcPr>
            <w:tcW w:w="64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Shareholder</w:t>
            </w:r>
          </w:p>
        </w:tc>
        <w:tc>
          <w:tcPr>
            <w:tcW w:w="120" w:type="dxa"/>
            <w:vAlign w:val="bottom"/>
            <w:shd w:val="clear" w:color="auto" w:fill="009AD9"/>
          </w:tcPr>
          <w:p>
            <w:pPr>
              <w:spacing w:after="0"/>
              <w:rPr>
                <w:sz w:val="7"/>
                <w:szCs w:val="7"/>
                <w:color w:val="auto"/>
              </w:rPr>
            </w:pPr>
          </w:p>
        </w:tc>
        <w:tc>
          <w:tcPr>
            <w:tcW w:w="360" w:type="dxa"/>
            <w:vAlign w:val="bottom"/>
            <w:shd w:val="clear" w:color="auto" w:fill="009AD9"/>
          </w:tcPr>
          <w:p>
            <w:pPr>
              <w:jc w:val="center"/>
              <w:ind w:right="98"/>
              <w:spacing w:after="0" w:line="91" w:lineRule="exact"/>
              <w:rPr>
                <w:sz w:val="20"/>
                <w:szCs w:val="20"/>
                <w:color w:val="auto"/>
              </w:rPr>
            </w:pPr>
            <w:r>
              <w:rPr>
                <w:rFonts w:ascii="Arial" w:cs="Arial" w:eastAsia="Arial" w:hAnsi="Arial"/>
                <w:sz w:val="8"/>
                <w:szCs w:val="8"/>
                <w:b w:val="1"/>
                <w:bCs w:val="1"/>
                <w:color w:val="FFFFFF"/>
              </w:rPr>
              <w:t>Net</w:t>
            </w:r>
          </w:p>
        </w:tc>
        <w:tc>
          <w:tcPr>
            <w:tcW w:w="50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Selected</w:t>
            </w:r>
          </w:p>
        </w:tc>
      </w:tr>
      <w:tr>
        <w:trPr>
          <w:trHeight w:val="91"/>
        </w:trPr>
        <w:tc>
          <w:tcPr>
            <w:tcW w:w="400" w:type="dxa"/>
            <w:vAlign w:val="bottom"/>
            <w:shd w:val="clear" w:color="auto" w:fill="009AD9"/>
          </w:tcPr>
          <w:p>
            <w:pPr>
              <w:spacing w:after="0"/>
              <w:rPr>
                <w:sz w:val="7"/>
                <w:szCs w:val="7"/>
                <w:color w:val="auto"/>
              </w:rPr>
            </w:pPr>
          </w:p>
        </w:tc>
        <w:tc>
          <w:tcPr>
            <w:tcW w:w="560" w:type="dxa"/>
            <w:vAlign w:val="bottom"/>
            <w:shd w:val="clear" w:color="auto" w:fill="009AD9"/>
          </w:tcPr>
          <w:p>
            <w:pPr>
              <w:spacing w:after="0"/>
              <w:rPr>
                <w:sz w:val="7"/>
                <w:szCs w:val="7"/>
                <w:color w:val="auto"/>
              </w:rPr>
            </w:pPr>
          </w:p>
        </w:tc>
        <w:tc>
          <w:tcPr>
            <w:tcW w:w="62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520" w:type="dxa"/>
            <w:vAlign w:val="bottom"/>
            <w:shd w:val="clear" w:color="auto" w:fill="009AD9"/>
          </w:tcPr>
          <w:p>
            <w:pPr>
              <w:spacing w:after="0"/>
              <w:rPr>
                <w:sz w:val="7"/>
                <w:szCs w:val="7"/>
                <w:color w:val="auto"/>
              </w:rPr>
            </w:pPr>
          </w:p>
        </w:tc>
        <w:tc>
          <w:tcPr>
            <w:tcW w:w="640" w:type="dxa"/>
            <w:vAlign w:val="bottom"/>
            <w:shd w:val="clear" w:color="auto" w:fill="009AD9"/>
          </w:tcPr>
          <w:p>
            <w:pPr>
              <w:spacing w:after="0"/>
              <w:rPr>
                <w:sz w:val="7"/>
                <w:szCs w:val="7"/>
                <w:color w:val="auto"/>
              </w:rPr>
            </w:pPr>
          </w:p>
        </w:tc>
        <w:tc>
          <w:tcPr>
            <w:tcW w:w="540" w:type="dxa"/>
            <w:vAlign w:val="bottom"/>
            <w:shd w:val="clear" w:color="auto" w:fill="009AD9"/>
          </w:tcPr>
          <w:p>
            <w:pPr>
              <w:spacing w:after="0"/>
              <w:rPr>
                <w:sz w:val="7"/>
                <w:szCs w:val="7"/>
                <w:color w:val="auto"/>
              </w:rPr>
            </w:pPr>
          </w:p>
        </w:tc>
        <w:tc>
          <w:tcPr>
            <w:tcW w:w="100" w:type="dxa"/>
            <w:vAlign w:val="bottom"/>
            <w:shd w:val="clear" w:color="auto" w:fill="009AD9"/>
          </w:tcPr>
          <w:p>
            <w:pPr>
              <w:spacing w:after="0"/>
              <w:rPr>
                <w:sz w:val="7"/>
                <w:szCs w:val="7"/>
                <w:color w:val="auto"/>
              </w:rPr>
            </w:pPr>
          </w:p>
        </w:tc>
        <w:tc>
          <w:tcPr>
            <w:tcW w:w="580" w:type="dxa"/>
            <w:vAlign w:val="bottom"/>
            <w:shd w:val="clear" w:color="auto" w:fill="009AD9"/>
          </w:tcPr>
          <w:p>
            <w:pPr>
              <w:jc w:val="center"/>
              <w:ind w:right="58"/>
              <w:spacing w:after="0" w:line="91" w:lineRule="exact"/>
              <w:rPr>
                <w:sz w:val="20"/>
                <w:szCs w:val="20"/>
                <w:color w:val="auto"/>
              </w:rPr>
            </w:pPr>
            <w:r>
              <w:rPr>
                <w:rFonts w:ascii="Arial" w:cs="Arial" w:eastAsia="Arial" w:hAnsi="Arial"/>
                <w:sz w:val="8"/>
                <w:szCs w:val="8"/>
                <w:b w:val="1"/>
                <w:bCs w:val="1"/>
                <w:color w:val="FFFFFF"/>
              </w:rPr>
              <w:t>Table Total</w:t>
            </w:r>
          </w:p>
        </w:tc>
        <w:tc>
          <w:tcPr>
            <w:tcW w:w="700" w:type="dxa"/>
            <w:vAlign w:val="bottom"/>
            <w:gridSpan w:val="2"/>
            <w:shd w:val="clear" w:color="auto" w:fill="009AD9"/>
          </w:tcPr>
          <w:p>
            <w:pPr>
              <w:ind w:left="40"/>
              <w:spacing w:after="0" w:line="91" w:lineRule="exact"/>
              <w:rPr>
                <w:sz w:val="20"/>
                <w:szCs w:val="20"/>
                <w:color w:val="auto"/>
              </w:rPr>
            </w:pPr>
            <w:r>
              <w:rPr>
                <w:rFonts w:ascii="Arial" w:cs="Arial" w:eastAsia="Arial" w:hAnsi="Arial"/>
                <w:sz w:val="8"/>
                <w:szCs w:val="8"/>
                <w:b w:val="1"/>
                <w:bCs w:val="1"/>
                <w:color w:val="FFFFFF"/>
              </w:rPr>
              <w:t>Compensation</w:t>
            </w:r>
          </w:p>
        </w:tc>
        <w:tc>
          <w:tcPr>
            <w:tcW w:w="60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Return</w:t>
            </w:r>
          </w:p>
        </w:tc>
        <w:tc>
          <w:tcPr>
            <w:tcW w:w="120" w:type="dxa"/>
            <w:vAlign w:val="bottom"/>
            <w:shd w:val="clear" w:color="auto" w:fill="009AD9"/>
          </w:tcPr>
          <w:p>
            <w:pPr>
              <w:spacing w:after="0"/>
              <w:rPr>
                <w:sz w:val="7"/>
                <w:szCs w:val="7"/>
                <w:color w:val="auto"/>
              </w:rPr>
            </w:pPr>
          </w:p>
        </w:tc>
        <w:tc>
          <w:tcPr>
            <w:tcW w:w="520" w:type="dxa"/>
            <w:vAlign w:val="bottom"/>
            <w:shd w:val="clear" w:color="auto" w:fill="009AD9"/>
          </w:tcPr>
          <w:p>
            <w:pPr>
              <w:jc w:val="center"/>
              <w:ind w:right="78"/>
              <w:spacing w:after="0" w:line="91" w:lineRule="exact"/>
              <w:rPr>
                <w:sz w:val="20"/>
                <w:szCs w:val="20"/>
                <w:color w:val="auto"/>
              </w:rPr>
            </w:pPr>
            <w:r>
              <w:rPr>
                <w:rFonts w:ascii="Arial" w:cs="Arial" w:eastAsia="Arial" w:hAnsi="Arial"/>
                <w:sz w:val="8"/>
                <w:szCs w:val="8"/>
                <w:b w:val="1"/>
                <w:bCs w:val="1"/>
                <w:color w:val="FFFFFF"/>
              </w:rPr>
              <w:t>Return</w:t>
            </w:r>
          </w:p>
        </w:tc>
        <w:tc>
          <w:tcPr>
            <w:tcW w:w="48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w w:val="99"/>
              </w:rPr>
              <w:t>Income</w:t>
            </w:r>
            <w:r>
              <w:rPr>
                <w:rFonts w:ascii="Arial" w:cs="Arial" w:eastAsia="Arial" w:hAnsi="Arial"/>
                <w:sz w:val="10"/>
                <w:szCs w:val="10"/>
                <w:b w:val="1"/>
                <w:bCs w:val="1"/>
                <w:color w:val="FFFFFF"/>
                <w:w w:val="99"/>
                <w:vertAlign w:val="superscript"/>
              </w:rPr>
              <w:t>(5)</w:t>
            </w:r>
          </w:p>
        </w:tc>
        <w:tc>
          <w:tcPr>
            <w:tcW w:w="500" w:type="dxa"/>
            <w:vAlign w:val="bottom"/>
            <w:gridSpan w:val="2"/>
            <w:shd w:val="clear" w:color="auto" w:fill="009AD9"/>
          </w:tcPr>
          <w:p>
            <w:pPr>
              <w:ind w:left="60"/>
              <w:spacing w:after="0" w:line="91" w:lineRule="exact"/>
              <w:rPr>
                <w:sz w:val="20"/>
                <w:szCs w:val="20"/>
                <w:color w:val="auto"/>
              </w:rPr>
            </w:pPr>
            <w:r>
              <w:rPr>
                <w:rFonts w:ascii="Arial" w:cs="Arial" w:eastAsia="Arial" w:hAnsi="Arial"/>
                <w:sz w:val="8"/>
                <w:szCs w:val="8"/>
                <w:b w:val="1"/>
                <w:bCs w:val="1"/>
                <w:color w:val="FFFFFF"/>
              </w:rPr>
              <w:t>Measure–</w:t>
            </w:r>
          </w:p>
        </w:tc>
      </w:tr>
      <w:tr>
        <w:trPr>
          <w:trHeight w:val="91"/>
        </w:trPr>
        <w:tc>
          <w:tcPr>
            <w:tcW w:w="400" w:type="dxa"/>
            <w:vAlign w:val="bottom"/>
            <w:shd w:val="clear" w:color="auto" w:fill="009AD9"/>
          </w:tcPr>
          <w:p>
            <w:pPr>
              <w:spacing w:after="0"/>
              <w:rPr>
                <w:sz w:val="7"/>
                <w:szCs w:val="7"/>
                <w:color w:val="auto"/>
              </w:rPr>
            </w:pPr>
          </w:p>
        </w:tc>
        <w:tc>
          <w:tcPr>
            <w:tcW w:w="1720" w:type="dxa"/>
            <w:vAlign w:val="bottom"/>
            <w:gridSpan w:val="3"/>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Summary Compensation</w:t>
            </w:r>
          </w:p>
        </w:tc>
        <w:tc>
          <w:tcPr>
            <w:tcW w:w="520" w:type="dxa"/>
            <w:vAlign w:val="bottom"/>
            <w:shd w:val="clear" w:color="auto" w:fill="009AD9"/>
          </w:tcPr>
          <w:p>
            <w:pPr>
              <w:spacing w:after="0"/>
              <w:rPr>
                <w:sz w:val="7"/>
                <w:szCs w:val="7"/>
                <w:color w:val="auto"/>
              </w:rPr>
            </w:pPr>
          </w:p>
        </w:tc>
        <w:tc>
          <w:tcPr>
            <w:tcW w:w="640" w:type="dxa"/>
            <w:vAlign w:val="bottom"/>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Compensation</w:t>
            </w:r>
          </w:p>
        </w:tc>
        <w:tc>
          <w:tcPr>
            <w:tcW w:w="540" w:type="dxa"/>
            <w:vAlign w:val="bottom"/>
            <w:shd w:val="clear" w:color="auto" w:fill="009AD9"/>
          </w:tcPr>
          <w:p>
            <w:pPr>
              <w:spacing w:after="0"/>
              <w:rPr>
                <w:sz w:val="7"/>
                <w:szCs w:val="7"/>
                <w:color w:val="auto"/>
              </w:rPr>
            </w:pPr>
          </w:p>
        </w:tc>
        <w:tc>
          <w:tcPr>
            <w:tcW w:w="680" w:type="dxa"/>
            <w:vAlign w:val="bottom"/>
            <w:gridSpan w:val="2"/>
            <w:shd w:val="clear" w:color="auto" w:fill="009AD9"/>
          </w:tcPr>
          <w:p>
            <w:pPr>
              <w:ind w:left="40"/>
              <w:spacing w:after="0" w:line="91" w:lineRule="exact"/>
              <w:rPr>
                <w:sz w:val="20"/>
                <w:szCs w:val="20"/>
                <w:color w:val="auto"/>
              </w:rPr>
            </w:pPr>
            <w:r>
              <w:rPr>
                <w:rFonts w:ascii="Arial" w:cs="Arial" w:eastAsia="Arial" w:hAnsi="Arial"/>
                <w:sz w:val="8"/>
                <w:szCs w:val="8"/>
                <w:b w:val="1"/>
                <w:bCs w:val="1"/>
                <w:color w:val="FFFFFF"/>
              </w:rPr>
              <w:t>Compensation</w:t>
            </w:r>
          </w:p>
        </w:tc>
        <w:tc>
          <w:tcPr>
            <w:tcW w:w="120" w:type="dxa"/>
            <w:vAlign w:val="bottom"/>
            <w:shd w:val="clear" w:color="auto" w:fill="009AD9"/>
          </w:tcPr>
          <w:p>
            <w:pPr>
              <w:spacing w:after="0"/>
              <w:rPr>
                <w:sz w:val="7"/>
                <w:szCs w:val="7"/>
                <w:color w:val="auto"/>
              </w:rPr>
            </w:pPr>
          </w:p>
        </w:tc>
        <w:tc>
          <w:tcPr>
            <w:tcW w:w="580" w:type="dxa"/>
            <w:vAlign w:val="bottom"/>
            <w:shd w:val="clear" w:color="auto" w:fill="009AD9"/>
          </w:tcPr>
          <w:p>
            <w:pPr>
              <w:jc w:val="center"/>
              <w:ind w:right="78"/>
              <w:spacing w:after="0" w:line="91" w:lineRule="exact"/>
              <w:rPr>
                <w:sz w:val="20"/>
                <w:szCs w:val="20"/>
                <w:color w:val="auto"/>
              </w:rPr>
            </w:pPr>
            <w:r>
              <w:rPr>
                <w:rFonts w:ascii="Arial" w:cs="Arial" w:eastAsia="Arial" w:hAnsi="Arial"/>
                <w:sz w:val="8"/>
                <w:szCs w:val="8"/>
                <w:b w:val="1"/>
                <w:bCs w:val="1"/>
                <w:color w:val="FFFFFF"/>
              </w:rPr>
              <w:t>“Actually</w:t>
            </w:r>
          </w:p>
        </w:tc>
        <w:tc>
          <w:tcPr>
            <w:tcW w:w="60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w w:val="94"/>
              </w:rPr>
              <w:t>(TSR)</w:t>
            </w:r>
            <w:r>
              <w:rPr>
                <w:rFonts w:ascii="Arial" w:cs="Arial" w:eastAsia="Arial" w:hAnsi="Arial"/>
                <w:sz w:val="10"/>
                <w:szCs w:val="10"/>
                <w:b w:val="1"/>
                <w:bCs w:val="1"/>
                <w:color w:val="FFFFFF"/>
                <w:w w:val="94"/>
                <w:vertAlign w:val="superscript"/>
              </w:rPr>
              <w:t>(4)</w:t>
            </w:r>
          </w:p>
        </w:tc>
        <w:tc>
          <w:tcPr>
            <w:tcW w:w="120" w:type="dxa"/>
            <w:vAlign w:val="bottom"/>
            <w:shd w:val="clear" w:color="auto" w:fill="009AD9"/>
          </w:tcPr>
          <w:p>
            <w:pPr>
              <w:spacing w:after="0"/>
              <w:rPr>
                <w:sz w:val="7"/>
                <w:szCs w:val="7"/>
                <w:color w:val="auto"/>
              </w:rPr>
            </w:pPr>
          </w:p>
        </w:tc>
        <w:tc>
          <w:tcPr>
            <w:tcW w:w="520" w:type="dxa"/>
            <w:vAlign w:val="bottom"/>
            <w:shd w:val="clear" w:color="auto" w:fill="009AD9"/>
          </w:tcPr>
          <w:p>
            <w:pPr>
              <w:jc w:val="center"/>
              <w:ind w:right="78"/>
              <w:spacing w:after="0" w:line="91" w:lineRule="exact"/>
              <w:rPr>
                <w:sz w:val="20"/>
                <w:szCs w:val="20"/>
                <w:color w:val="auto"/>
              </w:rPr>
            </w:pPr>
            <w:r>
              <w:rPr>
                <w:rFonts w:ascii="Arial" w:cs="Arial" w:eastAsia="Arial" w:hAnsi="Arial"/>
                <w:sz w:val="8"/>
                <w:szCs w:val="8"/>
                <w:b w:val="1"/>
                <w:bCs w:val="1"/>
                <w:color w:val="FFFFFF"/>
                <w:w w:val="94"/>
              </w:rPr>
              <w:t>(TSR)</w:t>
            </w:r>
            <w:r>
              <w:rPr>
                <w:rFonts w:ascii="Arial" w:cs="Arial" w:eastAsia="Arial" w:hAnsi="Arial"/>
                <w:sz w:val="10"/>
                <w:szCs w:val="10"/>
                <w:b w:val="1"/>
                <w:bCs w:val="1"/>
                <w:color w:val="FFFFFF"/>
                <w:w w:val="94"/>
                <w:vertAlign w:val="superscript"/>
              </w:rPr>
              <w:t>(4)</w:t>
            </w:r>
          </w:p>
        </w:tc>
        <w:tc>
          <w:tcPr>
            <w:tcW w:w="120" w:type="dxa"/>
            <w:vAlign w:val="bottom"/>
            <w:shd w:val="clear" w:color="auto" w:fill="009AD9"/>
          </w:tcPr>
          <w:p>
            <w:pPr>
              <w:spacing w:after="0"/>
              <w:rPr>
                <w:sz w:val="7"/>
                <w:szCs w:val="7"/>
                <w:color w:val="auto"/>
              </w:rPr>
            </w:pPr>
          </w:p>
        </w:tc>
        <w:tc>
          <w:tcPr>
            <w:tcW w:w="360" w:type="dxa"/>
            <w:vAlign w:val="bottom"/>
            <w:shd w:val="clear" w:color="auto" w:fill="009AD9"/>
          </w:tcPr>
          <w:p>
            <w:pPr>
              <w:jc w:val="center"/>
              <w:ind w:right="98"/>
              <w:spacing w:after="0" w:line="91" w:lineRule="exact"/>
              <w:rPr>
                <w:sz w:val="20"/>
                <w:szCs w:val="20"/>
                <w:color w:val="auto"/>
              </w:rPr>
            </w:pPr>
            <w:r>
              <w:rPr>
                <w:rFonts w:ascii="Arial" w:cs="Arial" w:eastAsia="Arial" w:hAnsi="Arial"/>
                <w:sz w:val="8"/>
                <w:szCs w:val="8"/>
                <w:b w:val="1"/>
                <w:bCs w:val="1"/>
                <w:color w:val="FFFFFF"/>
              </w:rPr>
              <w:t>($ in</w:t>
            </w:r>
          </w:p>
        </w:tc>
        <w:tc>
          <w:tcPr>
            <w:tcW w:w="500" w:type="dxa"/>
            <w:vAlign w:val="bottom"/>
            <w:gridSpan w:val="2"/>
            <w:shd w:val="clear" w:color="auto" w:fill="009AD9"/>
          </w:tcPr>
          <w:p>
            <w:pPr>
              <w:jc w:val="center"/>
              <w:spacing w:after="0" w:line="91" w:lineRule="exact"/>
              <w:rPr>
                <w:sz w:val="20"/>
                <w:szCs w:val="20"/>
                <w:color w:val="auto"/>
              </w:rPr>
            </w:pPr>
            <w:r>
              <w:rPr>
                <w:rFonts w:ascii="Arial" w:cs="Arial" w:eastAsia="Arial" w:hAnsi="Arial"/>
                <w:sz w:val="8"/>
                <w:szCs w:val="8"/>
                <w:b w:val="1"/>
                <w:bCs w:val="1"/>
                <w:color w:val="FFFFFF"/>
              </w:rPr>
              <w:t>Adjusted</w:t>
            </w:r>
          </w:p>
        </w:tc>
      </w:tr>
      <w:tr>
        <w:trPr>
          <w:trHeight w:val="149"/>
        </w:trPr>
        <w:tc>
          <w:tcPr>
            <w:tcW w:w="400" w:type="dxa"/>
            <w:vAlign w:val="bottom"/>
            <w:shd w:val="clear" w:color="auto" w:fill="009AD9"/>
          </w:tcPr>
          <w:p>
            <w:pPr>
              <w:spacing w:after="0"/>
              <w:rPr>
                <w:sz w:val="12"/>
                <w:szCs w:val="12"/>
                <w:color w:val="auto"/>
              </w:rPr>
            </w:pPr>
          </w:p>
        </w:tc>
        <w:tc>
          <w:tcPr>
            <w:tcW w:w="560" w:type="dxa"/>
            <w:vAlign w:val="bottom"/>
            <w:shd w:val="clear" w:color="auto" w:fill="009AD9"/>
          </w:tcPr>
          <w:p>
            <w:pPr>
              <w:spacing w:after="0"/>
              <w:rPr>
                <w:sz w:val="12"/>
                <w:szCs w:val="12"/>
                <w:color w:val="auto"/>
              </w:rPr>
            </w:pPr>
          </w:p>
        </w:tc>
        <w:tc>
          <w:tcPr>
            <w:tcW w:w="620" w:type="dxa"/>
            <w:vAlign w:val="bottom"/>
            <w:shd w:val="clear" w:color="auto" w:fill="009AD9"/>
          </w:tcPr>
          <w:p>
            <w:pPr>
              <w:jc w:val="center"/>
              <w:spacing w:after="0"/>
              <w:rPr>
                <w:sz w:val="20"/>
                <w:szCs w:val="20"/>
                <w:color w:val="auto"/>
              </w:rPr>
            </w:pPr>
            <w:r>
              <w:rPr>
                <w:rFonts w:ascii="Arial" w:cs="Arial" w:eastAsia="Arial" w:hAnsi="Arial"/>
                <w:sz w:val="8"/>
                <w:szCs w:val="8"/>
                <w:b w:val="1"/>
                <w:bCs w:val="1"/>
                <w:color w:val="FFFFFF"/>
              </w:rPr>
              <w:t>Table Total ($)</w:t>
            </w:r>
          </w:p>
        </w:tc>
        <w:tc>
          <w:tcPr>
            <w:tcW w:w="540" w:type="dxa"/>
            <w:vAlign w:val="bottom"/>
            <w:shd w:val="clear" w:color="auto" w:fill="009AD9"/>
          </w:tcPr>
          <w:p>
            <w:pPr>
              <w:spacing w:after="0"/>
              <w:rPr>
                <w:sz w:val="12"/>
                <w:szCs w:val="12"/>
                <w:color w:val="auto"/>
              </w:rPr>
            </w:pPr>
          </w:p>
        </w:tc>
        <w:tc>
          <w:tcPr>
            <w:tcW w:w="1700" w:type="dxa"/>
            <w:vAlign w:val="bottom"/>
            <w:gridSpan w:val="3"/>
            <w:shd w:val="clear" w:color="auto" w:fill="009AD9"/>
          </w:tcPr>
          <w:p>
            <w:pPr>
              <w:jc w:val="center"/>
              <w:spacing w:after="0"/>
              <w:rPr>
                <w:sz w:val="20"/>
                <w:szCs w:val="20"/>
                <w:color w:val="auto"/>
              </w:rPr>
            </w:pPr>
            <w:r>
              <w:rPr>
                <w:rFonts w:ascii="Arial" w:cs="Arial" w:eastAsia="Arial" w:hAnsi="Arial"/>
                <w:sz w:val="8"/>
                <w:szCs w:val="8"/>
                <w:b w:val="1"/>
                <w:bCs w:val="1"/>
                <w:color w:val="FFFFFF"/>
              </w:rPr>
              <w:t>“Actually Paid” ($)</w:t>
            </w:r>
            <w:r>
              <w:rPr>
                <w:rFonts w:ascii="Arial" w:cs="Arial" w:eastAsia="Arial" w:hAnsi="Arial"/>
                <w:sz w:val="10"/>
                <w:szCs w:val="10"/>
                <w:b w:val="1"/>
                <w:bCs w:val="1"/>
                <w:color w:val="FFFFFF"/>
                <w:vertAlign w:val="superscript"/>
              </w:rPr>
              <w:t>(3)</w:t>
            </w:r>
          </w:p>
        </w:tc>
        <w:tc>
          <w:tcPr>
            <w:tcW w:w="100" w:type="dxa"/>
            <w:vAlign w:val="bottom"/>
            <w:shd w:val="clear" w:color="auto" w:fill="009AD9"/>
          </w:tcPr>
          <w:p>
            <w:pPr>
              <w:spacing w:after="0"/>
              <w:rPr>
                <w:sz w:val="12"/>
                <w:szCs w:val="12"/>
                <w:color w:val="auto"/>
              </w:rPr>
            </w:pPr>
          </w:p>
        </w:tc>
        <w:tc>
          <w:tcPr>
            <w:tcW w:w="580" w:type="dxa"/>
            <w:vAlign w:val="bottom"/>
            <w:shd w:val="clear" w:color="auto" w:fill="009AD9"/>
          </w:tcPr>
          <w:p>
            <w:pPr>
              <w:jc w:val="center"/>
              <w:ind w:right="58"/>
              <w:spacing w:after="0"/>
              <w:rPr>
                <w:sz w:val="20"/>
                <w:szCs w:val="20"/>
                <w:color w:val="auto"/>
              </w:rPr>
            </w:pPr>
            <w:r>
              <w:rPr>
                <w:rFonts w:ascii="Arial" w:cs="Arial" w:eastAsia="Arial" w:hAnsi="Arial"/>
                <w:sz w:val="8"/>
                <w:szCs w:val="8"/>
                <w:b w:val="1"/>
                <w:bCs w:val="1"/>
                <w:color w:val="FFFFFF"/>
              </w:rPr>
              <w:t>($)</w:t>
            </w:r>
          </w:p>
        </w:tc>
        <w:tc>
          <w:tcPr>
            <w:tcW w:w="120" w:type="dxa"/>
            <w:vAlign w:val="bottom"/>
            <w:shd w:val="clear" w:color="auto" w:fill="009AD9"/>
          </w:tcPr>
          <w:p>
            <w:pPr>
              <w:spacing w:after="0"/>
              <w:rPr>
                <w:sz w:val="12"/>
                <w:szCs w:val="12"/>
                <w:color w:val="auto"/>
              </w:rPr>
            </w:pPr>
          </w:p>
        </w:tc>
        <w:tc>
          <w:tcPr>
            <w:tcW w:w="580" w:type="dxa"/>
            <w:vAlign w:val="bottom"/>
            <w:shd w:val="clear" w:color="auto" w:fill="009AD9"/>
          </w:tcPr>
          <w:p>
            <w:pPr>
              <w:jc w:val="center"/>
              <w:ind w:right="78"/>
              <w:spacing w:after="0"/>
              <w:rPr>
                <w:sz w:val="20"/>
                <w:szCs w:val="20"/>
                <w:color w:val="auto"/>
              </w:rPr>
            </w:pPr>
            <w:r>
              <w:rPr>
                <w:rFonts w:ascii="Arial" w:cs="Arial" w:eastAsia="Arial" w:hAnsi="Arial"/>
                <w:sz w:val="8"/>
                <w:szCs w:val="8"/>
                <w:b w:val="1"/>
                <w:bCs w:val="1"/>
                <w:color w:val="FFFFFF"/>
              </w:rPr>
              <w:t>Paid”</w:t>
            </w:r>
            <w:r>
              <w:rPr>
                <w:rFonts w:ascii="Arial" w:cs="Arial" w:eastAsia="Arial" w:hAnsi="Arial"/>
                <w:sz w:val="10"/>
                <w:szCs w:val="10"/>
                <w:b w:val="1"/>
                <w:bCs w:val="1"/>
                <w:color w:val="FFFFFF"/>
                <w:vertAlign w:val="superscript"/>
              </w:rPr>
              <w:t>(3)</w:t>
            </w:r>
            <w:r>
              <w:rPr>
                <w:rFonts w:ascii="Arial" w:cs="Arial" w:eastAsia="Arial" w:hAnsi="Arial"/>
                <w:sz w:val="8"/>
                <w:szCs w:val="8"/>
                <w:b w:val="1"/>
                <w:bCs w:val="1"/>
                <w:color w:val="FFFFFF"/>
              </w:rPr>
              <w:t xml:space="preserve"> ($)</w:t>
            </w:r>
          </w:p>
        </w:tc>
        <w:tc>
          <w:tcPr>
            <w:tcW w:w="320" w:type="dxa"/>
            <w:vAlign w:val="bottom"/>
            <w:shd w:val="clear" w:color="auto" w:fill="009AD9"/>
          </w:tcPr>
          <w:p>
            <w:pPr>
              <w:ind w:left="240"/>
              <w:spacing w:after="0"/>
              <w:rPr>
                <w:sz w:val="20"/>
                <w:szCs w:val="20"/>
                <w:color w:val="auto"/>
              </w:rPr>
            </w:pPr>
            <w:r>
              <w:rPr>
                <w:rFonts w:ascii="Arial" w:cs="Arial" w:eastAsia="Arial" w:hAnsi="Arial"/>
                <w:sz w:val="8"/>
                <w:szCs w:val="8"/>
                <w:b w:val="1"/>
                <w:bCs w:val="1"/>
                <w:color w:val="FFFFFF"/>
                <w:w w:val="83"/>
              </w:rPr>
              <w:t>($</w:t>
            </w:r>
          </w:p>
        </w:tc>
        <w:tc>
          <w:tcPr>
            <w:tcW w:w="280" w:type="dxa"/>
            <w:vAlign w:val="bottom"/>
            <w:shd w:val="clear" w:color="auto" w:fill="009AD9"/>
          </w:tcPr>
          <w:p>
            <w:pPr>
              <w:jc w:val="right"/>
              <w:ind w:right="227"/>
              <w:spacing w:after="0"/>
              <w:rPr>
                <w:sz w:val="20"/>
                <w:szCs w:val="20"/>
                <w:color w:val="auto"/>
              </w:rPr>
            </w:pPr>
            <w:r>
              <w:rPr>
                <w:rFonts w:ascii="Arial" w:cs="Arial" w:eastAsia="Arial" w:hAnsi="Arial"/>
                <w:sz w:val="1"/>
                <w:szCs w:val="1"/>
                <w:b w:val="1"/>
                <w:bCs w:val="1"/>
                <w:color w:val="FFFFFF"/>
                <w:w w:val="4294967281"/>
              </w:rPr>
              <w:t>)</w:t>
            </w:r>
          </w:p>
        </w:tc>
        <w:tc>
          <w:tcPr>
            <w:tcW w:w="120" w:type="dxa"/>
            <w:vAlign w:val="bottom"/>
            <w:shd w:val="clear" w:color="auto" w:fill="009AD9"/>
          </w:tcPr>
          <w:p>
            <w:pPr>
              <w:spacing w:after="0"/>
              <w:rPr>
                <w:sz w:val="12"/>
                <w:szCs w:val="12"/>
                <w:color w:val="auto"/>
              </w:rPr>
            </w:pPr>
          </w:p>
        </w:tc>
        <w:tc>
          <w:tcPr>
            <w:tcW w:w="520" w:type="dxa"/>
            <w:vAlign w:val="bottom"/>
            <w:shd w:val="clear" w:color="auto" w:fill="009AD9"/>
          </w:tcPr>
          <w:p>
            <w:pPr>
              <w:jc w:val="center"/>
              <w:ind w:right="78"/>
              <w:spacing w:after="0"/>
              <w:rPr>
                <w:sz w:val="20"/>
                <w:szCs w:val="20"/>
                <w:color w:val="auto"/>
              </w:rPr>
            </w:pPr>
            <w:r>
              <w:rPr>
                <w:rFonts w:ascii="Arial" w:cs="Arial" w:eastAsia="Arial" w:hAnsi="Arial"/>
                <w:sz w:val="8"/>
                <w:szCs w:val="8"/>
                <w:b w:val="1"/>
                <w:bCs w:val="1"/>
                <w:color w:val="FFFFFF"/>
              </w:rPr>
              <w:t>($)</w:t>
            </w:r>
          </w:p>
        </w:tc>
        <w:tc>
          <w:tcPr>
            <w:tcW w:w="480" w:type="dxa"/>
            <w:vAlign w:val="bottom"/>
            <w:gridSpan w:val="2"/>
            <w:shd w:val="clear" w:color="auto" w:fill="009AD9"/>
          </w:tcPr>
          <w:p>
            <w:pPr>
              <w:jc w:val="center"/>
              <w:spacing w:after="0"/>
              <w:rPr>
                <w:sz w:val="20"/>
                <w:szCs w:val="20"/>
                <w:color w:val="auto"/>
              </w:rPr>
            </w:pPr>
            <w:r>
              <w:rPr>
                <w:rFonts w:ascii="Arial" w:cs="Arial" w:eastAsia="Arial" w:hAnsi="Arial"/>
                <w:sz w:val="8"/>
                <w:szCs w:val="8"/>
                <w:b w:val="1"/>
                <w:bCs w:val="1"/>
                <w:color w:val="FFFFFF"/>
              </w:rPr>
              <w:t>millions)</w:t>
            </w:r>
          </w:p>
        </w:tc>
        <w:tc>
          <w:tcPr>
            <w:tcW w:w="500" w:type="dxa"/>
            <w:vAlign w:val="bottom"/>
            <w:gridSpan w:val="2"/>
            <w:shd w:val="clear" w:color="auto" w:fill="009AD9"/>
          </w:tcPr>
          <w:p>
            <w:pPr>
              <w:jc w:val="center"/>
              <w:spacing w:after="0"/>
              <w:rPr>
                <w:sz w:val="20"/>
                <w:szCs w:val="20"/>
                <w:color w:val="auto"/>
              </w:rPr>
            </w:pPr>
            <w:r>
              <w:rPr>
                <w:rFonts w:ascii="Arial" w:cs="Arial" w:eastAsia="Arial" w:hAnsi="Arial"/>
                <w:sz w:val="8"/>
                <w:szCs w:val="8"/>
                <w:b w:val="1"/>
                <w:bCs w:val="1"/>
                <w:color w:val="FFFFFF"/>
                <w:w w:val="90"/>
              </w:rPr>
              <w:t>EPS</w:t>
            </w:r>
            <w:r>
              <w:rPr>
                <w:rFonts w:ascii="Arial" w:cs="Arial" w:eastAsia="Arial" w:hAnsi="Arial"/>
                <w:sz w:val="10"/>
                <w:szCs w:val="10"/>
                <w:b w:val="1"/>
                <w:bCs w:val="1"/>
                <w:color w:val="FFFFFF"/>
                <w:w w:val="90"/>
                <w:vertAlign w:val="superscript"/>
              </w:rPr>
              <w:t>(6)</w:t>
            </w:r>
          </w:p>
        </w:tc>
      </w:tr>
      <w:tr>
        <w:trPr>
          <w:trHeight w:val="140"/>
        </w:trPr>
        <w:tc>
          <w:tcPr>
            <w:tcW w:w="400" w:type="dxa"/>
            <w:vAlign w:val="bottom"/>
            <w:tcBorders>
              <w:bottom w:val="single" w:sz="8" w:color="009AD9"/>
            </w:tcBorders>
            <w:shd w:val="clear" w:color="auto" w:fill="009AD9"/>
          </w:tcPr>
          <w:p>
            <w:pPr>
              <w:jc w:val="right"/>
              <w:ind w:right="38"/>
              <w:spacing w:after="0"/>
              <w:rPr>
                <w:sz w:val="20"/>
                <w:szCs w:val="20"/>
                <w:color w:val="auto"/>
              </w:rPr>
            </w:pPr>
            <w:r>
              <w:rPr>
                <w:rFonts w:ascii="Arial" w:cs="Arial" w:eastAsia="Arial" w:hAnsi="Arial"/>
                <w:sz w:val="8"/>
                <w:szCs w:val="8"/>
                <w:b w:val="1"/>
                <w:bCs w:val="1"/>
                <w:color w:val="FFFFFF"/>
              </w:rPr>
              <w:t>Year</w:t>
            </w:r>
          </w:p>
        </w:tc>
        <w:tc>
          <w:tcPr>
            <w:tcW w:w="56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8"/>
                <w:szCs w:val="8"/>
                <w:b w:val="1"/>
                <w:bCs w:val="1"/>
                <w:color w:val="FFFFFF"/>
              </w:rPr>
              <w:t>Lesar</w:t>
            </w:r>
          </w:p>
        </w:tc>
        <w:tc>
          <w:tcPr>
            <w:tcW w:w="6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8"/>
                <w:szCs w:val="8"/>
                <w:b w:val="1"/>
                <w:bCs w:val="1"/>
                <w:color w:val="FFFFFF"/>
              </w:rPr>
              <w:t>Somerhalder</w:t>
            </w:r>
          </w:p>
        </w:tc>
        <w:tc>
          <w:tcPr>
            <w:tcW w:w="54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8"/>
                <w:szCs w:val="8"/>
                <w:b w:val="1"/>
                <w:bCs w:val="1"/>
                <w:color w:val="FFFFFF"/>
              </w:rPr>
              <w:t>Prochazka</w:t>
            </w:r>
          </w:p>
        </w:tc>
        <w:tc>
          <w:tcPr>
            <w:tcW w:w="52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8"/>
                <w:szCs w:val="8"/>
                <w:b w:val="1"/>
                <w:bCs w:val="1"/>
                <w:color w:val="FFFFFF"/>
              </w:rPr>
              <w:t>Lesar</w:t>
            </w:r>
          </w:p>
        </w:tc>
        <w:tc>
          <w:tcPr>
            <w:tcW w:w="6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8"/>
                <w:szCs w:val="8"/>
                <w:b w:val="1"/>
                <w:bCs w:val="1"/>
                <w:color w:val="FFFFFF"/>
              </w:rPr>
              <w:t>Somerhalder</w:t>
            </w:r>
          </w:p>
        </w:tc>
        <w:tc>
          <w:tcPr>
            <w:tcW w:w="540" w:type="dxa"/>
            <w:vAlign w:val="bottom"/>
            <w:tcBorders>
              <w:bottom w:val="single" w:sz="8" w:color="009AD9"/>
            </w:tcBorders>
            <w:shd w:val="clear" w:color="auto" w:fill="009AD9"/>
          </w:tcPr>
          <w:p>
            <w:pPr>
              <w:ind w:left="40"/>
              <w:spacing w:after="0"/>
              <w:rPr>
                <w:sz w:val="20"/>
                <w:szCs w:val="20"/>
                <w:color w:val="auto"/>
              </w:rPr>
            </w:pPr>
            <w:r>
              <w:rPr>
                <w:rFonts w:ascii="Arial" w:cs="Arial" w:eastAsia="Arial" w:hAnsi="Arial"/>
                <w:sz w:val="8"/>
                <w:szCs w:val="8"/>
                <w:b w:val="1"/>
                <w:bCs w:val="1"/>
                <w:color w:val="FFFFFF"/>
              </w:rPr>
              <w:t>Prochazka</w:t>
            </w:r>
          </w:p>
        </w:tc>
        <w:tc>
          <w:tcPr>
            <w:tcW w:w="100" w:type="dxa"/>
            <w:vAlign w:val="bottom"/>
            <w:tcBorders>
              <w:bottom w:val="single" w:sz="8" w:color="009AD9"/>
            </w:tcBorders>
            <w:shd w:val="clear" w:color="auto" w:fill="009AD9"/>
          </w:tcPr>
          <w:p>
            <w:pPr>
              <w:spacing w:after="0"/>
              <w:rPr>
                <w:sz w:val="12"/>
                <w:szCs w:val="12"/>
                <w:color w:val="auto"/>
              </w:rPr>
            </w:pPr>
          </w:p>
        </w:tc>
        <w:tc>
          <w:tcPr>
            <w:tcW w:w="580" w:type="dxa"/>
            <w:vAlign w:val="bottom"/>
            <w:tcBorders>
              <w:bottom w:val="single" w:sz="8" w:color="009AD9"/>
            </w:tcBorders>
            <w:shd w:val="clear" w:color="auto" w:fill="009AD9"/>
          </w:tcPr>
          <w:p>
            <w:pPr>
              <w:spacing w:after="0"/>
              <w:rPr>
                <w:sz w:val="12"/>
                <w:szCs w:val="12"/>
                <w:color w:val="auto"/>
              </w:rPr>
            </w:pPr>
          </w:p>
        </w:tc>
        <w:tc>
          <w:tcPr>
            <w:tcW w:w="120" w:type="dxa"/>
            <w:vAlign w:val="bottom"/>
            <w:tcBorders>
              <w:bottom w:val="single" w:sz="8" w:color="009AD9"/>
            </w:tcBorders>
            <w:shd w:val="clear" w:color="auto" w:fill="009AD9"/>
          </w:tcPr>
          <w:p>
            <w:pPr>
              <w:spacing w:after="0"/>
              <w:rPr>
                <w:sz w:val="12"/>
                <w:szCs w:val="12"/>
                <w:color w:val="auto"/>
              </w:rPr>
            </w:pPr>
          </w:p>
        </w:tc>
        <w:tc>
          <w:tcPr>
            <w:tcW w:w="580" w:type="dxa"/>
            <w:vAlign w:val="bottom"/>
            <w:tcBorders>
              <w:bottom w:val="single" w:sz="8" w:color="009AD9"/>
            </w:tcBorders>
            <w:shd w:val="clear" w:color="auto" w:fill="009AD9"/>
          </w:tcPr>
          <w:p>
            <w:pPr>
              <w:spacing w:after="0"/>
              <w:rPr>
                <w:sz w:val="12"/>
                <w:szCs w:val="12"/>
                <w:color w:val="auto"/>
              </w:rPr>
            </w:pPr>
          </w:p>
        </w:tc>
        <w:tc>
          <w:tcPr>
            <w:tcW w:w="320" w:type="dxa"/>
            <w:vAlign w:val="bottom"/>
            <w:tcBorders>
              <w:bottom w:val="single" w:sz="8" w:color="009AD9"/>
            </w:tcBorders>
            <w:shd w:val="clear" w:color="auto" w:fill="009AD9"/>
          </w:tcPr>
          <w:p>
            <w:pPr>
              <w:spacing w:after="0"/>
              <w:rPr>
                <w:sz w:val="12"/>
                <w:szCs w:val="12"/>
                <w:color w:val="auto"/>
              </w:rPr>
            </w:pPr>
          </w:p>
        </w:tc>
        <w:tc>
          <w:tcPr>
            <w:tcW w:w="280" w:type="dxa"/>
            <w:vAlign w:val="bottom"/>
            <w:tcBorders>
              <w:bottom w:val="single" w:sz="8" w:color="009AD9"/>
            </w:tcBorders>
            <w:shd w:val="clear" w:color="auto" w:fill="009AD9"/>
          </w:tcPr>
          <w:p>
            <w:pPr>
              <w:spacing w:after="0"/>
              <w:rPr>
                <w:sz w:val="12"/>
                <w:szCs w:val="12"/>
                <w:color w:val="auto"/>
              </w:rPr>
            </w:pPr>
          </w:p>
        </w:tc>
        <w:tc>
          <w:tcPr>
            <w:tcW w:w="120" w:type="dxa"/>
            <w:vAlign w:val="bottom"/>
            <w:tcBorders>
              <w:bottom w:val="single" w:sz="8" w:color="009AD9"/>
            </w:tcBorders>
            <w:shd w:val="clear" w:color="auto" w:fill="009AD9"/>
          </w:tcPr>
          <w:p>
            <w:pPr>
              <w:spacing w:after="0"/>
              <w:rPr>
                <w:sz w:val="12"/>
                <w:szCs w:val="12"/>
                <w:color w:val="auto"/>
              </w:rPr>
            </w:pPr>
          </w:p>
        </w:tc>
        <w:tc>
          <w:tcPr>
            <w:tcW w:w="520" w:type="dxa"/>
            <w:vAlign w:val="bottom"/>
            <w:tcBorders>
              <w:bottom w:val="single" w:sz="8" w:color="009AD9"/>
            </w:tcBorders>
            <w:shd w:val="clear" w:color="auto" w:fill="009AD9"/>
          </w:tcPr>
          <w:p>
            <w:pPr>
              <w:spacing w:after="0"/>
              <w:rPr>
                <w:sz w:val="12"/>
                <w:szCs w:val="12"/>
                <w:color w:val="auto"/>
              </w:rPr>
            </w:pPr>
          </w:p>
        </w:tc>
        <w:tc>
          <w:tcPr>
            <w:tcW w:w="120" w:type="dxa"/>
            <w:vAlign w:val="bottom"/>
            <w:tcBorders>
              <w:bottom w:val="single" w:sz="8" w:color="009AD9"/>
            </w:tcBorders>
            <w:shd w:val="clear" w:color="auto" w:fill="009AD9"/>
          </w:tcPr>
          <w:p>
            <w:pPr>
              <w:spacing w:after="0"/>
              <w:rPr>
                <w:sz w:val="12"/>
                <w:szCs w:val="12"/>
                <w:color w:val="auto"/>
              </w:rPr>
            </w:pPr>
          </w:p>
        </w:tc>
        <w:tc>
          <w:tcPr>
            <w:tcW w:w="360" w:type="dxa"/>
            <w:vAlign w:val="bottom"/>
            <w:tcBorders>
              <w:bottom w:val="single" w:sz="8" w:color="009AD9"/>
            </w:tcBorders>
            <w:shd w:val="clear" w:color="auto" w:fill="009AD9"/>
          </w:tcPr>
          <w:p>
            <w:pPr>
              <w:spacing w:after="0"/>
              <w:rPr>
                <w:sz w:val="12"/>
                <w:szCs w:val="12"/>
                <w:color w:val="auto"/>
              </w:rPr>
            </w:pPr>
          </w:p>
        </w:tc>
        <w:tc>
          <w:tcPr>
            <w:tcW w:w="280" w:type="dxa"/>
            <w:vAlign w:val="bottom"/>
            <w:tcBorders>
              <w:bottom w:val="single" w:sz="8" w:color="009AD9"/>
            </w:tcBorders>
            <w:shd w:val="clear" w:color="auto" w:fill="009AD9"/>
          </w:tcPr>
          <w:p>
            <w:pPr>
              <w:spacing w:after="0"/>
              <w:rPr>
                <w:sz w:val="12"/>
                <w:szCs w:val="12"/>
                <w:color w:val="auto"/>
              </w:rPr>
            </w:pPr>
          </w:p>
        </w:tc>
        <w:tc>
          <w:tcPr>
            <w:tcW w:w="220" w:type="dxa"/>
            <w:vAlign w:val="bottom"/>
            <w:tcBorders>
              <w:bottom w:val="single" w:sz="8" w:color="009AD9"/>
            </w:tcBorders>
            <w:shd w:val="clear" w:color="auto" w:fill="009AD9"/>
          </w:tcPr>
          <w:p>
            <w:pPr>
              <w:spacing w:after="0"/>
              <w:rPr>
                <w:sz w:val="12"/>
                <w:szCs w:val="12"/>
                <w:color w:val="auto"/>
              </w:rPr>
            </w:pPr>
          </w:p>
        </w:tc>
      </w:tr>
      <w:tr>
        <w:trPr>
          <w:trHeight w:val="139"/>
        </w:trPr>
        <w:tc>
          <w:tcPr>
            <w:tcW w:w="400" w:type="dxa"/>
            <w:vAlign w:val="bottom"/>
          </w:tcPr>
          <w:p>
            <w:pPr>
              <w:jc w:val="right"/>
              <w:ind w:right="118"/>
              <w:spacing w:after="0"/>
              <w:rPr>
                <w:sz w:val="20"/>
                <w:szCs w:val="20"/>
                <w:color w:val="auto"/>
              </w:rPr>
            </w:pPr>
            <w:r>
              <w:rPr>
                <w:rFonts w:ascii="Arial" w:cs="Arial" w:eastAsia="Arial" w:hAnsi="Arial"/>
                <w:sz w:val="8"/>
                <w:szCs w:val="8"/>
                <w:color w:val="auto"/>
              </w:rPr>
              <w:t>2022</w:t>
            </w:r>
          </w:p>
        </w:tc>
        <w:tc>
          <w:tcPr>
            <w:tcW w:w="560" w:type="dxa"/>
            <w:vAlign w:val="bottom"/>
          </w:tcPr>
          <w:p>
            <w:pPr>
              <w:jc w:val="center"/>
              <w:spacing w:after="0"/>
              <w:rPr>
                <w:sz w:val="20"/>
                <w:szCs w:val="20"/>
                <w:color w:val="auto"/>
              </w:rPr>
            </w:pPr>
            <w:r>
              <w:rPr>
                <w:rFonts w:ascii="Arial" w:cs="Arial" w:eastAsia="Arial" w:hAnsi="Arial"/>
                <w:sz w:val="8"/>
                <w:szCs w:val="8"/>
                <w:color w:val="auto"/>
              </w:rPr>
              <w:t>$ 13,868,875</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8"/>
                <w:szCs w:val="8"/>
                <w:color w:val="auto"/>
              </w:rPr>
              <w:t>$ 29,552,666</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2,551,102</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4,418,767</w:t>
            </w:r>
          </w:p>
        </w:tc>
        <w:tc>
          <w:tcPr>
            <w:tcW w:w="320" w:type="dxa"/>
            <w:vAlign w:val="bottom"/>
          </w:tcPr>
          <w:p>
            <w:pPr>
              <w:ind w:left="40"/>
              <w:spacing w:after="0"/>
              <w:rPr>
                <w:sz w:val="20"/>
                <w:szCs w:val="20"/>
                <w:color w:val="auto"/>
              </w:rPr>
            </w:pPr>
            <w:r>
              <w:rPr>
                <w:rFonts w:ascii="Arial" w:cs="Arial" w:eastAsia="Arial" w:hAnsi="Arial"/>
                <w:sz w:val="8"/>
                <w:szCs w:val="8"/>
                <w:color w:val="auto"/>
              </w:rPr>
              <w:t>$</w:t>
            </w:r>
          </w:p>
        </w:tc>
        <w:tc>
          <w:tcPr>
            <w:tcW w:w="280" w:type="dxa"/>
            <w:vAlign w:val="bottom"/>
          </w:tcPr>
          <w:p>
            <w:pPr>
              <w:jc w:val="right"/>
              <w:ind w:right="7"/>
              <w:spacing w:after="0"/>
              <w:rPr>
                <w:sz w:val="20"/>
                <w:szCs w:val="20"/>
                <w:color w:val="auto"/>
              </w:rPr>
            </w:pPr>
            <w:r>
              <w:rPr>
                <w:rFonts w:ascii="Arial" w:cs="Arial" w:eastAsia="Arial" w:hAnsi="Arial"/>
                <w:sz w:val="8"/>
                <w:szCs w:val="8"/>
                <w:color w:val="auto"/>
              </w:rPr>
              <w:t>119.5</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111.2</w:t>
            </w: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ind w:right="18"/>
              <w:spacing w:after="0"/>
              <w:rPr>
                <w:sz w:val="20"/>
                <w:szCs w:val="20"/>
                <w:color w:val="auto"/>
              </w:rPr>
            </w:pPr>
            <w:r>
              <w:rPr>
                <w:rFonts w:ascii="Arial" w:cs="Arial" w:eastAsia="Arial" w:hAnsi="Arial"/>
                <w:sz w:val="8"/>
                <w:szCs w:val="8"/>
                <w:color w:val="auto"/>
              </w:rPr>
              <w:t>1,008</w:t>
            </w:r>
          </w:p>
        </w:tc>
        <w:tc>
          <w:tcPr>
            <w:tcW w:w="280" w:type="dxa"/>
            <w:vAlign w:val="bottom"/>
          </w:tcPr>
          <w:p>
            <w:pPr>
              <w:ind w:left="40"/>
              <w:spacing w:after="0"/>
              <w:rPr>
                <w:sz w:val="20"/>
                <w:szCs w:val="20"/>
                <w:color w:val="auto"/>
              </w:rPr>
            </w:pPr>
            <w:r>
              <w:rPr>
                <w:rFonts w:ascii="Arial" w:cs="Arial" w:eastAsia="Arial" w:hAnsi="Arial"/>
                <w:sz w:val="8"/>
                <w:szCs w:val="8"/>
                <w:color w:val="auto"/>
              </w:rPr>
              <w:t>$</w:t>
            </w:r>
          </w:p>
        </w:tc>
        <w:tc>
          <w:tcPr>
            <w:tcW w:w="220" w:type="dxa"/>
            <w:vAlign w:val="bottom"/>
          </w:tcPr>
          <w:p>
            <w:pPr>
              <w:jc w:val="right"/>
              <w:spacing w:after="0"/>
              <w:rPr>
                <w:sz w:val="20"/>
                <w:szCs w:val="20"/>
                <w:color w:val="auto"/>
              </w:rPr>
            </w:pPr>
            <w:r>
              <w:rPr>
                <w:rFonts w:ascii="Arial" w:cs="Arial" w:eastAsia="Arial" w:hAnsi="Arial"/>
                <w:sz w:val="8"/>
                <w:szCs w:val="8"/>
                <w:color w:val="auto"/>
              </w:rPr>
              <w:t>1.38</w:t>
            </w:r>
          </w:p>
        </w:tc>
      </w:tr>
      <w:tr>
        <w:trPr>
          <w:trHeight w:val="152"/>
        </w:trPr>
        <w:tc>
          <w:tcPr>
            <w:tcW w:w="400" w:type="dxa"/>
            <w:vAlign w:val="bottom"/>
            <w:shd w:val="clear" w:color="auto" w:fill="D8EFF9"/>
          </w:tcPr>
          <w:p>
            <w:pPr>
              <w:jc w:val="right"/>
              <w:ind w:right="118"/>
              <w:spacing w:after="0"/>
              <w:rPr>
                <w:sz w:val="20"/>
                <w:szCs w:val="20"/>
                <w:color w:val="auto"/>
              </w:rPr>
            </w:pPr>
            <w:r>
              <w:rPr>
                <w:rFonts w:ascii="Arial" w:cs="Arial" w:eastAsia="Arial" w:hAnsi="Arial"/>
                <w:sz w:val="8"/>
                <w:szCs w:val="8"/>
                <w:color w:val="auto"/>
              </w:rPr>
              <w:t>2021</w:t>
            </w:r>
          </w:p>
        </w:tc>
        <w:tc>
          <w:tcPr>
            <w:tcW w:w="560" w:type="dxa"/>
            <w:vAlign w:val="bottom"/>
            <w:shd w:val="clear" w:color="auto" w:fill="D8EFF9"/>
          </w:tcPr>
          <w:p>
            <w:pPr>
              <w:jc w:val="center"/>
              <w:spacing w:after="0"/>
              <w:rPr>
                <w:sz w:val="20"/>
                <w:szCs w:val="20"/>
                <w:color w:val="auto"/>
              </w:rPr>
            </w:pPr>
            <w:r>
              <w:rPr>
                <w:rFonts w:ascii="Arial" w:cs="Arial" w:eastAsia="Arial" w:hAnsi="Arial"/>
                <w:sz w:val="8"/>
                <w:szCs w:val="8"/>
                <w:color w:val="auto"/>
              </w:rPr>
              <w:t>$ 37,809,810</w:t>
            </w:r>
          </w:p>
        </w:tc>
        <w:tc>
          <w:tcPr>
            <w:tcW w:w="620" w:type="dxa"/>
            <w:vAlign w:val="bottom"/>
            <w:shd w:val="clear" w:color="auto" w:fill="D8EFF9"/>
          </w:tcPr>
          <w:p>
            <w:pPr>
              <w:spacing w:after="0"/>
              <w:rPr>
                <w:sz w:val="13"/>
                <w:szCs w:val="13"/>
                <w:color w:val="auto"/>
              </w:rPr>
            </w:pPr>
          </w:p>
        </w:tc>
        <w:tc>
          <w:tcPr>
            <w:tcW w:w="540" w:type="dxa"/>
            <w:vAlign w:val="bottom"/>
            <w:shd w:val="clear" w:color="auto" w:fill="D8EFF9"/>
          </w:tcPr>
          <w:p>
            <w:pPr>
              <w:spacing w:after="0"/>
              <w:rPr>
                <w:sz w:val="13"/>
                <w:szCs w:val="13"/>
                <w:color w:val="auto"/>
              </w:rPr>
            </w:pPr>
          </w:p>
        </w:tc>
        <w:tc>
          <w:tcPr>
            <w:tcW w:w="520" w:type="dxa"/>
            <w:vAlign w:val="bottom"/>
            <w:shd w:val="clear" w:color="auto" w:fill="D8EFF9"/>
          </w:tcPr>
          <w:p>
            <w:pPr>
              <w:jc w:val="center"/>
              <w:spacing w:after="0"/>
              <w:rPr>
                <w:sz w:val="20"/>
                <w:szCs w:val="20"/>
                <w:color w:val="auto"/>
              </w:rPr>
            </w:pPr>
            <w:r>
              <w:rPr>
                <w:rFonts w:ascii="Arial" w:cs="Arial" w:eastAsia="Arial" w:hAnsi="Arial"/>
                <w:sz w:val="8"/>
                <w:szCs w:val="8"/>
                <w:color w:val="auto"/>
              </w:rPr>
              <w:t>$ 52,998,434</w:t>
            </w:r>
          </w:p>
        </w:tc>
        <w:tc>
          <w:tcPr>
            <w:tcW w:w="640" w:type="dxa"/>
            <w:vAlign w:val="bottom"/>
            <w:shd w:val="clear" w:color="auto" w:fill="D8EFF9"/>
          </w:tcPr>
          <w:p>
            <w:pPr>
              <w:spacing w:after="0"/>
              <w:rPr>
                <w:sz w:val="13"/>
                <w:szCs w:val="13"/>
                <w:color w:val="auto"/>
              </w:rPr>
            </w:pPr>
          </w:p>
        </w:tc>
        <w:tc>
          <w:tcPr>
            <w:tcW w:w="540" w:type="dxa"/>
            <w:vAlign w:val="bottom"/>
            <w:shd w:val="clear" w:color="auto" w:fill="D8EFF9"/>
          </w:tcPr>
          <w:p>
            <w:pPr>
              <w:spacing w:after="0"/>
              <w:rPr>
                <w:sz w:val="13"/>
                <w:szCs w:val="13"/>
                <w:color w:val="auto"/>
              </w:rPr>
            </w:pPr>
          </w:p>
        </w:tc>
        <w:tc>
          <w:tcPr>
            <w:tcW w:w="100" w:type="dxa"/>
            <w:vAlign w:val="bottom"/>
            <w:shd w:val="clear" w:color="auto" w:fill="D8EFF9"/>
          </w:tcPr>
          <w:p>
            <w:pPr>
              <w:ind w:left="20"/>
              <w:spacing w:after="0"/>
              <w:rPr>
                <w:sz w:val="20"/>
                <w:szCs w:val="20"/>
                <w:color w:val="auto"/>
              </w:rPr>
            </w:pPr>
            <w:r>
              <w:rPr>
                <w:rFonts w:ascii="Arial" w:cs="Arial" w:eastAsia="Arial" w:hAnsi="Arial"/>
                <w:sz w:val="8"/>
                <w:szCs w:val="8"/>
                <w:color w:val="auto"/>
              </w:rPr>
              <w:t>$</w:t>
            </w:r>
          </w:p>
        </w:tc>
        <w:tc>
          <w:tcPr>
            <w:tcW w:w="580" w:type="dxa"/>
            <w:vAlign w:val="bottom"/>
            <w:shd w:val="clear" w:color="auto" w:fill="D8EFF9"/>
          </w:tcPr>
          <w:p>
            <w:pPr>
              <w:jc w:val="right"/>
              <w:spacing w:after="0"/>
              <w:rPr>
                <w:sz w:val="20"/>
                <w:szCs w:val="20"/>
                <w:color w:val="auto"/>
              </w:rPr>
            </w:pPr>
            <w:r>
              <w:rPr>
                <w:rFonts w:ascii="Arial" w:cs="Arial" w:eastAsia="Arial" w:hAnsi="Arial"/>
                <w:sz w:val="8"/>
                <w:szCs w:val="8"/>
                <w:color w:val="auto"/>
              </w:rPr>
              <w:t>8,318,875</w:t>
            </w:r>
          </w:p>
        </w:tc>
        <w:tc>
          <w:tcPr>
            <w:tcW w:w="120" w:type="dxa"/>
            <w:vAlign w:val="bottom"/>
            <w:shd w:val="clear" w:color="auto" w:fill="D8EFF9"/>
          </w:tcPr>
          <w:p>
            <w:pPr>
              <w:ind w:left="40"/>
              <w:spacing w:after="0"/>
              <w:rPr>
                <w:sz w:val="20"/>
                <w:szCs w:val="20"/>
                <w:color w:val="auto"/>
              </w:rPr>
            </w:pPr>
            <w:r>
              <w:rPr>
                <w:rFonts w:ascii="Arial" w:cs="Arial" w:eastAsia="Arial" w:hAnsi="Arial"/>
                <w:sz w:val="8"/>
                <w:szCs w:val="8"/>
                <w:color w:val="auto"/>
              </w:rPr>
              <w:t>$</w:t>
            </w:r>
          </w:p>
        </w:tc>
        <w:tc>
          <w:tcPr>
            <w:tcW w:w="580" w:type="dxa"/>
            <w:vAlign w:val="bottom"/>
            <w:shd w:val="clear" w:color="auto" w:fill="D8EFF9"/>
          </w:tcPr>
          <w:p>
            <w:pPr>
              <w:jc w:val="right"/>
              <w:spacing w:after="0"/>
              <w:rPr>
                <w:sz w:val="20"/>
                <w:szCs w:val="20"/>
                <w:color w:val="auto"/>
              </w:rPr>
            </w:pPr>
            <w:r>
              <w:rPr>
                <w:rFonts w:ascii="Arial" w:cs="Arial" w:eastAsia="Arial" w:hAnsi="Arial"/>
                <w:sz w:val="8"/>
                <w:szCs w:val="8"/>
                <w:color w:val="auto"/>
              </w:rPr>
              <w:t>10,539,727</w:t>
            </w:r>
          </w:p>
        </w:tc>
        <w:tc>
          <w:tcPr>
            <w:tcW w:w="320" w:type="dxa"/>
            <w:vAlign w:val="bottom"/>
            <w:shd w:val="clear" w:color="auto" w:fill="D8EFF9"/>
          </w:tcPr>
          <w:p>
            <w:pPr>
              <w:ind w:left="40"/>
              <w:spacing w:after="0"/>
              <w:rPr>
                <w:sz w:val="20"/>
                <w:szCs w:val="20"/>
                <w:color w:val="auto"/>
              </w:rPr>
            </w:pPr>
            <w:r>
              <w:rPr>
                <w:rFonts w:ascii="Arial" w:cs="Arial" w:eastAsia="Arial" w:hAnsi="Arial"/>
                <w:sz w:val="8"/>
                <w:szCs w:val="8"/>
                <w:color w:val="auto"/>
              </w:rPr>
              <w:t>$</w:t>
            </w:r>
          </w:p>
        </w:tc>
        <w:tc>
          <w:tcPr>
            <w:tcW w:w="280" w:type="dxa"/>
            <w:vAlign w:val="bottom"/>
            <w:shd w:val="clear" w:color="auto" w:fill="D8EFF9"/>
          </w:tcPr>
          <w:p>
            <w:pPr>
              <w:jc w:val="right"/>
              <w:ind w:right="7"/>
              <w:spacing w:after="0"/>
              <w:rPr>
                <w:sz w:val="20"/>
                <w:szCs w:val="20"/>
                <w:color w:val="auto"/>
              </w:rPr>
            </w:pPr>
            <w:r>
              <w:rPr>
                <w:rFonts w:ascii="Arial" w:cs="Arial" w:eastAsia="Arial" w:hAnsi="Arial"/>
                <w:sz w:val="8"/>
                <w:szCs w:val="8"/>
                <w:color w:val="auto"/>
              </w:rPr>
              <w:t>108.7</w:t>
            </w:r>
          </w:p>
        </w:tc>
        <w:tc>
          <w:tcPr>
            <w:tcW w:w="120" w:type="dxa"/>
            <w:vAlign w:val="bottom"/>
            <w:shd w:val="clear" w:color="auto" w:fill="D8EFF9"/>
          </w:tcPr>
          <w:p>
            <w:pPr>
              <w:ind w:left="40"/>
              <w:spacing w:after="0"/>
              <w:rPr>
                <w:sz w:val="20"/>
                <w:szCs w:val="20"/>
                <w:color w:val="auto"/>
              </w:rPr>
            </w:pPr>
            <w:r>
              <w:rPr>
                <w:rFonts w:ascii="Arial" w:cs="Arial" w:eastAsia="Arial" w:hAnsi="Arial"/>
                <w:sz w:val="8"/>
                <w:szCs w:val="8"/>
                <w:color w:val="auto"/>
              </w:rPr>
              <w:t>$</w:t>
            </w:r>
          </w:p>
        </w:tc>
        <w:tc>
          <w:tcPr>
            <w:tcW w:w="520" w:type="dxa"/>
            <w:vAlign w:val="bottom"/>
            <w:shd w:val="clear" w:color="auto" w:fill="D8EFF9"/>
          </w:tcPr>
          <w:p>
            <w:pPr>
              <w:jc w:val="right"/>
              <w:spacing w:after="0"/>
              <w:rPr>
                <w:sz w:val="20"/>
                <w:szCs w:val="20"/>
                <w:color w:val="auto"/>
              </w:rPr>
            </w:pPr>
            <w:r>
              <w:rPr>
                <w:rFonts w:ascii="Arial" w:cs="Arial" w:eastAsia="Arial" w:hAnsi="Arial"/>
                <w:sz w:val="8"/>
                <w:szCs w:val="8"/>
                <w:color w:val="auto"/>
              </w:rPr>
              <w:t>113.9</w:t>
            </w:r>
          </w:p>
        </w:tc>
        <w:tc>
          <w:tcPr>
            <w:tcW w:w="120" w:type="dxa"/>
            <w:vAlign w:val="bottom"/>
            <w:shd w:val="clear" w:color="auto" w:fill="D8EFF9"/>
          </w:tcPr>
          <w:p>
            <w:pPr>
              <w:jc w:val="right"/>
              <w:spacing w:after="0"/>
              <w:rPr>
                <w:sz w:val="20"/>
                <w:szCs w:val="20"/>
                <w:color w:val="auto"/>
              </w:rPr>
            </w:pPr>
            <w:r>
              <w:rPr>
                <w:rFonts w:ascii="Arial" w:cs="Arial" w:eastAsia="Arial" w:hAnsi="Arial"/>
                <w:sz w:val="8"/>
                <w:szCs w:val="8"/>
                <w:color w:val="auto"/>
              </w:rPr>
              <w:t>$</w:t>
            </w:r>
          </w:p>
        </w:tc>
        <w:tc>
          <w:tcPr>
            <w:tcW w:w="360" w:type="dxa"/>
            <w:vAlign w:val="bottom"/>
            <w:shd w:val="clear" w:color="auto" w:fill="D8EFF9"/>
          </w:tcPr>
          <w:p>
            <w:pPr>
              <w:jc w:val="right"/>
              <w:ind w:right="18"/>
              <w:spacing w:after="0"/>
              <w:rPr>
                <w:sz w:val="20"/>
                <w:szCs w:val="20"/>
                <w:color w:val="auto"/>
              </w:rPr>
            </w:pPr>
            <w:r>
              <w:rPr>
                <w:rFonts w:ascii="Arial" w:cs="Arial" w:eastAsia="Arial" w:hAnsi="Arial"/>
                <w:sz w:val="8"/>
                <w:szCs w:val="8"/>
                <w:color w:val="auto"/>
              </w:rPr>
              <w:t>1,391</w:t>
            </w:r>
          </w:p>
        </w:tc>
        <w:tc>
          <w:tcPr>
            <w:tcW w:w="280" w:type="dxa"/>
            <w:vAlign w:val="bottom"/>
            <w:shd w:val="clear" w:color="auto" w:fill="D8EFF9"/>
          </w:tcPr>
          <w:p>
            <w:pPr>
              <w:ind w:left="40"/>
              <w:spacing w:after="0"/>
              <w:rPr>
                <w:sz w:val="20"/>
                <w:szCs w:val="20"/>
                <w:color w:val="auto"/>
              </w:rPr>
            </w:pPr>
            <w:r>
              <w:rPr>
                <w:rFonts w:ascii="Arial" w:cs="Arial" w:eastAsia="Arial" w:hAnsi="Arial"/>
                <w:sz w:val="8"/>
                <w:szCs w:val="8"/>
                <w:color w:val="auto"/>
              </w:rPr>
              <w:t>$</w:t>
            </w:r>
          </w:p>
        </w:tc>
        <w:tc>
          <w:tcPr>
            <w:tcW w:w="220" w:type="dxa"/>
            <w:vAlign w:val="bottom"/>
            <w:shd w:val="clear" w:color="auto" w:fill="D8EFF9"/>
          </w:tcPr>
          <w:p>
            <w:pPr>
              <w:jc w:val="right"/>
              <w:spacing w:after="0"/>
              <w:rPr>
                <w:sz w:val="20"/>
                <w:szCs w:val="20"/>
                <w:color w:val="auto"/>
              </w:rPr>
            </w:pPr>
            <w:r>
              <w:rPr>
                <w:rFonts w:ascii="Arial" w:cs="Arial" w:eastAsia="Arial" w:hAnsi="Arial"/>
                <w:sz w:val="8"/>
                <w:szCs w:val="8"/>
                <w:color w:val="auto"/>
              </w:rPr>
              <w:t>1.27</w:t>
            </w:r>
          </w:p>
        </w:tc>
      </w:tr>
      <w:tr>
        <w:trPr>
          <w:trHeight w:val="133"/>
        </w:trPr>
        <w:tc>
          <w:tcPr>
            <w:tcW w:w="400" w:type="dxa"/>
            <w:vAlign w:val="bottom"/>
          </w:tcPr>
          <w:p>
            <w:pPr>
              <w:jc w:val="right"/>
              <w:ind w:right="118"/>
              <w:spacing w:after="0"/>
              <w:rPr>
                <w:sz w:val="20"/>
                <w:szCs w:val="20"/>
                <w:color w:val="auto"/>
              </w:rPr>
            </w:pPr>
            <w:r>
              <w:rPr>
                <w:rFonts w:ascii="Arial" w:cs="Arial" w:eastAsia="Arial" w:hAnsi="Arial"/>
                <w:sz w:val="8"/>
                <w:szCs w:val="8"/>
                <w:color w:val="auto"/>
              </w:rPr>
              <w:t>2020</w:t>
            </w:r>
          </w:p>
        </w:tc>
        <w:tc>
          <w:tcPr>
            <w:tcW w:w="560" w:type="dxa"/>
            <w:vAlign w:val="bottom"/>
          </w:tcPr>
          <w:p>
            <w:pPr>
              <w:jc w:val="center"/>
              <w:spacing w:after="0"/>
              <w:rPr>
                <w:sz w:val="20"/>
                <w:szCs w:val="20"/>
                <w:color w:val="auto"/>
              </w:rPr>
            </w:pPr>
            <w:r>
              <w:rPr>
                <w:rFonts w:ascii="Arial" w:cs="Arial" w:eastAsia="Arial" w:hAnsi="Arial"/>
                <w:sz w:val="8"/>
                <w:szCs w:val="8"/>
                <w:color w:val="auto"/>
              </w:rPr>
              <w:t>$ 11,946,295</w:t>
            </w:r>
          </w:p>
        </w:tc>
        <w:tc>
          <w:tcPr>
            <w:tcW w:w="620" w:type="dxa"/>
            <w:vAlign w:val="bottom"/>
          </w:tcPr>
          <w:p>
            <w:pPr>
              <w:jc w:val="right"/>
              <w:spacing w:after="0"/>
              <w:rPr>
                <w:sz w:val="20"/>
                <w:szCs w:val="20"/>
                <w:color w:val="auto"/>
              </w:rPr>
            </w:pPr>
            <w:r>
              <w:rPr>
                <w:rFonts w:ascii="Arial" w:cs="Arial" w:eastAsia="Arial" w:hAnsi="Arial"/>
                <w:sz w:val="8"/>
                <w:szCs w:val="8"/>
                <w:color w:val="auto"/>
              </w:rPr>
              <w:t>$   3,075,656</w:t>
            </w:r>
          </w:p>
        </w:tc>
        <w:tc>
          <w:tcPr>
            <w:tcW w:w="540" w:type="dxa"/>
            <w:vAlign w:val="bottom"/>
          </w:tcPr>
          <w:p>
            <w:pPr>
              <w:ind w:left="40"/>
              <w:spacing w:after="0"/>
              <w:rPr>
                <w:sz w:val="20"/>
                <w:szCs w:val="20"/>
                <w:color w:val="auto"/>
              </w:rPr>
            </w:pPr>
            <w:r>
              <w:rPr>
                <w:rFonts w:ascii="Arial" w:cs="Arial" w:eastAsia="Arial" w:hAnsi="Arial"/>
                <w:sz w:val="8"/>
                <w:szCs w:val="8"/>
                <w:color w:val="auto"/>
              </w:rPr>
              <w:t>$ 6,656,290</w:t>
            </w:r>
          </w:p>
        </w:tc>
        <w:tc>
          <w:tcPr>
            <w:tcW w:w="520" w:type="dxa"/>
            <w:vAlign w:val="bottom"/>
          </w:tcPr>
          <w:p>
            <w:pPr>
              <w:jc w:val="center"/>
              <w:spacing w:after="0"/>
              <w:rPr>
                <w:sz w:val="20"/>
                <w:szCs w:val="20"/>
                <w:color w:val="auto"/>
              </w:rPr>
            </w:pPr>
            <w:r>
              <w:rPr>
                <w:rFonts w:ascii="Arial" w:cs="Arial" w:eastAsia="Arial" w:hAnsi="Arial"/>
                <w:sz w:val="8"/>
                <w:szCs w:val="8"/>
                <w:color w:val="auto"/>
              </w:rPr>
              <w:t>$ 13,546,218</w:t>
            </w:r>
          </w:p>
        </w:tc>
        <w:tc>
          <w:tcPr>
            <w:tcW w:w="640" w:type="dxa"/>
            <w:vAlign w:val="bottom"/>
          </w:tcPr>
          <w:p>
            <w:pPr>
              <w:jc w:val="right"/>
              <w:spacing w:after="0"/>
              <w:rPr>
                <w:sz w:val="20"/>
                <w:szCs w:val="20"/>
                <w:color w:val="auto"/>
              </w:rPr>
            </w:pPr>
            <w:r>
              <w:rPr>
                <w:rFonts w:ascii="Arial" w:cs="Arial" w:eastAsia="Arial" w:hAnsi="Arial"/>
                <w:sz w:val="8"/>
                <w:szCs w:val="8"/>
                <w:color w:val="auto"/>
              </w:rPr>
              <w:t>$   3,066,727</w:t>
            </w:r>
          </w:p>
        </w:tc>
        <w:tc>
          <w:tcPr>
            <w:tcW w:w="540" w:type="dxa"/>
            <w:vAlign w:val="bottom"/>
          </w:tcPr>
          <w:p>
            <w:pPr>
              <w:ind w:left="40"/>
              <w:spacing w:after="0"/>
              <w:rPr>
                <w:sz w:val="20"/>
                <w:szCs w:val="20"/>
                <w:color w:val="auto"/>
              </w:rPr>
            </w:pPr>
            <w:r>
              <w:rPr>
                <w:rFonts w:ascii="Arial" w:cs="Arial" w:eastAsia="Arial" w:hAnsi="Arial"/>
                <w:sz w:val="8"/>
                <w:szCs w:val="8"/>
                <w:color w:val="auto"/>
              </w:rPr>
              <w:t>$ 5,704,640</w:t>
            </w:r>
          </w:p>
        </w:tc>
        <w:tc>
          <w:tcPr>
            <w:tcW w:w="100" w:type="dxa"/>
            <w:vAlign w:val="bottom"/>
          </w:tcPr>
          <w:p>
            <w:pPr>
              <w:ind w:left="20"/>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2,812,497</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2,201,357</w:t>
            </w:r>
          </w:p>
        </w:tc>
        <w:tc>
          <w:tcPr>
            <w:tcW w:w="320" w:type="dxa"/>
            <w:vAlign w:val="bottom"/>
          </w:tcPr>
          <w:p>
            <w:pPr>
              <w:ind w:left="40"/>
              <w:spacing w:after="0"/>
              <w:rPr>
                <w:sz w:val="20"/>
                <w:szCs w:val="20"/>
                <w:color w:val="auto"/>
              </w:rPr>
            </w:pPr>
            <w:r>
              <w:rPr>
                <w:rFonts w:ascii="Arial" w:cs="Arial" w:eastAsia="Arial" w:hAnsi="Arial"/>
                <w:sz w:val="8"/>
                <w:szCs w:val="8"/>
                <w:color w:val="auto"/>
              </w:rPr>
              <w:t>$</w:t>
            </w:r>
          </w:p>
        </w:tc>
        <w:tc>
          <w:tcPr>
            <w:tcW w:w="280" w:type="dxa"/>
            <w:vAlign w:val="bottom"/>
          </w:tcPr>
          <w:p>
            <w:pPr>
              <w:jc w:val="right"/>
              <w:ind w:right="7"/>
              <w:spacing w:after="0"/>
              <w:rPr>
                <w:sz w:val="20"/>
                <w:szCs w:val="20"/>
                <w:color w:val="auto"/>
              </w:rPr>
            </w:pPr>
            <w:r>
              <w:rPr>
                <w:rFonts w:ascii="Arial" w:cs="Arial" w:eastAsia="Arial" w:hAnsi="Arial"/>
                <w:sz w:val="8"/>
                <w:szCs w:val="8"/>
                <w:color w:val="auto"/>
              </w:rPr>
              <w:t>82.1</w:t>
            </w:r>
          </w:p>
        </w:tc>
        <w:tc>
          <w:tcPr>
            <w:tcW w:w="120" w:type="dxa"/>
            <w:vAlign w:val="bottom"/>
          </w:tcPr>
          <w:p>
            <w:pPr>
              <w:ind w:left="40"/>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99.4</w:t>
            </w: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949)</w:t>
            </w:r>
          </w:p>
        </w:tc>
        <w:tc>
          <w:tcPr>
            <w:tcW w:w="280" w:type="dxa"/>
            <w:vAlign w:val="bottom"/>
          </w:tcPr>
          <w:p>
            <w:pPr>
              <w:ind w:left="40"/>
              <w:spacing w:after="0"/>
              <w:rPr>
                <w:sz w:val="20"/>
                <w:szCs w:val="20"/>
                <w:color w:val="auto"/>
              </w:rPr>
            </w:pPr>
            <w:r>
              <w:rPr>
                <w:rFonts w:ascii="Arial" w:cs="Arial" w:eastAsia="Arial" w:hAnsi="Arial"/>
                <w:sz w:val="8"/>
                <w:szCs w:val="8"/>
                <w:color w:val="auto"/>
              </w:rPr>
              <w:t>$</w:t>
            </w:r>
          </w:p>
        </w:tc>
        <w:tc>
          <w:tcPr>
            <w:tcW w:w="220" w:type="dxa"/>
            <w:vAlign w:val="bottom"/>
          </w:tcPr>
          <w:p>
            <w:pPr>
              <w:jc w:val="right"/>
              <w:spacing w:after="0"/>
              <w:rPr>
                <w:sz w:val="20"/>
                <w:szCs w:val="20"/>
                <w:color w:val="auto"/>
              </w:rPr>
            </w:pPr>
            <w:r>
              <w:rPr>
                <w:rFonts w:ascii="Arial" w:cs="Arial" w:eastAsia="Arial" w:hAnsi="Arial"/>
                <w:sz w:val="8"/>
                <w:szCs w:val="8"/>
                <w:color w:val="auto"/>
              </w:rPr>
              <w:t>1.17</w:t>
            </w:r>
          </w:p>
        </w:tc>
      </w:tr>
    </w:tbl>
    <w:p>
      <w:pPr>
        <w:spacing w:after="0" w:line="97" w:lineRule="exact"/>
        <w:rPr>
          <w:sz w:val="20"/>
          <w:szCs w:val="20"/>
          <w:color w:val="auto"/>
        </w:rPr>
      </w:pPr>
    </w:p>
    <w:p>
      <w:pPr>
        <w:ind w:left="1020" w:right="819" w:hanging="226"/>
        <w:spacing w:after="0" w:line="234" w:lineRule="auto"/>
        <w:tabs>
          <w:tab w:leader="none" w:pos="102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Our PEOs during the last three completed fiscal years were Scott Prochazka, John Somerhalder II, and David Lesar. Messrs. Prochazka, Somerhalder and Lesar were each PEOs in 2020. Mr. Lesar was the only PEO for years 2021 and 2022.</w:t>
      </w:r>
    </w:p>
    <w:p>
      <w:pPr>
        <w:spacing w:after="0" w:line="39" w:lineRule="exact"/>
        <w:rPr>
          <w:rFonts w:ascii="Arial" w:cs="Arial" w:eastAsia="Arial" w:hAnsi="Arial"/>
          <w:sz w:val="10"/>
          <w:szCs w:val="10"/>
          <w:color w:val="auto"/>
        </w:rPr>
      </w:pPr>
    </w:p>
    <w:p>
      <w:pPr>
        <w:ind w:left="1020" w:hanging="226"/>
        <w:spacing w:after="0"/>
        <w:tabs>
          <w:tab w:leader="none" w:pos="102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Our Non-PEO NEOs for the last three completed fiscal years are as follows:</w:t>
      </w:r>
    </w:p>
    <w:p>
      <w:pPr>
        <w:spacing w:after="0" w:line="39" w:lineRule="exact"/>
        <w:rPr>
          <w:rFonts w:ascii="Arial" w:cs="Arial" w:eastAsia="Arial" w:hAnsi="Arial"/>
          <w:sz w:val="10"/>
          <w:szCs w:val="10"/>
          <w:color w:val="auto"/>
        </w:rPr>
      </w:pPr>
    </w:p>
    <w:p>
      <w:pPr>
        <w:ind w:left="1020" w:right="3139"/>
        <w:spacing w:after="0" w:line="322" w:lineRule="auto"/>
        <w:rPr>
          <w:rFonts w:ascii="Arial" w:cs="Arial" w:eastAsia="Arial" w:hAnsi="Arial"/>
          <w:sz w:val="10"/>
          <w:szCs w:val="10"/>
          <w:color w:val="auto"/>
        </w:rPr>
      </w:pPr>
      <w:r>
        <w:rPr>
          <w:rFonts w:ascii="Arial" w:cs="Arial" w:eastAsia="Arial" w:hAnsi="Arial"/>
          <w:sz w:val="10"/>
          <w:szCs w:val="10"/>
          <w:color w:val="auto"/>
        </w:rPr>
        <w:t>For 2020, Jason Wells, Milton Carroll, Kristie Colvin, Scott Doyle, Gregory Knight, Xia Liu, and Joseph Vortherms; For 2021, Jason Wells, Scott Doyle, Kenneth Mercado, Monica Karuturi, and Milton Carroll; and</w:t>
      </w:r>
    </w:p>
    <w:p>
      <w:pPr>
        <w:ind w:left="1020"/>
        <w:spacing w:after="0"/>
        <w:rPr>
          <w:rFonts w:ascii="Arial" w:cs="Arial" w:eastAsia="Arial" w:hAnsi="Arial"/>
          <w:sz w:val="10"/>
          <w:szCs w:val="10"/>
          <w:color w:val="auto"/>
        </w:rPr>
      </w:pPr>
      <w:r>
        <w:rPr>
          <w:rFonts w:ascii="Arial" w:cs="Arial" w:eastAsia="Arial" w:hAnsi="Arial"/>
          <w:sz w:val="10"/>
          <w:szCs w:val="10"/>
          <w:color w:val="auto"/>
        </w:rPr>
        <w:t>For 2022, Jason Wells, Scott Doyle, Monica Karuturi, and Gregory Knight.</w:t>
      </w:r>
    </w:p>
    <w:p>
      <w:pPr>
        <w:spacing w:after="0" w:line="39" w:lineRule="exact"/>
        <w:rPr>
          <w:rFonts w:ascii="Arial" w:cs="Arial" w:eastAsia="Arial" w:hAnsi="Arial"/>
          <w:sz w:val="10"/>
          <w:szCs w:val="10"/>
          <w:color w:val="auto"/>
        </w:rPr>
      </w:pPr>
    </w:p>
    <w:p>
      <w:pPr>
        <w:jc w:val="both"/>
        <w:ind w:left="1020" w:right="799" w:hanging="226"/>
        <w:spacing w:after="0" w:line="230" w:lineRule="auto"/>
        <w:tabs>
          <w:tab w:leader="none" w:pos="102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Compensation “actually paid” for each fiscal year is the total compensation reported in the Summary Compensation table for that year adjusted by the following amounts. The amounts for the non-PEO NEOs are provided as averages. For purposes of these adjustments, PSUs based on a TSR performance objective, whether vested, unvested, or forfeited, were valued using Monte Carlo simulation. PSUs based on a non-TSR performance objective, whether vested, unvested, or forfeited, were valued using the closing trading price for CenterPoint Energy common stock on the applicable valuation date and assuming projected achievement as of the end of the fiscal year.</w:t>
      </w:r>
    </w:p>
    <w:p>
      <w:pPr>
        <w:spacing w:after="0" w:line="160" w:lineRule="exact"/>
        <w:rPr>
          <w:sz w:val="20"/>
          <w:szCs w:val="20"/>
          <w:color w:val="auto"/>
        </w:rPr>
      </w:pPr>
    </w:p>
    <w:p>
      <w:pPr>
        <w:ind w:left="6960"/>
        <w:spacing w:after="0"/>
        <w:tabs>
          <w:tab w:leader="none" w:pos="7980" w:val="left"/>
        </w:tabs>
        <w:rPr>
          <w:sz w:val="20"/>
          <w:szCs w:val="20"/>
          <w:color w:val="auto"/>
        </w:rPr>
      </w:pPr>
      <w:r>
        <w:rPr>
          <w:rFonts w:ascii="Arial" w:cs="Arial" w:eastAsia="Arial" w:hAnsi="Arial"/>
          <w:sz w:val="13"/>
          <w:szCs w:val="13"/>
          <w:color w:val="auto"/>
        </w:rPr>
        <w:t>Always There</w:t>
      </w:r>
      <w:r>
        <w:rPr>
          <w:rFonts w:ascii="Arial" w:cs="Arial" w:eastAsia="Arial" w:hAnsi="Arial"/>
          <w:sz w:val="16"/>
          <w:szCs w:val="16"/>
          <w:color w:val="auto"/>
          <w:vertAlign w:val="superscript"/>
        </w:rPr>
        <w:t>®</w:t>
      </w:r>
      <w:r>
        <w:rPr>
          <w:sz w:val="20"/>
          <w:szCs w:val="20"/>
          <w:color w:val="auto"/>
        </w:rPr>
        <w:tab/>
      </w:r>
      <w:r>
        <w:rPr>
          <w:rFonts w:ascii="Arial" w:cs="Arial" w:eastAsia="Arial" w:hAnsi="Arial"/>
          <w:sz w:val="14"/>
          <w:szCs w:val="14"/>
          <w:b w:val="1"/>
          <w:bCs w:val="1"/>
          <w:color w:val="009AD9"/>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-107950</wp:posOffset>
            </wp:positionV>
            <wp:extent cx="471170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5780" w:type="dxa"/>
            <w:vAlign w:val="bottom"/>
          </w:tcPr>
          <w:p>
            <w:pPr>
              <w:spacing w:after="0"/>
              <w:rPr>
                <w:sz w:val="20"/>
                <w:szCs w:val="20"/>
                <w:color w:val="auto"/>
              </w:rPr>
            </w:pPr>
            <w:r>
              <w:rPr>
                <w:rFonts w:ascii="Arial" w:cs="Arial" w:eastAsia="Arial" w:hAnsi="Arial"/>
                <w:sz w:val="10"/>
                <w:szCs w:val="10"/>
                <w:i w:val="1"/>
                <w:iCs w:val="1"/>
                <w:color w:val="auto"/>
              </w:rPr>
              <w:t>Pay versus Performance (continued)</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90"/>
        </w:trPr>
        <w:tc>
          <w:tcPr>
            <w:tcW w:w="5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55"/>
        </w:trPr>
        <w:tc>
          <w:tcPr>
            <w:tcW w:w="5780" w:type="dxa"/>
            <w:vAlign w:val="bottom"/>
            <w:shd w:val="clear" w:color="auto" w:fill="009AD9"/>
          </w:tcPr>
          <w:p>
            <w:pPr>
              <w:spacing w:after="0"/>
              <w:rPr>
                <w:sz w:val="13"/>
                <w:szCs w:val="13"/>
                <w:color w:val="auto"/>
              </w:rPr>
            </w:pPr>
          </w:p>
        </w:tc>
        <w:tc>
          <w:tcPr>
            <w:tcW w:w="680" w:type="dxa"/>
            <w:vAlign w:val="bottom"/>
            <w:shd w:val="clear" w:color="auto" w:fill="009AD9"/>
          </w:tcPr>
          <w:p>
            <w:pPr>
              <w:spacing w:after="0"/>
              <w:rPr>
                <w:sz w:val="13"/>
                <w:szCs w:val="13"/>
                <w:color w:val="auto"/>
              </w:rPr>
            </w:pPr>
          </w:p>
        </w:tc>
        <w:tc>
          <w:tcPr>
            <w:tcW w:w="960" w:type="dxa"/>
            <w:vAlign w:val="bottom"/>
            <w:shd w:val="clear" w:color="auto" w:fill="009AD9"/>
          </w:tcPr>
          <w:p>
            <w:pPr>
              <w:jc w:val="right"/>
              <w:ind w:right="672"/>
              <w:spacing w:after="0"/>
              <w:rPr>
                <w:sz w:val="20"/>
                <w:szCs w:val="20"/>
                <w:color w:val="auto"/>
              </w:rPr>
            </w:pPr>
            <w:r>
              <w:rPr>
                <w:rFonts w:ascii="Arial" w:cs="Arial" w:eastAsia="Arial" w:hAnsi="Arial"/>
                <w:sz w:val="10"/>
                <w:szCs w:val="10"/>
                <w:b w:val="1"/>
                <w:bCs w:val="1"/>
                <w:color w:val="FFFFFF"/>
                <w:w w:val="98"/>
              </w:rPr>
              <w:t>2022</w:t>
            </w:r>
          </w:p>
        </w:tc>
      </w:tr>
      <w:tr>
        <w:trPr>
          <w:trHeight w:val="127"/>
        </w:trPr>
        <w:tc>
          <w:tcPr>
            <w:tcW w:w="5780" w:type="dxa"/>
            <w:vAlign w:val="bottom"/>
            <w:shd w:val="clear" w:color="auto" w:fill="009AD9"/>
          </w:tcPr>
          <w:p>
            <w:pPr>
              <w:spacing w:after="0"/>
              <w:rPr>
                <w:sz w:val="11"/>
                <w:szCs w:val="11"/>
                <w:color w:val="auto"/>
              </w:rPr>
            </w:pPr>
          </w:p>
        </w:tc>
        <w:tc>
          <w:tcPr>
            <w:tcW w:w="680" w:type="dxa"/>
            <w:vAlign w:val="bottom"/>
            <w:shd w:val="clear" w:color="auto" w:fill="009AD9"/>
          </w:tcPr>
          <w:p>
            <w:pPr>
              <w:spacing w:after="0"/>
              <w:rPr>
                <w:sz w:val="11"/>
                <w:szCs w:val="11"/>
                <w:color w:val="auto"/>
              </w:rPr>
            </w:pPr>
          </w:p>
        </w:tc>
        <w:tc>
          <w:tcPr>
            <w:tcW w:w="960" w:type="dxa"/>
            <w:vAlign w:val="bottom"/>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6"/>
              </w:rPr>
              <w:t>Average</w:t>
            </w:r>
          </w:p>
        </w:tc>
      </w:tr>
      <w:tr>
        <w:trPr>
          <w:trHeight w:val="128"/>
        </w:trPr>
        <w:tc>
          <w:tcPr>
            <w:tcW w:w="5780" w:type="dxa"/>
            <w:vAlign w:val="bottom"/>
            <w:shd w:val="clear" w:color="auto" w:fill="009AD9"/>
          </w:tcPr>
          <w:p>
            <w:pPr>
              <w:ind w:left="80"/>
              <w:spacing w:after="0"/>
              <w:rPr>
                <w:sz w:val="20"/>
                <w:szCs w:val="20"/>
                <w:color w:val="auto"/>
              </w:rPr>
            </w:pPr>
            <w:r>
              <w:rPr>
                <w:rFonts w:ascii="Arial" w:cs="Arial" w:eastAsia="Arial" w:hAnsi="Arial"/>
                <w:sz w:val="10"/>
                <w:szCs w:val="10"/>
                <w:b w:val="1"/>
                <w:bCs w:val="1"/>
                <w:color w:val="FFFFFF"/>
              </w:rPr>
              <w:t>Actually Paid Adjustments</w:t>
            </w:r>
          </w:p>
        </w:tc>
        <w:tc>
          <w:tcPr>
            <w:tcW w:w="680" w:type="dxa"/>
            <w:vAlign w:val="bottom"/>
            <w:shd w:val="clear" w:color="auto" w:fill="009AD9"/>
          </w:tcPr>
          <w:p>
            <w:pPr>
              <w:jc w:val="right"/>
              <w:ind w:right="192"/>
              <w:spacing w:after="0"/>
              <w:rPr>
                <w:sz w:val="20"/>
                <w:szCs w:val="20"/>
                <w:color w:val="auto"/>
              </w:rPr>
            </w:pPr>
            <w:r>
              <w:rPr>
                <w:rFonts w:ascii="Arial" w:cs="Arial" w:eastAsia="Arial" w:hAnsi="Arial"/>
                <w:sz w:val="10"/>
                <w:szCs w:val="10"/>
                <w:b w:val="1"/>
                <w:bCs w:val="1"/>
                <w:color w:val="FFFFFF"/>
              </w:rPr>
              <w:t>PEO</w:t>
            </w:r>
          </w:p>
        </w:tc>
        <w:tc>
          <w:tcPr>
            <w:tcW w:w="960" w:type="dxa"/>
            <w:vAlign w:val="bottom"/>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4"/>
              </w:rPr>
              <w:t>Non-PEO NEOs</w:t>
            </w:r>
          </w:p>
        </w:tc>
      </w:tr>
      <w:tr>
        <w:trPr>
          <w:trHeight w:val="63"/>
        </w:trPr>
        <w:tc>
          <w:tcPr>
            <w:tcW w:w="5780" w:type="dxa"/>
            <w:vAlign w:val="bottom"/>
            <w:shd w:val="clear" w:color="auto" w:fill="009AD9"/>
          </w:tcPr>
          <w:p>
            <w:pPr>
              <w:spacing w:after="0"/>
              <w:rPr>
                <w:sz w:val="5"/>
                <w:szCs w:val="5"/>
                <w:color w:val="auto"/>
              </w:rPr>
            </w:pPr>
          </w:p>
        </w:tc>
        <w:tc>
          <w:tcPr>
            <w:tcW w:w="680" w:type="dxa"/>
            <w:vAlign w:val="bottom"/>
            <w:shd w:val="clear" w:color="auto" w:fill="009AD9"/>
          </w:tcPr>
          <w:p>
            <w:pPr>
              <w:spacing w:after="0"/>
              <w:rPr>
                <w:sz w:val="5"/>
                <w:szCs w:val="5"/>
                <w:color w:val="auto"/>
              </w:rPr>
            </w:pPr>
          </w:p>
        </w:tc>
        <w:tc>
          <w:tcPr>
            <w:tcW w:w="960" w:type="dxa"/>
            <w:vAlign w:val="bottom"/>
            <w:shd w:val="clear" w:color="auto" w:fill="009AD9"/>
          </w:tcPr>
          <w:p>
            <w:pPr>
              <w:spacing w:after="0"/>
              <w:rPr>
                <w:sz w:val="5"/>
                <w:szCs w:val="5"/>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Summary Compensation Table (SCT) Total ($)</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13,867,875</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2,551,102</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Deduction for Amounts Reported under the Stock Awards and Options Awards columns in the SCT</w:t>
            </w:r>
          </w:p>
        </w:tc>
        <w:tc>
          <w:tcPr>
            <w:tcW w:w="6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(8,481,240)</w:t>
            </w:r>
          </w:p>
        </w:tc>
        <w:tc>
          <w:tcPr>
            <w:tcW w:w="9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(1,336,621)</w:t>
            </w:r>
          </w:p>
        </w:tc>
      </w:tr>
      <w:tr>
        <w:trPr>
          <w:trHeight w:val="119"/>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Deduction for Amounts Reported under the “Change in Pension Value and Nonqualified Deferred</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Compensation Earnings” column in the SCT</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31,373</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 for Service Cost and Prior Service Cost for Pension Plans</w:t>
            </w:r>
          </w:p>
        </w:tc>
        <w:tc>
          <w:tcPr>
            <w:tcW w:w="6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15,906</w:t>
            </w: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 for Fair Value of Awards Granted During Year that Remain Unvested as of Year-End</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12,542,520</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1,976,680</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 for Fair Value of Awards Granted During Year that Vest During Year</w:t>
            </w:r>
          </w:p>
        </w:tc>
        <w:tc>
          <w:tcPr>
            <w:tcW w:w="6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 for Dividends Paid on Unvested Shares/Share Units &amp; Stock Options in Year</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1,550,496</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127,670</w:t>
            </w:r>
          </w:p>
        </w:tc>
      </w:tr>
      <w:tr>
        <w:trPr>
          <w:trHeight w:val="123"/>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Increase/Deduction for Change in Fair Value from Prior Year-End to Vesting Date of Awards Granted Prior</w:t>
            </w:r>
          </w:p>
        </w:tc>
        <w:tc>
          <w:tcPr>
            <w:tcW w:w="680" w:type="dxa"/>
            <w:vAlign w:val="bottom"/>
            <w:shd w:val="clear" w:color="auto" w:fill="D8EFF9"/>
          </w:tcPr>
          <w:p>
            <w:pPr>
              <w:spacing w:after="0"/>
              <w:rPr>
                <w:sz w:val="10"/>
                <w:szCs w:val="10"/>
                <w:color w:val="auto"/>
              </w:rPr>
            </w:pPr>
          </w:p>
        </w:tc>
        <w:tc>
          <w:tcPr>
            <w:tcW w:w="960" w:type="dxa"/>
            <w:vAlign w:val="bottom"/>
            <w:shd w:val="clear" w:color="auto" w:fill="D8EFF9"/>
          </w:tcPr>
          <w:p>
            <w:pPr>
              <w:spacing w:after="0"/>
              <w:rPr>
                <w:sz w:val="10"/>
                <w:szCs w:val="10"/>
                <w:color w:val="auto"/>
              </w:rPr>
            </w:pPr>
          </w:p>
        </w:tc>
      </w:tr>
      <w:tr>
        <w:trPr>
          <w:trHeight w:val="145"/>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to Year that Vest During Year</w:t>
            </w:r>
          </w:p>
        </w:tc>
        <w:tc>
          <w:tcPr>
            <w:tcW w:w="6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5,034,164</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523,494</w:t>
            </w:r>
          </w:p>
        </w:tc>
      </w:tr>
      <w:tr>
        <w:trPr>
          <w:trHeight w:val="119"/>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Increase/Deduction for Change in Fair Value from Prior Year-End to Current Year-End of Awards Granted</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Prior to Year that were Outstanding and Unvested as of Year-End</w:t>
            </w:r>
          </w:p>
        </w:tc>
        <w:tc>
          <w:tcPr>
            <w:tcW w:w="680" w:type="dxa"/>
            <w:vAlign w:val="bottom"/>
          </w:tcPr>
          <w:p>
            <w:pPr>
              <w:jc w:val="right"/>
              <w:ind w:right="32"/>
              <w:spacing w:after="0"/>
              <w:rPr>
                <w:sz w:val="20"/>
                <w:szCs w:val="20"/>
                <w:color w:val="auto"/>
              </w:rPr>
            </w:pPr>
            <w:r>
              <w:rPr>
                <w:rFonts w:ascii="Arial" w:cs="Arial" w:eastAsia="Arial" w:hAnsi="Arial"/>
                <w:sz w:val="10"/>
                <w:szCs w:val="10"/>
                <w:color w:val="auto"/>
              </w:rPr>
              <w:t>5,038,851</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529,165</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Deduction of Fair Value of Prior Year Awards Forfeited During the Year</w:t>
            </w:r>
          </w:p>
        </w:tc>
        <w:tc>
          <w:tcPr>
            <w:tcW w:w="6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r>
      <w:tr>
        <w:trPr>
          <w:trHeight w:val="137"/>
        </w:trPr>
        <w:tc>
          <w:tcPr>
            <w:tcW w:w="5780" w:type="dxa"/>
            <w:vAlign w:val="bottom"/>
          </w:tcPr>
          <w:p>
            <w:pPr>
              <w:ind w:left="100"/>
              <w:spacing w:after="0"/>
              <w:rPr>
                <w:sz w:val="20"/>
                <w:szCs w:val="20"/>
                <w:color w:val="auto"/>
              </w:rPr>
            </w:pPr>
            <w:r>
              <w:rPr>
                <w:rFonts w:ascii="Arial" w:cs="Arial" w:eastAsia="Arial" w:hAnsi="Arial"/>
                <w:sz w:val="10"/>
                <w:szCs w:val="10"/>
                <w:b w:val="1"/>
                <w:bCs w:val="1"/>
                <w:color w:val="auto"/>
              </w:rPr>
              <w:t>Total Compensation Actually Paid</w:t>
            </w:r>
          </w:p>
        </w:tc>
        <w:tc>
          <w:tcPr>
            <w:tcW w:w="680" w:type="dxa"/>
            <w:vAlign w:val="bottom"/>
          </w:tcPr>
          <w:p>
            <w:pPr>
              <w:jc w:val="right"/>
              <w:ind w:right="32"/>
              <w:spacing w:after="0"/>
              <w:rPr>
                <w:sz w:val="20"/>
                <w:szCs w:val="20"/>
                <w:color w:val="auto"/>
              </w:rPr>
            </w:pPr>
            <w:r>
              <w:rPr>
                <w:rFonts w:ascii="Arial" w:cs="Arial" w:eastAsia="Arial" w:hAnsi="Arial"/>
                <w:sz w:val="10"/>
                <w:szCs w:val="10"/>
                <w:b w:val="1"/>
                <w:bCs w:val="1"/>
                <w:color w:val="auto"/>
              </w:rPr>
              <w:t>29,552,666</w:t>
            </w:r>
          </w:p>
        </w:tc>
        <w:tc>
          <w:tcPr>
            <w:tcW w:w="960" w:type="dxa"/>
            <w:vAlign w:val="bottom"/>
          </w:tcPr>
          <w:p>
            <w:pPr>
              <w:jc w:val="right"/>
              <w:ind w:right="32"/>
              <w:spacing w:after="0"/>
              <w:rPr>
                <w:sz w:val="20"/>
                <w:szCs w:val="20"/>
                <w:color w:val="auto"/>
              </w:rPr>
            </w:pPr>
            <w:r>
              <w:rPr>
                <w:rFonts w:ascii="Arial" w:cs="Arial" w:eastAsia="Arial" w:hAnsi="Arial"/>
                <w:sz w:val="10"/>
                <w:szCs w:val="10"/>
                <w:b w:val="1"/>
                <w:bCs w:val="1"/>
                <w:color w:val="auto"/>
              </w:rPr>
              <w:t>4,418,767</w:t>
            </w:r>
          </w:p>
        </w:tc>
      </w:tr>
      <w:tr>
        <w:trPr>
          <w:trHeight w:val="172"/>
        </w:trPr>
        <w:tc>
          <w:tcPr>
            <w:tcW w:w="5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5"/>
        </w:trPr>
        <w:tc>
          <w:tcPr>
            <w:tcW w:w="5780" w:type="dxa"/>
            <w:vAlign w:val="bottom"/>
            <w:shd w:val="clear" w:color="auto" w:fill="009AD9"/>
          </w:tcPr>
          <w:p>
            <w:pPr>
              <w:spacing w:after="0"/>
              <w:rPr>
                <w:sz w:val="13"/>
                <w:szCs w:val="13"/>
                <w:color w:val="auto"/>
              </w:rPr>
            </w:pPr>
          </w:p>
        </w:tc>
        <w:tc>
          <w:tcPr>
            <w:tcW w:w="680" w:type="dxa"/>
            <w:vAlign w:val="bottom"/>
            <w:shd w:val="clear" w:color="auto" w:fill="009AD9"/>
          </w:tcPr>
          <w:p>
            <w:pPr>
              <w:spacing w:after="0"/>
              <w:rPr>
                <w:sz w:val="13"/>
                <w:szCs w:val="13"/>
                <w:color w:val="auto"/>
              </w:rPr>
            </w:pPr>
          </w:p>
        </w:tc>
        <w:tc>
          <w:tcPr>
            <w:tcW w:w="960" w:type="dxa"/>
            <w:vAlign w:val="bottom"/>
            <w:shd w:val="clear" w:color="auto" w:fill="009AD9"/>
          </w:tcPr>
          <w:p>
            <w:pPr>
              <w:jc w:val="right"/>
              <w:ind w:right="672"/>
              <w:spacing w:after="0"/>
              <w:rPr>
                <w:sz w:val="20"/>
                <w:szCs w:val="20"/>
                <w:color w:val="auto"/>
              </w:rPr>
            </w:pPr>
            <w:r>
              <w:rPr>
                <w:rFonts w:ascii="Arial" w:cs="Arial" w:eastAsia="Arial" w:hAnsi="Arial"/>
                <w:sz w:val="10"/>
                <w:szCs w:val="10"/>
                <w:b w:val="1"/>
                <w:bCs w:val="1"/>
                <w:color w:val="FFFFFF"/>
                <w:w w:val="98"/>
              </w:rPr>
              <w:t>2021</w:t>
            </w:r>
          </w:p>
        </w:tc>
      </w:tr>
      <w:tr>
        <w:trPr>
          <w:trHeight w:val="127"/>
        </w:trPr>
        <w:tc>
          <w:tcPr>
            <w:tcW w:w="5780" w:type="dxa"/>
            <w:vAlign w:val="bottom"/>
            <w:shd w:val="clear" w:color="auto" w:fill="009AD9"/>
          </w:tcPr>
          <w:p>
            <w:pPr>
              <w:spacing w:after="0"/>
              <w:rPr>
                <w:sz w:val="11"/>
                <w:szCs w:val="11"/>
                <w:color w:val="auto"/>
              </w:rPr>
            </w:pPr>
          </w:p>
        </w:tc>
        <w:tc>
          <w:tcPr>
            <w:tcW w:w="680" w:type="dxa"/>
            <w:vAlign w:val="bottom"/>
            <w:shd w:val="clear" w:color="auto" w:fill="009AD9"/>
          </w:tcPr>
          <w:p>
            <w:pPr>
              <w:spacing w:after="0"/>
              <w:rPr>
                <w:sz w:val="11"/>
                <w:szCs w:val="11"/>
                <w:color w:val="auto"/>
              </w:rPr>
            </w:pPr>
          </w:p>
        </w:tc>
        <w:tc>
          <w:tcPr>
            <w:tcW w:w="960" w:type="dxa"/>
            <w:vAlign w:val="bottom"/>
            <w:shd w:val="clear" w:color="auto" w:fill="009AD9"/>
          </w:tcPr>
          <w:p>
            <w:pPr>
              <w:jc w:val="center"/>
              <w:ind w:left="12"/>
              <w:spacing w:after="0"/>
              <w:rPr>
                <w:sz w:val="20"/>
                <w:szCs w:val="20"/>
                <w:color w:val="auto"/>
              </w:rPr>
            </w:pPr>
            <w:r>
              <w:rPr>
                <w:rFonts w:ascii="Arial" w:cs="Arial" w:eastAsia="Arial" w:hAnsi="Arial"/>
                <w:sz w:val="10"/>
                <w:szCs w:val="10"/>
                <w:b w:val="1"/>
                <w:bCs w:val="1"/>
                <w:color w:val="FFFFFF"/>
                <w:w w:val="96"/>
              </w:rPr>
              <w:t>Average</w:t>
            </w:r>
          </w:p>
        </w:tc>
      </w:tr>
      <w:tr>
        <w:trPr>
          <w:trHeight w:val="128"/>
        </w:trPr>
        <w:tc>
          <w:tcPr>
            <w:tcW w:w="5780" w:type="dxa"/>
            <w:vAlign w:val="bottom"/>
            <w:shd w:val="clear" w:color="auto" w:fill="009AD9"/>
          </w:tcPr>
          <w:p>
            <w:pPr>
              <w:ind w:left="80"/>
              <w:spacing w:after="0"/>
              <w:rPr>
                <w:sz w:val="20"/>
                <w:szCs w:val="20"/>
                <w:color w:val="auto"/>
              </w:rPr>
            </w:pPr>
            <w:r>
              <w:rPr>
                <w:rFonts w:ascii="Arial" w:cs="Arial" w:eastAsia="Arial" w:hAnsi="Arial"/>
                <w:sz w:val="10"/>
                <w:szCs w:val="10"/>
                <w:b w:val="1"/>
                <w:bCs w:val="1"/>
                <w:color w:val="FFFFFF"/>
              </w:rPr>
              <w:t>Actually Paid Adjustments</w:t>
            </w:r>
          </w:p>
        </w:tc>
        <w:tc>
          <w:tcPr>
            <w:tcW w:w="680" w:type="dxa"/>
            <w:vAlign w:val="bottom"/>
            <w:shd w:val="clear" w:color="auto" w:fill="009AD9"/>
          </w:tcPr>
          <w:p>
            <w:pPr>
              <w:jc w:val="right"/>
              <w:ind w:right="192"/>
              <w:spacing w:after="0"/>
              <w:rPr>
                <w:sz w:val="20"/>
                <w:szCs w:val="20"/>
                <w:color w:val="auto"/>
              </w:rPr>
            </w:pPr>
            <w:r>
              <w:rPr>
                <w:rFonts w:ascii="Arial" w:cs="Arial" w:eastAsia="Arial" w:hAnsi="Arial"/>
                <w:sz w:val="10"/>
                <w:szCs w:val="10"/>
                <w:b w:val="1"/>
                <w:bCs w:val="1"/>
                <w:color w:val="FFFFFF"/>
              </w:rPr>
              <w:t>PEO</w:t>
            </w:r>
          </w:p>
        </w:tc>
        <w:tc>
          <w:tcPr>
            <w:tcW w:w="960" w:type="dxa"/>
            <w:vAlign w:val="bottom"/>
            <w:shd w:val="clear" w:color="auto" w:fill="009AD9"/>
          </w:tcPr>
          <w:p>
            <w:pPr>
              <w:jc w:val="center"/>
              <w:ind w:left="32"/>
              <w:spacing w:after="0"/>
              <w:rPr>
                <w:sz w:val="20"/>
                <w:szCs w:val="20"/>
                <w:color w:val="auto"/>
              </w:rPr>
            </w:pPr>
            <w:r>
              <w:rPr>
                <w:rFonts w:ascii="Arial" w:cs="Arial" w:eastAsia="Arial" w:hAnsi="Arial"/>
                <w:sz w:val="10"/>
                <w:szCs w:val="10"/>
                <w:b w:val="1"/>
                <w:bCs w:val="1"/>
                <w:color w:val="FFFFFF"/>
                <w:w w:val="97"/>
              </w:rPr>
              <w:t>Non-PEO NEOs</w:t>
            </w:r>
          </w:p>
        </w:tc>
      </w:tr>
      <w:tr>
        <w:trPr>
          <w:trHeight w:val="63"/>
        </w:trPr>
        <w:tc>
          <w:tcPr>
            <w:tcW w:w="5780" w:type="dxa"/>
            <w:vAlign w:val="bottom"/>
            <w:shd w:val="clear" w:color="auto" w:fill="009AD9"/>
          </w:tcPr>
          <w:p>
            <w:pPr>
              <w:spacing w:after="0"/>
              <w:rPr>
                <w:sz w:val="5"/>
                <w:szCs w:val="5"/>
                <w:color w:val="auto"/>
              </w:rPr>
            </w:pPr>
          </w:p>
        </w:tc>
        <w:tc>
          <w:tcPr>
            <w:tcW w:w="680" w:type="dxa"/>
            <w:vAlign w:val="bottom"/>
            <w:shd w:val="clear" w:color="auto" w:fill="009AD9"/>
          </w:tcPr>
          <w:p>
            <w:pPr>
              <w:spacing w:after="0"/>
              <w:rPr>
                <w:sz w:val="5"/>
                <w:szCs w:val="5"/>
                <w:color w:val="auto"/>
              </w:rPr>
            </w:pPr>
          </w:p>
        </w:tc>
        <w:tc>
          <w:tcPr>
            <w:tcW w:w="960" w:type="dxa"/>
            <w:vAlign w:val="bottom"/>
            <w:shd w:val="clear" w:color="auto" w:fill="009AD9"/>
          </w:tcPr>
          <w:p>
            <w:pPr>
              <w:spacing w:after="0"/>
              <w:rPr>
                <w:sz w:val="5"/>
                <w:szCs w:val="5"/>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Summary Compensation Table (SCT) Total ($)</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37,809,810</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8,318,875</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Deduction for Amounts Reported under the Stock Awards and Options Awards columns in the SCT</w:t>
            </w:r>
          </w:p>
        </w:tc>
        <w:tc>
          <w:tcPr>
            <w:tcW w:w="680" w:type="dxa"/>
            <w:vAlign w:val="bottom"/>
            <w:shd w:val="clear" w:color="auto" w:fill="D8EFF9"/>
          </w:tcPr>
          <w:p>
            <w:pPr>
              <w:jc w:val="right"/>
              <w:spacing w:after="0"/>
              <w:rPr>
                <w:sz w:val="20"/>
                <w:szCs w:val="20"/>
                <w:color w:val="auto"/>
              </w:rPr>
            </w:pPr>
            <w:r>
              <w:rPr>
                <w:rFonts w:ascii="Arial" w:cs="Arial" w:eastAsia="Arial" w:hAnsi="Arial"/>
                <w:sz w:val="10"/>
                <w:szCs w:val="10"/>
                <w:color w:val="auto"/>
              </w:rPr>
              <w:t>(33,359,999)</w:t>
            </w:r>
          </w:p>
        </w:tc>
        <w:tc>
          <w:tcPr>
            <w:tcW w:w="9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(1,563,500)</w:t>
            </w:r>
          </w:p>
        </w:tc>
      </w:tr>
      <w:tr>
        <w:trPr>
          <w:trHeight w:val="119"/>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Deduction for Amounts Reported under the “Change in Pension Value and Nonqualified Deferred</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Compensation Earnings” column in the SCT</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(31,811)</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 for Service Cost and Prior Service Cost for Pension Plans</w:t>
            </w:r>
          </w:p>
        </w:tc>
        <w:tc>
          <w:tcPr>
            <w:tcW w:w="6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16,623</w:t>
            </w: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 for Fair Value of Awards Granted During Year that Remain Unvested as of Year-End</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41,286,596</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2,575,657</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 for Fair Value of Awards Granted During Year that Vest During Year</w:t>
            </w:r>
          </w:p>
        </w:tc>
        <w:tc>
          <w:tcPr>
            <w:tcW w:w="6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 for Dividends Paid on Unvested Shares/Share Units &amp; Stock Options in Year</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1,063,262</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143,224</w:t>
            </w:r>
          </w:p>
        </w:tc>
      </w:tr>
      <w:tr>
        <w:trPr>
          <w:trHeight w:val="123"/>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Increase/Deduction for Change in Fair Value from Prior Year-End to Vesting Date of Awards Granted Prior</w:t>
            </w:r>
          </w:p>
        </w:tc>
        <w:tc>
          <w:tcPr>
            <w:tcW w:w="680" w:type="dxa"/>
            <w:vAlign w:val="bottom"/>
            <w:shd w:val="clear" w:color="auto" w:fill="D8EFF9"/>
          </w:tcPr>
          <w:p>
            <w:pPr>
              <w:spacing w:after="0"/>
              <w:rPr>
                <w:sz w:val="10"/>
                <w:szCs w:val="10"/>
                <w:color w:val="auto"/>
              </w:rPr>
            </w:pPr>
          </w:p>
        </w:tc>
        <w:tc>
          <w:tcPr>
            <w:tcW w:w="960" w:type="dxa"/>
            <w:vAlign w:val="bottom"/>
            <w:shd w:val="clear" w:color="auto" w:fill="D8EFF9"/>
          </w:tcPr>
          <w:p>
            <w:pPr>
              <w:spacing w:after="0"/>
              <w:rPr>
                <w:sz w:val="10"/>
                <w:szCs w:val="10"/>
                <w:color w:val="auto"/>
              </w:rPr>
            </w:pPr>
          </w:p>
        </w:tc>
      </w:tr>
      <w:tr>
        <w:trPr>
          <w:trHeight w:val="145"/>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to Year that Vest During Year</w:t>
            </w:r>
          </w:p>
        </w:tc>
        <w:tc>
          <w:tcPr>
            <w:tcW w:w="6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53,451</w:t>
            </w:r>
          </w:p>
        </w:tc>
        <w:tc>
          <w:tcPr>
            <w:tcW w:w="9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173,972</w:t>
            </w:r>
          </w:p>
        </w:tc>
      </w:tr>
      <w:tr>
        <w:trPr>
          <w:trHeight w:val="119"/>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Increase/Deduction for Change in Fair Value from Prior Year-End to Current Year-End of Awards Granted</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1"/>
        </w:trPr>
        <w:tc>
          <w:tcPr>
            <w:tcW w:w="5780" w:type="dxa"/>
            <w:vAlign w:val="bottom"/>
          </w:tcPr>
          <w:p>
            <w:pPr>
              <w:ind w:left="40"/>
              <w:spacing w:after="0"/>
              <w:rPr>
                <w:sz w:val="20"/>
                <w:szCs w:val="20"/>
                <w:color w:val="auto"/>
              </w:rPr>
            </w:pPr>
            <w:r>
              <w:rPr>
                <w:rFonts w:ascii="Arial" w:cs="Arial" w:eastAsia="Arial" w:hAnsi="Arial"/>
                <w:sz w:val="10"/>
                <w:szCs w:val="10"/>
                <w:b w:val="1"/>
                <w:bCs w:val="1"/>
                <w:color w:val="auto"/>
              </w:rPr>
              <w:t>Prior to Year that were Outstanding and Unvested as of Year-End</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6,145,315</w:t>
            </w: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968,869</w:t>
            </w:r>
          </w:p>
        </w:tc>
      </w:tr>
      <w:tr>
        <w:trPr>
          <w:trHeight w:val="150"/>
        </w:trPr>
        <w:tc>
          <w:tcPr>
            <w:tcW w:w="5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Deduction of Fair Value of Prior Year Awards Forfeited During the Year</w:t>
            </w:r>
          </w:p>
        </w:tc>
        <w:tc>
          <w:tcPr>
            <w:tcW w:w="6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(62,183)</w:t>
            </w:r>
          </w:p>
        </w:tc>
      </w:tr>
      <w:tr>
        <w:trPr>
          <w:trHeight w:val="137"/>
        </w:trPr>
        <w:tc>
          <w:tcPr>
            <w:tcW w:w="5780" w:type="dxa"/>
            <w:vAlign w:val="bottom"/>
          </w:tcPr>
          <w:p>
            <w:pPr>
              <w:ind w:left="100"/>
              <w:spacing w:after="0"/>
              <w:rPr>
                <w:sz w:val="20"/>
                <w:szCs w:val="20"/>
                <w:color w:val="auto"/>
              </w:rPr>
            </w:pPr>
            <w:r>
              <w:rPr>
                <w:rFonts w:ascii="Arial" w:cs="Arial" w:eastAsia="Arial" w:hAnsi="Arial"/>
                <w:sz w:val="10"/>
                <w:szCs w:val="10"/>
                <w:b w:val="1"/>
                <w:bCs w:val="1"/>
                <w:color w:val="auto"/>
              </w:rPr>
              <w:t>Total Compensation Actually Paid</w:t>
            </w:r>
          </w:p>
        </w:tc>
        <w:tc>
          <w:tcPr>
            <w:tcW w:w="680" w:type="dxa"/>
            <w:vAlign w:val="bottom"/>
          </w:tcPr>
          <w:p>
            <w:pPr>
              <w:jc w:val="right"/>
              <w:ind w:right="12"/>
              <w:spacing w:after="0"/>
              <w:rPr>
                <w:sz w:val="20"/>
                <w:szCs w:val="20"/>
                <w:color w:val="auto"/>
              </w:rPr>
            </w:pPr>
            <w:r>
              <w:rPr>
                <w:rFonts w:ascii="Arial" w:cs="Arial" w:eastAsia="Arial" w:hAnsi="Arial"/>
                <w:sz w:val="10"/>
                <w:szCs w:val="10"/>
                <w:b w:val="1"/>
                <w:bCs w:val="1"/>
                <w:color w:val="auto"/>
              </w:rPr>
              <w:t>52,998,434</w:t>
            </w:r>
          </w:p>
        </w:tc>
        <w:tc>
          <w:tcPr>
            <w:tcW w:w="960" w:type="dxa"/>
            <w:vAlign w:val="bottom"/>
          </w:tcPr>
          <w:p>
            <w:pPr>
              <w:jc w:val="right"/>
              <w:ind w:right="32"/>
              <w:spacing w:after="0"/>
              <w:rPr>
                <w:sz w:val="20"/>
                <w:szCs w:val="20"/>
                <w:color w:val="auto"/>
              </w:rPr>
            </w:pPr>
            <w:r>
              <w:rPr>
                <w:rFonts w:ascii="Arial" w:cs="Arial" w:eastAsia="Arial" w:hAnsi="Arial"/>
                <w:sz w:val="10"/>
                <w:szCs w:val="10"/>
                <w:b w:val="1"/>
                <w:bCs w:val="1"/>
                <w:color w:val="auto"/>
              </w:rPr>
              <w:t>10,539,727</w:t>
            </w:r>
          </w:p>
        </w:tc>
      </w:tr>
    </w:tbl>
    <w:p>
      <w:pPr>
        <w:spacing w:after="0" w:line="149" w:lineRule="exact"/>
        <w:rPr>
          <w:sz w:val="20"/>
          <w:szCs w:val="20"/>
          <w:color w:val="auto"/>
        </w:rPr>
      </w:pPr>
    </w:p>
    <w:p>
      <w:pPr>
        <w:ind w:left="2220" w:hanging="230"/>
        <w:spacing w:after="0"/>
        <w:tabs>
          <w:tab w:leader="none" w:pos="2220" w:val="left"/>
        </w:tabs>
        <w:numPr>
          <w:ilvl w:val="0"/>
          <w:numId w:val="12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97" w:name="page98"/>
    <w:bookmarkEnd w:id="97"/>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FFFFFF"/>
        </w:rPr>
        <w:t>Actually Paid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-528955</wp:posOffset>
            </wp:positionV>
            <wp:extent cx="367220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672205" cy="571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-349885</wp:posOffset>
            </wp:positionV>
            <wp:extent cx="2967990" cy="3752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967990" cy="375285"/>
                    </a:xfrm>
                    <a:prstGeom prst="rect">
                      <a:avLst/>
                    </a:prstGeom>
                    <a:noFill/>
                  </pic:spPr>
                </pic:pic>
              </a:graphicData>
            </a:graphic>
          </wp:anchor>
        </w:drawing>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Summary Compensation Table (SCT) Total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13335</wp:posOffset>
            </wp:positionV>
            <wp:extent cx="2967990" cy="1676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967990" cy="167640"/>
                    </a:xfrm>
                    <a:prstGeom prst="rect">
                      <a:avLst/>
                    </a:prstGeom>
                    <a:noFill/>
                  </pic:spPr>
                </pic:pic>
              </a:graphicData>
            </a:graphic>
          </wp:anchor>
        </w:drawing>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Deduction for Amounts Reported under the Stock Awards and Options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Awards columns in the SCT</w:t>
      </w:r>
    </w:p>
    <w:p>
      <w:pPr>
        <w:spacing w:after="0" w:line="28" w:lineRule="exact"/>
        <w:rPr>
          <w:sz w:val="20"/>
          <w:szCs w:val="20"/>
          <w:color w:val="auto"/>
        </w:rPr>
      </w:pPr>
    </w:p>
    <w:p>
      <w:pPr>
        <w:ind w:left="1980" w:right="480"/>
        <w:spacing w:after="0" w:line="254" w:lineRule="auto"/>
        <w:rPr>
          <w:sz w:val="20"/>
          <w:szCs w:val="20"/>
          <w:color w:val="auto"/>
        </w:rPr>
      </w:pPr>
      <w:r>
        <w:rPr>
          <w:rFonts w:ascii="Arial" w:cs="Arial" w:eastAsia="Arial" w:hAnsi="Arial"/>
          <w:sz w:val="10"/>
          <w:szCs w:val="10"/>
          <w:b w:val="1"/>
          <w:bCs w:val="1"/>
          <w:color w:val="auto"/>
        </w:rPr>
        <w:t>Deduction for Amounts Reported under the “Change in Pension Value and Nonqualified Deferred Compensation Earnings” column in the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6985</wp:posOffset>
            </wp:positionV>
            <wp:extent cx="2967990" cy="920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967990" cy="9207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b w:val="1"/>
          <w:bCs w:val="1"/>
          <w:color w:val="auto"/>
        </w:rPr>
        <w:t>Increase for Service Cost and Prior Service Cost for Pension Plans</w:t>
      </w:r>
    </w:p>
    <w:p>
      <w:pPr>
        <w:spacing w:after="0" w:line="30" w:lineRule="exact"/>
        <w:rPr>
          <w:sz w:val="20"/>
          <w:szCs w:val="20"/>
          <w:color w:val="auto"/>
        </w:rPr>
      </w:pPr>
    </w:p>
    <w:p>
      <w:pPr>
        <w:ind w:left="1980" w:right="240"/>
        <w:spacing w:after="0" w:line="254" w:lineRule="auto"/>
        <w:rPr>
          <w:sz w:val="20"/>
          <w:szCs w:val="20"/>
          <w:color w:val="auto"/>
        </w:rPr>
      </w:pPr>
      <w:r>
        <w:rPr>
          <w:rFonts w:ascii="Arial" w:cs="Arial" w:eastAsia="Arial" w:hAnsi="Arial"/>
          <w:sz w:val="10"/>
          <w:szCs w:val="10"/>
          <w:b w:val="1"/>
          <w:bCs w:val="1"/>
          <w:color w:val="auto"/>
        </w:rPr>
        <w:t>Increase for Fair Value of Awards Granted During Year that Remain Unvested as of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6985</wp:posOffset>
            </wp:positionV>
            <wp:extent cx="2967990" cy="920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967990" cy="9207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b w:val="1"/>
          <w:bCs w:val="1"/>
          <w:color w:val="auto"/>
        </w:rPr>
        <w:t>Increase for Fair Value of Awards Granted During Year that Vest During Year</w:t>
      </w:r>
    </w:p>
    <w:p>
      <w:pPr>
        <w:spacing w:after="0" w:line="30" w:lineRule="exact"/>
        <w:rPr>
          <w:sz w:val="20"/>
          <w:szCs w:val="20"/>
          <w:color w:val="auto"/>
        </w:rPr>
      </w:pPr>
    </w:p>
    <w:p>
      <w:pPr>
        <w:ind w:left="1980" w:right="340"/>
        <w:spacing w:after="0" w:line="254" w:lineRule="auto"/>
        <w:rPr>
          <w:sz w:val="20"/>
          <w:szCs w:val="20"/>
          <w:color w:val="auto"/>
        </w:rPr>
      </w:pPr>
      <w:r>
        <w:rPr>
          <w:rFonts w:ascii="Arial" w:cs="Arial" w:eastAsia="Arial" w:hAnsi="Arial"/>
          <w:sz w:val="10"/>
          <w:szCs w:val="10"/>
          <w:b w:val="1"/>
          <w:bCs w:val="1"/>
          <w:color w:val="auto"/>
        </w:rPr>
        <w:t>Increase for Dividends Paid on Unvested Shares/Share Units &amp; Stock Options in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6985</wp:posOffset>
            </wp:positionV>
            <wp:extent cx="2967990" cy="1676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967990" cy="167640"/>
                    </a:xfrm>
                    <a:prstGeom prst="rect">
                      <a:avLst/>
                    </a:prstGeom>
                    <a:noFill/>
                  </pic:spPr>
                </pic:pic>
              </a:graphicData>
            </a:graphic>
          </wp:anchor>
        </w:drawing>
      </w:r>
    </w:p>
    <w:p>
      <w:pPr>
        <w:ind w:left="1980" w:right="220"/>
        <w:spacing w:after="0" w:line="254" w:lineRule="auto"/>
        <w:rPr>
          <w:sz w:val="20"/>
          <w:szCs w:val="20"/>
          <w:color w:val="auto"/>
        </w:rPr>
      </w:pPr>
      <w:r>
        <w:rPr>
          <w:rFonts w:ascii="Arial" w:cs="Arial" w:eastAsia="Arial" w:hAnsi="Arial"/>
          <w:sz w:val="10"/>
          <w:szCs w:val="10"/>
          <w:b w:val="1"/>
          <w:bCs w:val="1"/>
          <w:color w:val="auto"/>
        </w:rPr>
        <w:t>Increase/Deduction for Change in Fair Value from Prior Year-End to Vesting Date of Awards Granted Prior to Year that Vest During Year</w:t>
      </w:r>
    </w:p>
    <w:p>
      <w:pPr>
        <w:spacing w:after="0" w:line="20" w:lineRule="exact"/>
        <w:rPr>
          <w:sz w:val="20"/>
          <w:szCs w:val="20"/>
          <w:color w:val="auto"/>
        </w:rPr>
      </w:pPr>
    </w:p>
    <w:p>
      <w:pPr>
        <w:ind w:left="1980" w:right="280" w:firstLine="2"/>
        <w:spacing w:after="0" w:line="241" w:lineRule="auto"/>
        <w:rPr>
          <w:sz w:val="20"/>
          <w:szCs w:val="20"/>
          <w:color w:val="auto"/>
        </w:rPr>
      </w:pPr>
      <w:r>
        <w:rPr>
          <w:rFonts w:ascii="Arial" w:cs="Arial" w:eastAsia="Arial" w:hAnsi="Arial"/>
          <w:sz w:val="10"/>
          <w:szCs w:val="10"/>
          <w:b w:val="1"/>
          <w:bCs w:val="1"/>
          <w:color w:val="auto"/>
        </w:rPr>
        <w:t>Increase/Deduction for Change in Fair Value from Prior Year-End to Current Year-End of Awards Granted Prior to Year that were Outstanding and Unvested as of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10795</wp:posOffset>
            </wp:positionV>
            <wp:extent cx="2967990" cy="920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967990" cy="92075"/>
                    </a:xfrm>
                    <a:prstGeom prst="rect">
                      <a:avLst/>
                    </a:prstGeom>
                    <a:noFill/>
                  </pic:spPr>
                </pic:pic>
              </a:graphicData>
            </a:graphic>
          </wp:anchor>
        </w:drawing>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Deduction of Fair Value of Prior Year Awards Forfeited During the Year</w:t>
      </w:r>
    </w:p>
    <w:p>
      <w:pPr>
        <w:spacing w:after="0" w:line="30" w:lineRule="exact"/>
        <w:rPr>
          <w:sz w:val="20"/>
          <w:szCs w:val="20"/>
          <w:color w:val="auto"/>
        </w:rPr>
      </w:pPr>
    </w:p>
    <w:p>
      <w:pPr>
        <w:ind w:left="2040"/>
        <w:spacing w:after="0"/>
        <w:rPr>
          <w:sz w:val="20"/>
          <w:szCs w:val="20"/>
          <w:color w:val="auto"/>
        </w:rPr>
      </w:pPr>
      <w:r>
        <w:rPr>
          <w:rFonts w:ascii="Arial" w:cs="Arial" w:eastAsia="Arial" w:hAnsi="Arial"/>
          <w:sz w:val="10"/>
          <w:szCs w:val="10"/>
          <w:b w:val="1"/>
          <w:bCs w:val="1"/>
          <w:color w:val="auto"/>
        </w:rPr>
        <w:t>Total Compensation Actually Paid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shd w:val="clear" w:color="auto" w:fill="009AD9"/>
          </w:tcPr>
          <w:p>
            <w:pPr>
              <w:spacing w:after="0"/>
              <w:rPr>
                <w:sz w:val="14"/>
                <w:szCs w:val="14"/>
                <w:color w:val="auto"/>
              </w:rPr>
            </w:pPr>
          </w:p>
        </w:tc>
        <w:tc>
          <w:tcPr>
            <w:tcW w:w="1360" w:type="dxa"/>
            <w:vAlign w:val="bottom"/>
            <w:gridSpan w:val="2"/>
            <w:shd w:val="clear" w:color="auto" w:fill="009AD9"/>
          </w:tcPr>
          <w:p>
            <w:pPr>
              <w:jc w:val="right"/>
              <w:ind w:right="72"/>
              <w:spacing w:after="0"/>
              <w:rPr>
                <w:sz w:val="20"/>
                <w:szCs w:val="20"/>
                <w:color w:val="auto"/>
              </w:rPr>
            </w:pPr>
            <w:r>
              <w:rPr>
                <w:rFonts w:ascii="Arial" w:cs="Arial" w:eastAsia="Arial" w:hAnsi="Arial"/>
                <w:sz w:val="12"/>
                <w:szCs w:val="12"/>
                <w:color w:val="FFFFFF"/>
              </w:rPr>
              <w:t>2023 Proxy Statement</w:t>
            </w:r>
          </w:p>
        </w:tc>
      </w:tr>
      <w:tr>
        <w:trPr>
          <w:trHeight w:val="64"/>
        </w:trPr>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40" w:type="dxa"/>
            <w:vAlign w:val="bottom"/>
            <w:gridSpan w:val="3"/>
            <w:shd w:val="clear" w:color="auto" w:fill="009AD9"/>
          </w:tcPr>
          <w:p>
            <w:pPr>
              <w:spacing w:after="0"/>
              <w:rPr>
                <w:sz w:val="5"/>
                <w:szCs w:val="5"/>
                <w:color w:val="auto"/>
              </w:rPr>
            </w:pPr>
          </w:p>
        </w:tc>
      </w:tr>
      <w:tr>
        <w:trPr>
          <w:trHeight w:val="126"/>
        </w:trPr>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gridSpan w:val="3"/>
          </w:tcPr>
          <w:p>
            <w:pPr>
              <w:jc w:val="right"/>
              <w:spacing w:after="0"/>
              <w:rPr>
                <w:sz w:val="20"/>
                <w:szCs w:val="20"/>
                <w:color w:val="auto"/>
              </w:rPr>
            </w:pPr>
            <w:r>
              <w:rPr>
                <w:rFonts w:ascii="Arial" w:cs="Arial" w:eastAsia="Arial" w:hAnsi="Arial"/>
                <w:sz w:val="10"/>
                <w:szCs w:val="10"/>
                <w:i w:val="1"/>
                <w:iCs w:val="1"/>
                <w:color w:val="auto"/>
                <w:w w:val="99"/>
              </w:rPr>
              <w:t>Pay versus Performance (continued)</w:t>
            </w:r>
          </w:p>
        </w:tc>
      </w:tr>
      <w:tr>
        <w:trPr>
          <w:trHeight w:val="147"/>
        </w:trPr>
        <w:tc>
          <w:tcPr>
            <w:tcW w:w="660" w:type="dxa"/>
            <w:vAlign w:val="bottom"/>
          </w:tcPr>
          <w:p>
            <w:pPr>
              <w:spacing w:after="0"/>
              <w:rPr>
                <w:sz w:val="12"/>
                <w:szCs w:val="12"/>
                <w:color w:val="auto"/>
              </w:rPr>
            </w:pPr>
          </w:p>
        </w:tc>
        <w:tc>
          <w:tcPr>
            <w:tcW w:w="13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660" w:type="dxa"/>
            <w:vAlign w:val="bottom"/>
            <w:shd w:val="clear" w:color="auto" w:fill="009AD9"/>
          </w:tcPr>
          <w:p>
            <w:pPr>
              <w:spacing w:after="0"/>
              <w:rPr>
                <w:sz w:val="13"/>
                <w:szCs w:val="13"/>
                <w:color w:val="auto"/>
              </w:rPr>
            </w:pPr>
          </w:p>
        </w:tc>
        <w:tc>
          <w:tcPr>
            <w:tcW w:w="1340" w:type="dxa"/>
            <w:vAlign w:val="bottom"/>
            <w:gridSpan w:val="3"/>
            <w:shd w:val="clear" w:color="auto" w:fill="009AD9"/>
          </w:tcPr>
          <w:p>
            <w:pPr>
              <w:jc w:val="right"/>
              <w:ind w:right="491"/>
              <w:spacing w:after="0"/>
              <w:rPr>
                <w:sz w:val="20"/>
                <w:szCs w:val="20"/>
                <w:color w:val="auto"/>
              </w:rPr>
            </w:pPr>
            <w:r>
              <w:rPr>
                <w:rFonts w:ascii="Arial" w:cs="Arial" w:eastAsia="Arial" w:hAnsi="Arial"/>
                <w:sz w:val="10"/>
                <w:szCs w:val="10"/>
                <w:b w:val="1"/>
                <w:bCs w:val="1"/>
                <w:color w:val="FFFFFF"/>
              </w:rPr>
              <w:t>2020</w:t>
            </w:r>
          </w:p>
        </w:tc>
        <w:tc>
          <w:tcPr>
            <w:tcW w:w="740" w:type="dxa"/>
            <w:vAlign w:val="bottom"/>
            <w:shd w:val="clear" w:color="auto" w:fill="009AD9"/>
          </w:tcPr>
          <w:p>
            <w:pPr>
              <w:spacing w:after="0"/>
              <w:rPr>
                <w:sz w:val="13"/>
                <w:szCs w:val="13"/>
                <w:color w:val="auto"/>
              </w:rPr>
            </w:pPr>
          </w:p>
        </w:tc>
      </w:tr>
      <w:tr>
        <w:trPr>
          <w:trHeight w:val="127"/>
        </w:trPr>
        <w:tc>
          <w:tcPr>
            <w:tcW w:w="660" w:type="dxa"/>
            <w:vAlign w:val="bottom"/>
            <w:shd w:val="clear" w:color="auto" w:fill="009AD9"/>
          </w:tcPr>
          <w:p>
            <w:pPr>
              <w:spacing w:after="0"/>
              <w:rPr>
                <w:sz w:val="11"/>
                <w:szCs w:val="11"/>
                <w:color w:val="auto"/>
              </w:rPr>
            </w:pPr>
          </w:p>
        </w:tc>
        <w:tc>
          <w:tcPr>
            <w:tcW w:w="440" w:type="dxa"/>
            <w:vAlign w:val="bottom"/>
            <w:shd w:val="clear" w:color="auto" w:fill="009AD9"/>
          </w:tcPr>
          <w:p>
            <w:pPr>
              <w:spacing w:after="0"/>
              <w:rPr>
                <w:sz w:val="11"/>
                <w:szCs w:val="11"/>
                <w:color w:val="auto"/>
              </w:rPr>
            </w:pPr>
          </w:p>
        </w:tc>
        <w:tc>
          <w:tcPr>
            <w:tcW w:w="280" w:type="dxa"/>
            <w:vAlign w:val="bottom"/>
            <w:shd w:val="clear" w:color="auto" w:fill="009AD9"/>
          </w:tcPr>
          <w:p>
            <w:pPr>
              <w:spacing w:after="0"/>
              <w:rPr>
                <w:sz w:val="11"/>
                <w:szCs w:val="11"/>
                <w:color w:val="auto"/>
              </w:rPr>
            </w:pPr>
          </w:p>
        </w:tc>
        <w:tc>
          <w:tcPr>
            <w:tcW w:w="620" w:type="dxa"/>
            <w:vAlign w:val="bottom"/>
            <w:shd w:val="clear" w:color="auto" w:fill="009AD9"/>
          </w:tcPr>
          <w:p>
            <w:pPr>
              <w:spacing w:after="0"/>
              <w:rPr>
                <w:sz w:val="11"/>
                <w:szCs w:val="11"/>
                <w:color w:val="auto"/>
              </w:rPr>
            </w:pPr>
          </w:p>
        </w:tc>
        <w:tc>
          <w:tcPr>
            <w:tcW w:w="740" w:type="dxa"/>
            <w:vAlign w:val="bottom"/>
            <w:shd w:val="clear" w:color="auto" w:fill="009AD9"/>
          </w:tcPr>
          <w:p>
            <w:pPr>
              <w:jc w:val="right"/>
              <w:ind w:right="32"/>
              <w:spacing w:after="0"/>
              <w:rPr>
                <w:sz w:val="20"/>
                <w:szCs w:val="20"/>
                <w:color w:val="auto"/>
              </w:rPr>
            </w:pPr>
            <w:r>
              <w:rPr>
                <w:rFonts w:ascii="Arial" w:cs="Arial" w:eastAsia="Arial" w:hAnsi="Arial"/>
                <w:sz w:val="10"/>
                <w:szCs w:val="10"/>
                <w:b w:val="1"/>
                <w:bCs w:val="1"/>
                <w:color w:val="FFFFFF"/>
                <w:w w:val="98"/>
              </w:rPr>
              <w:t>Average Non-</w:t>
            </w:r>
          </w:p>
        </w:tc>
      </w:tr>
      <w:tr>
        <w:trPr>
          <w:trHeight w:val="137"/>
        </w:trPr>
        <w:tc>
          <w:tcPr>
            <w:tcW w:w="660" w:type="dxa"/>
            <w:vAlign w:val="bottom"/>
            <w:shd w:val="clear" w:color="auto" w:fill="009AD9"/>
          </w:tcPr>
          <w:p>
            <w:pPr>
              <w:spacing w:after="0"/>
              <w:rPr>
                <w:sz w:val="11"/>
                <w:szCs w:val="11"/>
                <w:color w:val="auto"/>
              </w:rPr>
            </w:pPr>
          </w:p>
        </w:tc>
        <w:tc>
          <w:tcPr>
            <w:tcW w:w="720" w:type="dxa"/>
            <w:vAlign w:val="bottom"/>
            <w:gridSpan w:val="2"/>
            <w:shd w:val="clear" w:color="auto" w:fill="009AD9"/>
          </w:tcPr>
          <w:p>
            <w:pPr>
              <w:jc w:val="right"/>
              <w:ind w:right="232"/>
              <w:spacing w:after="0"/>
              <w:rPr>
                <w:sz w:val="20"/>
                <w:szCs w:val="20"/>
                <w:color w:val="auto"/>
              </w:rPr>
            </w:pPr>
            <w:r>
              <w:rPr>
                <w:rFonts w:ascii="Arial" w:cs="Arial" w:eastAsia="Arial" w:hAnsi="Arial"/>
                <w:sz w:val="10"/>
                <w:szCs w:val="10"/>
                <w:b w:val="1"/>
                <w:bCs w:val="1"/>
                <w:color w:val="FFFFFF"/>
              </w:rPr>
              <w:t>PEO</w:t>
            </w:r>
          </w:p>
        </w:tc>
        <w:tc>
          <w:tcPr>
            <w:tcW w:w="620" w:type="dxa"/>
            <w:vAlign w:val="bottom"/>
            <w:shd w:val="clear" w:color="auto" w:fill="009AD9"/>
          </w:tcPr>
          <w:p>
            <w:pPr>
              <w:spacing w:after="0"/>
              <w:rPr>
                <w:sz w:val="11"/>
                <w:szCs w:val="11"/>
                <w:color w:val="auto"/>
              </w:rPr>
            </w:pPr>
          </w:p>
        </w:tc>
        <w:tc>
          <w:tcPr>
            <w:tcW w:w="740" w:type="dxa"/>
            <w:vAlign w:val="bottom"/>
            <w:shd w:val="clear" w:color="auto" w:fill="009AD9"/>
          </w:tcPr>
          <w:p>
            <w:pPr>
              <w:jc w:val="right"/>
              <w:ind w:right="92"/>
              <w:spacing w:after="0"/>
              <w:rPr>
                <w:sz w:val="20"/>
                <w:szCs w:val="20"/>
                <w:color w:val="auto"/>
              </w:rPr>
            </w:pPr>
            <w:r>
              <w:rPr>
                <w:rFonts w:ascii="Arial" w:cs="Arial" w:eastAsia="Arial" w:hAnsi="Arial"/>
                <w:sz w:val="10"/>
                <w:szCs w:val="10"/>
                <w:b w:val="1"/>
                <w:bCs w:val="1"/>
                <w:color w:val="FFFFFF"/>
              </w:rPr>
              <w:t>PEO NEOs</w:t>
            </w:r>
          </w:p>
        </w:tc>
      </w:tr>
      <w:tr>
        <w:trPr>
          <w:trHeight w:val="152"/>
        </w:trPr>
        <w:tc>
          <w:tcPr>
            <w:tcW w:w="660" w:type="dxa"/>
            <w:vAlign w:val="bottom"/>
            <w:tcBorders>
              <w:bottom w:val="single" w:sz="8" w:color="009AD9"/>
            </w:tcBorders>
            <w:shd w:val="clear" w:color="auto" w:fill="009AD9"/>
          </w:tcPr>
          <w:p>
            <w:pPr>
              <w:jc w:val="right"/>
              <w:ind w:right="172"/>
              <w:spacing w:after="0"/>
              <w:rPr>
                <w:sz w:val="20"/>
                <w:szCs w:val="20"/>
                <w:color w:val="auto"/>
              </w:rPr>
            </w:pPr>
            <w:r>
              <w:rPr>
                <w:rFonts w:ascii="Arial" w:cs="Arial" w:eastAsia="Arial" w:hAnsi="Arial"/>
                <w:sz w:val="10"/>
                <w:szCs w:val="10"/>
                <w:b w:val="1"/>
                <w:bCs w:val="1"/>
                <w:color w:val="FFFFFF"/>
              </w:rPr>
              <w:t>Lesar</w:t>
            </w:r>
          </w:p>
        </w:tc>
        <w:tc>
          <w:tcPr>
            <w:tcW w:w="720" w:type="dxa"/>
            <w:vAlign w:val="bottom"/>
            <w:tcBorders>
              <w:bottom w:val="single" w:sz="8" w:color="009AD9"/>
            </w:tcBorders>
            <w:gridSpan w:val="2"/>
            <w:shd w:val="clear" w:color="auto" w:fill="009AD9"/>
          </w:tcPr>
          <w:p>
            <w:pPr>
              <w:jc w:val="right"/>
              <w:ind w:right="12"/>
              <w:spacing w:after="0"/>
              <w:rPr>
                <w:sz w:val="20"/>
                <w:szCs w:val="20"/>
                <w:color w:val="auto"/>
              </w:rPr>
            </w:pPr>
            <w:r>
              <w:rPr>
                <w:rFonts w:ascii="Arial" w:cs="Arial" w:eastAsia="Arial" w:hAnsi="Arial"/>
                <w:sz w:val="10"/>
                <w:szCs w:val="10"/>
                <w:b w:val="1"/>
                <w:bCs w:val="1"/>
                <w:color w:val="FFFFFF"/>
              </w:rPr>
              <w:t>Somerhalder</w:t>
            </w:r>
          </w:p>
        </w:tc>
        <w:tc>
          <w:tcPr>
            <w:tcW w:w="620" w:type="dxa"/>
            <w:vAlign w:val="bottom"/>
            <w:tcBorders>
              <w:bottom w:val="single" w:sz="8" w:color="009AD9"/>
            </w:tcBorders>
            <w:shd w:val="clear" w:color="auto" w:fill="009AD9"/>
          </w:tcPr>
          <w:p>
            <w:pPr>
              <w:jc w:val="right"/>
              <w:ind w:right="11"/>
              <w:spacing w:after="0"/>
              <w:rPr>
                <w:sz w:val="20"/>
                <w:szCs w:val="20"/>
                <w:color w:val="auto"/>
              </w:rPr>
            </w:pPr>
            <w:r>
              <w:rPr>
                <w:rFonts w:ascii="Arial" w:cs="Arial" w:eastAsia="Arial" w:hAnsi="Arial"/>
                <w:sz w:val="10"/>
                <w:szCs w:val="10"/>
                <w:b w:val="1"/>
                <w:bCs w:val="1"/>
                <w:color w:val="FFFFFF"/>
              </w:rPr>
              <w:t>Prochazka</w:t>
            </w:r>
          </w:p>
        </w:tc>
        <w:tc>
          <w:tcPr>
            <w:tcW w:w="740" w:type="dxa"/>
            <w:vAlign w:val="bottom"/>
            <w:tcBorders>
              <w:bottom w:val="single" w:sz="8" w:color="009AD9"/>
            </w:tcBorders>
            <w:shd w:val="clear" w:color="auto" w:fill="009AD9"/>
          </w:tcPr>
          <w:p>
            <w:pPr>
              <w:spacing w:after="0"/>
              <w:rPr>
                <w:sz w:val="13"/>
                <w:szCs w:val="13"/>
                <w:color w:val="auto"/>
              </w:rPr>
            </w:pPr>
          </w:p>
        </w:tc>
      </w:tr>
      <w:tr>
        <w:trPr>
          <w:trHeight w:val="141"/>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11,946,295</w:t>
            </w:r>
          </w:p>
        </w:tc>
        <w:tc>
          <w:tcPr>
            <w:tcW w:w="720" w:type="dxa"/>
            <w:vAlign w:val="bottom"/>
            <w:gridSpan w:val="2"/>
          </w:tcPr>
          <w:p>
            <w:pPr>
              <w:jc w:val="right"/>
              <w:ind w:right="12"/>
              <w:spacing w:after="0"/>
              <w:rPr>
                <w:sz w:val="20"/>
                <w:szCs w:val="20"/>
                <w:color w:val="auto"/>
              </w:rPr>
            </w:pPr>
            <w:r>
              <w:rPr>
                <w:rFonts w:ascii="Arial" w:cs="Arial" w:eastAsia="Arial" w:hAnsi="Arial"/>
                <w:sz w:val="10"/>
                <w:szCs w:val="10"/>
                <w:color w:val="auto"/>
              </w:rPr>
              <w:t>3,075,656</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6,656,290</w:t>
            </w: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2,812,497</w:t>
            </w:r>
          </w:p>
        </w:tc>
      </w:tr>
      <w:tr>
        <w:trPr>
          <w:trHeight w:val="268"/>
        </w:trPr>
        <w:tc>
          <w:tcPr>
            <w:tcW w:w="6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(8,169,996)</w:t>
            </w:r>
          </w:p>
        </w:tc>
        <w:tc>
          <w:tcPr>
            <w:tcW w:w="720" w:type="dxa"/>
            <w:vAlign w:val="bottom"/>
            <w:gridSpan w:val="2"/>
            <w:shd w:val="clear" w:color="auto" w:fill="D8EFF9"/>
          </w:tcPr>
          <w:p>
            <w:pPr>
              <w:jc w:val="right"/>
              <w:spacing w:after="0"/>
              <w:rPr>
                <w:sz w:val="20"/>
                <w:szCs w:val="20"/>
                <w:color w:val="auto"/>
              </w:rPr>
            </w:pPr>
            <w:r>
              <w:rPr>
                <w:rFonts w:ascii="Arial" w:cs="Arial" w:eastAsia="Arial" w:hAnsi="Arial"/>
                <w:sz w:val="10"/>
                <w:szCs w:val="10"/>
                <w:color w:val="auto"/>
              </w:rPr>
              <w:t>(2,272,619)</w:t>
            </w:r>
          </w:p>
        </w:tc>
        <w:tc>
          <w:tcPr>
            <w:tcW w:w="620" w:type="dxa"/>
            <w:vAlign w:val="bottom"/>
            <w:shd w:val="clear" w:color="auto" w:fill="D8EFF9"/>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(1,608,708)</w:t>
            </w:r>
          </w:p>
        </w:tc>
      </w:tr>
      <w:tr>
        <w:trPr>
          <w:trHeight w:val="260"/>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(8,929)</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1,008,367</w:t>
            </w:r>
          </w:p>
        </w:tc>
        <w:tc>
          <w:tcPr>
            <w:tcW w:w="740" w:type="dxa"/>
            <w:vAlign w:val="bottom"/>
          </w:tcPr>
          <w:p>
            <w:pPr>
              <w:jc w:val="right"/>
              <w:spacing w:after="0"/>
              <w:rPr>
                <w:sz w:val="20"/>
                <w:szCs w:val="20"/>
                <w:color w:val="auto"/>
              </w:rPr>
            </w:pPr>
            <w:r>
              <w:rPr>
                <w:rFonts w:ascii="Arial" w:cs="Arial" w:eastAsia="Arial" w:hAnsi="Arial"/>
                <w:sz w:val="10"/>
                <w:szCs w:val="10"/>
                <w:color w:val="auto"/>
              </w:rPr>
              <w:t>(59,849)</w:t>
            </w:r>
          </w:p>
        </w:tc>
      </w:tr>
      <w:tr>
        <w:trPr>
          <w:trHeight w:val="150"/>
        </w:trPr>
        <w:tc>
          <w:tcPr>
            <w:tcW w:w="6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spacing w:after="0"/>
              <w:rPr>
                <w:sz w:val="13"/>
                <w:szCs w:val="13"/>
                <w:color w:val="auto"/>
              </w:rPr>
            </w:pPr>
          </w:p>
        </w:tc>
        <w:tc>
          <w:tcPr>
            <w:tcW w:w="2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shd w:val="clear" w:color="auto" w:fill="D8EFF9"/>
          </w:tcPr>
          <w:p>
            <w:pPr>
              <w:jc w:val="right"/>
              <w:ind w:right="11"/>
              <w:spacing w:after="0"/>
              <w:rPr>
                <w:sz w:val="20"/>
                <w:szCs w:val="20"/>
                <w:color w:val="auto"/>
              </w:rPr>
            </w:pPr>
            <w:r>
              <w:rPr>
                <w:rFonts w:ascii="Arial" w:cs="Arial" w:eastAsia="Arial" w:hAnsi="Arial"/>
                <w:sz w:val="10"/>
                <w:szCs w:val="10"/>
                <w:color w:val="auto"/>
              </w:rPr>
              <w:t>140,749</w:t>
            </w:r>
          </w:p>
        </w:tc>
        <w:tc>
          <w:tcPr>
            <w:tcW w:w="74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14,403</w:t>
            </w:r>
          </w:p>
        </w:tc>
      </w:tr>
      <w:tr>
        <w:trPr>
          <w:trHeight w:val="260"/>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9,382,862</w:t>
            </w:r>
          </w:p>
        </w:tc>
        <w:tc>
          <w:tcPr>
            <w:tcW w:w="440" w:type="dxa"/>
            <w:vAlign w:val="bottom"/>
          </w:tcPr>
          <w:p>
            <w:pPr>
              <w:spacing w:after="0"/>
              <w:rPr>
                <w:sz w:val="22"/>
                <w:szCs w:val="22"/>
                <w:color w:val="auto"/>
              </w:rPr>
            </w:pP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1,305,346</w:t>
            </w:r>
          </w:p>
        </w:tc>
      </w:tr>
      <w:tr>
        <w:trPr>
          <w:trHeight w:val="150"/>
        </w:trPr>
        <w:tc>
          <w:tcPr>
            <w:tcW w:w="6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149,996</w:t>
            </w:r>
          </w:p>
        </w:tc>
        <w:tc>
          <w:tcPr>
            <w:tcW w:w="720" w:type="dxa"/>
            <w:vAlign w:val="bottom"/>
            <w:gridSpan w:val="2"/>
            <w:shd w:val="clear" w:color="auto" w:fill="D8EFF9"/>
          </w:tcPr>
          <w:p>
            <w:pPr>
              <w:jc w:val="right"/>
              <w:ind w:right="12"/>
              <w:spacing w:after="0"/>
              <w:rPr>
                <w:sz w:val="20"/>
                <w:szCs w:val="20"/>
                <w:color w:val="auto"/>
              </w:rPr>
            </w:pPr>
            <w:r>
              <w:rPr>
                <w:rFonts w:ascii="Arial" w:cs="Arial" w:eastAsia="Arial" w:hAnsi="Arial"/>
                <w:sz w:val="10"/>
                <w:szCs w:val="10"/>
                <w:color w:val="auto"/>
              </w:rPr>
              <w:t>2,272,619</w:t>
            </w:r>
          </w:p>
        </w:tc>
        <w:tc>
          <w:tcPr>
            <w:tcW w:w="620" w:type="dxa"/>
            <w:vAlign w:val="bottom"/>
            <w:shd w:val="clear" w:color="auto" w:fill="D8EFF9"/>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71,428</w:t>
            </w:r>
          </w:p>
        </w:tc>
      </w:tr>
      <w:tr>
        <w:trPr>
          <w:trHeight w:val="260"/>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237,061</w:t>
            </w:r>
          </w:p>
        </w:tc>
        <w:tc>
          <w:tcPr>
            <w:tcW w:w="440" w:type="dxa"/>
            <w:vAlign w:val="bottom"/>
          </w:tcPr>
          <w:p>
            <w:pPr>
              <w:spacing w:after="0"/>
              <w:rPr>
                <w:sz w:val="22"/>
                <w:szCs w:val="22"/>
                <w:color w:val="auto"/>
              </w:rPr>
            </w:pP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528,003</w:t>
            </w: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79,014</w:t>
            </w:r>
          </w:p>
        </w:tc>
      </w:tr>
      <w:tr>
        <w:trPr>
          <w:trHeight w:val="268"/>
        </w:trPr>
        <w:tc>
          <w:tcPr>
            <w:tcW w:w="6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spacing w:after="0"/>
              <w:rPr>
                <w:sz w:val="23"/>
                <w:szCs w:val="23"/>
                <w:color w:val="auto"/>
              </w:rPr>
            </w:pPr>
          </w:p>
        </w:tc>
        <w:tc>
          <w:tcPr>
            <w:tcW w:w="2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(777,086)</w:t>
            </w:r>
          </w:p>
        </w:tc>
        <w:tc>
          <w:tcPr>
            <w:tcW w:w="7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(82,302)</w:t>
            </w:r>
          </w:p>
        </w:tc>
      </w:tr>
      <w:tr>
        <w:trPr>
          <w:trHeight w:val="369"/>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(1,283,285)</w:t>
            </w:r>
          </w:p>
        </w:tc>
        <w:tc>
          <w:tcPr>
            <w:tcW w:w="740" w:type="dxa"/>
            <w:vAlign w:val="bottom"/>
          </w:tcPr>
          <w:p>
            <w:pPr>
              <w:jc w:val="right"/>
              <w:spacing w:after="0"/>
              <w:rPr>
                <w:sz w:val="20"/>
                <w:szCs w:val="20"/>
                <w:color w:val="auto"/>
              </w:rPr>
            </w:pPr>
            <w:r>
              <w:rPr>
                <w:rFonts w:ascii="Arial" w:cs="Arial" w:eastAsia="Arial" w:hAnsi="Arial"/>
                <w:sz w:val="10"/>
                <w:szCs w:val="10"/>
                <w:color w:val="auto"/>
              </w:rPr>
              <w:t>(117,485)</w:t>
            </w:r>
          </w:p>
        </w:tc>
      </w:tr>
      <w:tr>
        <w:trPr>
          <w:trHeight w:val="150"/>
        </w:trPr>
        <w:tc>
          <w:tcPr>
            <w:tcW w:w="66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spacing w:after="0"/>
              <w:rPr>
                <w:sz w:val="13"/>
                <w:szCs w:val="13"/>
                <w:color w:val="auto"/>
              </w:rPr>
            </w:pPr>
          </w:p>
        </w:tc>
        <w:tc>
          <w:tcPr>
            <w:tcW w:w="2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(568,399)</w:t>
            </w:r>
          </w:p>
        </w:tc>
        <w:tc>
          <w:tcPr>
            <w:tcW w:w="7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(212,986)</w:t>
            </w:r>
          </w:p>
        </w:tc>
      </w:tr>
      <w:tr>
        <w:trPr>
          <w:trHeight w:val="137"/>
        </w:trPr>
        <w:tc>
          <w:tcPr>
            <w:tcW w:w="660" w:type="dxa"/>
            <w:vAlign w:val="bottom"/>
          </w:tcPr>
          <w:p>
            <w:pPr>
              <w:jc w:val="right"/>
              <w:ind w:right="32"/>
              <w:spacing w:after="0"/>
              <w:rPr>
                <w:sz w:val="20"/>
                <w:szCs w:val="20"/>
                <w:color w:val="auto"/>
              </w:rPr>
            </w:pPr>
            <w:r>
              <w:rPr>
                <w:rFonts w:ascii="Arial" w:cs="Arial" w:eastAsia="Arial" w:hAnsi="Arial"/>
                <w:sz w:val="10"/>
                <w:szCs w:val="10"/>
                <w:color w:val="auto"/>
              </w:rPr>
              <w:t>13,546,218</w:t>
            </w:r>
          </w:p>
        </w:tc>
        <w:tc>
          <w:tcPr>
            <w:tcW w:w="720" w:type="dxa"/>
            <w:vAlign w:val="bottom"/>
            <w:gridSpan w:val="2"/>
          </w:tcPr>
          <w:p>
            <w:pPr>
              <w:jc w:val="right"/>
              <w:ind w:right="12"/>
              <w:spacing w:after="0"/>
              <w:rPr>
                <w:sz w:val="20"/>
                <w:szCs w:val="20"/>
                <w:color w:val="auto"/>
              </w:rPr>
            </w:pPr>
            <w:r>
              <w:rPr>
                <w:rFonts w:ascii="Arial" w:cs="Arial" w:eastAsia="Arial" w:hAnsi="Arial"/>
                <w:sz w:val="10"/>
                <w:szCs w:val="10"/>
                <w:color w:val="auto"/>
              </w:rPr>
              <w:t>3,066,727</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5,704,640</w:t>
            </w: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2,201,357</w:t>
            </w:r>
          </w:p>
        </w:tc>
      </w:tr>
    </w:tbl>
    <w:p>
      <w:pPr>
        <w:spacing w:after="0" w:line="93" w:lineRule="exact"/>
        <w:rPr>
          <w:sz w:val="20"/>
          <w:szCs w:val="20"/>
          <w:color w:val="auto"/>
        </w:rPr>
      </w:pPr>
    </w:p>
    <w:p>
      <w:pPr>
        <w:sectPr>
          <w:pgSz w:w="11900" w:h="16838" w:orient="portrait"/>
          <w:cols w:equalWidth="0" w:num="2">
            <w:col w:w="5900" w:space="720"/>
            <w:col w:w="3539"/>
          </w:cols>
          <w:pgMar w:left="300" w:top="372" w:right="1440" w:bottom="1440" w:gutter="0" w:footer="0" w:header="0"/>
          <w:type w:val="continuous"/>
        </w:sectPr>
      </w:pPr>
    </w:p>
    <w:p>
      <w:pPr>
        <w:ind w:left="2160" w:right="799" w:hanging="226"/>
        <w:spacing w:after="0" w:line="234" w:lineRule="auto"/>
        <w:tabs>
          <w:tab w:leader="none" w:pos="216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Cumulative TSR is determined for the measurement period starting 12/31/2019 and ending on 12/31/2022, 12/31/2021, and 12/31/2020, respectively. Peer group TSR is weighted based on market capitalization as of 12/31/2019 and is based on PHLX Utility Sector Index (UTY) TSR sourced from FactSet.</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Amounts shown are consolidated net income reported pursuant to GAAP in our annual report on Form 10-K.</w:t>
      </w:r>
    </w:p>
    <w:p>
      <w:pPr>
        <w:spacing w:after="0" w:line="39" w:lineRule="exact"/>
        <w:rPr>
          <w:rFonts w:ascii="Arial" w:cs="Arial" w:eastAsia="Arial" w:hAnsi="Arial"/>
          <w:sz w:val="10"/>
          <w:szCs w:val="10"/>
          <w:color w:val="auto"/>
        </w:rPr>
      </w:pPr>
    </w:p>
    <w:p>
      <w:pPr>
        <w:jc w:val="both"/>
        <w:ind w:left="2160" w:right="799" w:hanging="226"/>
        <w:spacing w:after="0" w:line="293" w:lineRule="auto"/>
        <w:tabs>
          <w:tab w:leader="none" w:pos="2160" w:val="left"/>
        </w:tabs>
        <w:numPr>
          <w:ilvl w:val="0"/>
          <w:numId w:val="122"/>
        </w:numPr>
        <w:rPr>
          <w:rFonts w:ascii="Arial" w:cs="Arial" w:eastAsia="Arial" w:hAnsi="Arial"/>
          <w:sz w:val="8"/>
          <w:szCs w:val="8"/>
          <w:color w:val="auto"/>
        </w:rPr>
      </w:pPr>
      <w:r>
        <w:rPr>
          <w:rFonts w:ascii="Arial" w:cs="Arial" w:eastAsia="Arial" w:hAnsi="Arial"/>
          <w:sz w:val="8"/>
          <w:szCs w:val="8"/>
          <w:color w:val="auto"/>
        </w:rPr>
        <w:t>The company-selected measure represents what the company believes is the most important financial performance measure (other than company TSR or net income) used to link company performance and the compensation actually paid to our named executive officers. The company-selected measure is Adjusted EPS. An EPS financial measure aligns with our commitment to return value to investors through earnings and dividends paid. Adjusted EPS is a non-GAAP metric which includes net income from electric and natural gas segments, as well as after tax corporate and other operating income and corporate overhead and adjusted for certain factors to reflect what we consider to be our fundamental business performance. Adjusted EPS excludes, among other items, earnings and losses from the change of value of ZENS and related securities, income and expenses related to ownership and disposal of certain midstream units, a corresponding amount of debt related to the units and allocation of associated corporate overhead, gain and impact including expenses associated with certain mergers and divestitures and other potential impact, such as changes in accounting standards, impairments or unusual items, which could have a material impact on GAAP reported results. For a full list of adjustments and reconciliation of Adjusted GAAP to consolidated income (loss) available to common shareholders and diluted EPS, the nearest GAAP metrics, please see Appendix A.</w:t>
      </w:r>
    </w:p>
    <w:p>
      <w:pPr>
        <w:spacing w:after="0" w:line="24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16"/>
          <w:szCs w:val="16"/>
          <w:color w:val="auto"/>
          <w:vertAlign w:val="superscript"/>
        </w:rPr>
        <w:t>®</w:t>
      </w:r>
      <w:r>
        <w:rPr>
          <w:sz w:val="20"/>
          <w:szCs w:val="20"/>
          <w:color w:val="auto"/>
        </w:rPr>
        <w:tab/>
      </w:r>
      <w:r>
        <w:rPr>
          <w:rFonts w:ascii="Arial" w:cs="Arial" w:eastAsia="Arial" w:hAnsi="Arial"/>
          <w:sz w:val="14"/>
          <w:szCs w:val="14"/>
          <w:b w:val="1"/>
          <w:bCs w:val="1"/>
          <w:color w:val="009AD9"/>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-107950</wp:posOffset>
            </wp:positionV>
            <wp:extent cx="471170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Pay versus Performance (continued)</w:t>
      </w:r>
    </w:p>
    <w:p>
      <w:pPr>
        <w:spacing w:after="0" w:line="100"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following graphics show the relationships between executive compensation actually paid and cumulative TSR, net income, and adjusted EPS for the last three completed fiscal years. Compensation actually paid to Non-PEO NEOs are shown as averages. The graphic that shows the relationship between executive compensation actually paid and cumulative TSR includes a comparison of cumulative TSR of the Company and cumulative TSR of the peer group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150495</wp:posOffset>
            </wp:positionV>
            <wp:extent cx="3498850" cy="39147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98850" cy="391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20" w:hanging="230"/>
        <w:spacing w:after="0"/>
        <w:tabs>
          <w:tab w:leader="none" w:pos="2220" w:val="left"/>
        </w:tabs>
        <w:numPr>
          <w:ilvl w:val="0"/>
          <w:numId w:val="12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Pay versus Performance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104775</wp:posOffset>
            </wp:positionV>
            <wp:extent cx="3498850" cy="18999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98850"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16"/>
          <w:szCs w:val="16"/>
          <w:color w:val="auto"/>
          <w:vertAlign w:val="superscript"/>
        </w:rPr>
        <w:t>®</w:t>
      </w:r>
      <w:r>
        <w:rPr>
          <w:sz w:val="20"/>
          <w:szCs w:val="20"/>
          <w:color w:val="auto"/>
        </w:rPr>
        <w:tab/>
      </w:r>
      <w:r>
        <w:rPr>
          <w:rFonts w:ascii="Arial" w:cs="Arial" w:eastAsia="Arial" w:hAnsi="Arial"/>
          <w:sz w:val="14"/>
          <w:szCs w:val="14"/>
          <w:b w:val="1"/>
          <w:bCs w:val="1"/>
          <w:color w:val="009AD9"/>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-107950</wp:posOffset>
            </wp:positionV>
            <wp:extent cx="471170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6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Lesar, our Chief Executive Officer.</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For 2022, our last completed fiscal year:</w:t>
      </w:r>
    </w:p>
    <w:p>
      <w:pPr>
        <w:spacing w:after="0" w:line="80" w:lineRule="exact"/>
        <w:rPr>
          <w:sz w:val="20"/>
          <w:szCs w:val="20"/>
          <w:color w:val="auto"/>
        </w:rPr>
      </w:pPr>
    </w:p>
    <w:p>
      <w:pPr>
        <w:ind w:left="2220" w:right="819" w:hanging="213"/>
        <w:spacing w:after="0" w:line="250" w:lineRule="auto"/>
        <w:tabs>
          <w:tab w:leader="none" w:pos="2220" w:val="left"/>
        </w:tabs>
        <w:numPr>
          <w:ilvl w:val="0"/>
          <w:numId w:val="124"/>
        </w:numPr>
        <w:rPr>
          <w:rFonts w:ascii="Arial" w:cs="Arial" w:eastAsia="Arial" w:hAnsi="Arial"/>
          <w:sz w:val="12"/>
          <w:szCs w:val="12"/>
          <w:color w:val="009AD9"/>
        </w:rPr>
      </w:pPr>
      <w:r>
        <w:rPr>
          <w:rFonts w:ascii="Arial" w:cs="Arial" w:eastAsia="Arial" w:hAnsi="Arial"/>
          <w:sz w:val="12"/>
          <w:szCs w:val="12"/>
          <w:color w:val="auto"/>
        </w:rPr>
        <w:t>the median of the annual total compensation of all employees of CenterPoint Energy, excluding our Chief Executive Officer, was $95,129 and</w:t>
      </w:r>
    </w:p>
    <w:p>
      <w:pPr>
        <w:spacing w:after="0" w:line="67" w:lineRule="exact"/>
        <w:rPr>
          <w:rFonts w:ascii="Arial" w:cs="Arial" w:eastAsia="Arial" w:hAnsi="Arial"/>
          <w:sz w:val="12"/>
          <w:szCs w:val="12"/>
          <w:color w:val="009AD9"/>
        </w:rPr>
      </w:pPr>
    </w:p>
    <w:p>
      <w:pPr>
        <w:ind w:left="2220" w:hanging="213"/>
        <w:spacing w:after="0"/>
        <w:tabs>
          <w:tab w:leader="none" w:pos="2220" w:val="left"/>
        </w:tabs>
        <w:numPr>
          <w:ilvl w:val="0"/>
          <w:numId w:val="124"/>
        </w:numPr>
        <w:rPr>
          <w:rFonts w:ascii="Arial" w:cs="Arial" w:eastAsia="Arial" w:hAnsi="Arial"/>
          <w:sz w:val="12"/>
          <w:szCs w:val="12"/>
          <w:color w:val="009AD9"/>
        </w:rPr>
      </w:pPr>
      <w:r>
        <w:rPr>
          <w:rFonts w:ascii="Arial" w:cs="Arial" w:eastAsia="Arial" w:hAnsi="Arial"/>
          <w:sz w:val="12"/>
          <w:szCs w:val="12"/>
          <w:color w:val="auto"/>
        </w:rPr>
        <w:t>the annual total compensation of our Chief Executive Officer, as reported in the Summary Compensation Table, was $13,867,875.</w:t>
      </w:r>
    </w:p>
    <w:p>
      <w:pPr>
        <w:spacing w:after="0" w:line="144"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Based on this information, for 2022, the ratio of Mr. Lesar’s annual total compensation to that of our median employee was approximately 146 to 1.</w:t>
      </w:r>
    </w:p>
    <w:p>
      <w:pPr>
        <w:spacing w:after="0" w:line="131" w:lineRule="exact"/>
        <w:rPr>
          <w:sz w:val="20"/>
          <w:szCs w:val="20"/>
          <w:color w:val="auto"/>
        </w:rPr>
      </w:pPr>
    </w:p>
    <w:p>
      <w:pPr>
        <w:ind w:left="1940" w:right="819"/>
        <w:spacing w:after="0" w:line="250" w:lineRule="auto"/>
        <w:rPr>
          <w:sz w:val="20"/>
          <w:szCs w:val="20"/>
          <w:color w:val="auto"/>
        </w:rPr>
      </w:pPr>
      <w:r>
        <w:rPr>
          <w:rFonts w:ascii="Arial" w:cs="Arial" w:eastAsia="Arial" w:hAnsi="Arial"/>
          <w:sz w:val="12"/>
          <w:szCs w:val="12"/>
          <w:color w:val="auto"/>
        </w:rPr>
        <w:t>To identify the median of the annual total compensation of all our employees, as well as to determine the annual total compensation of our median employee and our Chief Executive Officer, we took the following steps:</w:t>
      </w:r>
    </w:p>
    <w:p>
      <w:pPr>
        <w:spacing w:after="0" w:line="67" w:lineRule="exact"/>
        <w:rPr>
          <w:sz w:val="20"/>
          <w:szCs w:val="20"/>
          <w:color w:val="auto"/>
        </w:rPr>
      </w:pPr>
    </w:p>
    <w:p>
      <w:pPr>
        <w:jc w:val="both"/>
        <w:ind w:left="2220" w:right="819" w:hanging="213"/>
        <w:spacing w:after="0" w:line="243" w:lineRule="auto"/>
        <w:tabs>
          <w:tab w:leader="none" w:pos="2220" w:val="left"/>
        </w:tabs>
        <w:numPr>
          <w:ilvl w:val="0"/>
          <w:numId w:val="125"/>
        </w:numPr>
        <w:rPr>
          <w:rFonts w:ascii="Arial" w:cs="Arial" w:eastAsia="Arial" w:hAnsi="Arial"/>
          <w:sz w:val="12"/>
          <w:szCs w:val="12"/>
          <w:color w:val="009AD9"/>
        </w:rPr>
      </w:pPr>
      <w:r>
        <w:rPr>
          <w:rFonts w:ascii="Arial" w:cs="Arial" w:eastAsia="Arial" w:hAnsi="Arial"/>
          <w:sz w:val="12"/>
          <w:szCs w:val="12"/>
          <w:color w:val="auto"/>
        </w:rPr>
        <w:t>We selected November 1, 2022 as the date to identify our median employee, at which time our employee population consisted of approximately 9,100 individuals located in the United States. This population consisted of our full-time, part-time and temporary employees.</w:t>
      </w:r>
    </w:p>
    <w:p>
      <w:pPr>
        <w:spacing w:after="0" w:line="71" w:lineRule="exact"/>
        <w:rPr>
          <w:rFonts w:ascii="Arial" w:cs="Arial" w:eastAsia="Arial" w:hAnsi="Arial"/>
          <w:sz w:val="12"/>
          <w:szCs w:val="12"/>
          <w:color w:val="009AD9"/>
        </w:rPr>
      </w:pPr>
    </w:p>
    <w:p>
      <w:pPr>
        <w:jc w:val="both"/>
        <w:ind w:left="2220" w:right="819" w:hanging="213"/>
        <w:spacing w:after="0" w:line="243" w:lineRule="auto"/>
        <w:tabs>
          <w:tab w:leader="none" w:pos="2220" w:val="left"/>
        </w:tabs>
        <w:numPr>
          <w:ilvl w:val="0"/>
          <w:numId w:val="125"/>
        </w:numPr>
        <w:rPr>
          <w:rFonts w:ascii="Arial" w:cs="Arial" w:eastAsia="Arial" w:hAnsi="Arial"/>
          <w:sz w:val="12"/>
          <w:szCs w:val="12"/>
          <w:color w:val="009AD9"/>
        </w:rPr>
      </w:pPr>
      <w:r>
        <w:rPr>
          <w:rFonts w:ascii="Arial" w:cs="Arial" w:eastAsia="Arial" w:hAnsi="Arial"/>
          <w:sz w:val="12"/>
          <w:szCs w:val="12"/>
          <w:color w:val="auto"/>
        </w:rPr>
        <w:t>To identify the “median employee” from our employee population in 2022, we compared employees’ trailing twelve months total gross wages (consisting of base salary, short-term and long-term incentives, overtime and other compensation excluding imputed income) from our payroll records.</w:t>
      </w:r>
    </w:p>
    <w:p>
      <w:pPr>
        <w:spacing w:after="0" w:line="71" w:lineRule="exact"/>
        <w:rPr>
          <w:rFonts w:ascii="Arial" w:cs="Arial" w:eastAsia="Arial" w:hAnsi="Arial"/>
          <w:sz w:val="12"/>
          <w:szCs w:val="12"/>
          <w:color w:val="009AD9"/>
        </w:rPr>
      </w:pPr>
    </w:p>
    <w:p>
      <w:pPr>
        <w:ind w:left="2220" w:right="819" w:hanging="213"/>
        <w:spacing w:after="0" w:line="250" w:lineRule="auto"/>
        <w:tabs>
          <w:tab w:leader="none" w:pos="2220" w:val="left"/>
        </w:tabs>
        <w:numPr>
          <w:ilvl w:val="0"/>
          <w:numId w:val="125"/>
        </w:numPr>
        <w:rPr>
          <w:rFonts w:ascii="Arial" w:cs="Arial" w:eastAsia="Arial" w:hAnsi="Arial"/>
          <w:sz w:val="12"/>
          <w:szCs w:val="12"/>
          <w:color w:val="009AD9"/>
        </w:rPr>
      </w:pPr>
      <w:r>
        <w:rPr>
          <w:rFonts w:ascii="Arial" w:cs="Arial" w:eastAsia="Arial" w:hAnsi="Arial"/>
          <w:sz w:val="12"/>
          <w:szCs w:val="12"/>
          <w:color w:val="auto"/>
        </w:rPr>
        <w:t>We identified our median employee using this compensation measure, which was consistently applied to all our employees included in the calculation.</w:t>
      </w:r>
    </w:p>
    <w:p>
      <w:pPr>
        <w:spacing w:after="0" w:line="67" w:lineRule="exact"/>
        <w:rPr>
          <w:rFonts w:ascii="Arial" w:cs="Arial" w:eastAsia="Arial" w:hAnsi="Arial"/>
          <w:sz w:val="12"/>
          <w:szCs w:val="12"/>
          <w:color w:val="009AD9"/>
        </w:rPr>
      </w:pPr>
    </w:p>
    <w:p>
      <w:pPr>
        <w:jc w:val="both"/>
        <w:ind w:left="2220" w:right="799" w:hanging="213"/>
        <w:spacing w:after="0" w:line="241" w:lineRule="auto"/>
        <w:tabs>
          <w:tab w:leader="none" w:pos="2220" w:val="left"/>
        </w:tabs>
        <w:numPr>
          <w:ilvl w:val="0"/>
          <w:numId w:val="125"/>
        </w:numPr>
        <w:rPr>
          <w:rFonts w:ascii="Arial" w:cs="Arial" w:eastAsia="Arial" w:hAnsi="Arial"/>
          <w:sz w:val="12"/>
          <w:szCs w:val="12"/>
          <w:color w:val="009AD9"/>
        </w:rPr>
      </w:pPr>
      <w:r>
        <w:rPr>
          <w:rFonts w:ascii="Arial" w:cs="Arial" w:eastAsia="Arial" w:hAnsi="Arial"/>
          <w:sz w:val="12"/>
          <w:szCs w:val="12"/>
          <w:color w:val="auto"/>
        </w:rPr>
        <w:t>Using the median employee identified in 2022, we combined all of the elements of this employee’s compensation for 2022 in accordance with Item 402(c)(2)(x) of Regulation S-K, resulting in total annual compensation of $95,129. With respect to the annual total compensation of our Chief Executive Officer, we used the amount reported in the “Total” column of our Summary Compensation Table for Fiscal Year 2022.</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We believe that the above pay ratio is a reasonable estimate calculated in a manner consistent with Item 402(u) of Regulation S-K. In addition, because the Securities and Exchange Commission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35" w:lineRule="exact"/>
        <w:rPr>
          <w:sz w:val="20"/>
          <w:szCs w:val="20"/>
          <w:color w:val="auto"/>
        </w:rPr>
      </w:pPr>
    </w:p>
    <w:p>
      <w:pPr>
        <w:ind w:left="2220" w:hanging="230"/>
        <w:spacing w:after="0"/>
        <w:tabs>
          <w:tab w:leader="none" w:pos="2220" w:val="left"/>
        </w:tabs>
        <w:numPr>
          <w:ilvl w:val="0"/>
          <w:numId w:val="12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EQUITY COMPENSATION PLAN INFORMATION</w:t>
      </w:r>
    </w:p>
    <w:p>
      <w:pPr>
        <w:spacing w:after="0" w:line="170"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following table sets forth information about CenterPoint Energy’s common stock that may be issued under our existing equity compensation plans as of December 31, 2022.</w:t>
      </w:r>
    </w:p>
    <w:p>
      <w:pPr>
        <w:spacing w:after="0" w:line="150" w:lineRule="exact"/>
        <w:rPr>
          <w:sz w:val="20"/>
          <w:szCs w:val="20"/>
          <w:color w:val="auto"/>
        </w:rPr>
      </w:pPr>
    </w:p>
    <w:tbl>
      <w:tblPr>
        <w:tblLayout w:type="fixed"/>
        <w:tblInd w:w="1940" w:type="dxa"/>
        <w:tblCellMar>
          <w:top w:w="0" w:type="dxa"/>
          <w:left w:w="0" w:type="dxa"/>
          <w:bottom w:w="0" w:type="dxa"/>
          <w:right w:w="0" w:type="dxa"/>
        </w:tblCellMar>
      </w:tblPr>
      <w:tr>
        <w:trPr>
          <w:trHeight w:val="137"/>
        </w:trPr>
        <w:tc>
          <w:tcPr>
            <w:tcW w:w="3800" w:type="dxa"/>
            <w:vAlign w:val="bottom"/>
            <w:shd w:val="clear" w:color="auto" w:fill="009AD9"/>
          </w:tcPr>
          <w:p>
            <w:pPr>
              <w:spacing w:after="0"/>
              <w:rPr>
                <w:sz w:val="11"/>
                <w:szCs w:val="11"/>
                <w:color w:val="auto"/>
              </w:rPr>
            </w:pPr>
          </w:p>
        </w:tc>
        <w:tc>
          <w:tcPr>
            <w:tcW w:w="1520" w:type="dxa"/>
            <w:vAlign w:val="bottom"/>
            <w:shd w:val="clear" w:color="auto" w:fill="009AD9"/>
          </w:tcPr>
          <w:p>
            <w:pPr>
              <w:spacing w:after="0"/>
              <w:rPr>
                <w:sz w:val="11"/>
                <w:szCs w:val="11"/>
                <w:color w:val="auto"/>
              </w:rPr>
            </w:pPr>
          </w:p>
        </w:tc>
        <w:tc>
          <w:tcPr>
            <w:tcW w:w="320" w:type="dxa"/>
            <w:vAlign w:val="bottom"/>
            <w:shd w:val="clear" w:color="auto" w:fill="009AD9"/>
          </w:tcPr>
          <w:p>
            <w:pPr>
              <w:spacing w:after="0"/>
              <w:rPr>
                <w:sz w:val="11"/>
                <w:szCs w:val="11"/>
                <w:color w:val="auto"/>
              </w:rPr>
            </w:pPr>
          </w:p>
        </w:tc>
        <w:tc>
          <w:tcPr>
            <w:tcW w:w="740" w:type="dxa"/>
            <w:vAlign w:val="bottom"/>
            <w:shd w:val="clear" w:color="auto" w:fill="009AD9"/>
          </w:tcPr>
          <w:p>
            <w:pPr>
              <w:spacing w:after="0"/>
              <w:rPr>
                <w:sz w:val="11"/>
                <w:szCs w:val="11"/>
                <w:color w:val="auto"/>
              </w:rPr>
            </w:pPr>
          </w:p>
        </w:tc>
        <w:tc>
          <w:tcPr>
            <w:tcW w:w="1040" w:type="dxa"/>
            <w:vAlign w:val="bottom"/>
            <w:shd w:val="clear" w:color="auto" w:fill="009AD9"/>
          </w:tcPr>
          <w:p>
            <w:pPr>
              <w:jc w:val="center"/>
              <w:spacing w:after="0"/>
              <w:rPr>
                <w:sz w:val="20"/>
                <w:szCs w:val="20"/>
                <w:color w:val="auto"/>
              </w:rPr>
            </w:pPr>
            <w:r>
              <w:rPr>
                <w:rFonts w:ascii="Arial" w:cs="Arial" w:eastAsia="Arial" w:hAnsi="Arial"/>
                <w:sz w:val="10"/>
                <w:szCs w:val="10"/>
                <w:b w:val="1"/>
                <w:bCs w:val="1"/>
                <w:color w:val="FFFFFF"/>
                <w:w w:val="99"/>
              </w:rPr>
              <w:t>Number of</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9"/>
              </w:rPr>
              <w:t>Number of</w:t>
            </w:r>
          </w:p>
        </w:tc>
        <w:tc>
          <w:tcPr>
            <w:tcW w:w="320" w:type="dxa"/>
            <w:vAlign w:val="bottom"/>
            <w:shd w:val="clear" w:color="auto" w:fill="009AD9"/>
          </w:tcPr>
          <w:p>
            <w:pPr>
              <w:spacing w:after="0"/>
              <w:rPr>
                <w:sz w:val="9"/>
                <w:szCs w:val="9"/>
                <w:color w:val="auto"/>
              </w:rPr>
            </w:pPr>
          </w:p>
        </w:tc>
        <w:tc>
          <w:tcPr>
            <w:tcW w:w="740" w:type="dxa"/>
            <w:vAlign w:val="bottom"/>
            <w:shd w:val="clear" w:color="auto" w:fill="009AD9"/>
          </w:tcPr>
          <w:p>
            <w:pPr>
              <w:jc w:val="center"/>
              <w:ind w:right="212"/>
              <w:spacing w:after="0" w:line="109" w:lineRule="exact"/>
              <w:rPr>
                <w:sz w:val="20"/>
                <w:szCs w:val="20"/>
                <w:color w:val="auto"/>
              </w:rPr>
            </w:pPr>
            <w:r>
              <w:rPr>
                <w:rFonts w:ascii="Arial" w:cs="Arial" w:eastAsia="Arial" w:hAnsi="Arial"/>
                <w:sz w:val="10"/>
                <w:szCs w:val="10"/>
                <w:b w:val="1"/>
                <w:bCs w:val="1"/>
                <w:color w:val="FFFFFF"/>
                <w:w w:val="97"/>
              </w:rPr>
              <w:t>Weighted</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8"/>
              </w:rPr>
              <w:t>securities</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5"/>
              </w:rPr>
              <w:t>securities to be</w:t>
            </w:r>
          </w:p>
        </w:tc>
        <w:tc>
          <w:tcPr>
            <w:tcW w:w="320" w:type="dxa"/>
            <w:vAlign w:val="bottom"/>
            <w:shd w:val="clear" w:color="auto" w:fill="009AD9"/>
          </w:tcPr>
          <w:p>
            <w:pPr>
              <w:spacing w:after="0"/>
              <w:rPr>
                <w:sz w:val="9"/>
                <w:szCs w:val="9"/>
                <w:color w:val="auto"/>
              </w:rPr>
            </w:pPr>
          </w:p>
        </w:tc>
        <w:tc>
          <w:tcPr>
            <w:tcW w:w="740" w:type="dxa"/>
            <w:vAlign w:val="bottom"/>
            <w:shd w:val="clear" w:color="auto" w:fill="009AD9"/>
          </w:tcPr>
          <w:p>
            <w:pPr>
              <w:jc w:val="center"/>
              <w:ind w:right="212"/>
              <w:spacing w:after="0" w:line="109" w:lineRule="exact"/>
              <w:rPr>
                <w:sz w:val="20"/>
                <w:szCs w:val="20"/>
                <w:color w:val="auto"/>
              </w:rPr>
            </w:pPr>
            <w:r>
              <w:rPr>
                <w:rFonts w:ascii="Arial" w:cs="Arial" w:eastAsia="Arial" w:hAnsi="Arial"/>
                <w:sz w:val="10"/>
                <w:szCs w:val="10"/>
                <w:b w:val="1"/>
                <w:bCs w:val="1"/>
                <w:color w:val="FFFFFF"/>
                <w:w w:val="95"/>
              </w:rPr>
              <w:t>average</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remaining</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8"/>
              </w:rPr>
              <w:t>issued upon</w:t>
            </w:r>
          </w:p>
        </w:tc>
        <w:tc>
          <w:tcPr>
            <w:tcW w:w="1060" w:type="dxa"/>
            <w:vAlign w:val="bottom"/>
            <w:gridSpan w:val="2"/>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5"/>
              </w:rPr>
              <w:t>exercise price</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9"/>
              </w:rPr>
              <w:t>available for</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5"/>
              </w:rPr>
              <w:t>exercise of</w:t>
            </w:r>
          </w:p>
        </w:tc>
        <w:tc>
          <w:tcPr>
            <w:tcW w:w="1060" w:type="dxa"/>
            <w:vAlign w:val="bottom"/>
            <w:gridSpan w:val="2"/>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7"/>
              </w:rPr>
              <w:t>of outstanding</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4"/>
              </w:rPr>
              <w:t>future issuance</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4"/>
              </w:rPr>
              <w:t>outstanding</w:t>
            </w:r>
          </w:p>
        </w:tc>
        <w:tc>
          <w:tcPr>
            <w:tcW w:w="320" w:type="dxa"/>
            <w:vAlign w:val="bottom"/>
            <w:shd w:val="clear" w:color="auto" w:fill="009AD9"/>
          </w:tcPr>
          <w:p>
            <w:pPr>
              <w:spacing w:after="0"/>
              <w:rPr>
                <w:sz w:val="9"/>
                <w:szCs w:val="9"/>
                <w:color w:val="auto"/>
              </w:rPr>
            </w:pPr>
          </w:p>
        </w:tc>
        <w:tc>
          <w:tcPr>
            <w:tcW w:w="740" w:type="dxa"/>
            <w:vAlign w:val="bottom"/>
            <w:shd w:val="clear" w:color="auto" w:fill="009AD9"/>
          </w:tcPr>
          <w:p>
            <w:pPr>
              <w:jc w:val="center"/>
              <w:ind w:right="192"/>
              <w:spacing w:after="0" w:line="109" w:lineRule="exact"/>
              <w:rPr>
                <w:sz w:val="20"/>
                <w:szCs w:val="20"/>
                <w:color w:val="auto"/>
              </w:rPr>
            </w:pPr>
            <w:r>
              <w:rPr>
                <w:rFonts w:ascii="Arial" w:cs="Arial" w:eastAsia="Arial" w:hAnsi="Arial"/>
                <w:sz w:val="10"/>
                <w:szCs w:val="10"/>
                <w:b w:val="1"/>
                <w:bCs w:val="1"/>
                <w:color w:val="FFFFFF"/>
                <w:w w:val="97"/>
              </w:rPr>
              <w:t>options,</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6"/>
              </w:rPr>
              <w:t>under equity</w:t>
            </w:r>
          </w:p>
        </w:tc>
      </w:tr>
      <w:tr>
        <w:trPr>
          <w:trHeight w:val="109"/>
        </w:trPr>
        <w:tc>
          <w:tcPr>
            <w:tcW w:w="3800" w:type="dxa"/>
            <w:vAlign w:val="bottom"/>
            <w:shd w:val="clear" w:color="auto" w:fill="009AD9"/>
          </w:tcPr>
          <w:p>
            <w:pPr>
              <w:spacing w:after="0"/>
              <w:rPr>
                <w:sz w:val="9"/>
                <w:szCs w:val="9"/>
                <w:color w:val="auto"/>
              </w:rPr>
            </w:pPr>
          </w:p>
        </w:tc>
        <w:tc>
          <w:tcPr>
            <w:tcW w:w="1520" w:type="dxa"/>
            <w:vAlign w:val="bottom"/>
            <w:shd w:val="clear" w:color="auto" w:fill="009AD9"/>
          </w:tcPr>
          <w:p>
            <w:pPr>
              <w:jc w:val="center"/>
              <w:ind w:left="52"/>
              <w:spacing w:after="0" w:line="109" w:lineRule="exact"/>
              <w:rPr>
                <w:sz w:val="20"/>
                <w:szCs w:val="20"/>
                <w:color w:val="auto"/>
              </w:rPr>
            </w:pPr>
            <w:r>
              <w:rPr>
                <w:rFonts w:ascii="Arial" w:cs="Arial" w:eastAsia="Arial" w:hAnsi="Arial"/>
                <w:sz w:val="10"/>
                <w:szCs w:val="10"/>
                <w:b w:val="1"/>
                <w:bCs w:val="1"/>
                <w:color w:val="FFFFFF"/>
                <w:w w:val="98"/>
              </w:rPr>
              <w:t>options, warrants</w:t>
            </w:r>
          </w:p>
        </w:tc>
        <w:tc>
          <w:tcPr>
            <w:tcW w:w="1060" w:type="dxa"/>
            <w:vAlign w:val="bottom"/>
            <w:gridSpan w:val="2"/>
            <w:shd w:val="clear" w:color="auto" w:fill="009AD9"/>
          </w:tcPr>
          <w:p>
            <w:pPr>
              <w:jc w:val="center"/>
              <w:ind w:left="12"/>
              <w:spacing w:after="0" w:line="109" w:lineRule="exact"/>
              <w:rPr>
                <w:sz w:val="20"/>
                <w:szCs w:val="20"/>
                <w:color w:val="auto"/>
              </w:rPr>
            </w:pPr>
            <w:r>
              <w:rPr>
                <w:rFonts w:ascii="Arial" w:cs="Arial" w:eastAsia="Arial" w:hAnsi="Arial"/>
                <w:sz w:val="10"/>
                <w:szCs w:val="10"/>
                <w:b w:val="1"/>
                <w:bCs w:val="1"/>
                <w:color w:val="FFFFFF"/>
                <w:w w:val="96"/>
              </w:rPr>
              <w:t>warrants and</w:t>
            </w:r>
          </w:p>
        </w:tc>
        <w:tc>
          <w:tcPr>
            <w:tcW w:w="1040" w:type="dxa"/>
            <w:vAlign w:val="bottom"/>
            <w:shd w:val="clear" w:color="auto" w:fill="009AD9"/>
          </w:tcPr>
          <w:p>
            <w:pPr>
              <w:jc w:val="center"/>
              <w:spacing w:after="0" w:line="109" w:lineRule="exact"/>
              <w:rPr>
                <w:sz w:val="20"/>
                <w:szCs w:val="20"/>
                <w:color w:val="auto"/>
              </w:rPr>
            </w:pPr>
            <w:r>
              <w:rPr>
                <w:rFonts w:ascii="Arial" w:cs="Arial" w:eastAsia="Arial" w:hAnsi="Arial"/>
                <w:sz w:val="10"/>
                <w:szCs w:val="10"/>
                <w:b w:val="1"/>
                <w:bCs w:val="1"/>
                <w:color w:val="FFFFFF"/>
                <w:w w:val="97"/>
              </w:rPr>
              <w:t>compensation</w:t>
            </w:r>
          </w:p>
        </w:tc>
      </w:tr>
      <w:tr>
        <w:trPr>
          <w:trHeight w:val="143"/>
        </w:trPr>
        <w:tc>
          <w:tcPr>
            <w:tcW w:w="3800" w:type="dxa"/>
            <w:vAlign w:val="bottom"/>
            <w:tcBorders>
              <w:bottom w:val="single" w:sz="8" w:color="009AD9"/>
            </w:tcBorders>
            <w:shd w:val="clear" w:color="auto" w:fill="009AD9"/>
          </w:tcPr>
          <w:p>
            <w:pPr>
              <w:spacing w:after="0"/>
              <w:rPr>
                <w:sz w:val="12"/>
                <w:szCs w:val="12"/>
                <w:color w:val="auto"/>
              </w:rPr>
            </w:pPr>
          </w:p>
        </w:tc>
        <w:tc>
          <w:tcPr>
            <w:tcW w:w="1520" w:type="dxa"/>
            <w:vAlign w:val="bottom"/>
            <w:tcBorders>
              <w:bottom w:val="single" w:sz="8" w:color="009AD9"/>
            </w:tcBorders>
            <w:shd w:val="clear" w:color="auto" w:fill="009AD9"/>
          </w:tcPr>
          <w:p>
            <w:pPr>
              <w:jc w:val="center"/>
              <w:ind w:left="52"/>
              <w:spacing w:after="0"/>
              <w:rPr>
                <w:sz w:val="20"/>
                <w:szCs w:val="20"/>
                <w:color w:val="auto"/>
              </w:rPr>
            </w:pPr>
            <w:r>
              <w:rPr>
                <w:rFonts w:ascii="Arial" w:cs="Arial" w:eastAsia="Arial" w:hAnsi="Arial"/>
                <w:sz w:val="10"/>
                <w:szCs w:val="10"/>
                <w:b w:val="1"/>
                <w:bCs w:val="1"/>
                <w:color w:val="FFFFFF"/>
                <w:w w:val="95"/>
              </w:rPr>
              <w:t>and rights</w:t>
            </w:r>
          </w:p>
        </w:tc>
        <w:tc>
          <w:tcPr>
            <w:tcW w:w="320" w:type="dxa"/>
            <w:vAlign w:val="bottom"/>
            <w:tcBorders>
              <w:bottom w:val="single" w:sz="8" w:color="009AD9"/>
            </w:tcBorders>
            <w:shd w:val="clear" w:color="auto" w:fill="009AD9"/>
          </w:tcPr>
          <w:p>
            <w:pPr>
              <w:spacing w:after="0"/>
              <w:rPr>
                <w:sz w:val="12"/>
                <w:szCs w:val="12"/>
                <w:color w:val="auto"/>
              </w:rPr>
            </w:pPr>
          </w:p>
        </w:tc>
        <w:tc>
          <w:tcPr>
            <w:tcW w:w="740" w:type="dxa"/>
            <w:vAlign w:val="bottom"/>
            <w:tcBorders>
              <w:bottom w:val="single" w:sz="8" w:color="009AD9"/>
            </w:tcBorders>
            <w:shd w:val="clear" w:color="auto" w:fill="009AD9"/>
          </w:tcPr>
          <w:p>
            <w:pPr>
              <w:jc w:val="center"/>
              <w:ind w:right="192"/>
              <w:spacing w:after="0"/>
              <w:rPr>
                <w:sz w:val="20"/>
                <w:szCs w:val="20"/>
                <w:color w:val="auto"/>
              </w:rPr>
            </w:pPr>
            <w:r>
              <w:rPr>
                <w:rFonts w:ascii="Arial" w:cs="Arial" w:eastAsia="Arial" w:hAnsi="Arial"/>
                <w:sz w:val="10"/>
                <w:szCs w:val="10"/>
                <w:b w:val="1"/>
                <w:bCs w:val="1"/>
                <w:color w:val="FFFFFF"/>
                <w:w w:val="93"/>
              </w:rPr>
              <w:t>rights</w:t>
            </w:r>
          </w:p>
        </w:tc>
        <w:tc>
          <w:tcPr>
            <w:tcW w:w="1040" w:type="dxa"/>
            <w:vAlign w:val="bottom"/>
            <w:tcBorders>
              <w:bottom w:val="single" w:sz="8" w:color="009AD9"/>
            </w:tcBorders>
            <w:shd w:val="clear" w:color="auto" w:fill="009AD9"/>
          </w:tcPr>
          <w:p>
            <w:pPr>
              <w:jc w:val="center"/>
              <w:spacing w:after="0"/>
              <w:rPr>
                <w:sz w:val="20"/>
                <w:szCs w:val="20"/>
                <w:color w:val="auto"/>
              </w:rPr>
            </w:pPr>
            <w:r>
              <w:rPr>
                <w:rFonts w:ascii="Arial" w:cs="Arial" w:eastAsia="Arial" w:hAnsi="Arial"/>
                <w:sz w:val="10"/>
                <w:szCs w:val="10"/>
                <w:b w:val="1"/>
                <w:bCs w:val="1"/>
                <w:color w:val="FFFFFF"/>
                <w:w w:val="99"/>
              </w:rPr>
              <w:t>plans</w:t>
            </w:r>
          </w:p>
        </w:tc>
      </w:tr>
      <w:tr>
        <w:trPr>
          <w:trHeight w:val="182"/>
        </w:trPr>
        <w:tc>
          <w:tcPr>
            <w:tcW w:w="3800" w:type="dxa"/>
            <w:vAlign w:val="bottom"/>
          </w:tcPr>
          <w:p>
            <w:pPr>
              <w:ind w:left="40"/>
              <w:spacing w:after="0"/>
              <w:rPr>
                <w:sz w:val="20"/>
                <w:szCs w:val="20"/>
                <w:color w:val="auto"/>
              </w:rPr>
            </w:pPr>
            <w:r>
              <w:rPr>
                <w:rFonts w:ascii="Arial" w:cs="Arial" w:eastAsia="Arial" w:hAnsi="Arial"/>
                <w:sz w:val="10"/>
                <w:szCs w:val="10"/>
                <w:color w:val="auto"/>
              </w:rPr>
              <w:t>Equity compensation plans approved by security holders</w:t>
            </w:r>
            <w:r>
              <w:rPr>
                <w:rFonts w:ascii="Arial" w:cs="Arial" w:eastAsia="Arial" w:hAnsi="Arial"/>
                <w:sz w:val="14"/>
                <w:szCs w:val="14"/>
                <w:color w:val="auto"/>
                <w:vertAlign w:val="superscript"/>
              </w:rPr>
              <w:t>(1)</w:t>
            </w:r>
          </w:p>
        </w:tc>
        <w:tc>
          <w:tcPr>
            <w:tcW w:w="1520" w:type="dxa"/>
            <w:vAlign w:val="bottom"/>
          </w:tcPr>
          <w:p>
            <w:pPr>
              <w:jc w:val="right"/>
              <w:ind w:right="172"/>
              <w:spacing w:after="0"/>
              <w:rPr>
                <w:sz w:val="20"/>
                <w:szCs w:val="20"/>
                <w:color w:val="auto"/>
              </w:rPr>
            </w:pPr>
            <w:r>
              <w:rPr>
                <w:rFonts w:ascii="Arial" w:cs="Arial" w:eastAsia="Arial" w:hAnsi="Arial"/>
                <w:sz w:val="10"/>
                <w:szCs w:val="10"/>
                <w:color w:val="auto"/>
              </w:rPr>
              <w:t>7,250,763</w:t>
            </w:r>
            <w:r>
              <w:rPr>
                <w:rFonts w:ascii="Arial" w:cs="Arial" w:eastAsia="Arial" w:hAnsi="Arial"/>
                <w:sz w:val="14"/>
                <w:szCs w:val="14"/>
                <w:color w:val="auto"/>
                <w:vertAlign w:val="superscript"/>
              </w:rPr>
              <w:t>(2)</w:t>
            </w: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ind w:left="480"/>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15,998,641</w:t>
            </w:r>
            <w:r>
              <w:rPr>
                <w:rFonts w:ascii="Arial" w:cs="Arial" w:eastAsia="Arial" w:hAnsi="Arial"/>
                <w:sz w:val="14"/>
                <w:szCs w:val="14"/>
                <w:color w:val="auto"/>
                <w:vertAlign w:val="superscript"/>
              </w:rPr>
              <w:t>(3)</w:t>
            </w:r>
          </w:p>
        </w:tc>
      </w:tr>
      <w:tr>
        <w:trPr>
          <w:trHeight w:val="162"/>
        </w:trPr>
        <w:tc>
          <w:tcPr>
            <w:tcW w:w="380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Equity compensation plans not approved by security holders</w:t>
            </w:r>
          </w:p>
        </w:tc>
        <w:tc>
          <w:tcPr>
            <w:tcW w:w="152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8EFF9"/>
            </w:tcBorders>
            <w:shd w:val="clear" w:color="auto" w:fill="D8EFF9"/>
          </w:tcPr>
          <w:p>
            <w:pPr>
              <w:spacing w:after="0"/>
              <w:rPr>
                <w:sz w:val="14"/>
                <w:szCs w:val="14"/>
                <w:color w:val="auto"/>
              </w:rPr>
            </w:pPr>
          </w:p>
        </w:tc>
        <w:tc>
          <w:tcPr>
            <w:tcW w:w="740" w:type="dxa"/>
            <w:vAlign w:val="bottom"/>
            <w:tcBorders>
              <w:bottom w:val="single" w:sz="8" w:color="D8EFF9"/>
            </w:tcBorders>
            <w:shd w:val="clear" w:color="auto" w:fill="D8EFF9"/>
          </w:tcPr>
          <w:p>
            <w:pPr>
              <w:ind w:left="480"/>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w:t>
            </w:r>
          </w:p>
        </w:tc>
      </w:tr>
      <w:tr>
        <w:trPr>
          <w:trHeight w:val="155"/>
        </w:trPr>
        <w:tc>
          <w:tcPr>
            <w:tcW w:w="3800" w:type="dxa"/>
            <w:vAlign w:val="bottom"/>
          </w:tcPr>
          <w:p>
            <w:pPr>
              <w:ind w:left="40"/>
              <w:spacing w:after="0"/>
              <w:rPr>
                <w:sz w:val="20"/>
                <w:szCs w:val="20"/>
                <w:color w:val="auto"/>
              </w:rPr>
            </w:pPr>
            <w:r>
              <w:rPr>
                <w:rFonts w:ascii="Arial" w:cs="Arial" w:eastAsia="Arial" w:hAnsi="Arial"/>
                <w:sz w:val="10"/>
                <w:szCs w:val="10"/>
                <w:color w:val="auto"/>
              </w:rPr>
              <w:t>Totals</w:t>
            </w:r>
          </w:p>
        </w:tc>
        <w:tc>
          <w:tcPr>
            <w:tcW w:w="1520" w:type="dxa"/>
            <w:vAlign w:val="bottom"/>
          </w:tcPr>
          <w:p>
            <w:pPr>
              <w:jc w:val="right"/>
              <w:ind w:right="252"/>
              <w:spacing w:after="0"/>
              <w:rPr>
                <w:sz w:val="20"/>
                <w:szCs w:val="20"/>
                <w:color w:val="auto"/>
              </w:rPr>
            </w:pPr>
            <w:r>
              <w:rPr>
                <w:rFonts w:ascii="Arial" w:cs="Arial" w:eastAsia="Arial" w:hAnsi="Arial"/>
                <w:sz w:val="10"/>
                <w:szCs w:val="10"/>
                <w:color w:val="auto"/>
              </w:rPr>
              <w:t>7,250,763</w:t>
            </w: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ind w:left="480"/>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12"/>
              <w:spacing w:after="0"/>
              <w:rPr>
                <w:sz w:val="20"/>
                <w:szCs w:val="20"/>
                <w:color w:val="auto"/>
              </w:rPr>
            </w:pPr>
            <w:r>
              <w:rPr>
                <w:rFonts w:ascii="Arial" w:cs="Arial" w:eastAsia="Arial" w:hAnsi="Arial"/>
                <w:sz w:val="10"/>
                <w:szCs w:val="10"/>
                <w:color w:val="auto"/>
              </w:rPr>
              <w:t>15,998,641</w:t>
            </w:r>
          </w:p>
        </w:tc>
      </w:tr>
    </w:tbl>
    <w:p>
      <w:pPr>
        <w:spacing w:after="0" w:line="112" w:lineRule="exact"/>
        <w:rPr>
          <w:sz w:val="20"/>
          <w:szCs w:val="20"/>
          <w:color w:val="auto"/>
        </w:rPr>
      </w:pPr>
    </w:p>
    <w:p>
      <w:pPr>
        <w:ind w:left="2160" w:right="819" w:hanging="226"/>
        <w:spacing w:after="0" w:line="234" w:lineRule="auto"/>
        <w:tabs>
          <w:tab w:leader="none" w:pos="2160" w:val="left"/>
        </w:tabs>
        <w:numPr>
          <w:ilvl w:val="0"/>
          <w:numId w:val="127"/>
        </w:numPr>
        <w:rPr>
          <w:rFonts w:ascii="Arial" w:cs="Arial" w:eastAsia="Arial" w:hAnsi="Arial"/>
          <w:sz w:val="10"/>
          <w:szCs w:val="10"/>
          <w:color w:val="auto"/>
        </w:rPr>
      </w:pPr>
      <w:r>
        <w:rPr>
          <w:rFonts w:ascii="Arial" w:cs="Arial" w:eastAsia="Arial" w:hAnsi="Arial"/>
          <w:sz w:val="10"/>
          <w:szCs w:val="10"/>
          <w:color w:val="auto"/>
        </w:rPr>
        <w:t>Plans approved by shareholders consist of the 2009 Long-Term Incentive Plan, the 2022 Long-Term Incentive Plan, and the CenterPoint Energy, Inc. Stock Plan for Outside Directors. No future grants may be made under the 2009 Long-Term Incentive Plan.</w:t>
      </w:r>
    </w:p>
    <w:p>
      <w:pPr>
        <w:spacing w:after="0" w:line="75" w:lineRule="exact"/>
        <w:rPr>
          <w:rFonts w:ascii="Arial" w:cs="Arial" w:eastAsia="Arial" w:hAnsi="Arial"/>
          <w:sz w:val="10"/>
          <w:szCs w:val="10"/>
          <w:color w:val="auto"/>
        </w:rPr>
      </w:pPr>
    </w:p>
    <w:p>
      <w:pPr>
        <w:jc w:val="both"/>
        <w:ind w:left="2160" w:right="799" w:hanging="226"/>
        <w:spacing w:after="0" w:line="232" w:lineRule="auto"/>
        <w:tabs>
          <w:tab w:leader="none" w:pos="2160" w:val="left"/>
        </w:tabs>
        <w:numPr>
          <w:ilvl w:val="0"/>
          <w:numId w:val="127"/>
        </w:numPr>
        <w:rPr>
          <w:rFonts w:ascii="Arial" w:cs="Arial" w:eastAsia="Arial" w:hAnsi="Arial"/>
          <w:sz w:val="10"/>
          <w:szCs w:val="10"/>
          <w:color w:val="auto"/>
        </w:rPr>
      </w:pPr>
      <w:r>
        <w:rPr>
          <w:rFonts w:ascii="Arial" w:cs="Arial" w:eastAsia="Arial" w:hAnsi="Arial"/>
          <w:sz w:val="10"/>
          <w:szCs w:val="10"/>
          <w:color w:val="auto"/>
        </w:rPr>
        <w:t>Includes outstanding grants of 5,157,441 performance share units (which includes 1,584,406 shares at actual achievement for the 2020 performance cycle and assumes maximum performance is achieved for performance cycles commencing 2021 and later) and 2,093,322 shares issuable upon settlement of outstanding grants of stock awards.</w:t>
      </w:r>
    </w:p>
    <w:p>
      <w:pPr>
        <w:spacing w:after="0" w:line="75" w:lineRule="exact"/>
        <w:rPr>
          <w:rFonts w:ascii="Arial" w:cs="Arial" w:eastAsia="Arial" w:hAnsi="Arial"/>
          <w:sz w:val="10"/>
          <w:szCs w:val="10"/>
          <w:color w:val="auto"/>
        </w:rPr>
      </w:pPr>
    </w:p>
    <w:p>
      <w:pPr>
        <w:jc w:val="both"/>
        <w:ind w:left="2160" w:right="799" w:hanging="226"/>
        <w:spacing w:after="0" w:line="232" w:lineRule="auto"/>
        <w:tabs>
          <w:tab w:leader="none" w:pos="2160" w:val="left"/>
        </w:tabs>
        <w:numPr>
          <w:ilvl w:val="0"/>
          <w:numId w:val="127"/>
        </w:numPr>
        <w:rPr>
          <w:rFonts w:ascii="Arial" w:cs="Arial" w:eastAsia="Arial" w:hAnsi="Arial"/>
          <w:sz w:val="10"/>
          <w:szCs w:val="10"/>
          <w:color w:val="auto"/>
        </w:rPr>
      </w:pPr>
      <w:r>
        <w:rPr>
          <w:rFonts w:ascii="Arial" w:cs="Arial" w:eastAsia="Arial" w:hAnsi="Arial"/>
          <w:sz w:val="10"/>
          <w:szCs w:val="10"/>
          <w:color w:val="auto"/>
        </w:rPr>
        <w:t>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w:t>
      </w:r>
    </w:p>
    <w:p>
      <w:pPr>
        <w:spacing w:after="0" w:line="159"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REPORT OF THE COMPENSATION COMMITTEE</w:t>
      </w:r>
    </w:p>
    <w:p>
      <w:pPr>
        <w:spacing w:after="0" w:line="170"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The Compensation Committee reviewed and discussed the Compensation Discussion and Analysis with management. Based upon this review and discussion, the Compensation Committee recommended to the Board of Directors that the Compensation Discussion and Analysis be included in CenterPoint Energy’s proxy statement on Schedule 14A for its 2023 annual meeting, which is incorporated by reference in CenterPoint Energy’s Annual Report on Form 10-K for the fiscal year ended December 31, 2022, each as filed with the Securities and Exchange Commission.</w:t>
      </w:r>
    </w:p>
    <w:p>
      <w:pPr>
        <w:spacing w:after="0" w:line="136"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Theodore F. Pound, Chair</w:t>
      </w:r>
    </w:p>
    <w:p>
      <w:pPr>
        <w:ind w:left="5940"/>
        <w:spacing w:after="0" w:line="237" w:lineRule="auto"/>
        <w:rPr>
          <w:sz w:val="20"/>
          <w:szCs w:val="20"/>
          <w:color w:val="auto"/>
        </w:rPr>
      </w:pPr>
      <w:r>
        <w:rPr>
          <w:rFonts w:ascii="Arial" w:cs="Arial" w:eastAsia="Arial" w:hAnsi="Arial"/>
          <w:sz w:val="12"/>
          <w:szCs w:val="12"/>
          <w:color w:val="auto"/>
        </w:rPr>
        <w:t>Wendy Montoya Cloonan</w:t>
      </w:r>
    </w:p>
    <w:p>
      <w:pPr>
        <w:ind w:left="5940"/>
        <w:spacing w:after="0" w:line="237" w:lineRule="auto"/>
        <w:rPr>
          <w:sz w:val="20"/>
          <w:szCs w:val="20"/>
          <w:color w:val="auto"/>
        </w:rPr>
      </w:pPr>
      <w:r>
        <w:rPr>
          <w:rFonts w:ascii="Arial" w:cs="Arial" w:eastAsia="Arial" w:hAnsi="Arial"/>
          <w:sz w:val="12"/>
          <w:szCs w:val="12"/>
          <w:color w:val="auto"/>
        </w:rPr>
        <w:t>Earl M. Cummings</w:t>
      </w:r>
    </w:p>
    <w:p>
      <w:pPr>
        <w:ind w:left="5940"/>
        <w:spacing w:after="0" w:line="237" w:lineRule="auto"/>
        <w:rPr>
          <w:sz w:val="20"/>
          <w:szCs w:val="20"/>
          <w:color w:val="auto"/>
        </w:rPr>
      </w:pPr>
      <w:r>
        <w:rPr>
          <w:rFonts w:ascii="Arial" w:cs="Arial" w:eastAsia="Arial" w:hAnsi="Arial"/>
          <w:sz w:val="12"/>
          <w:szCs w:val="12"/>
          <w:color w:val="auto"/>
        </w:rPr>
        <w:t>Raquelle W. Lewis</w:t>
      </w:r>
    </w:p>
    <w:p>
      <w:pPr>
        <w:ind w:left="5940"/>
        <w:spacing w:after="0"/>
        <w:rPr>
          <w:sz w:val="20"/>
          <w:szCs w:val="20"/>
          <w:color w:val="auto"/>
        </w:rPr>
      </w:pPr>
      <w:r>
        <w:rPr>
          <w:rFonts w:ascii="Arial" w:cs="Arial" w:eastAsia="Arial" w:hAnsi="Arial"/>
          <w:sz w:val="12"/>
          <w:szCs w:val="12"/>
          <w:color w:val="auto"/>
        </w:rPr>
        <w:t>Barry T. Smitherman</w:t>
      </w:r>
    </w:p>
    <w:p>
      <w:pPr>
        <w:spacing w:after="0" w:line="139" w:lineRule="exact"/>
        <w:rPr>
          <w:sz w:val="20"/>
          <w:szCs w:val="20"/>
          <w:color w:val="auto"/>
        </w:rPr>
      </w:pPr>
    </w:p>
    <w:p>
      <w:pPr>
        <w:ind w:left="2220" w:hanging="230"/>
        <w:spacing w:after="0"/>
        <w:tabs>
          <w:tab w:leader="none" w:pos="2220" w:val="left"/>
        </w:tabs>
        <w:numPr>
          <w:ilvl w:val="0"/>
          <w:numId w:val="12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REPORT OF THE AUDIT COMMITTEE</w:t>
      </w:r>
    </w:p>
    <w:p>
      <w:pPr>
        <w:spacing w:after="0" w:line="17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five directors, each of whom is independent as defined by the New York Stock Exchange listing standards. The Audit Committee Charter further describes the committee’s responsibilities and is available at </w:t>
      </w:r>
      <w:r>
        <w:rPr>
          <w:rFonts w:ascii="Arial" w:cs="Arial" w:eastAsia="Arial" w:hAnsi="Arial"/>
          <w:sz w:val="12"/>
          <w:szCs w:val="12"/>
          <w:i w:val="1"/>
          <w:iCs w:val="1"/>
          <w:color w:val="auto"/>
        </w:rPr>
        <w:t xml:space="preserve">https://investors.centerpointenergy.com/governance. </w:t>
      </w:r>
      <w:r>
        <w:rPr>
          <w:rFonts w:ascii="Arial" w:cs="Arial" w:eastAsia="Arial" w:hAnsi="Arial"/>
          <w:sz w:val="12"/>
          <w:szCs w:val="12"/>
          <w:color w:val="auto"/>
        </w:rPr>
        <w:t>During 2022, the Audit Committee met 7 times, including meetings to discuss the</w:t>
      </w:r>
      <w:r>
        <w:rPr>
          <w:rFonts w:ascii="Arial" w:cs="Arial" w:eastAsia="Arial" w:hAnsi="Arial"/>
          <w:sz w:val="12"/>
          <w:szCs w:val="12"/>
          <w:i w:val="1"/>
          <w:iCs w:val="1"/>
          <w:color w:val="auto"/>
        </w:rPr>
        <w:t xml:space="preserve"> </w:t>
      </w:r>
      <w:r>
        <w:rPr>
          <w:rFonts w:ascii="Arial" w:cs="Arial" w:eastAsia="Arial" w:hAnsi="Arial"/>
          <w:sz w:val="12"/>
          <w:szCs w:val="12"/>
          <w:color w:val="auto"/>
        </w:rPr>
        <w:t>interim financial information contained in each quarterly earnings announcement with management and Deloitte &amp; Touche LLP, CenterPoint Energy’s independent registered public accounting firm (independent auditors), prior to public release.</w:t>
      </w:r>
    </w:p>
    <w:p>
      <w:pPr>
        <w:spacing w:after="0" w:line="137" w:lineRule="exact"/>
        <w:rPr>
          <w:sz w:val="20"/>
          <w:szCs w:val="20"/>
          <w:color w:val="auto"/>
        </w:rPr>
      </w:pPr>
    </w:p>
    <w:p>
      <w:pPr>
        <w:jc w:val="both"/>
        <w:ind w:left="1940" w:right="799"/>
        <w:spacing w:after="0" w:line="237" w:lineRule="auto"/>
        <w:rPr>
          <w:sz w:val="20"/>
          <w:szCs w:val="20"/>
          <w:color w:val="auto"/>
        </w:rPr>
      </w:pPr>
      <w:r>
        <w:rPr>
          <w:rFonts w:ascii="Arial" w:cs="Arial" w:eastAsia="Arial" w:hAnsi="Arial"/>
          <w:sz w:val="12"/>
          <w:szCs w:val="12"/>
          <w:color w:val="auto"/>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w:t>
      </w:r>
    </w:p>
    <w:p>
      <w:pPr>
        <w:jc w:val="both"/>
        <w:ind w:left="1940" w:right="799" w:hanging="6"/>
        <w:spacing w:after="0" w:line="243" w:lineRule="auto"/>
        <w:tabs>
          <w:tab w:leader="none" w:pos="2132" w:val="left"/>
        </w:tabs>
        <w:numPr>
          <w:ilvl w:val="0"/>
          <w:numId w:val="129"/>
        </w:numPr>
        <w:rPr>
          <w:rFonts w:ascii="Arial" w:cs="Arial" w:eastAsia="Arial" w:hAnsi="Arial"/>
          <w:sz w:val="12"/>
          <w:szCs w:val="12"/>
          <w:color w:val="auto"/>
        </w:rPr>
      </w:pPr>
      <w:r>
        <w:rPr>
          <w:rFonts w:ascii="Arial" w:cs="Arial" w:eastAsia="Arial" w:hAnsi="Arial"/>
          <w:sz w:val="12"/>
          <w:szCs w:val="12"/>
          <w:color w:val="auto"/>
        </w:rPr>
        <w:t>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p>
    <w:p>
      <w:pPr>
        <w:spacing w:after="0" w:line="136"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2022,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p>
    <w:p>
      <w:pPr>
        <w:spacing w:after="0" w:line="138"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2022, for filing with the Securities and Exchange Commission. The Audit Committee also reappointed, subject to ratification, Deloitte &amp; Touche LLP as CenterPoint Energy’s independent auditors for the fiscal year ending December 31, 2023.</w:t>
      </w:r>
    </w:p>
    <w:p>
      <w:pPr>
        <w:spacing w:after="0" w:line="135"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Phillip R. Smith, Chair</w:t>
      </w:r>
    </w:p>
    <w:p>
      <w:pPr>
        <w:ind w:left="5940"/>
        <w:spacing w:after="0" w:line="237" w:lineRule="auto"/>
        <w:rPr>
          <w:sz w:val="20"/>
          <w:szCs w:val="20"/>
          <w:color w:val="auto"/>
        </w:rPr>
      </w:pPr>
      <w:r>
        <w:rPr>
          <w:rFonts w:ascii="Arial" w:cs="Arial" w:eastAsia="Arial" w:hAnsi="Arial"/>
          <w:sz w:val="12"/>
          <w:szCs w:val="12"/>
          <w:color w:val="auto"/>
        </w:rPr>
        <w:t>Earl M. Cummings</w:t>
      </w:r>
    </w:p>
    <w:p>
      <w:pPr>
        <w:ind w:left="5940"/>
        <w:spacing w:after="0" w:line="237" w:lineRule="auto"/>
        <w:rPr>
          <w:sz w:val="20"/>
          <w:szCs w:val="20"/>
          <w:color w:val="auto"/>
        </w:rPr>
      </w:pPr>
      <w:r>
        <w:rPr>
          <w:rFonts w:ascii="Arial" w:cs="Arial" w:eastAsia="Arial" w:hAnsi="Arial"/>
          <w:sz w:val="12"/>
          <w:szCs w:val="12"/>
          <w:color w:val="auto"/>
        </w:rPr>
        <w:t>Christopher H. Franklin</w:t>
      </w:r>
    </w:p>
    <w:p>
      <w:pPr>
        <w:ind w:left="5940"/>
        <w:spacing w:after="0" w:line="237" w:lineRule="auto"/>
        <w:rPr>
          <w:sz w:val="20"/>
          <w:szCs w:val="20"/>
          <w:color w:val="auto"/>
        </w:rPr>
      </w:pPr>
      <w:r>
        <w:rPr>
          <w:rFonts w:ascii="Arial" w:cs="Arial" w:eastAsia="Arial" w:hAnsi="Arial"/>
          <w:sz w:val="12"/>
          <w:szCs w:val="12"/>
          <w:color w:val="auto"/>
        </w:rPr>
        <w:t>Theodore F. Pound</w:t>
      </w:r>
    </w:p>
    <w:p>
      <w:pPr>
        <w:ind w:left="5940"/>
        <w:spacing w:after="0"/>
        <w:rPr>
          <w:sz w:val="20"/>
          <w:szCs w:val="20"/>
          <w:color w:val="auto"/>
        </w:rPr>
      </w:pPr>
      <w:r>
        <w:rPr>
          <w:rFonts w:ascii="Arial" w:cs="Arial" w:eastAsia="Arial" w:hAnsi="Arial"/>
          <w:sz w:val="12"/>
          <w:szCs w:val="12"/>
          <w:color w:val="auto"/>
        </w:rPr>
        <w:t>Barry T. Smitherman</w:t>
      </w:r>
    </w:p>
    <w:p>
      <w:pPr>
        <w:spacing w:after="0" w:line="168"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PRINCIPAL ACCOUNTING FIRM FEES</w:t>
      </w:r>
    </w:p>
    <w:p>
      <w:pPr>
        <w:spacing w:after="0" w:line="17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Aggregate fees related to services provided to CenterPoint Energy as a consolidated entity for the fiscal years ended December 31, 2022 and 2021 by CenterPoint Energy’s principal independent registered public accounting firm, Deloitte &amp; Touche LLP, the member firms of Deloitte Touche Tohmatsu, and their respective affiliates,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97790</wp:posOffset>
            </wp:positionV>
            <wp:extent cx="4711700" cy="2768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11700" cy="276860"/>
                    </a:xfrm>
                    <a:prstGeom prst="rect">
                      <a:avLst/>
                    </a:prstGeom>
                    <a:noFill/>
                  </pic:spPr>
                </pic:pic>
              </a:graphicData>
            </a:graphic>
          </wp:anchor>
        </w:drawing>
      </w:r>
    </w:p>
    <w:p>
      <w:pPr>
        <w:spacing w:after="0" w:line="162" w:lineRule="exact"/>
        <w:rPr>
          <w:sz w:val="20"/>
          <w:szCs w:val="20"/>
          <w:color w:val="auto"/>
        </w:rPr>
      </w:pPr>
    </w:p>
    <w:p>
      <w:pPr>
        <w:jc w:val="center"/>
        <w:ind w:left="6140"/>
        <w:spacing w:after="0"/>
        <w:rPr>
          <w:sz w:val="20"/>
          <w:szCs w:val="20"/>
          <w:color w:val="auto"/>
        </w:rPr>
      </w:pPr>
      <w:r>
        <w:rPr>
          <w:rFonts w:ascii="Arial" w:cs="Arial" w:eastAsia="Arial" w:hAnsi="Arial"/>
          <w:sz w:val="10"/>
          <w:szCs w:val="10"/>
          <w:b w:val="1"/>
          <w:bCs w:val="1"/>
          <w:color w:val="FFFFFF"/>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-66675</wp:posOffset>
            </wp:positionV>
            <wp:extent cx="848995" cy="2540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48995" cy="254000"/>
                    </a:xfrm>
                    <a:prstGeom prst="rect">
                      <a:avLst/>
                    </a:prstGeom>
                    <a:noFill/>
                  </pic:spPr>
                </pic:pic>
              </a:graphicData>
            </a:graphic>
          </wp:anchor>
        </w:drawing>
      </w:r>
    </w:p>
    <w:p>
      <w:pPr>
        <w:jc w:val="center"/>
        <w:ind w:left="6140"/>
        <w:spacing w:after="0"/>
        <w:rPr>
          <w:sz w:val="20"/>
          <w:szCs w:val="20"/>
          <w:color w:val="auto"/>
        </w:rPr>
      </w:pPr>
      <w:r>
        <w:rPr>
          <w:rFonts w:ascii="Arial" w:cs="Arial" w:eastAsia="Arial" w:hAnsi="Arial"/>
          <w:sz w:val="10"/>
          <w:szCs w:val="10"/>
          <w:b w:val="1"/>
          <w:bCs w:val="1"/>
          <w:color w:val="FFFFFF"/>
        </w:rPr>
        <w:t>December 31,</w:t>
      </w:r>
    </w:p>
    <w:p>
      <w:pPr>
        <w:spacing w:after="0" w:line="27" w:lineRule="exact"/>
        <w:rPr>
          <w:sz w:val="20"/>
          <w:szCs w:val="20"/>
          <w:color w:val="auto"/>
        </w:rPr>
      </w:pPr>
    </w:p>
    <w:tbl>
      <w:tblPr>
        <w:tblLayout w:type="fixed"/>
        <w:tblInd w:w="1940" w:type="dxa"/>
        <w:tblCellMar>
          <w:top w:w="0" w:type="dxa"/>
          <w:left w:w="0" w:type="dxa"/>
          <w:bottom w:w="0" w:type="dxa"/>
          <w:right w:w="0" w:type="dxa"/>
        </w:tblCellMar>
      </w:tblPr>
      <w:tr>
        <w:trPr>
          <w:trHeight w:val="145"/>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shd w:val="clear" w:color="auto" w:fill="009AD9"/>
          </w:tcPr>
          <w:p>
            <w:pPr>
              <w:jc w:val="right"/>
              <w:ind w:right="92"/>
              <w:spacing w:after="0"/>
              <w:rPr>
                <w:sz w:val="20"/>
                <w:szCs w:val="20"/>
                <w:color w:val="auto"/>
              </w:rPr>
            </w:pPr>
            <w:r>
              <w:rPr>
                <w:rFonts w:ascii="Arial" w:cs="Arial" w:eastAsia="Arial" w:hAnsi="Arial"/>
                <w:sz w:val="10"/>
                <w:szCs w:val="10"/>
                <w:b w:val="1"/>
                <w:bCs w:val="1"/>
                <w:color w:val="FFFFFF"/>
              </w:rPr>
              <w:t>2022</w:t>
            </w:r>
          </w:p>
        </w:tc>
        <w:tc>
          <w:tcPr>
            <w:tcW w:w="620" w:type="dxa"/>
            <w:vAlign w:val="bottom"/>
            <w:gridSpan w:val="2"/>
            <w:shd w:val="clear" w:color="auto" w:fill="009AD9"/>
          </w:tcPr>
          <w:p>
            <w:pPr>
              <w:jc w:val="right"/>
              <w:ind w:right="112"/>
              <w:spacing w:after="0"/>
              <w:rPr>
                <w:sz w:val="20"/>
                <w:szCs w:val="20"/>
                <w:color w:val="auto"/>
              </w:rPr>
            </w:pPr>
            <w:r>
              <w:rPr>
                <w:rFonts w:ascii="Arial" w:cs="Arial" w:eastAsia="Arial" w:hAnsi="Arial"/>
                <w:sz w:val="10"/>
                <w:szCs w:val="10"/>
                <w:b w:val="1"/>
                <w:bCs w:val="1"/>
                <w:color w:val="FFFFFF"/>
              </w:rPr>
              <w:t>2021</w:t>
            </w:r>
          </w:p>
        </w:tc>
        <w:tc>
          <w:tcPr>
            <w:tcW w:w="80" w:type="dxa"/>
            <w:vAlign w:val="bottom"/>
            <w:shd w:val="clear" w:color="auto" w:fill="009AD9"/>
          </w:tcPr>
          <w:p>
            <w:pPr>
              <w:spacing w:after="0"/>
              <w:rPr>
                <w:sz w:val="12"/>
                <w:szCs w:val="12"/>
                <w:color w:val="auto"/>
              </w:rPr>
            </w:pPr>
          </w:p>
        </w:tc>
      </w:tr>
      <w:tr>
        <w:trPr>
          <w:trHeight w:val="182"/>
        </w:trPr>
        <w:tc>
          <w:tcPr>
            <w:tcW w:w="6080" w:type="dxa"/>
            <w:vAlign w:val="bottom"/>
          </w:tcPr>
          <w:p>
            <w:pPr>
              <w:ind w:left="40"/>
              <w:spacing w:after="0"/>
              <w:rPr>
                <w:sz w:val="20"/>
                <w:szCs w:val="20"/>
                <w:color w:val="auto"/>
              </w:rPr>
            </w:pPr>
            <w:r>
              <w:rPr>
                <w:rFonts w:ascii="Arial" w:cs="Arial" w:eastAsia="Arial" w:hAnsi="Arial"/>
                <w:sz w:val="10"/>
                <w:szCs w:val="10"/>
                <w:color w:val="auto"/>
              </w:rPr>
              <w:t>Integrated audit of financial statements and internal control over financial reporting</w:t>
            </w:r>
            <w:r>
              <w:rPr>
                <w:rFonts w:ascii="Arial" w:cs="Arial" w:eastAsia="Arial" w:hAnsi="Arial"/>
                <w:sz w:val="14"/>
                <w:szCs w:val="14"/>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$ 5,600,000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$ 5,413,848</w:t>
            </w:r>
          </w:p>
        </w:tc>
        <w:tc>
          <w:tcPr>
            <w:tcW w:w="80" w:type="dxa"/>
            <w:vAlign w:val="bottom"/>
          </w:tcPr>
          <w:p>
            <w:pPr>
              <w:spacing w:after="0"/>
              <w:rPr>
                <w:sz w:val="15"/>
                <w:szCs w:val="15"/>
                <w:color w:val="auto"/>
              </w:rPr>
            </w:pPr>
          </w:p>
        </w:tc>
      </w:tr>
      <w:tr>
        <w:trPr>
          <w:trHeight w:val="182"/>
        </w:trPr>
        <w:tc>
          <w:tcPr>
            <w:tcW w:w="6080" w:type="dxa"/>
            <w:vAlign w:val="bottom"/>
            <w:shd w:val="clear" w:color="auto" w:fill="D8EFF9"/>
          </w:tcPr>
          <w:p>
            <w:pPr>
              <w:ind w:left="40"/>
              <w:spacing w:after="0"/>
              <w:rPr>
                <w:sz w:val="20"/>
                <w:szCs w:val="20"/>
                <w:color w:val="auto"/>
              </w:rPr>
            </w:pPr>
            <w:r>
              <w:rPr>
                <w:rFonts w:ascii="Arial" w:cs="Arial" w:eastAsia="Arial" w:hAnsi="Arial"/>
                <w:sz w:val="10"/>
                <w:szCs w:val="10"/>
                <w:color w:val="auto"/>
              </w:rPr>
              <w:t>Audit-related fees</w:t>
            </w:r>
            <w:r>
              <w:rPr>
                <w:rFonts w:ascii="Arial" w:cs="Arial" w:eastAsia="Arial" w:hAnsi="Arial"/>
                <w:sz w:val="14"/>
                <w:szCs w:val="14"/>
                <w:color w:val="auto"/>
                <w:vertAlign w:val="superscript"/>
              </w:rPr>
              <w:t>(2)</w:t>
            </w:r>
          </w:p>
        </w:tc>
        <w:tc>
          <w:tcPr>
            <w:tcW w:w="140" w:type="dxa"/>
            <w:vAlign w:val="bottom"/>
            <w:shd w:val="clear" w:color="auto" w:fill="D8EFF9"/>
          </w:tcPr>
          <w:p>
            <w:pPr>
              <w:spacing w:after="0"/>
              <w:rPr>
                <w:sz w:val="15"/>
                <w:szCs w:val="15"/>
                <w:color w:val="auto"/>
              </w:rPr>
            </w:pPr>
          </w:p>
        </w:tc>
        <w:tc>
          <w:tcPr>
            <w:tcW w:w="50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1,117,000</w:t>
            </w:r>
          </w:p>
        </w:tc>
        <w:tc>
          <w:tcPr>
            <w:tcW w:w="100" w:type="dxa"/>
            <w:vAlign w:val="bottom"/>
            <w:shd w:val="clear" w:color="auto" w:fill="D8EFF9"/>
          </w:tcPr>
          <w:p>
            <w:pPr>
              <w:spacing w:after="0"/>
              <w:rPr>
                <w:sz w:val="15"/>
                <w:szCs w:val="15"/>
                <w:color w:val="auto"/>
              </w:rPr>
            </w:pPr>
          </w:p>
        </w:tc>
        <w:tc>
          <w:tcPr>
            <w:tcW w:w="520" w:type="dxa"/>
            <w:vAlign w:val="bottom"/>
            <w:tcBorders>
              <w:bottom w:val="single" w:sz="8" w:color="auto"/>
            </w:tcBorders>
            <w:shd w:val="clear" w:color="auto" w:fill="D8EFF9"/>
          </w:tcPr>
          <w:p>
            <w:pPr>
              <w:jc w:val="right"/>
              <w:spacing w:after="0"/>
              <w:rPr>
                <w:sz w:val="20"/>
                <w:szCs w:val="20"/>
                <w:color w:val="auto"/>
              </w:rPr>
            </w:pPr>
            <w:r>
              <w:rPr>
                <w:rFonts w:ascii="Arial" w:cs="Arial" w:eastAsia="Arial" w:hAnsi="Arial"/>
                <w:sz w:val="10"/>
                <w:szCs w:val="10"/>
                <w:color w:val="auto"/>
              </w:rPr>
              <w:t>724,100</w:t>
            </w:r>
          </w:p>
        </w:tc>
        <w:tc>
          <w:tcPr>
            <w:tcW w:w="80" w:type="dxa"/>
            <w:vAlign w:val="bottom"/>
            <w:shd w:val="clear" w:color="auto" w:fill="D8EFF9"/>
          </w:tcPr>
          <w:p>
            <w:pPr>
              <w:spacing w:after="0"/>
              <w:rPr>
                <w:sz w:val="15"/>
                <w:szCs w:val="15"/>
                <w:color w:val="auto"/>
              </w:rPr>
            </w:pPr>
          </w:p>
        </w:tc>
      </w:tr>
      <w:tr>
        <w:trPr>
          <w:trHeight w:val="153"/>
        </w:trPr>
        <w:tc>
          <w:tcPr>
            <w:tcW w:w="6080" w:type="dxa"/>
            <w:vAlign w:val="bottom"/>
          </w:tcPr>
          <w:p>
            <w:pPr>
              <w:ind w:left="40"/>
              <w:spacing w:after="0"/>
              <w:rPr>
                <w:sz w:val="20"/>
                <w:szCs w:val="20"/>
                <w:color w:val="auto"/>
              </w:rPr>
            </w:pPr>
            <w:r>
              <w:rPr>
                <w:rFonts w:ascii="Arial" w:cs="Arial" w:eastAsia="Arial" w:hAnsi="Arial"/>
                <w:sz w:val="10"/>
                <w:szCs w:val="10"/>
                <w:color w:val="auto"/>
              </w:rPr>
              <w:t>Total audit and audit-related fees</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6,717,000</w:t>
            </w:r>
          </w:p>
        </w:tc>
        <w:tc>
          <w:tcPr>
            <w:tcW w:w="620" w:type="dxa"/>
            <w:vAlign w:val="bottom"/>
            <w:gridSpan w:val="2"/>
          </w:tcPr>
          <w:p>
            <w:pPr>
              <w:jc w:val="right"/>
              <w:spacing w:after="0"/>
              <w:rPr>
                <w:sz w:val="20"/>
                <w:szCs w:val="20"/>
                <w:color w:val="auto"/>
              </w:rPr>
            </w:pPr>
            <w:r>
              <w:rPr>
                <w:rFonts w:ascii="Arial" w:cs="Arial" w:eastAsia="Arial" w:hAnsi="Arial"/>
                <w:sz w:val="10"/>
                <w:szCs w:val="10"/>
                <w:color w:val="auto"/>
              </w:rPr>
              <w:t>6,137,948</w:t>
            </w:r>
          </w:p>
        </w:tc>
        <w:tc>
          <w:tcPr>
            <w:tcW w:w="80" w:type="dxa"/>
            <w:vAlign w:val="bottom"/>
          </w:tcPr>
          <w:p>
            <w:pPr>
              <w:spacing w:after="0"/>
              <w:rPr>
                <w:sz w:val="13"/>
                <w:szCs w:val="13"/>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60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Tax fees</w:t>
            </w:r>
          </w:p>
        </w:tc>
        <w:tc>
          <w:tcPr>
            <w:tcW w:w="140" w:type="dxa"/>
            <w:vAlign w:val="bottom"/>
            <w:tcBorders>
              <w:bottom w:val="single" w:sz="8" w:color="D8EFF9"/>
            </w:tcBorders>
            <w:shd w:val="clear" w:color="auto" w:fill="D8EFF9"/>
          </w:tcPr>
          <w:p>
            <w:pPr>
              <w:spacing w:after="0"/>
              <w:rPr>
                <w:sz w:val="14"/>
                <w:szCs w:val="14"/>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8EFF9"/>
            </w:tcBorders>
            <w:shd w:val="clear" w:color="auto" w:fill="D8EFF9"/>
          </w:tcPr>
          <w:p>
            <w:pPr>
              <w:spacing w:after="0"/>
              <w:rPr>
                <w:sz w:val="14"/>
                <w:szCs w:val="14"/>
                <w:color w:val="auto"/>
              </w:rPr>
            </w:pPr>
          </w:p>
        </w:tc>
        <w:tc>
          <w:tcPr>
            <w:tcW w:w="60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r>
      <w:tr>
        <w:trPr>
          <w:trHeight w:val="182"/>
        </w:trPr>
        <w:tc>
          <w:tcPr>
            <w:tcW w:w="6080" w:type="dxa"/>
            <w:vAlign w:val="bottom"/>
          </w:tcPr>
          <w:p>
            <w:pPr>
              <w:ind w:left="40"/>
              <w:spacing w:after="0"/>
              <w:rPr>
                <w:sz w:val="20"/>
                <w:szCs w:val="20"/>
                <w:color w:val="auto"/>
              </w:rPr>
            </w:pPr>
            <w:r>
              <w:rPr>
                <w:rFonts w:ascii="Arial" w:cs="Arial" w:eastAsia="Arial" w:hAnsi="Arial"/>
                <w:sz w:val="10"/>
                <w:szCs w:val="10"/>
                <w:color w:val="auto"/>
              </w:rPr>
              <w:t>All other fees</w:t>
            </w:r>
            <w:r>
              <w:rPr>
                <w:rFonts w:ascii="Arial" w:cs="Arial" w:eastAsia="Arial" w:hAnsi="Arial"/>
                <w:sz w:val="14"/>
                <w:szCs w:val="14"/>
                <w:color w:val="auto"/>
                <w:vertAlign w:val="superscript"/>
              </w:rPr>
              <w:t>(3)</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2,051</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62,052</w:t>
            </w:r>
          </w:p>
        </w:tc>
        <w:tc>
          <w:tcPr>
            <w:tcW w:w="80" w:type="dxa"/>
            <w:vAlign w:val="bottom"/>
          </w:tcPr>
          <w:p>
            <w:pPr>
              <w:spacing w:after="0"/>
              <w:rPr>
                <w:sz w:val="15"/>
                <w:szCs w:val="15"/>
                <w:color w:val="auto"/>
              </w:rPr>
            </w:pPr>
          </w:p>
        </w:tc>
      </w:tr>
      <w:tr>
        <w:trPr>
          <w:trHeight w:val="160"/>
        </w:trPr>
        <w:tc>
          <w:tcPr>
            <w:tcW w:w="6080" w:type="dxa"/>
            <w:vAlign w:val="bottom"/>
            <w:tcBorders>
              <w:bottom w:val="single" w:sz="8" w:color="D8EFF9"/>
            </w:tcBorders>
            <w:shd w:val="clear" w:color="auto" w:fill="D8EFF9"/>
          </w:tcPr>
          <w:p>
            <w:pPr>
              <w:ind w:left="100"/>
              <w:spacing w:after="0"/>
              <w:rPr>
                <w:sz w:val="20"/>
                <w:szCs w:val="20"/>
                <w:color w:val="auto"/>
              </w:rPr>
            </w:pPr>
            <w:r>
              <w:rPr>
                <w:rFonts w:ascii="Arial" w:cs="Arial" w:eastAsia="Arial" w:hAnsi="Arial"/>
                <w:sz w:val="10"/>
                <w:szCs w:val="10"/>
                <w:color w:val="auto"/>
              </w:rPr>
              <w:t>Total fees</w:t>
            </w:r>
          </w:p>
        </w:tc>
        <w:tc>
          <w:tcPr>
            <w:tcW w:w="140" w:type="dxa"/>
            <w:vAlign w:val="bottom"/>
            <w:tcBorders>
              <w:bottom w:val="single" w:sz="8" w:color="D8EFF9"/>
            </w:tcBorders>
            <w:shd w:val="clear" w:color="auto" w:fill="D8EFF9"/>
          </w:tcPr>
          <w:p>
            <w:pPr>
              <w:spacing w:after="0"/>
              <w:rPr>
                <w:sz w:val="13"/>
                <w:szCs w:val="13"/>
                <w:color w:val="auto"/>
              </w:rPr>
            </w:pPr>
          </w:p>
        </w:tc>
        <w:tc>
          <w:tcPr>
            <w:tcW w:w="5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w w:val="90"/>
              </w:rPr>
              <w:t>$ 6,719,051</w:t>
            </w:r>
          </w:p>
        </w:tc>
        <w:tc>
          <w:tcPr>
            <w:tcW w:w="62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$ 6,200,000</w:t>
            </w:r>
          </w:p>
        </w:tc>
        <w:tc>
          <w:tcPr>
            <w:tcW w:w="80" w:type="dxa"/>
            <w:vAlign w:val="bottom"/>
            <w:tcBorders>
              <w:bottom w:val="single" w:sz="8" w:color="D8EFF9"/>
            </w:tcBorders>
            <w:shd w:val="clear" w:color="auto" w:fill="D8EFF9"/>
          </w:tcPr>
          <w:p>
            <w:pPr>
              <w:spacing w:after="0"/>
              <w:rPr>
                <w:sz w:val="13"/>
                <w:szCs w:val="13"/>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94" w:lineRule="exact"/>
        <w:rPr>
          <w:sz w:val="20"/>
          <w:szCs w:val="20"/>
          <w:color w:val="auto"/>
        </w:rPr>
      </w:pPr>
    </w:p>
    <w:p>
      <w:pPr>
        <w:ind w:left="2160" w:right="799" w:hanging="226"/>
        <w:spacing w:after="0" w:line="234" w:lineRule="auto"/>
        <w:tabs>
          <w:tab w:leader="none" w:pos="2160" w:val="left"/>
        </w:tabs>
        <w:numPr>
          <w:ilvl w:val="0"/>
          <w:numId w:val="130"/>
        </w:numPr>
        <w:rPr>
          <w:rFonts w:ascii="Arial" w:cs="Arial" w:eastAsia="Arial" w:hAnsi="Arial"/>
          <w:sz w:val="10"/>
          <w:szCs w:val="10"/>
          <w:color w:val="auto"/>
        </w:rPr>
      </w:pPr>
      <w:r>
        <w:rPr>
          <w:rFonts w:ascii="Arial" w:cs="Arial" w:eastAsia="Arial" w:hAnsi="Arial"/>
          <w:sz w:val="10"/>
          <w:szCs w:val="10"/>
          <w:color w:val="auto"/>
        </w:rPr>
        <w:t>For 2022 and 2021, amounts include fees for services provided by the principal accounting firm relating to the integrated audit for financial statements and internal control over financial reporting, statutory audits and regulatory filings.</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130"/>
        </w:numPr>
        <w:rPr>
          <w:rFonts w:ascii="Arial" w:cs="Arial" w:eastAsia="Arial" w:hAnsi="Arial"/>
          <w:sz w:val="10"/>
          <w:szCs w:val="10"/>
          <w:color w:val="auto"/>
        </w:rPr>
      </w:pPr>
      <w:r>
        <w:rPr>
          <w:rFonts w:ascii="Arial" w:cs="Arial" w:eastAsia="Arial" w:hAnsi="Arial"/>
          <w:sz w:val="10"/>
          <w:szCs w:val="10"/>
          <w:color w:val="auto"/>
        </w:rPr>
        <w:t>For 2022 and 2021, amounts include fees for comfort letters, consents and various agreed-upon or expanded procedures related to accounting and/or billing records to comply with financial accounting or regulatory reporting matters.</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30"/>
        </w:numPr>
        <w:rPr>
          <w:rFonts w:ascii="Arial" w:cs="Arial" w:eastAsia="Arial" w:hAnsi="Arial"/>
          <w:sz w:val="10"/>
          <w:szCs w:val="10"/>
          <w:color w:val="auto"/>
        </w:rPr>
      </w:pPr>
      <w:r>
        <w:rPr>
          <w:rFonts w:ascii="Arial" w:cs="Arial" w:eastAsia="Arial" w:hAnsi="Arial"/>
          <w:sz w:val="10"/>
          <w:szCs w:val="10"/>
          <w:color w:val="auto"/>
        </w:rPr>
        <w:t>Fees relate to a subscription-based service which provides the Company with access to benchmarking information (2021) and Deloitte research tools.</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Audit Committee Policies and Procedures for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Consistent with Securities and Exchange Commission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p>
    <w:p>
      <w:pPr>
        <w:spacing w:after="0" w:line="136"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During 2022, no preapproval requirements were waived for services included in the Audit-related fees caption of the fee table above pursuant to the limited waiver provisions in applicable rules of the Securities and Exchange Commission.</w:t>
      </w:r>
    </w:p>
    <w:p>
      <w:pPr>
        <w:spacing w:after="0" w:line="126" w:lineRule="exact"/>
        <w:rPr>
          <w:sz w:val="20"/>
          <w:szCs w:val="20"/>
          <w:color w:val="auto"/>
        </w:rPr>
      </w:pPr>
    </w:p>
    <w:p>
      <w:pPr>
        <w:ind w:left="2220" w:hanging="230"/>
        <w:spacing w:after="0"/>
        <w:tabs>
          <w:tab w:leader="none" w:pos="2220" w:val="left"/>
        </w:tabs>
        <w:numPr>
          <w:ilvl w:val="0"/>
          <w:numId w:val="13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right="1379"/>
        <w:spacing w:after="0" w:line="274" w:lineRule="auto"/>
        <w:rPr>
          <w:sz w:val="20"/>
          <w:szCs w:val="20"/>
          <w:color w:val="auto"/>
        </w:rPr>
      </w:pPr>
      <w:r>
        <w:rPr>
          <w:rFonts w:ascii="Arial" w:cs="Arial" w:eastAsia="Arial" w:hAnsi="Arial"/>
          <w:sz w:val="22"/>
          <w:szCs w:val="22"/>
          <w:b w:val="1"/>
          <w:bCs w:val="1"/>
          <w:color w:val="009AD9"/>
        </w:rPr>
        <w:t>ITEM 2: RATIFICATION OF APPOINTMENT OF THE INDEPENDENT REGISTERED PUBLIC ACCOUNTING FIRM</w:t>
      </w:r>
    </w:p>
    <w:p>
      <w:pPr>
        <w:spacing w:after="0" w:line="100"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The Audit Committee has appointed Deloitte &amp; Touche LLP as the independent registered public accounting firm to conduct the annual audit of CenterPoint Energy’s accounts for the fiscal year ending December 31, 2023.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p>
    <w:p>
      <w:pPr>
        <w:spacing w:after="0" w:line="139" w:lineRule="exact"/>
        <w:rPr>
          <w:sz w:val="20"/>
          <w:szCs w:val="20"/>
          <w:color w:val="auto"/>
        </w:rPr>
      </w:pPr>
    </w:p>
    <w:p>
      <w:pPr>
        <w:jc w:val="both"/>
        <w:ind w:left="1940" w:right="819"/>
        <w:spacing w:after="0" w:line="250" w:lineRule="auto"/>
        <w:rPr>
          <w:sz w:val="20"/>
          <w:szCs w:val="20"/>
          <w:color w:val="auto"/>
        </w:rPr>
      </w:pPr>
      <w:r>
        <w:rPr>
          <w:rFonts w:ascii="Arial" w:cs="Arial" w:eastAsia="Arial" w:hAnsi="Arial"/>
          <w:sz w:val="12"/>
          <w:szCs w:val="12"/>
          <w:color w:val="auto"/>
        </w:rPr>
        <w:t>Representatives of Deloitte &amp; Touche LLP will be present at the annual meeting and will have an opportunity to make a statement if they wish. They will be available to respond to appropriate questions from shareholders at the meeting.</w:t>
      </w:r>
    </w:p>
    <w:p>
      <w:pPr>
        <w:spacing w:after="0" w:line="13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To assure continuing auditor independence, the Audit Committee periodically considers whether there should be a regular rotation of the independent registered public accounting firm. The members of the Audit Committee and the Board believe that the continued retention of Deloitte &amp; Touche LLP to serve as the Company’s independent registered public accounting firm is in the best interests of the Company and its investors.</w:t>
      </w:r>
    </w:p>
    <w:p>
      <w:pPr>
        <w:spacing w:after="0" w:line="196" w:lineRule="exact"/>
        <w:rPr>
          <w:sz w:val="20"/>
          <w:szCs w:val="20"/>
          <w:color w:val="auto"/>
        </w:rPr>
      </w:pPr>
    </w:p>
    <w:p>
      <w:pPr>
        <w:jc w:val="both"/>
        <w:ind w:left="1940" w:right="819"/>
        <w:spacing w:after="0" w:line="274" w:lineRule="auto"/>
        <w:rPr>
          <w:sz w:val="20"/>
          <w:szCs w:val="20"/>
          <w:color w:val="auto"/>
        </w:rPr>
      </w:pPr>
      <w:r>
        <w:rPr>
          <w:rFonts w:ascii="Arial" w:cs="Arial" w:eastAsia="Arial" w:hAnsi="Arial"/>
          <w:sz w:val="12"/>
          <w:szCs w:val="12"/>
          <w:b w:val="1"/>
          <w:bCs w:val="1"/>
          <w:color w:val="009AD9"/>
        </w:rPr>
        <w:t>The Board of Directors recommends a vote FOR the ratification of the appointment of Deloitte &amp; Touche LLP as our independent registered public accounting firm for the fiscal year ending December 31, 2023.</w:t>
      </w:r>
    </w:p>
    <w:p>
      <w:pPr>
        <w:spacing w:after="0" w:line="141" w:lineRule="exact"/>
        <w:rPr>
          <w:sz w:val="20"/>
          <w:szCs w:val="20"/>
          <w:color w:val="auto"/>
        </w:rPr>
      </w:pPr>
    </w:p>
    <w:p>
      <w:pPr>
        <w:ind w:left="8100"/>
        <w:spacing w:after="0"/>
        <w:tabs>
          <w:tab w:leader="none" w:pos="912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48"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ITEM 3: ADVISORY VOTE ON EXECUTIVE COMPENSATION</w:t>
      </w:r>
    </w:p>
    <w:p>
      <w:pPr>
        <w:spacing w:after="0" w:line="170"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In accordance with Section 14A of the Exchange Act and the related rules of the Securities and Exchange Commission, we are providing our shareholders with the opportunity to cast an advisory vote on the compensation of our named executive officers at the meeting. This item, commonly referred to as a “say-on-pay” vote, provides you, as a CenterPoint Energy shareholder, the opportunity to express your views regarding the compensation of our named executive officers as disclosed in this proxy statement.</w:t>
      </w:r>
    </w:p>
    <w:p>
      <w:pPr>
        <w:spacing w:after="0" w:line="137"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Feedback from our shareholders is a critical part of our Company’s and our Compensation Committee’s approach to designing our executive compensation program. Each year, we engage in shareholder outreach to proactively solicit feedback about our business strategy, our executive compensation programs and practices, corporate governance practices, human capital management and environmental and sustainability matters. Following the 2022 Annual Meeting, we engaged with our shareholders to discuss any issues or concerns they had, particularly with respect to our executive compensation program and practices. After receiving feedback from our shareholders on our executive compensation program during this engagement effort and evaluating such feedback, the Compensation Committee, with input from its independent compensation consultant and management, conducted a comprehensive review of our programs. The table below summarizes topics our shareholders asked us to consider, including items relating to our executive compensation. For more information about our 2022 Say-on-Pay vote and our shareholder engagement, please see “Compensation Discussion and Analysis—Executive Summary—Shareholder Engagement and Say-on-Pay Vote.”</w:t>
      </w:r>
    </w:p>
    <w:p>
      <w:pPr>
        <w:spacing w:after="0" w:line="160" w:lineRule="exact"/>
        <w:rPr>
          <w:sz w:val="20"/>
          <w:szCs w:val="20"/>
          <w:color w:val="auto"/>
        </w:rPr>
      </w:pPr>
    </w:p>
    <w:tbl>
      <w:tblPr>
        <w:tblLayout w:type="fixed"/>
        <w:tblInd w:w="1990" w:type="dxa"/>
        <w:tblCellMar>
          <w:top w:w="0" w:type="dxa"/>
          <w:left w:w="0" w:type="dxa"/>
          <w:bottom w:w="0" w:type="dxa"/>
          <w:right w:w="0" w:type="dxa"/>
        </w:tblCellMar>
      </w:tblPr>
      <w:tr>
        <w:trPr>
          <w:trHeight w:val="162"/>
        </w:trPr>
        <w:tc>
          <w:tcPr>
            <w:tcW w:w="2680" w:type="dxa"/>
            <w:vAlign w:val="bottom"/>
            <w:tcBorders>
              <w:left w:val="single" w:sz="8" w:color="009AD9"/>
              <w:bottom w:val="single" w:sz="8" w:color="009AD9"/>
              <w:right w:val="single" w:sz="8" w:color="009AD9"/>
            </w:tcBorders>
            <w:shd w:val="clear" w:color="auto" w:fill="009AD9"/>
          </w:tcPr>
          <w:p>
            <w:pPr>
              <w:ind w:left="260"/>
              <w:spacing w:after="0"/>
              <w:rPr>
                <w:sz w:val="20"/>
                <w:szCs w:val="20"/>
                <w:color w:val="auto"/>
              </w:rPr>
            </w:pPr>
            <w:r>
              <w:rPr>
                <w:rFonts w:ascii="Arial" w:cs="Arial" w:eastAsia="Arial" w:hAnsi="Arial"/>
                <w:sz w:val="10"/>
                <w:szCs w:val="10"/>
                <w:b w:val="1"/>
                <w:bCs w:val="1"/>
                <w:color w:val="FFFFFF"/>
              </w:rPr>
              <w:t>WHAT WE HEARD FROM OUR SHAREHOLDERS</w:t>
            </w:r>
          </w:p>
        </w:tc>
        <w:tc>
          <w:tcPr>
            <w:tcW w:w="1240" w:type="dxa"/>
            <w:vAlign w:val="bottom"/>
            <w:tcBorders>
              <w:bottom w:val="single" w:sz="8" w:color="009AD9"/>
            </w:tcBorders>
            <w:shd w:val="clear" w:color="auto" w:fill="009AD9"/>
          </w:tcPr>
          <w:p>
            <w:pPr>
              <w:spacing w:after="0"/>
              <w:rPr>
                <w:sz w:val="14"/>
                <w:szCs w:val="14"/>
                <w:color w:val="auto"/>
              </w:rPr>
            </w:pPr>
          </w:p>
        </w:tc>
        <w:tc>
          <w:tcPr>
            <w:tcW w:w="200" w:type="dxa"/>
            <w:vAlign w:val="bottom"/>
            <w:tcBorders>
              <w:bottom w:val="single" w:sz="8" w:color="009AD9"/>
            </w:tcBorders>
            <w:shd w:val="clear" w:color="auto" w:fill="009AD9"/>
          </w:tcPr>
          <w:p>
            <w:pPr>
              <w:spacing w:after="0"/>
              <w:rPr>
                <w:sz w:val="14"/>
                <w:szCs w:val="14"/>
                <w:color w:val="auto"/>
              </w:rPr>
            </w:pPr>
          </w:p>
        </w:tc>
        <w:tc>
          <w:tcPr>
            <w:tcW w:w="140" w:type="dxa"/>
            <w:vAlign w:val="bottom"/>
            <w:tcBorders>
              <w:bottom w:val="single" w:sz="8" w:color="009AD9"/>
            </w:tcBorders>
            <w:shd w:val="clear" w:color="auto" w:fill="009AD9"/>
          </w:tcPr>
          <w:p>
            <w:pPr>
              <w:spacing w:after="0"/>
              <w:rPr>
                <w:sz w:val="14"/>
                <w:szCs w:val="14"/>
                <w:color w:val="auto"/>
              </w:rPr>
            </w:pPr>
          </w:p>
        </w:tc>
        <w:tc>
          <w:tcPr>
            <w:tcW w:w="3100" w:type="dxa"/>
            <w:vAlign w:val="bottom"/>
            <w:tcBorders>
              <w:bottom w:val="single" w:sz="8" w:color="009AD9"/>
              <w:right w:val="single" w:sz="8" w:color="009AD9"/>
            </w:tcBorders>
            <w:shd w:val="clear" w:color="auto" w:fill="009AD9"/>
          </w:tcPr>
          <w:p>
            <w:pPr>
              <w:jc w:val="right"/>
              <w:ind w:right="1692"/>
              <w:spacing w:after="0"/>
              <w:rPr>
                <w:sz w:val="20"/>
                <w:szCs w:val="20"/>
                <w:color w:val="auto"/>
              </w:rPr>
            </w:pPr>
            <w:r>
              <w:rPr>
                <w:rFonts w:ascii="Arial" w:cs="Arial" w:eastAsia="Arial" w:hAnsi="Arial"/>
                <w:sz w:val="10"/>
                <w:szCs w:val="10"/>
                <w:b w:val="1"/>
                <w:bCs w:val="1"/>
                <w:color w:val="FFFFFF"/>
              </w:rPr>
              <w:t>HOW WE RESPONDED</w:t>
            </w:r>
          </w:p>
        </w:tc>
        <w:tc>
          <w:tcPr>
            <w:tcW w:w="0" w:type="dxa"/>
            <w:vAlign w:val="bottom"/>
          </w:tcPr>
          <w:p>
            <w:pPr>
              <w:spacing w:after="0"/>
              <w:rPr>
                <w:sz w:val="1"/>
                <w:szCs w:val="1"/>
                <w:color w:val="auto"/>
              </w:rPr>
            </w:pPr>
          </w:p>
        </w:tc>
      </w:tr>
      <w:tr>
        <w:trPr>
          <w:trHeight w:val="227"/>
        </w:trPr>
        <w:tc>
          <w:tcPr>
            <w:tcW w:w="2680" w:type="dxa"/>
            <w:vAlign w:val="bottom"/>
            <w:tcBorders>
              <w:left w:val="single" w:sz="8" w:color="009AD9"/>
            </w:tcBorders>
          </w:tcPr>
          <w:p>
            <w:pPr>
              <w:ind w:left="100"/>
              <w:spacing w:after="0"/>
              <w:rPr>
                <w:sz w:val="20"/>
                <w:szCs w:val="20"/>
                <w:color w:val="auto"/>
              </w:rPr>
            </w:pPr>
            <w:r>
              <w:rPr>
                <w:rFonts w:ascii="Arial" w:cs="Arial" w:eastAsia="Arial" w:hAnsi="Arial"/>
                <w:sz w:val="12"/>
                <w:szCs w:val="12"/>
                <w:b w:val="1"/>
                <w:bCs w:val="1"/>
                <w:i w:val="1"/>
                <w:iCs w:val="1"/>
                <w:color w:val="auto"/>
              </w:rPr>
              <w:t>Executive Compensation</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Borders>
              <w:right w:val="single" w:sz="8" w:color="009AD9"/>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680" w:type="dxa"/>
            <w:vAlign w:val="bottom"/>
            <w:tcBorders>
              <w:left w:val="single" w:sz="8" w:color="009AD9"/>
              <w:bottom w:val="single" w:sz="8" w:color="009AD9"/>
            </w:tcBorders>
          </w:tcPr>
          <w:p>
            <w:pPr>
              <w:spacing w:after="0"/>
              <w:rPr>
                <w:sz w:val="7"/>
                <w:szCs w:val="7"/>
                <w:color w:val="auto"/>
              </w:rPr>
            </w:pPr>
          </w:p>
        </w:tc>
        <w:tc>
          <w:tcPr>
            <w:tcW w:w="1240" w:type="dxa"/>
            <w:vAlign w:val="bottom"/>
            <w:tcBorders>
              <w:bottom w:val="single" w:sz="8" w:color="009AD9"/>
            </w:tcBorders>
          </w:tcPr>
          <w:p>
            <w:pPr>
              <w:spacing w:after="0"/>
              <w:rPr>
                <w:sz w:val="7"/>
                <w:szCs w:val="7"/>
                <w:color w:val="auto"/>
              </w:rPr>
            </w:pPr>
          </w:p>
        </w:tc>
        <w:tc>
          <w:tcPr>
            <w:tcW w:w="340" w:type="dxa"/>
            <w:vAlign w:val="bottom"/>
            <w:tcBorders>
              <w:bottom w:val="single" w:sz="8" w:color="009AD9"/>
            </w:tcBorders>
            <w:gridSpan w:val="2"/>
          </w:tcPr>
          <w:p>
            <w:pPr>
              <w:spacing w:after="0"/>
              <w:rPr>
                <w:sz w:val="7"/>
                <w:szCs w:val="7"/>
                <w:color w:val="auto"/>
              </w:rPr>
            </w:pPr>
          </w:p>
        </w:tc>
        <w:tc>
          <w:tcPr>
            <w:tcW w:w="3100" w:type="dxa"/>
            <w:vAlign w:val="bottom"/>
            <w:tcBorders>
              <w:bottom w:val="single" w:sz="8" w:color="009AD9"/>
              <w:right w:val="single" w:sz="8" w:color="009AD9"/>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680" w:type="dxa"/>
            <w:vAlign w:val="bottom"/>
            <w:tcBorders>
              <w:left w:val="single" w:sz="8" w:color="009AD9"/>
              <w:right w:val="single" w:sz="8" w:color="009AD9"/>
            </w:tcBorders>
            <w:shd w:val="clear" w:color="auto" w:fill="D8EFF9"/>
          </w:tcPr>
          <w:p>
            <w:pPr>
              <w:spacing w:after="0"/>
              <w:rPr>
                <w:sz w:val="10"/>
                <w:szCs w:val="10"/>
                <w:color w:val="auto"/>
              </w:rPr>
            </w:pPr>
          </w:p>
        </w:tc>
        <w:tc>
          <w:tcPr>
            <w:tcW w:w="4680" w:type="dxa"/>
            <w:vAlign w:val="bottom"/>
            <w:tcBorders>
              <w:right w:val="single" w:sz="8" w:color="009AD9"/>
            </w:tcBorders>
            <w:gridSpan w:val="4"/>
            <w:shd w:val="clear" w:color="auto" w:fill="D8EFF9"/>
          </w:tcPr>
          <w:p>
            <w:pPr>
              <w:ind w:left="200"/>
              <w:spacing w:after="0" w:line="120" w:lineRule="exact"/>
              <w:rPr>
                <w:sz w:val="20"/>
                <w:szCs w:val="20"/>
                <w:color w:val="auto"/>
              </w:rPr>
            </w:pPr>
            <w:r>
              <w:rPr>
                <w:rFonts w:ascii="Arial" w:cs="Arial" w:eastAsia="Arial" w:hAnsi="Arial"/>
                <w:sz w:val="12"/>
                <w:szCs w:val="12"/>
                <w:color w:val="auto"/>
              </w:rPr>
              <w:t xml:space="preserve">The Compensation Committee has </w:t>
            </w:r>
            <w:r>
              <w:rPr>
                <w:rFonts w:ascii="Arial" w:cs="Arial" w:eastAsia="Arial" w:hAnsi="Arial"/>
                <w:sz w:val="12"/>
                <w:szCs w:val="12"/>
                <w:b w:val="1"/>
                <w:bCs w:val="1"/>
                <w:color w:val="auto"/>
              </w:rPr>
              <w:t>committed to not make one-time equity</w:t>
            </w:r>
          </w:p>
        </w:tc>
        <w:tc>
          <w:tcPr>
            <w:tcW w:w="0" w:type="dxa"/>
            <w:vAlign w:val="bottom"/>
          </w:tcPr>
          <w:p>
            <w:pPr>
              <w:spacing w:after="0"/>
              <w:rPr>
                <w:sz w:val="1"/>
                <w:szCs w:val="1"/>
                <w:color w:val="auto"/>
              </w:rPr>
            </w:pPr>
          </w:p>
        </w:tc>
      </w:tr>
      <w:tr>
        <w:trPr>
          <w:trHeight w:val="150"/>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Shareholders were generally supportive of</w:t>
            </w: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2"/>
                <w:szCs w:val="12"/>
                <w:color w:val="auto"/>
              </w:rPr>
              <w:t>to its executive officers absent extraordinary circumstances, except in</w:t>
            </w: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1440" w:type="dxa"/>
            <w:vAlign w:val="bottom"/>
            <w:gridSpan w:val="2"/>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connection  with  new</w:t>
            </w:r>
          </w:p>
        </w:tc>
        <w:tc>
          <w:tcPr>
            <w:tcW w:w="3240" w:type="dxa"/>
            <w:vAlign w:val="bottom"/>
            <w:tcBorders>
              <w:right w:val="single" w:sz="8" w:color="009AD9"/>
            </w:tcBorders>
            <w:gridSpan w:val="2"/>
            <w:vMerge w:val="restart"/>
            <w:shd w:val="clear" w:color="auto" w:fill="D8EFF9"/>
          </w:tcPr>
          <w:p>
            <w:pPr>
              <w:jc w:val="right"/>
              <w:ind w:right="12"/>
              <w:spacing w:after="0" w:line="137" w:lineRule="exact"/>
              <w:rPr>
                <w:sz w:val="20"/>
                <w:szCs w:val="20"/>
                <w:color w:val="auto"/>
              </w:rPr>
            </w:pPr>
            <w:r>
              <w:rPr>
                <w:rFonts w:ascii="Arial" w:cs="Arial" w:eastAsia="Arial" w:hAnsi="Arial"/>
                <w:sz w:val="12"/>
                <w:szCs w:val="12"/>
                <w:color w:val="auto"/>
              </w:rPr>
              <w:t>hires  or  promotions.  In  the  event  the  Compensation</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the Company’s compensation program as a</w:t>
            </w:r>
          </w:p>
        </w:tc>
        <w:tc>
          <w:tcPr>
            <w:tcW w:w="1440" w:type="dxa"/>
            <w:vAlign w:val="bottom"/>
            <w:gridSpan w:val="2"/>
            <w:vMerge w:val="continue"/>
            <w:shd w:val="clear" w:color="auto" w:fill="D8EFF9"/>
          </w:tcPr>
          <w:p>
            <w:pPr>
              <w:spacing w:after="0"/>
              <w:rPr>
                <w:sz w:val="6"/>
                <w:szCs w:val="6"/>
                <w:color w:val="auto"/>
              </w:rPr>
            </w:pPr>
          </w:p>
        </w:tc>
        <w:tc>
          <w:tcPr>
            <w:tcW w:w="3240" w:type="dxa"/>
            <w:vAlign w:val="bottom"/>
            <w:tcBorders>
              <w:right w:val="single" w:sz="8" w:color="009AD9"/>
            </w:tcBorders>
            <w:gridSpan w:val="2"/>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4680" w:type="dxa"/>
            <w:vAlign w:val="bottom"/>
            <w:tcBorders>
              <w:right w:val="single" w:sz="8" w:color="009AD9"/>
            </w:tcBorders>
            <w:gridSpan w:val="4"/>
            <w:vMerge w:val="restart"/>
            <w:shd w:val="clear" w:color="auto" w:fill="D8EFF9"/>
          </w:tcPr>
          <w:p>
            <w:pPr>
              <w:ind w:left="200"/>
              <w:spacing w:after="0" w:line="122" w:lineRule="exact"/>
              <w:rPr>
                <w:sz w:val="20"/>
                <w:szCs w:val="20"/>
                <w:color w:val="auto"/>
              </w:rPr>
            </w:pPr>
            <w:r>
              <w:rPr>
                <w:rFonts w:ascii="Arial" w:cs="Arial" w:eastAsia="Arial" w:hAnsi="Arial"/>
                <w:sz w:val="12"/>
                <w:szCs w:val="12"/>
                <w:color w:val="auto"/>
              </w:rPr>
              <w:t>Committee determines that a one-time equity award is necessary and appropriate,</w:t>
            </w:r>
          </w:p>
        </w:tc>
        <w:tc>
          <w:tcPr>
            <w:tcW w:w="0" w:type="dxa"/>
            <w:vAlign w:val="bottom"/>
          </w:tcPr>
          <w:p>
            <w:pPr>
              <w:spacing w:after="0"/>
              <w:rPr>
                <w:sz w:val="1"/>
                <w:szCs w:val="1"/>
                <w:color w:val="auto"/>
              </w:rPr>
            </w:pPr>
          </w:p>
        </w:tc>
      </w:tr>
      <w:tr>
        <w:trPr>
          <w:trHeight w:val="64"/>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whole but voiced concerns over one-off</w:t>
            </w:r>
          </w:p>
        </w:tc>
        <w:tc>
          <w:tcPr>
            <w:tcW w:w="4680" w:type="dxa"/>
            <w:vAlign w:val="bottom"/>
            <w:tcBorders>
              <w:right w:val="single" w:sz="8" w:color="009AD9"/>
            </w:tcBorders>
            <w:gridSpan w:val="4"/>
            <w:vMerge w:val="continue"/>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680" w:type="dxa"/>
            <w:vAlign w:val="bottom"/>
            <w:tcBorders>
              <w:left w:val="single" w:sz="8" w:color="009AD9"/>
              <w:right w:val="single" w:sz="8" w:color="009AD9"/>
            </w:tcBorders>
            <w:vMerge w:val="continue"/>
            <w:shd w:val="clear" w:color="auto" w:fill="D8EFF9"/>
          </w:tcPr>
          <w:p>
            <w:pPr>
              <w:spacing w:after="0"/>
              <w:rPr>
                <w:sz w:val="6"/>
                <w:szCs w:val="6"/>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 xml:space="preserve">such special award will have, except in the case of new hires or promotions, </w:t>
            </w:r>
            <w:r>
              <w:rPr>
                <w:rFonts w:ascii="Arial" w:cs="Arial" w:eastAsia="Arial" w:hAnsi="Arial"/>
                <w:sz w:val="12"/>
                <w:szCs w:val="12"/>
                <w:b w:val="1"/>
                <w:bCs w:val="1"/>
                <w:color w:val="auto"/>
              </w:rPr>
              <w:t>at</w:t>
            </w:r>
          </w:p>
        </w:tc>
        <w:tc>
          <w:tcPr>
            <w:tcW w:w="0" w:type="dxa"/>
            <w:vAlign w:val="bottom"/>
          </w:tcPr>
          <w:p>
            <w:pPr>
              <w:spacing w:after="0"/>
              <w:rPr>
                <w:sz w:val="1"/>
                <w:szCs w:val="1"/>
                <w:color w:val="auto"/>
              </w:rPr>
            </w:pPr>
          </w:p>
        </w:tc>
      </w:tr>
      <w:tr>
        <w:trPr>
          <w:trHeight w:val="64"/>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retention awards that had a short vesting</w:t>
            </w:r>
          </w:p>
        </w:tc>
        <w:tc>
          <w:tcPr>
            <w:tcW w:w="4680" w:type="dxa"/>
            <w:vAlign w:val="bottom"/>
            <w:tcBorders>
              <w:right w:val="single" w:sz="8" w:color="009AD9"/>
            </w:tcBorders>
            <w:gridSpan w:val="4"/>
            <w:vMerge w:val="continue"/>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680" w:type="dxa"/>
            <w:vAlign w:val="bottom"/>
            <w:tcBorders>
              <w:left w:val="single" w:sz="8" w:color="009AD9"/>
              <w:right w:val="single" w:sz="8" w:color="009AD9"/>
            </w:tcBorders>
            <w:vMerge w:val="continue"/>
            <w:shd w:val="clear" w:color="auto" w:fill="D8EFF9"/>
          </w:tcPr>
          <w:p>
            <w:pPr>
              <w:spacing w:after="0"/>
              <w:rPr>
                <w:sz w:val="6"/>
                <w:szCs w:val="6"/>
                <w:color w:val="auto"/>
              </w:rPr>
            </w:pPr>
          </w:p>
        </w:tc>
        <w:tc>
          <w:tcPr>
            <w:tcW w:w="4680" w:type="dxa"/>
            <w:vAlign w:val="bottom"/>
            <w:tcBorders>
              <w:right w:val="single" w:sz="8" w:color="009AD9"/>
            </w:tcBorders>
            <w:gridSpan w:val="4"/>
            <w:vMerge w:val="restart"/>
            <w:shd w:val="clear" w:color="auto" w:fill="D8EFF9"/>
          </w:tcPr>
          <w:p>
            <w:pPr>
              <w:ind w:left="200"/>
              <w:spacing w:after="0"/>
              <w:rPr>
                <w:sz w:val="20"/>
                <w:szCs w:val="20"/>
                <w:color w:val="auto"/>
              </w:rPr>
            </w:pPr>
            <w:r>
              <w:rPr>
                <w:rFonts w:ascii="Arial" w:cs="Arial" w:eastAsia="Arial" w:hAnsi="Arial"/>
                <w:sz w:val="12"/>
                <w:szCs w:val="12"/>
                <w:b w:val="1"/>
                <w:bCs w:val="1"/>
                <w:color w:val="auto"/>
              </w:rPr>
              <w:t xml:space="preserve">least a three-year vesting period </w:t>
            </w:r>
            <w:r>
              <w:rPr>
                <w:rFonts w:ascii="Arial" w:cs="Arial" w:eastAsia="Arial" w:hAnsi="Arial"/>
                <w:sz w:val="12"/>
                <w:szCs w:val="12"/>
                <w:color w:val="auto"/>
              </w:rPr>
              <w:t>and will be</w:t>
            </w:r>
            <w:r>
              <w:rPr>
                <w:rFonts w:ascii="Arial" w:cs="Arial" w:eastAsia="Arial" w:hAnsi="Arial"/>
                <w:sz w:val="12"/>
                <w:szCs w:val="12"/>
                <w:b w:val="1"/>
                <w:bCs w:val="1"/>
                <w:color w:val="auto"/>
              </w:rPr>
              <w:t xml:space="preserve"> primarily performance-based</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period and are solely time-based</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680" w:type="dxa"/>
            <w:vAlign w:val="bottom"/>
            <w:tcBorders>
              <w:left w:val="single" w:sz="8" w:color="009AD9"/>
              <w:right w:val="single" w:sz="8" w:color="009AD9"/>
            </w:tcBorders>
            <w:vMerge w:val="continue"/>
            <w:shd w:val="clear" w:color="auto" w:fill="D8EFF9"/>
          </w:tcPr>
          <w:p>
            <w:pPr>
              <w:spacing w:after="0"/>
              <w:rPr>
                <w:sz w:val="7"/>
                <w:szCs w:val="7"/>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The Compensation Committee has not made any special one-time equity awards</w:t>
            </w:r>
          </w:p>
        </w:tc>
        <w:tc>
          <w:tcPr>
            <w:tcW w:w="0" w:type="dxa"/>
            <w:vAlign w:val="bottom"/>
          </w:tcPr>
          <w:p>
            <w:pPr>
              <w:spacing w:after="0"/>
              <w:rPr>
                <w:sz w:val="1"/>
                <w:szCs w:val="1"/>
                <w:color w:val="auto"/>
              </w:rPr>
            </w:pPr>
          </w:p>
        </w:tc>
      </w:tr>
      <w:tr>
        <w:trPr>
          <w:trHeight w:val="54"/>
        </w:trPr>
        <w:tc>
          <w:tcPr>
            <w:tcW w:w="2680" w:type="dxa"/>
            <w:vAlign w:val="bottom"/>
            <w:tcBorders>
              <w:left w:val="single" w:sz="8" w:color="009AD9"/>
              <w:right w:val="single" w:sz="8" w:color="009AD9"/>
            </w:tcBorders>
            <w:shd w:val="clear" w:color="auto" w:fill="D8EFF9"/>
          </w:tcPr>
          <w:p>
            <w:pPr>
              <w:spacing w:after="0"/>
              <w:rPr>
                <w:sz w:val="4"/>
                <w:szCs w:val="4"/>
                <w:color w:val="auto"/>
              </w:rPr>
            </w:pPr>
          </w:p>
        </w:tc>
        <w:tc>
          <w:tcPr>
            <w:tcW w:w="4680" w:type="dxa"/>
            <w:vAlign w:val="bottom"/>
            <w:tcBorders>
              <w:right w:val="single" w:sz="8" w:color="009AD9"/>
            </w:tcBorders>
            <w:gridSpan w:val="4"/>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680" w:type="dxa"/>
            <w:vAlign w:val="bottom"/>
            <w:tcBorders>
              <w:left w:val="single" w:sz="8" w:color="009AD9"/>
              <w:bottom w:val="single" w:sz="8" w:color="009AD9"/>
              <w:right w:val="single" w:sz="8" w:color="009AD9"/>
            </w:tcBorders>
            <w:shd w:val="clear" w:color="auto" w:fill="D8EFF9"/>
          </w:tcPr>
          <w:p>
            <w:pPr>
              <w:spacing w:after="0"/>
              <w:rPr>
                <w:sz w:val="13"/>
                <w:szCs w:val="13"/>
                <w:color w:val="auto"/>
              </w:rPr>
            </w:pPr>
          </w:p>
        </w:tc>
        <w:tc>
          <w:tcPr>
            <w:tcW w:w="4680" w:type="dxa"/>
            <w:vAlign w:val="bottom"/>
            <w:tcBorders>
              <w:bottom w:val="single" w:sz="8" w:color="009AD9"/>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to executive officers since those granted to Mr. Lesar in 2021.</w:t>
            </w:r>
          </w:p>
        </w:tc>
        <w:tc>
          <w:tcPr>
            <w:tcW w:w="0" w:type="dxa"/>
            <w:vAlign w:val="bottom"/>
          </w:tcPr>
          <w:p>
            <w:pPr>
              <w:spacing w:after="0"/>
              <w:rPr>
                <w:sz w:val="1"/>
                <w:szCs w:val="1"/>
                <w:color w:val="auto"/>
              </w:rPr>
            </w:pPr>
          </w:p>
        </w:tc>
      </w:tr>
      <w:tr>
        <w:trPr>
          <w:trHeight w:val="139"/>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 xml:space="preserve">The Compensation Committee has adopted </w:t>
            </w:r>
            <w:r>
              <w:rPr>
                <w:rFonts w:ascii="Arial" w:cs="Arial" w:eastAsia="Arial" w:hAnsi="Arial"/>
                <w:sz w:val="12"/>
                <w:szCs w:val="12"/>
                <w:b w:val="1"/>
                <w:bCs w:val="1"/>
                <w:color w:val="auto"/>
              </w:rPr>
              <w:t>executive severance guidelines</w:t>
            </w:r>
            <w:r>
              <w:rPr>
                <w:rFonts w:ascii="Arial" w:cs="Arial" w:eastAsia="Arial" w:hAnsi="Arial"/>
                <w:sz w:val="12"/>
                <w:szCs w:val="12"/>
                <w:color w:val="auto"/>
              </w:rPr>
              <w:t xml:space="preserve"> that</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set forth appropriate limits on any severance payments to our named executive</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1440" w:type="dxa"/>
            <w:vAlign w:val="bottom"/>
            <w:gridSpan w:val="2"/>
            <w:shd w:val="clear" w:color="auto" w:fill="D8EFF9"/>
          </w:tcPr>
          <w:p>
            <w:pPr>
              <w:ind w:left="200"/>
              <w:spacing w:after="0"/>
              <w:rPr>
                <w:sz w:val="20"/>
                <w:szCs w:val="20"/>
                <w:color w:val="auto"/>
              </w:rPr>
            </w:pPr>
            <w:r>
              <w:rPr>
                <w:rFonts w:ascii="Arial" w:cs="Arial" w:eastAsia="Arial" w:hAnsi="Arial"/>
                <w:sz w:val="12"/>
                <w:szCs w:val="12"/>
                <w:color w:val="auto"/>
              </w:rPr>
              <w:t>officers.</w:t>
            </w:r>
          </w:p>
        </w:tc>
        <w:tc>
          <w:tcPr>
            <w:tcW w:w="140" w:type="dxa"/>
            <w:vAlign w:val="bottom"/>
            <w:shd w:val="clear" w:color="auto" w:fill="D8EFF9"/>
          </w:tcPr>
          <w:p>
            <w:pPr>
              <w:spacing w:after="0"/>
              <w:rPr>
                <w:sz w:val="12"/>
                <w:szCs w:val="12"/>
                <w:color w:val="auto"/>
              </w:rPr>
            </w:pPr>
          </w:p>
        </w:tc>
        <w:tc>
          <w:tcPr>
            <w:tcW w:w="3100" w:type="dxa"/>
            <w:vAlign w:val="bottom"/>
            <w:tcBorders>
              <w:right w:val="single" w:sz="8" w:color="009AD9"/>
            </w:tcBorders>
            <w:shd w:val="clear" w:color="auto" w:fill="D8EFF9"/>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80" w:type="dxa"/>
            <w:vAlign w:val="bottom"/>
            <w:tcBorders>
              <w:left w:val="single" w:sz="8" w:color="009AD9"/>
              <w:right w:val="single" w:sz="8" w:color="009AD9"/>
            </w:tcBorders>
            <w:shd w:val="clear" w:color="auto" w:fill="D8EFF9"/>
          </w:tcPr>
          <w:p>
            <w:pPr>
              <w:spacing w:after="0"/>
              <w:rPr>
                <w:sz w:val="16"/>
                <w:szCs w:val="16"/>
                <w:color w:val="auto"/>
              </w:rPr>
            </w:pPr>
          </w:p>
        </w:tc>
        <w:tc>
          <w:tcPr>
            <w:tcW w:w="4680" w:type="dxa"/>
            <w:vAlign w:val="bottom"/>
            <w:tcBorders>
              <w:right w:val="single" w:sz="8" w:color="009AD9"/>
            </w:tcBorders>
            <w:gridSpan w:val="4"/>
            <w:shd w:val="clear" w:color="auto" w:fill="D8EFF9"/>
          </w:tcPr>
          <w:p>
            <w:pPr>
              <w:jc w:val="right"/>
              <w:ind w:right="12"/>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guidelines do not entitle any executive to a severance payment. Eligibility</w:t>
            </w:r>
          </w:p>
        </w:tc>
        <w:tc>
          <w:tcPr>
            <w:tcW w:w="0" w:type="dxa"/>
            <w:vAlign w:val="bottom"/>
          </w:tcPr>
          <w:p>
            <w:pPr>
              <w:spacing w:after="0"/>
              <w:rPr>
                <w:sz w:val="1"/>
                <w:szCs w:val="1"/>
                <w:color w:val="auto"/>
              </w:rPr>
            </w:pPr>
          </w:p>
        </w:tc>
      </w:tr>
      <w:tr>
        <w:trPr>
          <w:trHeight w:val="20"/>
        </w:trPr>
        <w:tc>
          <w:tcPr>
            <w:tcW w:w="2680" w:type="dxa"/>
            <w:vAlign w:val="bottom"/>
            <w:tcBorders>
              <w:left w:val="single" w:sz="8" w:color="009AD9"/>
              <w:right w:val="single" w:sz="8" w:color="009AD9"/>
            </w:tcBorders>
            <w:shd w:val="clear" w:color="auto" w:fill="D8EFF9"/>
          </w:tcPr>
          <w:p>
            <w:pPr>
              <w:spacing w:after="0" w:line="20" w:lineRule="exact"/>
              <w:rPr>
                <w:sz w:val="1"/>
                <w:szCs w:val="1"/>
                <w:color w:val="auto"/>
              </w:rPr>
            </w:pPr>
          </w:p>
        </w:tc>
        <w:tc>
          <w:tcPr>
            <w:tcW w:w="1240" w:type="dxa"/>
            <w:vAlign w:val="bottom"/>
            <w:shd w:val="clear" w:color="auto" w:fill="D8EFF9"/>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100" w:type="dxa"/>
            <w:vAlign w:val="bottom"/>
            <w:tcBorders>
              <w:right w:val="single" w:sz="8" w:color="009AD9"/>
            </w:tcBorders>
            <w:shd w:val="clear" w:color="auto" w:fill="D8EF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12"/>
              <w:spacing w:after="0" w:line="134" w:lineRule="exact"/>
              <w:rPr>
                <w:sz w:val="20"/>
                <w:szCs w:val="20"/>
                <w:color w:val="auto"/>
              </w:rPr>
            </w:pPr>
            <w:r>
              <w:rPr>
                <w:rFonts w:ascii="Arial" w:cs="Arial" w:eastAsia="Arial" w:hAnsi="Arial"/>
                <w:sz w:val="12"/>
                <w:szCs w:val="12"/>
                <w:color w:val="auto"/>
              </w:rPr>
              <w:t>and amounts of any payments remain subject to Compensation Committee</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Shareholders expressed concern regarding</w:t>
            </w:r>
          </w:p>
        </w:tc>
        <w:tc>
          <w:tcPr>
            <w:tcW w:w="1440" w:type="dxa"/>
            <w:vAlign w:val="bottom"/>
            <w:gridSpan w:val="2"/>
            <w:shd w:val="clear" w:color="auto" w:fill="D8EFF9"/>
          </w:tcPr>
          <w:p>
            <w:pPr>
              <w:ind w:left="440"/>
              <w:spacing w:after="0"/>
              <w:rPr>
                <w:sz w:val="20"/>
                <w:szCs w:val="20"/>
                <w:color w:val="auto"/>
              </w:rPr>
            </w:pPr>
            <w:r>
              <w:rPr>
                <w:rFonts w:ascii="Arial" w:cs="Arial" w:eastAsia="Arial" w:hAnsi="Arial"/>
                <w:sz w:val="12"/>
                <w:szCs w:val="12"/>
                <w:color w:val="auto"/>
              </w:rPr>
              <w:t>discretion.</w:t>
            </w:r>
          </w:p>
        </w:tc>
        <w:tc>
          <w:tcPr>
            <w:tcW w:w="140" w:type="dxa"/>
            <w:vAlign w:val="bottom"/>
            <w:shd w:val="clear" w:color="auto" w:fill="D8EFF9"/>
          </w:tcPr>
          <w:p>
            <w:pPr>
              <w:spacing w:after="0"/>
              <w:rPr>
                <w:sz w:val="12"/>
                <w:szCs w:val="12"/>
                <w:color w:val="auto"/>
              </w:rPr>
            </w:pPr>
          </w:p>
        </w:tc>
        <w:tc>
          <w:tcPr>
            <w:tcW w:w="3100" w:type="dxa"/>
            <w:vAlign w:val="bottom"/>
            <w:tcBorders>
              <w:right w:val="single" w:sz="8" w:color="009AD9"/>
            </w:tcBorders>
            <w:shd w:val="clear" w:color="auto" w:fill="D8EFF9"/>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80" w:type="dxa"/>
            <w:vAlign w:val="bottom"/>
            <w:tcBorders>
              <w:left w:val="single" w:sz="8" w:color="009AD9"/>
              <w:right w:val="single" w:sz="8" w:color="009AD9"/>
            </w:tcBorders>
            <w:vMerge w:val="continue"/>
            <w:shd w:val="clear" w:color="auto" w:fill="D8EFF9"/>
          </w:tcPr>
          <w:p>
            <w:pPr>
              <w:spacing w:after="0"/>
              <w:rPr>
                <w:sz w:val="11"/>
                <w:szCs w:val="11"/>
                <w:color w:val="auto"/>
              </w:rPr>
            </w:pPr>
          </w:p>
        </w:tc>
        <w:tc>
          <w:tcPr>
            <w:tcW w:w="4680" w:type="dxa"/>
            <w:vAlign w:val="bottom"/>
            <w:tcBorders>
              <w:right w:val="single" w:sz="8" w:color="009AD9"/>
            </w:tcBorders>
            <w:gridSpan w:val="4"/>
            <w:vMerge w:val="restart"/>
            <w:shd w:val="clear" w:color="auto" w:fill="D8EFF9"/>
          </w:tcPr>
          <w:p>
            <w:pPr>
              <w:jc w:val="right"/>
              <w:ind w:right="12"/>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Compensation Committee has committed to applying the limitations set</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the size of the Company’s recent</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4680" w:type="dxa"/>
            <w:vAlign w:val="bottom"/>
            <w:tcBorders>
              <w:right w:val="single" w:sz="8" w:color="009AD9"/>
            </w:tcBorders>
            <w:gridSpan w:val="4"/>
            <w:vMerge w:val="restart"/>
            <w:shd w:val="clear" w:color="auto" w:fill="D8EFF9"/>
          </w:tcPr>
          <w:p>
            <w:pPr>
              <w:jc w:val="right"/>
              <w:ind w:right="12"/>
              <w:spacing w:after="0" w:line="137" w:lineRule="exact"/>
              <w:rPr>
                <w:sz w:val="20"/>
                <w:szCs w:val="20"/>
                <w:color w:val="auto"/>
              </w:rPr>
            </w:pPr>
            <w:r>
              <w:rPr>
                <w:rFonts w:ascii="Arial" w:cs="Arial" w:eastAsia="Arial" w:hAnsi="Arial"/>
                <w:sz w:val="12"/>
                <w:szCs w:val="12"/>
                <w:color w:val="auto"/>
              </w:rPr>
              <w:t>forth in the guidelines in determining severance payments to named executive</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severance / separation arrangements</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680" w:type="dxa"/>
            <w:vAlign w:val="bottom"/>
            <w:tcBorders>
              <w:left w:val="single" w:sz="8" w:color="009AD9"/>
              <w:right w:val="single" w:sz="8" w:color="009AD9"/>
            </w:tcBorders>
            <w:vMerge w:val="continue"/>
            <w:shd w:val="clear" w:color="auto" w:fill="D8EFF9"/>
          </w:tcPr>
          <w:p>
            <w:pPr>
              <w:spacing w:after="0"/>
              <w:rPr>
                <w:sz w:val="7"/>
                <w:szCs w:val="7"/>
                <w:color w:val="auto"/>
              </w:rPr>
            </w:pPr>
          </w:p>
        </w:tc>
        <w:tc>
          <w:tcPr>
            <w:tcW w:w="1440" w:type="dxa"/>
            <w:vAlign w:val="bottom"/>
            <w:gridSpan w:val="2"/>
            <w:vMerge w:val="restart"/>
            <w:shd w:val="clear" w:color="auto" w:fill="D8EFF9"/>
          </w:tcPr>
          <w:p>
            <w:pPr>
              <w:ind w:left="440"/>
              <w:spacing w:after="0"/>
              <w:rPr>
                <w:sz w:val="20"/>
                <w:szCs w:val="20"/>
                <w:color w:val="auto"/>
              </w:rPr>
            </w:pPr>
            <w:r>
              <w:rPr>
                <w:rFonts w:ascii="Arial" w:cs="Arial" w:eastAsia="Arial" w:hAnsi="Arial"/>
                <w:sz w:val="12"/>
                <w:szCs w:val="12"/>
                <w:color w:val="auto"/>
              </w:rPr>
              <w:t>officers, if any.</w:t>
            </w:r>
          </w:p>
        </w:tc>
        <w:tc>
          <w:tcPr>
            <w:tcW w:w="140" w:type="dxa"/>
            <w:vAlign w:val="bottom"/>
            <w:shd w:val="clear" w:color="auto" w:fill="D8EFF9"/>
          </w:tcPr>
          <w:p>
            <w:pPr>
              <w:spacing w:after="0"/>
              <w:rPr>
                <w:sz w:val="7"/>
                <w:szCs w:val="7"/>
                <w:color w:val="auto"/>
              </w:rPr>
            </w:pPr>
          </w:p>
        </w:tc>
        <w:tc>
          <w:tcPr>
            <w:tcW w:w="3100" w:type="dxa"/>
            <w:vAlign w:val="bottom"/>
            <w:tcBorders>
              <w:right w:val="single" w:sz="8" w:color="009AD9"/>
            </w:tcBorders>
            <w:shd w:val="clear" w:color="auto" w:fill="D8EFF9"/>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680" w:type="dxa"/>
            <w:vAlign w:val="bottom"/>
            <w:tcBorders>
              <w:left w:val="single" w:sz="8" w:color="009AD9"/>
              <w:right w:val="single" w:sz="8" w:color="009AD9"/>
            </w:tcBorders>
            <w:shd w:val="clear" w:color="auto" w:fill="D8EFF9"/>
          </w:tcPr>
          <w:p>
            <w:pPr>
              <w:spacing w:after="0"/>
              <w:rPr>
                <w:sz w:val="5"/>
                <w:szCs w:val="5"/>
                <w:color w:val="auto"/>
              </w:rPr>
            </w:pPr>
          </w:p>
        </w:tc>
        <w:tc>
          <w:tcPr>
            <w:tcW w:w="1440" w:type="dxa"/>
            <w:vAlign w:val="bottom"/>
            <w:gridSpan w:val="2"/>
            <w:vMerge w:val="continue"/>
            <w:shd w:val="clear" w:color="auto" w:fill="D8EFF9"/>
          </w:tcPr>
          <w:p>
            <w:pPr>
              <w:spacing w:after="0"/>
              <w:rPr>
                <w:sz w:val="5"/>
                <w:szCs w:val="5"/>
                <w:color w:val="auto"/>
              </w:rPr>
            </w:pPr>
          </w:p>
        </w:tc>
        <w:tc>
          <w:tcPr>
            <w:tcW w:w="140" w:type="dxa"/>
            <w:vAlign w:val="bottom"/>
            <w:shd w:val="clear" w:color="auto" w:fill="D8EFF9"/>
          </w:tcPr>
          <w:p>
            <w:pPr>
              <w:spacing w:after="0"/>
              <w:rPr>
                <w:sz w:val="5"/>
                <w:szCs w:val="5"/>
                <w:color w:val="auto"/>
              </w:rPr>
            </w:pPr>
          </w:p>
        </w:tc>
        <w:tc>
          <w:tcPr>
            <w:tcW w:w="3100" w:type="dxa"/>
            <w:vAlign w:val="bottom"/>
            <w:tcBorders>
              <w:right w:val="single" w:sz="8" w:color="009AD9"/>
            </w:tcBorders>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ind w:right="12"/>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Recent severance payments made to Messrs. Doyle and Knight in connection</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440"/>
              <w:spacing w:after="0"/>
              <w:rPr>
                <w:sz w:val="20"/>
                <w:szCs w:val="20"/>
                <w:color w:val="auto"/>
              </w:rPr>
            </w:pPr>
            <w:r>
              <w:rPr>
                <w:rFonts w:ascii="Arial" w:cs="Arial" w:eastAsia="Arial" w:hAnsi="Arial"/>
                <w:sz w:val="12"/>
                <w:szCs w:val="12"/>
                <w:color w:val="auto"/>
              </w:rPr>
              <w:t>with the elimination of their positions complied with the guidelines.</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For  further  information,  including  cash  severance  limits,  please  see  above</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“Executive Compensation Tables—Potential Payments Upon Change in Control or</w:t>
            </w:r>
          </w:p>
        </w:tc>
        <w:tc>
          <w:tcPr>
            <w:tcW w:w="0" w:type="dxa"/>
            <w:vAlign w:val="bottom"/>
          </w:tcPr>
          <w:p>
            <w:pPr>
              <w:spacing w:after="0"/>
              <w:rPr>
                <w:sz w:val="1"/>
                <w:szCs w:val="1"/>
                <w:color w:val="auto"/>
              </w:rPr>
            </w:pPr>
          </w:p>
        </w:tc>
      </w:tr>
      <w:tr>
        <w:trPr>
          <w:trHeight w:val="150"/>
        </w:trPr>
        <w:tc>
          <w:tcPr>
            <w:tcW w:w="2680" w:type="dxa"/>
            <w:vAlign w:val="bottom"/>
            <w:tcBorders>
              <w:left w:val="single" w:sz="8" w:color="009AD9"/>
              <w:bottom w:val="single" w:sz="8" w:color="009AD9"/>
              <w:right w:val="single" w:sz="8" w:color="009AD9"/>
            </w:tcBorders>
            <w:shd w:val="clear" w:color="auto" w:fill="D8EFF9"/>
          </w:tcPr>
          <w:p>
            <w:pPr>
              <w:spacing w:after="0"/>
              <w:rPr>
                <w:sz w:val="13"/>
                <w:szCs w:val="13"/>
                <w:color w:val="auto"/>
              </w:rPr>
            </w:pPr>
          </w:p>
        </w:tc>
        <w:tc>
          <w:tcPr>
            <w:tcW w:w="4680" w:type="dxa"/>
            <w:vAlign w:val="bottom"/>
            <w:tcBorders>
              <w:bottom w:val="single" w:sz="8" w:color="009AD9"/>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Termination—Executive Severance Guidelines.”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300" w:hanging="318"/>
        <w:spacing w:after="0"/>
        <w:tabs>
          <w:tab w:leader="none" w:pos="2300" w:val="left"/>
        </w:tabs>
        <w:numPr>
          <w:ilvl w:val="0"/>
          <w:numId w:val="132"/>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63" w:lineRule="exact"/>
        <w:rPr>
          <w:sz w:val="20"/>
          <w:szCs w:val="20"/>
          <w:color w:val="auto"/>
        </w:rPr>
      </w:pPr>
    </w:p>
    <w:tbl>
      <w:tblPr>
        <w:tblLayout w:type="fixed"/>
        <w:tblInd w:w="1940" w:type="dxa"/>
        <w:tblCellMar>
          <w:top w:w="0" w:type="dxa"/>
          <w:left w:w="0" w:type="dxa"/>
          <w:bottom w:w="0" w:type="dxa"/>
          <w:right w:w="0" w:type="dxa"/>
        </w:tblCellMar>
      </w:tblPr>
      <w:tr>
        <w:trPr>
          <w:trHeight w:val="20"/>
        </w:trPr>
        <w:tc>
          <w:tcPr>
            <w:tcW w:w="60" w:type="dxa"/>
            <w:vAlign w:val="bottom"/>
            <w:tcBorders>
              <w:right w:val="single" w:sz="8" w:color="009AD9"/>
            </w:tcBorders>
            <w:shd w:val="clear" w:color="auto" w:fill="009AD9"/>
          </w:tcPr>
          <w:p>
            <w:pPr>
              <w:spacing w:after="0" w:line="20" w:lineRule="exact"/>
              <w:rPr>
                <w:sz w:val="1"/>
                <w:szCs w:val="1"/>
                <w:color w:val="auto"/>
              </w:rPr>
            </w:pPr>
          </w:p>
        </w:tc>
        <w:tc>
          <w:tcPr>
            <w:tcW w:w="2660" w:type="dxa"/>
            <w:vAlign w:val="bottom"/>
            <w:tcBorders>
              <w:right w:val="single" w:sz="8" w:color="009AD9"/>
            </w:tcBorders>
            <w:shd w:val="clear" w:color="auto" w:fill="009AD9"/>
          </w:tcPr>
          <w:p>
            <w:pPr>
              <w:spacing w:after="0" w:line="20" w:lineRule="exact"/>
              <w:rPr>
                <w:sz w:val="1"/>
                <w:szCs w:val="1"/>
                <w:color w:val="auto"/>
              </w:rPr>
            </w:pPr>
          </w:p>
        </w:tc>
        <w:tc>
          <w:tcPr>
            <w:tcW w:w="3060" w:type="dxa"/>
            <w:vAlign w:val="bottom"/>
            <w:shd w:val="clear" w:color="auto" w:fill="009AD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9AD9"/>
          </w:tcPr>
          <w:p>
            <w:pPr>
              <w:spacing w:after="0" w:line="20" w:lineRule="exact"/>
              <w:rPr>
                <w:sz w:val="1"/>
                <w:szCs w:val="1"/>
                <w:color w:val="auto"/>
              </w:rPr>
            </w:pPr>
          </w:p>
        </w:tc>
        <w:tc>
          <w:tcPr>
            <w:tcW w:w="400" w:type="dxa"/>
            <w:vAlign w:val="bottom"/>
            <w:tcBorders>
              <w:right w:val="single" w:sz="8" w:color="009AD9"/>
            </w:tcBorders>
            <w:shd w:val="clear" w:color="auto" w:fill="009AD9"/>
          </w:tcPr>
          <w:p>
            <w:pPr>
              <w:spacing w:after="0" w:line="20" w:lineRule="exact"/>
              <w:rPr>
                <w:sz w:val="1"/>
                <w:szCs w:val="1"/>
                <w:color w:val="auto"/>
              </w:rPr>
            </w:pPr>
          </w:p>
        </w:tc>
        <w:tc>
          <w:tcPr>
            <w:tcW w:w="2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700" w:type="dxa"/>
            <w:vAlign w:val="bottom"/>
            <w:gridSpan w:val="5"/>
          </w:tcPr>
          <w:p>
            <w:pPr>
              <w:ind w:left="2040"/>
              <w:spacing w:after="0"/>
              <w:rPr>
                <w:sz w:val="20"/>
                <w:szCs w:val="20"/>
                <w:color w:val="auto"/>
              </w:rPr>
            </w:pPr>
            <w:r>
              <w:rPr>
                <w:rFonts w:ascii="Arial" w:cs="Arial" w:eastAsia="Arial" w:hAnsi="Arial"/>
                <w:sz w:val="10"/>
                <w:szCs w:val="10"/>
                <w:i w:val="1"/>
                <w:iCs w:val="1"/>
                <w:color w:val="auto"/>
                <w:w w:val="95"/>
              </w:rPr>
              <w:t>Item 3: Advisory Vote on Executive Compensation (continued)</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8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009AD9"/>
            </w:tcBorders>
          </w:tcPr>
          <w:p>
            <w:pPr>
              <w:spacing w:after="0"/>
              <w:rPr>
                <w:sz w:val="14"/>
                <w:szCs w:val="14"/>
                <w:color w:val="auto"/>
              </w:rPr>
            </w:pPr>
          </w:p>
        </w:tc>
        <w:tc>
          <w:tcPr>
            <w:tcW w:w="2660" w:type="dxa"/>
            <w:vAlign w:val="bottom"/>
            <w:tcBorders>
              <w:bottom w:val="single" w:sz="8" w:color="009AD9"/>
              <w:right w:val="single" w:sz="8" w:color="009AD9"/>
            </w:tcBorders>
            <w:shd w:val="clear" w:color="auto" w:fill="009AD9"/>
          </w:tcPr>
          <w:p>
            <w:pPr>
              <w:ind w:left="240"/>
              <w:spacing w:after="0"/>
              <w:rPr>
                <w:sz w:val="20"/>
                <w:szCs w:val="20"/>
                <w:color w:val="auto"/>
              </w:rPr>
            </w:pPr>
            <w:r>
              <w:rPr>
                <w:rFonts w:ascii="Arial" w:cs="Arial" w:eastAsia="Arial" w:hAnsi="Arial"/>
                <w:sz w:val="10"/>
                <w:szCs w:val="10"/>
                <w:b w:val="1"/>
                <w:bCs w:val="1"/>
                <w:color w:val="FFFFFF"/>
              </w:rPr>
              <w:t>WHAT WE HEARD FROM OUR SHAREHOLDERS</w:t>
            </w:r>
          </w:p>
        </w:tc>
        <w:tc>
          <w:tcPr>
            <w:tcW w:w="4280" w:type="dxa"/>
            <w:vAlign w:val="bottom"/>
            <w:tcBorders>
              <w:bottom w:val="single" w:sz="8" w:color="009AD9"/>
            </w:tcBorders>
            <w:gridSpan w:val="3"/>
            <w:shd w:val="clear" w:color="auto" w:fill="009AD9"/>
          </w:tcPr>
          <w:p>
            <w:pPr>
              <w:ind w:left="1880"/>
              <w:spacing w:after="0"/>
              <w:rPr>
                <w:sz w:val="20"/>
                <w:szCs w:val="20"/>
                <w:color w:val="auto"/>
              </w:rPr>
            </w:pPr>
            <w:r>
              <w:rPr>
                <w:rFonts w:ascii="Arial" w:cs="Arial" w:eastAsia="Arial" w:hAnsi="Arial"/>
                <w:sz w:val="10"/>
                <w:szCs w:val="10"/>
                <w:b w:val="1"/>
                <w:bCs w:val="1"/>
                <w:color w:val="FFFFFF"/>
              </w:rPr>
              <w:t>HOW WE RESPONDED</w:t>
            </w:r>
          </w:p>
        </w:tc>
        <w:tc>
          <w:tcPr>
            <w:tcW w:w="400" w:type="dxa"/>
            <w:vAlign w:val="bottom"/>
            <w:tcBorders>
              <w:bottom w:val="single" w:sz="8" w:color="009AD9"/>
              <w:right w:val="single" w:sz="8" w:color="009AD9"/>
            </w:tcBorders>
            <w:shd w:val="clear" w:color="auto" w:fill="009AD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The Company seeks to follow best-in-class practices when it comes to disclosing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severance or separation arrangements with executive officers. In connection with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200"/>
              <w:spacing w:after="0"/>
              <w:rPr>
                <w:sz w:val="20"/>
                <w:szCs w:val="20"/>
                <w:color w:val="auto"/>
              </w:rPr>
            </w:pPr>
            <w:r>
              <w:rPr>
                <w:rFonts w:ascii="Arial" w:cs="Arial" w:eastAsia="Arial" w:hAnsi="Arial"/>
                <w:sz w:val="12"/>
                <w:szCs w:val="12"/>
                <w:color w:val="auto"/>
              </w:rPr>
              <w:t>the adoptions of the executive severance guidelines:</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009AD9"/>
            </w:tcBorders>
          </w:tcPr>
          <w:p>
            <w:pPr>
              <w:spacing w:after="0"/>
              <w:rPr>
                <w:sz w:val="16"/>
                <w:szCs w:val="16"/>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Shareholders desire greater understanding</w:t>
            </w: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will continue to disclose severance or separation events for 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regarding severance / separation</w:t>
            </w: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executive officers through press releases and Securities and Exchange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09AD9"/>
            </w:tcBorders>
          </w:tcPr>
          <w:p>
            <w:pPr>
              <w:spacing w:after="0"/>
              <w:rPr>
                <w:sz w:val="13"/>
                <w:szCs w:val="13"/>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arrangements</w:t>
            </w: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Commission filings; and</w:t>
            </w:r>
          </w:p>
        </w:tc>
        <w:tc>
          <w:tcPr>
            <w:tcW w:w="400" w:type="dxa"/>
            <w:vAlign w:val="bottom"/>
            <w:tcBorders>
              <w:right w:val="single" w:sz="8" w:color="009AD9"/>
            </w:tcBorders>
            <w:shd w:val="clear" w:color="auto" w:fill="D8EF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seeks to provide greater transparency with the adoption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executive  severance  guidelines  and  will  disclose  whether  a  severance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 w:type="dxa"/>
            <w:vAlign w:val="bottom"/>
            <w:tcBorders>
              <w:right w:val="single" w:sz="8" w:color="009AD9"/>
            </w:tcBorders>
          </w:tcPr>
          <w:p>
            <w:pPr>
              <w:spacing w:after="0"/>
              <w:rPr>
                <w:sz w:val="13"/>
                <w:szCs w:val="13"/>
                <w:color w:val="auto"/>
              </w:rPr>
            </w:pPr>
          </w:p>
        </w:tc>
        <w:tc>
          <w:tcPr>
            <w:tcW w:w="2660" w:type="dxa"/>
            <w:vAlign w:val="bottom"/>
            <w:tcBorders>
              <w:bottom w:val="single" w:sz="8" w:color="009AD9"/>
              <w:right w:val="single" w:sz="8" w:color="009AD9"/>
            </w:tcBorders>
            <w:shd w:val="clear" w:color="auto" w:fill="D8EFF9"/>
          </w:tcPr>
          <w:p>
            <w:pPr>
              <w:spacing w:after="0"/>
              <w:rPr>
                <w:sz w:val="13"/>
                <w:szCs w:val="13"/>
                <w:color w:val="auto"/>
              </w:rPr>
            </w:pPr>
          </w:p>
        </w:tc>
        <w:tc>
          <w:tcPr>
            <w:tcW w:w="4280" w:type="dxa"/>
            <w:vAlign w:val="bottom"/>
            <w:tcBorders>
              <w:bottom w:val="single" w:sz="8" w:color="009AD9"/>
            </w:tcBorders>
            <w:gridSpan w:val="3"/>
            <w:shd w:val="clear" w:color="auto" w:fill="D8EFF9"/>
          </w:tcPr>
          <w:p>
            <w:pPr>
              <w:ind w:left="440"/>
              <w:spacing w:after="0"/>
              <w:rPr>
                <w:sz w:val="20"/>
                <w:szCs w:val="20"/>
                <w:color w:val="auto"/>
              </w:rPr>
            </w:pPr>
            <w:r>
              <w:rPr>
                <w:rFonts w:ascii="Arial" w:cs="Arial" w:eastAsia="Arial" w:hAnsi="Arial"/>
                <w:sz w:val="12"/>
                <w:szCs w:val="12"/>
                <w:color w:val="auto"/>
              </w:rPr>
              <w:t>arrangement complies with the guidelines.</w:t>
            </w:r>
          </w:p>
        </w:tc>
        <w:tc>
          <w:tcPr>
            <w:tcW w:w="400" w:type="dxa"/>
            <w:vAlign w:val="bottom"/>
            <w:tcBorders>
              <w:bottom w:val="single" w:sz="8" w:color="009AD9"/>
              <w:right w:val="single" w:sz="8" w:color="009AD9"/>
            </w:tcBorders>
            <w:shd w:val="clear" w:color="auto" w:fill="D8EF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auto"/>
              </w:rPr>
              <w:t>Beginning in 2021, the Company bifurcated the performance goal structure under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its short-term incentive plan, resulting in separate performance metrics that apply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to executive officers and to employees who are not executive officers of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200"/>
              <w:spacing w:after="0"/>
              <w:rPr>
                <w:sz w:val="20"/>
                <w:szCs w:val="20"/>
                <w:color w:val="auto"/>
              </w:rPr>
            </w:pPr>
            <w:r>
              <w:rPr>
                <w:rFonts w:ascii="Arial" w:cs="Arial" w:eastAsia="Arial" w:hAnsi="Arial"/>
                <w:sz w:val="12"/>
                <w:szCs w:val="12"/>
                <w:color w:val="auto"/>
              </w:rPr>
              <w:t>Company.</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Compensation  Committee  approved  the  bifurcation  in  response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shareholder feedback seeking an increased focus on earnings per share EPS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in  incentive  plans  to  more  directly  align  incentive  plan  payouts  with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shareholder interests.</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Reflecting  this  shareholder  feedback,  the  executive  officers’  short-term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incentive awards are solely based on achieving a non-GAAP Adjusted EPS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metric, in order to encourage executive officers to continue to advance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support the Company’s position as a premium utility, with a negative-only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modifier related to certain diversity, equity and inclusion goals.</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non-executive short-term incentive awards are dependent on business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Shareholders desire greater understanding</w:t>
            </w: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auto"/>
              </w:rPr>
              <w:t>unit performance and are based in part on the achievement of non-financial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regarding the interplay between</w:t>
            </w: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performance metrics, including, safety, O&amp;M and capital cost management,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non-financial performance metrics and</w:t>
            </w: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customer reliability and responsiveness, and cyber.</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09AD9"/>
            </w:tcBorders>
          </w:tcPr>
          <w:p>
            <w:pPr>
              <w:spacing w:after="0"/>
              <w:rPr>
                <w:sz w:val="13"/>
                <w:szCs w:val="13"/>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executive short-term incentive awards</w:t>
            </w:r>
          </w:p>
        </w:tc>
        <w:tc>
          <w:tcPr>
            <w:tcW w:w="4680" w:type="dxa"/>
            <w:vAlign w:val="bottom"/>
            <w:tcBorders>
              <w:right w:val="single" w:sz="8" w:color="009AD9"/>
            </w:tcBorders>
            <w:gridSpan w:val="4"/>
            <w:vMerge w:val="restart"/>
            <w:shd w:val="clear" w:color="auto" w:fill="D8EFF9"/>
          </w:tcPr>
          <w:p>
            <w:pPr>
              <w:jc w:val="right"/>
              <w:spacing w:after="0"/>
              <w:rPr>
                <w:sz w:val="20"/>
                <w:szCs w:val="20"/>
                <w:color w:val="auto"/>
              </w:rPr>
            </w:pPr>
            <w:r>
              <w:rPr>
                <w:rFonts w:ascii="Arial" w:cs="Arial" w:eastAsia="Arial" w:hAnsi="Arial"/>
                <w:sz w:val="12"/>
                <w:szCs w:val="12"/>
                <w:color w:val="auto"/>
              </w:rPr>
              <w:t>The Compensation Committee has discretion to adjust the payout of the executive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0" w:type="dxa"/>
            <w:vAlign w:val="bottom"/>
            <w:tcBorders>
              <w:right w:val="single" w:sz="8" w:color="009AD9"/>
            </w:tcBorders>
          </w:tcPr>
          <w:p>
            <w:pPr>
              <w:spacing w:after="0"/>
              <w:rPr>
                <w:sz w:val="3"/>
                <w:szCs w:val="3"/>
                <w:color w:val="auto"/>
              </w:rPr>
            </w:pPr>
          </w:p>
        </w:tc>
        <w:tc>
          <w:tcPr>
            <w:tcW w:w="2660" w:type="dxa"/>
            <w:vAlign w:val="bottom"/>
            <w:tcBorders>
              <w:right w:val="single" w:sz="8" w:color="009AD9"/>
            </w:tcBorders>
            <w:shd w:val="clear" w:color="auto" w:fill="D8EFF9"/>
          </w:tcPr>
          <w:p>
            <w:pPr>
              <w:spacing w:after="0"/>
              <w:rPr>
                <w:sz w:val="3"/>
                <w:szCs w:val="3"/>
                <w:color w:val="auto"/>
              </w:rPr>
            </w:pPr>
          </w:p>
        </w:tc>
        <w:tc>
          <w:tcPr>
            <w:tcW w:w="4680" w:type="dxa"/>
            <w:vAlign w:val="bottom"/>
            <w:tcBorders>
              <w:right w:val="single" w:sz="8" w:color="009AD9"/>
            </w:tcBorders>
            <w:gridSpan w:val="4"/>
            <w:vMerge w:val="continue"/>
            <w:shd w:val="clear" w:color="auto" w:fill="D8EFF9"/>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officer short-term incentive awards to reflect overall Company performance that 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200"/>
              <w:spacing w:after="0"/>
              <w:rPr>
                <w:sz w:val="20"/>
                <w:szCs w:val="20"/>
                <w:color w:val="auto"/>
              </w:rPr>
            </w:pPr>
            <w:r>
              <w:rPr>
                <w:rFonts w:ascii="Arial" w:cs="Arial" w:eastAsia="Arial" w:hAnsi="Arial"/>
                <w:sz w:val="12"/>
                <w:szCs w:val="12"/>
                <w:color w:val="auto"/>
              </w:rPr>
              <w:t>inclusive of non-financial performance measures.</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With the recommendation of management, the Compensation Committee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exercised negative discretion to adjust downward the short-term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awards for executive officers to align with the payout levels for non-executives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(inclusive of non-financial metrics) for the 2021 awards (in excess of 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reduction) and 2022 awards (in excess of 17% reduction).</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009AD9"/>
            </w:tcBorders>
          </w:tcPr>
          <w:p>
            <w:pPr>
              <w:spacing w:after="0"/>
              <w:rPr>
                <w:sz w:val="16"/>
                <w:szCs w:val="16"/>
                <w:color w:val="auto"/>
              </w:rPr>
            </w:pPr>
          </w:p>
        </w:tc>
        <w:tc>
          <w:tcPr>
            <w:tcW w:w="2660" w:type="dxa"/>
            <w:vAlign w:val="bottom"/>
            <w:tcBorders>
              <w:right w:val="single" w:sz="8" w:color="009AD9"/>
            </w:tcBorders>
            <w:shd w:val="clear" w:color="auto" w:fill="D8EFF9"/>
          </w:tcPr>
          <w:p>
            <w:pPr>
              <w:spacing w:after="0"/>
              <w:rPr>
                <w:sz w:val="16"/>
                <w:szCs w:val="16"/>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b w:val="1"/>
                <w:bCs w:val="1"/>
                <w:color w:val="auto"/>
              </w:rPr>
              <w:t>The  Compensation  Committee,  supported  by  management,  intends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b w:val="1"/>
                <w:bCs w:val="1"/>
                <w:color w:val="auto"/>
              </w:rPr>
              <w:t>continue to use its negative discretion to adjust the short-term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b w:val="1"/>
                <w:bCs w:val="1"/>
                <w:color w:val="auto"/>
              </w:rPr>
              <w:t>awards for executive officers downward, when applicable, to align with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09AD9"/>
            </w:tcBorders>
          </w:tcPr>
          <w:p>
            <w:pPr>
              <w:spacing w:after="0"/>
              <w:rPr>
                <w:sz w:val="13"/>
                <w:szCs w:val="13"/>
                <w:color w:val="auto"/>
              </w:rPr>
            </w:pPr>
          </w:p>
        </w:tc>
        <w:tc>
          <w:tcPr>
            <w:tcW w:w="2660" w:type="dxa"/>
            <w:vAlign w:val="bottom"/>
            <w:tcBorders>
              <w:right w:val="single" w:sz="8" w:color="009AD9"/>
            </w:tcBorders>
            <w:shd w:val="clear" w:color="auto" w:fill="D8EFF9"/>
          </w:tcPr>
          <w:p>
            <w:pPr>
              <w:spacing w:after="0"/>
              <w:rPr>
                <w:sz w:val="13"/>
                <w:szCs w:val="13"/>
                <w:color w:val="auto"/>
              </w:rPr>
            </w:pPr>
          </w:p>
        </w:tc>
        <w:tc>
          <w:tcPr>
            <w:tcW w:w="4280" w:type="dxa"/>
            <w:vAlign w:val="bottom"/>
            <w:gridSpan w:val="3"/>
            <w:shd w:val="clear" w:color="auto" w:fill="D8EFF9"/>
          </w:tcPr>
          <w:p>
            <w:pPr>
              <w:ind w:left="200"/>
              <w:spacing w:after="0"/>
              <w:rPr>
                <w:sz w:val="20"/>
                <w:szCs w:val="20"/>
                <w:color w:val="auto"/>
              </w:rPr>
            </w:pPr>
            <w:r>
              <w:rPr>
                <w:rFonts w:ascii="Arial" w:cs="Arial" w:eastAsia="Arial" w:hAnsi="Arial"/>
                <w:sz w:val="12"/>
                <w:szCs w:val="12"/>
                <w:b w:val="1"/>
                <w:bCs w:val="1"/>
                <w:color w:val="auto"/>
              </w:rPr>
              <w:t>awards for employees who are not executive officers.</w:t>
            </w:r>
          </w:p>
        </w:tc>
        <w:tc>
          <w:tcPr>
            <w:tcW w:w="400" w:type="dxa"/>
            <w:vAlign w:val="bottom"/>
            <w:tcBorders>
              <w:right w:val="single" w:sz="8" w:color="009AD9"/>
            </w:tcBorders>
            <w:shd w:val="clear" w:color="auto" w:fill="D8EF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Compensation Committee believes the short-term incentive structure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spacing w:after="0" w:line="137" w:lineRule="exact"/>
              <w:rPr>
                <w:sz w:val="20"/>
                <w:szCs w:val="20"/>
                <w:color w:val="auto"/>
              </w:rPr>
            </w:pPr>
            <w:r>
              <w:rPr>
                <w:rFonts w:ascii="Arial" w:cs="Arial" w:eastAsia="Arial" w:hAnsi="Arial"/>
                <w:sz w:val="12"/>
                <w:szCs w:val="12"/>
                <w:color w:val="auto"/>
              </w:rPr>
              <w:t>its consistent application of negative discretion to align with underlying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bottom w:val="single" w:sz="8" w:color="009AD9"/>
              <w:right w:val="single" w:sz="8" w:color="009AD9"/>
            </w:tcBorders>
            <w:shd w:val="clear" w:color="auto" w:fill="D8EFF9"/>
          </w:tcPr>
          <w:p>
            <w:pPr>
              <w:spacing w:after="0"/>
              <w:rPr>
                <w:sz w:val="12"/>
                <w:szCs w:val="12"/>
                <w:color w:val="auto"/>
              </w:rPr>
            </w:pPr>
          </w:p>
        </w:tc>
        <w:tc>
          <w:tcPr>
            <w:tcW w:w="4280" w:type="dxa"/>
            <w:vAlign w:val="bottom"/>
            <w:tcBorders>
              <w:bottom w:val="single" w:sz="8" w:color="009AD9"/>
            </w:tcBorders>
            <w:gridSpan w:val="3"/>
            <w:shd w:val="clear" w:color="auto" w:fill="D8EFF9"/>
          </w:tcPr>
          <w:p>
            <w:pPr>
              <w:ind w:left="440"/>
              <w:spacing w:after="0"/>
              <w:rPr>
                <w:sz w:val="20"/>
                <w:szCs w:val="20"/>
                <w:color w:val="auto"/>
              </w:rPr>
            </w:pPr>
            <w:r>
              <w:rPr>
                <w:rFonts w:ascii="Arial" w:cs="Arial" w:eastAsia="Arial" w:hAnsi="Arial"/>
                <w:sz w:val="12"/>
                <w:szCs w:val="12"/>
                <w:color w:val="auto"/>
              </w:rPr>
              <w:t>non-financial performance underscores the</w:t>
            </w:r>
          </w:p>
        </w:tc>
        <w:tc>
          <w:tcPr>
            <w:tcW w:w="400" w:type="dxa"/>
            <w:vAlign w:val="bottom"/>
            <w:tcBorders>
              <w:bottom w:val="single" w:sz="8" w:color="009AD9"/>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009AD9"/>
            </w:tcBorders>
          </w:tcPr>
          <w:p>
            <w:pPr>
              <w:spacing w:after="0"/>
              <w:rPr>
                <w:sz w:val="14"/>
                <w:szCs w:val="14"/>
                <w:color w:val="auto"/>
              </w:rPr>
            </w:pPr>
          </w:p>
        </w:tc>
        <w:tc>
          <w:tcPr>
            <w:tcW w:w="2660" w:type="dxa"/>
            <w:vAlign w:val="bottom"/>
            <w:tcBorders>
              <w:bottom w:val="single" w:sz="8" w:color="009AD9"/>
            </w:tcBorders>
          </w:tcPr>
          <w:p>
            <w:pPr>
              <w:spacing w:after="0"/>
              <w:rPr>
                <w:sz w:val="14"/>
                <w:szCs w:val="14"/>
                <w:color w:val="auto"/>
              </w:rPr>
            </w:pPr>
          </w:p>
        </w:tc>
        <w:tc>
          <w:tcPr>
            <w:tcW w:w="3060" w:type="dxa"/>
            <w:vAlign w:val="bottom"/>
            <w:tcBorders>
              <w:bottom w:val="single" w:sz="8" w:color="009AD9"/>
            </w:tcBorders>
          </w:tcPr>
          <w:p>
            <w:pPr>
              <w:spacing w:after="0"/>
              <w:rPr>
                <w:sz w:val="14"/>
                <w:szCs w:val="14"/>
                <w:color w:val="auto"/>
              </w:rPr>
            </w:pPr>
          </w:p>
        </w:tc>
        <w:tc>
          <w:tcPr>
            <w:tcW w:w="80" w:type="dxa"/>
            <w:vAlign w:val="bottom"/>
            <w:tcBorders>
              <w:bottom w:val="single" w:sz="8" w:color="009AD9"/>
            </w:tcBorders>
          </w:tcPr>
          <w:p>
            <w:pPr>
              <w:spacing w:after="0"/>
              <w:rPr>
                <w:sz w:val="14"/>
                <w:szCs w:val="14"/>
                <w:color w:val="auto"/>
              </w:rPr>
            </w:pPr>
          </w:p>
        </w:tc>
        <w:tc>
          <w:tcPr>
            <w:tcW w:w="1140" w:type="dxa"/>
            <w:vAlign w:val="bottom"/>
            <w:tcBorders>
              <w:bottom w:val="single" w:sz="8" w:color="009AD9"/>
            </w:tcBorders>
          </w:tcPr>
          <w:p>
            <w:pPr>
              <w:spacing w:after="0"/>
              <w:rPr>
                <w:sz w:val="14"/>
                <w:szCs w:val="14"/>
                <w:color w:val="auto"/>
              </w:rPr>
            </w:pPr>
          </w:p>
        </w:tc>
        <w:tc>
          <w:tcPr>
            <w:tcW w:w="400" w:type="dxa"/>
            <w:vAlign w:val="bottom"/>
            <w:tcBorders>
              <w:bottom w:val="single" w:sz="8" w:color="009AD9"/>
            </w:tcBorders>
          </w:tcPr>
          <w:p>
            <w:pPr>
              <w:spacing w:after="0"/>
              <w:rPr>
                <w:sz w:val="14"/>
                <w:szCs w:val="14"/>
                <w:color w:val="auto"/>
              </w:rPr>
            </w:pPr>
          </w:p>
        </w:tc>
        <w:tc>
          <w:tcPr>
            <w:tcW w:w="20" w:type="dxa"/>
            <w:vAlign w:val="bottom"/>
            <w:tcBorders>
              <w:bottom w:val="single" w:sz="8" w:color="009AD9"/>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9AD9"/>
              </w:rPr>
              <w:t>101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3: Advisory Vote on Executive Compensation (continued)</w:t>
      </w:r>
    </w:p>
    <w:p>
      <w:pPr>
        <w:spacing w:after="0" w:line="101" w:lineRule="exact"/>
        <w:rPr>
          <w:sz w:val="20"/>
          <w:szCs w:val="20"/>
          <w:color w:val="auto"/>
        </w:rPr>
      </w:pPr>
    </w:p>
    <w:tbl>
      <w:tblPr>
        <w:tblLayout w:type="fixed"/>
        <w:tblInd w:w="1990" w:type="dxa"/>
        <w:tblCellMar>
          <w:top w:w="0" w:type="dxa"/>
          <w:left w:w="0" w:type="dxa"/>
          <w:bottom w:w="0" w:type="dxa"/>
          <w:right w:w="0" w:type="dxa"/>
        </w:tblCellMar>
      </w:tblPr>
      <w:tr>
        <w:trPr>
          <w:trHeight w:val="162"/>
        </w:trPr>
        <w:tc>
          <w:tcPr>
            <w:tcW w:w="2680" w:type="dxa"/>
            <w:vAlign w:val="bottom"/>
            <w:tcBorders>
              <w:left w:val="single" w:sz="8" w:color="009AD9"/>
              <w:bottom w:val="single" w:sz="8" w:color="009AD9"/>
              <w:right w:val="single" w:sz="8" w:color="009AD9"/>
            </w:tcBorders>
            <w:shd w:val="clear" w:color="auto" w:fill="009AD9"/>
          </w:tcPr>
          <w:p>
            <w:pPr>
              <w:ind w:left="260"/>
              <w:spacing w:after="0"/>
              <w:rPr>
                <w:sz w:val="20"/>
                <w:szCs w:val="20"/>
                <w:color w:val="auto"/>
              </w:rPr>
            </w:pPr>
            <w:r>
              <w:rPr>
                <w:rFonts w:ascii="Arial" w:cs="Arial" w:eastAsia="Arial" w:hAnsi="Arial"/>
                <w:sz w:val="10"/>
                <w:szCs w:val="10"/>
                <w:b w:val="1"/>
                <w:bCs w:val="1"/>
                <w:color w:val="FFFFFF"/>
              </w:rPr>
              <w:t>WHAT WE HEARD FROM OUR SHAREHOLDERS</w:t>
            </w:r>
          </w:p>
        </w:tc>
        <w:tc>
          <w:tcPr>
            <w:tcW w:w="1140" w:type="dxa"/>
            <w:vAlign w:val="bottom"/>
            <w:tcBorders>
              <w:bottom w:val="single" w:sz="8" w:color="009AD9"/>
            </w:tcBorders>
            <w:shd w:val="clear" w:color="auto" w:fill="009AD9"/>
          </w:tcPr>
          <w:p>
            <w:pPr>
              <w:spacing w:after="0"/>
              <w:rPr>
                <w:sz w:val="14"/>
                <w:szCs w:val="14"/>
                <w:color w:val="auto"/>
              </w:rPr>
            </w:pPr>
          </w:p>
        </w:tc>
        <w:tc>
          <w:tcPr>
            <w:tcW w:w="300" w:type="dxa"/>
            <w:vAlign w:val="bottom"/>
            <w:tcBorders>
              <w:bottom w:val="single" w:sz="8" w:color="009AD9"/>
            </w:tcBorders>
            <w:shd w:val="clear" w:color="auto" w:fill="009AD9"/>
          </w:tcPr>
          <w:p>
            <w:pPr>
              <w:spacing w:after="0"/>
              <w:rPr>
                <w:sz w:val="14"/>
                <w:szCs w:val="14"/>
                <w:color w:val="auto"/>
              </w:rPr>
            </w:pPr>
          </w:p>
        </w:tc>
        <w:tc>
          <w:tcPr>
            <w:tcW w:w="360" w:type="dxa"/>
            <w:vAlign w:val="bottom"/>
            <w:tcBorders>
              <w:bottom w:val="single" w:sz="8" w:color="009AD9"/>
            </w:tcBorders>
            <w:shd w:val="clear" w:color="auto" w:fill="009AD9"/>
          </w:tcPr>
          <w:p>
            <w:pPr>
              <w:spacing w:after="0"/>
              <w:rPr>
                <w:sz w:val="14"/>
                <w:szCs w:val="14"/>
                <w:color w:val="auto"/>
              </w:rPr>
            </w:pPr>
          </w:p>
        </w:tc>
        <w:tc>
          <w:tcPr>
            <w:tcW w:w="2880" w:type="dxa"/>
            <w:vAlign w:val="bottom"/>
            <w:tcBorders>
              <w:bottom w:val="single" w:sz="8" w:color="009AD9"/>
              <w:right w:val="single" w:sz="8" w:color="009AD9"/>
            </w:tcBorders>
            <w:shd w:val="clear" w:color="auto" w:fill="009AD9"/>
          </w:tcPr>
          <w:p>
            <w:pPr>
              <w:jc w:val="right"/>
              <w:ind w:right="1683"/>
              <w:spacing w:after="0"/>
              <w:rPr>
                <w:sz w:val="20"/>
                <w:szCs w:val="20"/>
                <w:color w:val="auto"/>
              </w:rPr>
            </w:pPr>
            <w:r>
              <w:rPr>
                <w:rFonts w:ascii="Arial" w:cs="Arial" w:eastAsia="Arial" w:hAnsi="Arial"/>
                <w:sz w:val="10"/>
                <w:szCs w:val="10"/>
                <w:b w:val="1"/>
                <w:bCs w:val="1"/>
                <w:color w:val="FFFFFF"/>
              </w:rPr>
              <w:t>HOW WE RESPONDED</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6" w:lineRule="exact"/>
              <w:rPr>
                <w:sz w:val="20"/>
                <w:szCs w:val="20"/>
                <w:color w:val="auto"/>
              </w:rPr>
            </w:pPr>
            <w:r>
              <w:rPr>
                <w:rFonts w:ascii="Arial" w:cs="Arial" w:eastAsia="Arial" w:hAnsi="Arial"/>
                <w:sz w:val="12"/>
                <w:szCs w:val="12"/>
                <w:color w:val="auto"/>
              </w:rPr>
              <w:t>importance of both financial and non-financial performance and successfully</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motivates employees, including executive officers, to achieve holistic performance</w:t>
            </w:r>
          </w:p>
        </w:tc>
        <w:tc>
          <w:tcPr>
            <w:tcW w:w="0" w:type="dxa"/>
            <w:vAlign w:val="bottom"/>
          </w:tcPr>
          <w:p>
            <w:pPr>
              <w:spacing w:after="0"/>
              <w:rPr>
                <w:sz w:val="1"/>
                <w:szCs w:val="1"/>
                <w:color w:val="auto"/>
              </w:rPr>
            </w:pPr>
          </w:p>
        </w:tc>
      </w:tr>
      <w:tr>
        <w:trPr>
          <w:trHeight w:val="150"/>
        </w:trPr>
        <w:tc>
          <w:tcPr>
            <w:tcW w:w="2680" w:type="dxa"/>
            <w:vAlign w:val="bottom"/>
            <w:tcBorders>
              <w:left w:val="single" w:sz="8" w:color="009AD9"/>
              <w:bottom w:val="single" w:sz="8" w:color="009AD9"/>
              <w:right w:val="single" w:sz="8" w:color="009AD9"/>
            </w:tcBorders>
            <w:shd w:val="clear" w:color="auto" w:fill="D8EFF9"/>
          </w:tcPr>
          <w:p>
            <w:pPr>
              <w:spacing w:after="0"/>
              <w:rPr>
                <w:sz w:val="13"/>
                <w:szCs w:val="13"/>
                <w:color w:val="auto"/>
              </w:rPr>
            </w:pPr>
          </w:p>
        </w:tc>
        <w:tc>
          <w:tcPr>
            <w:tcW w:w="4680" w:type="dxa"/>
            <w:vAlign w:val="bottom"/>
            <w:tcBorders>
              <w:bottom w:val="single" w:sz="8" w:color="009AD9"/>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that delivers value to our customers and our shareholders.</w:t>
            </w:r>
          </w:p>
        </w:tc>
        <w:tc>
          <w:tcPr>
            <w:tcW w:w="0" w:type="dxa"/>
            <w:vAlign w:val="bottom"/>
          </w:tcPr>
          <w:p>
            <w:pPr>
              <w:spacing w:after="0"/>
              <w:rPr>
                <w:sz w:val="1"/>
                <w:szCs w:val="1"/>
                <w:color w:val="auto"/>
              </w:rPr>
            </w:pPr>
          </w:p>
        </w:tc>
      </w:tr>
      <w:tr>
        <w:trPr>
          <w:trHeight w:val="139"/>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In response to shareholder feedback, the Company included information regarding</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Shareholders desire greater understanding</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the performance metrics for the Company’s 2022 PSU awards in the Company’s</w:t>
            </w: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first quarter 2022 earnings materials. In addition, the Company has added</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regarding the metrics to achieve threshold,</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disclosure to this proxy statement to disclose the metrics that must be met in order</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target and maximum performance under the</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to have threshold, target and maximum performance for the 2023 PSU awards,</w:t>
            </w: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Company’s long-term incentive plan</w:t>
            </w:r>
          </w:p>
        </w:tc>
        <w:tc>
          <w:tcPr>
            <w:tcW w:w="4680" w:type="dxa"/>
            <w:vAlign w:val="bottom"/>
            <w:tcBorders>
              <w:right w:val="single" w:sz="8" w:color="009AD9"/>
            </w:tcBorders>
            <w:gridSpan w:val="4"/>
            <w:vMerge w:val="continue"/>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680" w:type="dxa"/>
            <w:vAlign w:val="bottom"/>
            <w:tcBorders>
              <w:left w:val="single" w:sz="8" w:color="009AD9"/>
              <w:right w:val="single" w:sz="8" w:color="009AD9"/>
            </w:tcBorders>
            <w:vMerge w:val="continue"/>
            <w:shd w:val="clear" w:color="auto" w:fill="D8EFF9"/>
          </w:tcPr>
          <w:p>
            <w:pPr>
              <w:spacing w:after="0"/>
              <w:rPr>
                <w:sz w:val="7"/>
                <w:szCs w:val="7"/>
                <w:color w:val="auto"/>
              </w:rPr>
            </w:pPr>
          </w:p>
        </w:tc>
        <w:tc>
          <w:tcPr>
            <w:tcW w:w="4680" w:type="dxa"/>
            <w:vAlign w:val="bottom"/>
            <w:tcBorders>
              <w:right w:val="single" w:sz="8" w:color="009AD9"/>
            </w:tcBorders>
            <w:gridSpan w:val="4"/>
            <w:vMerge w:val="restart"/>
            <w:shd w:val="clear" w:color="auto" w:fill="D8EFF9"/>
          </w:tcPr>
          <w:p>
            <w:pPr>
              <w:ind w:left="200"/>
              <w:spacing w:after="0" w:line="137" w:lineRule="exact"/>
              <w:rPr>
                <w:sz w:val="20"/>
                <w:szCs w:val="20"/>
                <w:color w:val="auto"/>
              </w:rPr>
            </w:pPr>
            <w:r>
              <w:rPr>
                <w:rFonts w:ascii="Arial" w:cs="Arial" w:eastAsia="Arial" w:hAnsi="Arial"/>
                <w:sz w:val="12"/>
                <w:szCs w:val="12"/>
                <w:color w:val="auto"/>
              </w:rPr>
              <w:t>see “Compensation Discussion and Analysis—2022 Executive Compensation</w:t>
            </w:r>
          </w:p>
        </w:tc>
        <w:tc>
          <w:tcPr>
            <w:tcW w:w="0" w:type="dxa"/>
            <w:vAlign w:val="bottom"/>
          </w:tcPr>
          <w:p>
            <w:pPr>
              <w:spacing w:after="0"/>
              <w:rPr>
                <w:sz w:val="1"/>
                <w:szCs w:val="1"/>
                <w:color w:val="auto"/>
              </w:rPr>
            </w:pPr>
          </w:p>
        </w:tc>
      </w:tr>
      <w:tr>
        <w:trPr>
          <w:trHeight w:val="54"/>
        </w:trPr>
        <w:tc>
          <w:tcPr>
            <w:tcW w:w="2680" w:type="dxa"/>
            <w:vAlign w:val="bottom"/>
            <w:tcBorders>
              <w:left w:val="single" w:sz="8" w:color="009AD9"/>
              <w:right w:val="single" w:sz="8" w:color="009AD9"/>
            </w:tcBorders>
            <w:shd w:val="clear" w:color="auto" w:fill="D8EFF9"/>
          </w:tcPr>
          <w:p>
            <w:pPr>
              <w:spacing w:after="0"/>
              <w:rPr>
                <w:sz w:val="4"/>
                <w:szCs w:val="4"/>
                <w:color w:val="auto"/>
              </w:rPr>
            </w:pPr>
          </w:p>
        </w:tc>
        <w:tc>
          <w:tcPr>
            <w:tcW w:w="4680" w:type="dxa"/>
            <w:vAlign w:val="bottom"/>
            <w:tcBorders>
              <w:right w:val="single" w:sz="8" w:color="009AD9"/>
            </w:tcBorders>
            <w:gridSpan w:val="4"/>
            <w:vMerge w:val="continue"/>
            <w:shd w:val="clear" w:color="auto" w:fill="D8EFF9"/>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009AD9"/>
              <w:bottom w:val="single" w:sz="8" w:color="009AD9"/>
              <w:right w:val="single" w:sz="8" w:color="009AD9"/>
            </w:tcBorders>
            <w:shd w:val="clear" w:color="auto" w:fill="D8EFF9"/>
          </w:tcPr>
          <w:p>
            <w:pPr>
              <w:spacing w:after="0"/>
              <w:rPr>
                <w:sz w:val="13"/>
                <w:szCs w:val="13"/>
                <w:color w:val="auto"/>
              </w:rPr>
            </w:pPr>
          </w:p>
        </w:tc>
        <w:tc>
          <w:tcPr>
            <w:tcW w:w="4680" w:type="dxa"/>
            <w:vAlign w:val="bottom"/>
            <w:tcBorders>
              <w:bottom w:val="single" w:sz="8" w:color="009AD9"/>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Plan—2023 Performance Share Unit Awards.”</w:t>
            </w:r>
          </w:p>
        </w:tc>
        <w:tc>
          <w:tcPr>
            <w:tcW w:w="0" w:type="dxa"/>
            <w:vAlign w:val="bottom"/>
          </w:tcPr>
          <w:p>
            <w:pPr>
              <w:spacing w:after="0"/>
              <w:rPr>
                <w:sz w:val="1"/>
                <w:szCs w:val="1"/>
                <w:color w:val="auto"/>
              </w:rPr>
            </w:pPr>
          </w:p>
        </w:tc>
      </w:tr>
      <w:tr>
        <w:trPr>
          <w:trHeight w:val="218"/>
        </w:trPr>
        <w:tc>
          <w:tcPr>
            <w:tcW w:w="3820" w:type="dxa"/>
            <w:vAlign w:val="bottom"/>
            <w:tcBorders>
              <w:left w:val="single" w:sz="8" w:color="009AD9"/>
            </w:tcBorders>
            <w:gridSpan w:val="2"/>
          </w:tcPr>
          <w:p>
            <w:pPr>
              <w:ind w:left="100"/>
              <w:spacing w:after="0"/>
              <w:rPr>
                <w:sz w:val="20"/>
                <w:szCs w:val="20"/>
                <w:color w:val="auto"/>
              </w:rPr>
            </w:pPr>
            <w:r>
              <w:rPr>
                <w:rFonts w:ascii="Arial" w:cs="Arial" w:eastAsia="Arial" w:hAnsi="Arial"/>
                <w:sz w:val="12"/>
                <w:szCs w:val="12"/>
                <w:b w:val="1"/>
                <w:bCs w:val="1"/>
                <w:i w:val="1"/>
                <w:iCs w:val="1"/>
                <w:color w:val="auto"/>
              </w:rPr>
              <w:t>Executive Succession Planning and Leadership Development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Borders>
              <w:right w:val="single" w:sz="8" w:color="009AD9"/>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680" w:type="dxa"/>
            <w:vAlign w:val="bottom"/>
            <w:tcBorders>
              <w:left w:val="single" w:sz="8" w:color="009AD9"/>
              <w:bottom w:val="single" w:sz="8" w:color="009AD9"/>
            </w:tcBorders>
          </w:tcPr>
          <w:p>
            <w:pPr>
              <w:spacing w:after="0"/>
              <w:rPr>
                <w:sz w:val="7"/>
                <w:szCs w:val="7"/>
                <w:color w:val="auto"/>
              </w:rPr>
            </w:pPr>
          </w:p>
        </w:tc>
        <w:tc>
          <w:tcPr>
            <w:tcW w:w="4680" w:type="dxa"/>
            <w:vAlign w:val="bottom"/>
            <w:tcBorders>
              <w:bottom w:val="single" w:sz="8" w:color="009AD9"/>
              <w:right w:val="single" w:sz="8" w:color="009AD9"/>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4" w:lineRule="exact"/>
              <w:rPr>
                <w:sz w:val="20"/>
                <w:szCs w:val="20"/>
                <w:color w:val="auto"/>
              </w:rPr>
            </w:pPr>
            <w:r>
              <w:rPr>
                <w:rFonts w:ascii="Arial" w:cs="Arial" w:eastAsia="Arial" w:hAnsi="Arial"/>
                <w:sz w:val="12"/>
                <w:szCs w:val="12"/>
                <w:color w:val="auto"/>
              </w:rPr>
              <w:t>The Board and the Compensation Committee are actively engaged in overseeing</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the Company’s succession planning as one of their top priorities.</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ind w:right="3"/>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Board has been focused on developing the Company’s internal pipeline of</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440"/>
              <w:spacing w:after="0"/>
              <w:rPr>
                <w:sz w:val="20"/>
                <w:szCs w:val="20"/>
                <w:color w:val="auto"/>
              </w:rPr>
            </w:pPr>
            <w:r>
              <w:rPr>
                <w:rFonts w:ascii="Arial" w:cs="Arial" w:eastAsia="Arial" w:hAnsi="Arial"/>
                <w:sz w:val="12"/>
                <w:szCs w:val="12"/>
                <w:color w:val="auto"/>
              </w:rPr>
              <w:t>future leaders through, among other things:</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ind w:right="3"/>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Developing internal candidates’ diverse skills through CNP University,</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CenterPoint Energy’s corporate university that provides training resources</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and  classes  in  customer  service,  electric  operations,  finance,  gas</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operations, information technology, professional development and safety,</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and CNP’s Leadership Academy, a year-long program for high potential</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employees where the participants develop their leadership skills and meet</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620"/>
              <w:spacing w:after="0"/>
              <w:rPr>
                <w:sz w:val="20"/>
                <w:szCs w:val="20"/>
                <w:color w:val="auto"/>
              </w:rPr>
            </w:pPr>
            <w:r>
              <w:rPr>
                <w:rFonts w:ascii="Arial" w:cs="Arial" w:eastAsia="Arial" w:hAnsi="Arial"/>
                <w:sz w:val="12"/>
                <w:szCs w:val="12"/>
                <w:color w:val="auto"/>
              </w:rPr>
              <w:t>with senior leadership throughout the organization;</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vMerge w:val="restart"/>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Shareholders desire greater disclosure</w:t>
            </w:r>
          </w:p>
        </w:tc>
        <w:tc>
          <w:tcPr>
            <w:tcW w:w="1140" w:type="dxa"/>
            <w:vAlign w:val="bottom"/>
            <w:shd w:val="clear" w:color="auto" w:fill="D8EFF9"/>
          </w:tcPr>
          <w:p>
            <w:pPr>
              <w:ind w:left="440"/>
              <w:spacing w:after="0"/>
              <w:rPr>
                <w:sz w:val="20"/>
                <w:szCs w:val="20"/>
                <w:color w:val="auto"/>
              </w:rPr>
            </w:pPr>
            <w:r>
              <w:rPr>
                <w:rFonts w:ascii="Arial" w:cs="Arial" w:eastAsia="Arial" w:hAnsi="Arial"/>
                <w:sz w:val="12"/>
                <w:szCs w:val="12"/>
                <w:color w:val="009AD9"/>
                <w:w w:val="98"/>
              </w:rPr>
              <w:t>•</w:t>
            </w:r>
            <w:r>
              <w:rPr>
                <w:rFonts w:ascii="Arial" w:cs="Arial" w:eastAsia="Arial" w:hAnsi="Arial"/>
                <w:sz w:val="12"/>
                <w:szCs w:val="12"/>
                <w:color w:val="000000"/>
                <w:w w:val="98"/>
              </w:rPr>
              <w:t xml:space="preserve">    Mentoring</w:t>
            </w:r>
          </w:p>
        </w:tc>
        <w:tc>
          <w:tcPr>
            <w:tcW w:w="300" w:type="dxa"/>
            <w:vAlign w:val="bottom"/>
            <w:shd w:val="clear" w:color="auto" w:fill="D8EFF9"/>
          </w:tcPr>
          <w:p>
            <w:pPr>
              <w:ind w:left="60"/>
              <w:spacing w:after="0"/>
              <w:rPr>
                <w:sz w:val="20"/>
                <w:szCs w:val="20"/>
                <w:color w:val="auto"/>
              </w:rPr>
            </w:pPr>
            <w:r>
              <w:rPr>
                <w:rFonts w:ascii="Arial" w:cs="Arial" w:eastAsia="Arial" w:hAnsi="Arial"/>
                <w:sz w:val="12"/>
                <w:szCs w:val="12"/>
                <w:color w:val="auto"/>
              </w:rPr>
              <w:t>and</w:t>
            </w:r>
          </w:p>
        </w:tc>
        <w:tc>
          <w:tcPr>
            <w:tcW w:w="3240" w:type="dxa"/>
            <w:vAlign w:val="bottom"/>
            <w:tcBorders>
              <w:right w:val="single" w:sz="8" w:color="009AD9"/>
            </w:tcBorders>
            <w:gridSpan w:val="2"/>
            <w:shd w:val="clear" w:color="auto" w:fill="D8EFF9"/>
          </w:tcPr>
          <w:p>
            <w:pPr>
              <w:jc w:val="right"/>
              <w:ind w:right="3"/>
              <w:spacing w:after="0"/>
              <w:rPr>
                <w:sz w:val="20"/>
                <w:szCs w:val="20"/>
                <w:color w:val="auto"/>
              </w:rPr>
            </w:pPr>
            <w:r>
              <w:rPr>
                <w:rFonts w:ascii="Arial" w:cs="Arial" w:eastAsia="Arial" w:hAnsi="Arial"/>
                <w:sz w:val="12"/>
                <w:szCs w:val="12"/>
                <w:color w:val="auto"/>
              </w:rPr>
              <w:t>direct reporting between internal leaders and executive</w:t>
            </w:r>
          </w:p>
        </w:tc>
        <w:tc>
          <w:tcPr>
            <w:tcW w:w="0" w:type="dxa"/>
            <w:vAlign w:val="bottom"/>
          </w:tcPr>
          <w:p>
            <w:pPr>
              <w:spacing w:after="0"/>
              <w:rPr>
                <w:sz w:val="1"/>
                <w:szCs w:val="1"/>
                <w:color w:val="auto"/>
              </w:rPr>
            </w:pPr>
          </w:p>
        </w:tc>
      </w:tr>
      <w:tr>
        <w:trPr>
          <w:trHeight w:val="68"/>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1440" w:type="dxa"/>
            <w:vAlign w:val="bottom"/>
            <w:gridSpan w:val="2"/>
            <w:vMerge w:val="restart"/>
            <w:shd w:val="clear" w:color="auto" w:fill="D8EFF9"/>
          </w:tcPr>
          <w:p>
            <w:pPr>
              <w:ind w:left="620"/>
              <w:spacing w:after="0"/>
              <w:rPr>
                <w:sz w:val="20"/>
                <w:szCs w:val="20"/>
                <w:color w:val="auto"/>
              </w:rPr>
            </w:pPr>
            <w:r>
              <w:rPr>
                <w:rFonts w:ascii="Arial" w:cs="Arial" w:eastAsia="Arial" w:hAnsi="Arial"/>
                <w:sz w:val="12"/>
                <w:szCs w:val="12"/>
                <w:color w:val="auto"/>
              </w:rPr>
              <w:t>officers; and</w:t>
            </w:r>
          </w:p>
        </w:tc>
        <w:tc>
          <w:tcPr>
            <w:tcW w:w="360" w:type="dxa"/>
            <w:vAlign w:val="bottom"/>
            <w:shd w:val="clear" w:color="auto" w:fill="D8EFF9"/>
          </w:tcPr>
          <w:p>
            <w:pPr>
              <w:spacing w:after="0"/>
              <w:rPr>
                <w:sz w:val="5"/>
                <w:szCs w:val="5"/>
                <w:color w:val="auto"/>
              </w:rPr>
            </w:pPr>
          </w:p>
        </w:tc>
        <w:tc>
          <w:tcPr>
            <w:tcW w:w="2880" w:type="dxa"/>
            <w:vAlign w:val="bottom"/>
            <w:tcBorders>
              <w:right w:val="single" w:sz="8" w:color="009AD9"/>
            </w:tcBorders>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680" w:type="dxa"/>
            <w:vAlign w:val="bottom"/>
            <w:tcBorders>
              <w:left w:val="single" w:sz="8" w:color="009AD9"/>
              <w:right w:val="single" w:sz="8" w:color="009AD9"/>
            </w:tcBorders>
            <w:vMerge w:val="restart"/>
            <w:shd w:val="clear" w:color="auto" w:fill="D8EFF9"/>
          </w:tcPr>
          <w:p>
            <w:pPr>
              <w:ind w:left="100"/>
              <w:spacing w:after="0" w:line="137" w:lineRule="exact"/>
              <w:rPr>
                <w:sz w:val="20"/>
                <w:szCs w:val="20"/>
                <w:color w:val="auto"/>
              </w:rPr>
            </w:pPr>
            <w:r>
              <w:rPr>
                <w:rFonts w:ascii="Arial" w:cs="Arial" w:eastAsia="Arial" w:hAnsi="Arial"/>
                <w:sz w:val="12"/>
                <w:szCs w:val="12"/>
                <w:b w:val="1"/>
                <w:bCs w:val="1"/>
                <w:i w:val="1"/>
                <w:iCs w:val="1"/>
                <w:color w:val="auto"/>
              </w:rPr>
              <w:t>regarding the Company’s succession</w:t>
            </w:r>
          </w:p>
        </w:tc>
        <w:tc>
          <w:tcPr>
            <w:tcW w:w="1440" w:type="dxa"/>
            <w:vAlign w:val="bottom"/>
            <w:gridSpan w:val="2"/>
            <w:vMerge w:val="continue"/>
            <w:shd w:val="clear" w:color="auto" w:fill="D8EFF9"/>
          </w:tcPr>
          <w:p>
            <w:pPr>
              <w:spacing w:after="0"/>
              <w:rPr>
                <w:sz w:val="6"/>
                <w:szCs w:val="6"/>
                <w:color w:val="auto"/>
              </w:rPr>
            </w:pPr>
          </w:p>
        </w:tc>
        <w:tc>
          <w:tcPr>
            <w:tcW w:w="360" w:type="dxa"/>
            <w:vAlign w:val="bottom"/>
            <w:shd w:val="clear" w:color="auto" w:fill="D8EFF9"/>
          </w:tcPr>
          <w:p>
            <w:pPr>
              <w:spacing w:after="0"/>
              <w:rPr>
                <w:sz w:val="6"/>
                <w:szCs w:val="6"/>
                <w:color w:val="auto"/>
              </w:rPr>
            </w:pPr>
          </w:p>
        </w:tc>
        <w:tc>
          <w:tcPr>
            <w:tcW w:w="2880" w:type="dxa"/>
            <w:vAlign w:val="bottom"/>
            <w:tcBorders>
              <w:right w:val="single" w:sz="8" w:color="009AD9"/>
            </w:tcBorders>
            <w:shd w:val="clear" w:color="auto" w:fill="D8EFF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009AD9"/>
              <w:right w:val="single" w:sz="8" w:color="009AD9"/>
            </w:tcBorders>
            <w:vMerge w:val="continue"/>
            <w:shd w:val="clear" w:color="auto" w:fill="D8EFF9"/>
          </w:tcPr>
          <w:p>
            <w:pPr>
              <w:spacing w:after="0"/>
              <w:rPr>
                <w:sz w:val="5"/>
                <w:szCs w:val="5"/>
                <w:color w:val="auto"/>
              </w:rPr>
            </w:pPr>
          </w:p>
        </w:tc>
        <w:tc>
          <w:tcPr>
            <w:tcW w:w="1140" w:type="dxa"/>
            <w:vAlign w:val="bottom"/>
            <w:shd w:val="clear" w:color="auto" w:fill="D8EFF9"/>
          </w:tcPr>
          <w:p>
            <w:pPr>
              <w:spacing w:after="0"/>
              <w:rPr>
                <w:sz w:val="5"/>
                <w:szCs w:val="5"/>
                <w:color w:val="auto"/>
              </w:rPr>
            </w:pPr>
          </w:p>
        </w:tc>
        <w:tc>
          <w:tcPr>
            <w:tcW w:w="300" w:type="dxa"/>
            <w:vAlign w:val="bottom"/>
            <w:shd w:val="clear" w:color="auto" w:fill="D8EFF9"/>
          </w:tcPr>
          <w:p>
            <w:pPr>
              <w:spacing w:after="0"/>
              <w:rPr>
                <w:sz w:val="5"/>
                <w:szCs w:val="5"/>
                <w:color w:val="auto"/>
              </w:rPr>
            </w:pPr>
          </w:p>
        </w:tc>
        <w:tc>
          <w:tcPr>
            <w:tcW w:w="360" w:type="dxa"/>
            <w:vAlign w:val="bottom"/>
            <w:shd w:val="clear" w:color="auto" w:fill="D8EFF9"/>
          </w:tcPr>
          <w:p>
            <w:pPr>
              <w:spacing w:after="0"/>
              <w:rPr>
                <w:sz w:val="5"/>
                <w:szCs w:val="5"/>
                <w:color w:val="auto"/>
              </w:rPr>
            </w:pPr>
          </w:p>
        </w:tc>
        <w:tc>
          <w:tcPr>
            <w:tcW w:w="2880" w:type="dxa"/>
            <w:vAlign w:val="bottom"/>
            <w:tcBorders>
              <w:right w:val="single" w:sz="8" w:color="009AD9"/>
            </w:tcBorders>
            <w:shd w:val="clear" w:color="auto" w:fill="D8EFF9"/>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80" w:type="dxa"/>
            <w:vAlign w:val="bottom"/>
            <w:tcBorders>
              <w:left w:val="single" w:sz="8" w:color="009AD9"/>
              <w:right w:val="single" w:sz="8" w:color="009AD9"/>
            </w:tcBorders>
            <w:shd w:val="clear" w:color="auto" w:fill="D8EFF9"/>
          </w:tcPr>
          <w:p>
            <w:pPr>
              <w:ind w:left="100"/>
              <w:spacing w:after="0"/>
              <w:rPr>
                <w:sz w:val="20"/>
                <w:szCs w:val="20"/>
                <w:color w:val="auto"/>
              </w:rPr>
            </w:pPr>
            <w:r>
              <w:rPr>
                <w:rFonts w:ascii="Arial" w:cs="Arial" w:eastAsia="Arial" w:hAnsi="Arial"/>
                <w:sz w:val="12"/>
                <w:szCs w:val="12"/>
                <w:b w:val="1"/>
                <w:bCs w:val="1"/>
                <w:i w:val="1"/>
                <w:iCs w:val="1"/>
                <w:color w:val="auto"/>
              </w:rPr>
              <w:t>planning</w:t>
            </w:r>
          </w:p>
        </w:tc>
        <w:tc>
          <w:tcPr>
            <w:tcW w:w="180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Encouraging internal</w:t>
            </w:r>
          </w:p>
        </w:tc>
        <w:tc>
          <w:tcPr>
            <w:tcW w:w="2880" w:type="dxa"/>
            <w:vAlign w:val="bottom"/>
            <w:tcBorders>
              <w:right w:val="single" w:sz="8" w:color="009AD9"/>
            </w:tcBorders>
            <w:shd w:val="clear" w:color="auto" w:fill="D8EFF9"/>
          </w:tcPr>
          <w:p>
            <w:pPr>
              <w:jc w:val="right"/>
              <w:ind w:right="3"/>
              <w:spacing w:after="0"/>
              <w:rPr>
                <w:sz w:val="20"/>
                <w:szCs w:val="20"/>
                <w:color w:val="auto"/>
              </w:rPr>
            </w:pPr>
            <w:r>
              <w:rPr>
                <w:rFonts w:ascii="Arial" w:cs="Arial" w:eastAsia="Arial" w:hAnsi="Arial"/>
                <w:sz w:val="12"/>
                <w:szCs w:val="12"/>
                <w:color w:val="auto"/>
              </w:rPr>
              <w:t>leaders to interact with the Board through formal</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620"/>
              <w:spacing w:after="0"/>
              <w:rPr>
                <w:sz w:val="20"/>
                <w:szCs w:val="20"/>
                <w:color w:val="auto"/>
              </w:rPr>
            </w:pPr>
            <w:r>
              <w:rPr>
                <w:rFonts w:ascii="Arial" w:cs="Arial" w:eastAsia="Arial" w:hAnsi="Arial"/>
                <w:sz w:val="12"/>
                <w:szCs w:val="12"/>
                <w:color w:val="auto"/>
              </w:rPr>
              <w:t>presentations during Board meetings.</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1140" w:type="dxa"/>
            <w:vAlign w:val="bottom"/>
            <w:shd w:val="clear" w:color="auto" w:fill="D8EFF9"/>
          </w:tcPr>
          <w:p>
            <w:pPr>
              <w:ind w:left="2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Board</w:t>
            </w:r>
          </w:p>
        </w:tc>
        <w:tc>
          <w:tcPr>
            <w:tcW w:w="300" w:type="dxa"/>
            <w:vAlign w:val="bottom"/>
            <w:shd w:val="clear" w:color="auto" w:fill="D8EFF9"/>
          </w:tcPr>
          <w:p>
            <w:pPr>
              <w:spacing w:after="0"/>
              <w:rPr>
                <w:sz w:val="20"/>
                <w:szCs w:val="20"/>
                <w:color w:val="auto"/>
              </w:rPr>
            </w:pPr>
            <w:r>
              <w:rPr>
                <w:rFonts w:ascii="Arial" w:cs="Arial" w:eastAsia="Arial" w:hAnsi="Arial"/>
                <w:sz w:val="12"/>
                <w:szCs w:val="12"/>
                <w:color w:val="auto"/>
              </w:rPr>
              <w:t>also</w:t>
            </w:r>
          </w:p>
        </w:tc>
        <w:tc>
          <w:tcPr>
            <w:tcW w:w="360" w:type="dxa"/>
            <w:vAlign w:val="bottom"/>
            <w:shd w:val="clear" w:color="auto" w:fill="D8EFF9"/>
          </w:tcPr>
          <w:p>
            <w:pPr>
              <w:ind w:left="40"/>
              <w:spacing w:after="0"/>
              <w:rPr>
                <w:sz w:val="20"/>
                <w:szCs w:val="20"/>
                <w:color w:val="auto"/>
              </w:rPr>
            </w:pPr>
            <w:r>
              <w:rPr>
                <w:rFonts w:ascii="Arial" w:cs="Arial" w:eastAsia="Arial" w:hAnsi="Arial"/>
                <w:sz w:val="12"/>
                <w:szCs w:val="12"/>
                <w:color w:val="auto"/>
                <w:w w:val="95"/>
              </w:rPr>
              <w:t>works</w:t>
            </w:r>
          </w:p>
        </w:tc>
        <w:tc>
          <w:tcPr>
            <w:tcW w:w="2880" w:type="dxa"/>
            <w:vAlign w:val="bottom"/>
            <w:tcBorders>
              <w:right w:val="single" w:sz="8" w:color="009AD9"/>
            </w:tcBorders>
            <w:shd w:val="clear" w:color="auto" w:fill="D8EFF9"/>
          </w:tcPr>
          <w:p>
            <w:pPr>
              <w:jc w:val="right"/>
              <w:ind w:right="3"/>
              <w:spacing w:after="0"/>
              <w:rPr>
                <w:sz w:val="20"/>
                <w:szCs w:val="20"/>
                <w:color w:val="auto"/>
              </w:rPr>
            </w:pPr>
            <w:r>
              <w:rPr>
                <w:rFonts w:ascii="Arial" w:cs="Arial" w:eastAsia="Arial" w:hAnsi="Arial"/>
                <w:sz w:val="12"/>
                <w:szCs w:val="12"/>
                <w:color w:val="auto"/>
              </w:rPr>
              <w:t>with  outside  consultants  to  evaluate  external</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440"/>
              <w:spacing w:after="0"/>
              <w:rPr>
                <w:sz w:val="20"/>
                <w:szCs w:val="20"/>
                <w:color w:val="auto"/>
              </w:rPr>
            </w:pPr>
            <w:r>
              <w:rPr>
                <w:rFonts w:ascii="Arial" w:cs="Arial" w:eastAsia="Arial" w:hAnsi="Arial"/>
                <w:sz w:val="12"/>
                <w:szCs w:val="12"/>
                <w:color w:val="auto"/>
              </w:rPr>
              <w:t>candidates, as appropriate.</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ind w:right="3"/>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As a result, the Company has publicly announced a number of promotions,</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jc w:val="right"/>
              <w:ind w:right="3"/>
              <w:spacing w:after="0" w:line="137" w:lineRule="exact"/>
              <w:rPr>
                <w:sz w:val="20"/>
                <w:szCs w:val="20"/>
                <w:color w:val="auto"/>
              </w:rPr>
            </w:pPr>
            <w:r>
              <w:rPr>
                <w:rFonts w:ascii="Arial" w:cs="Arial" w:eastAsia="Arial" w:hAnsi="Arial"/>
                <w:sz w:val="12"/>
                <w:szCs w:val="12"/>
                <w:color w:val="auto"/>
              </w:rPr>
              <w:t>including below the executive officer level, and disclosed our new streamlined</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180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organizational structure.</w:t>
            </w:r>
          </w:p>
        </w:tc>
        <w:tc>
          <w:tcPr>
            <w:tcW w:w="2880" w:type="dxa"/>
            <w:vAlign w:val="bottom"/>
            <w:tcBorders>
              <w:right w:val="single" w:sz="8" w:color="009AD9"/>
            </w:tcBorders>
            <w:shd w:val="clear" w:color="auto" w:fill="D8EFF9"/>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Pursuant to shareholder feedback, the Company will continue to provide greater</w:t>
            </w:r>
          </w:p>
        </w:tc>
        <w:tc>
          <w:tcPr>
            <w:tcW w:w="0" w:type="dxa"/>
            <w:vAlign w:val="bottom"/>
          </w:tcPr>
          <w:p>
            <w:pPr>
              <w:spacing w:after="0"/>
              <w:rPr>
                <w:sz w:val="1"/>
                <w:szCs w:val="1"/>
                <w:color w:val="auto"/>
              </w:rPr>
            </w:pPr>
          </w:p>
        </w:tc>
      </w:tr>
      <w:tr>
        <w:trPr>
          <w:trHeight w:val="136"/>
        </w:trPr>
        <w:tc>
          <w:tcPr>
            <w:tcW w:w="2680" w:type="dxa"/>
            <w:vAlign w:val="bottom"/>
            <w:tcBorders>
              <w:left w:val="single" w:sz="8" w:color="009AD9"/>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disclosure  to  shareholders  regarding  succession  planning  and  will  provide</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opportunities for shareholders to meet non-executive officer senior management.</w:t>
            </w:r>
          </w:p>
        </w:tc>
        <w:tc>
          <w:tcPr>
            <w:tcW w:w="0" w:type="dxa"/>
            <w:vAlign w:val="bottom"/>
          </w:tcPr>
          <w:p>
            <w:pPr>
              <w:spacing w:after="0"/>
              <w:rPr>
                <w:sz w:val="1"/>
                <w:szCs w:val="1"/>
                <w:color w:val="auto"/>
              </w:rPr>
            </w:pPr>
          </w:p>
        </w:tc>
      </w:tr>
      <w:tr>
        <w:trPr>
          <w:trHeight w:val="209"/>
        </w:trPr>
        <w:tc>
          <w:tcPr>
            <w:tcW w:w="2680" w:type="dxa"/>
            <w:vAlign w:val="bottom"/>
            <w:tcBorders>
              <w:left w:val="single" w:sz="8" w:color="009AD9"/>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jc w:val="right"/>
              <w:ind w:right="3"/>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will continue to use press releases to disclose organizational</w:t>
            </w:r>
          </w:p>
        </w:tc>
        <w:tc>
          <w:tcPr>
            <w:tcW w:w="0" w:type="dxa"/>
            <w:vAlign w:val="bottom"/>
          </w:tcPr>
          <w:p>
            <w:pPr>
              <w:spacing w:after="0"/>
              <w:rPr>
                <w:sz w:val="1"/>
                <w:szCs w:val="1"/>
                <w:color w:val="auto"/>
              </w:rPr>
            </w:pPr>
          </w:p>
        </w:tc>
      </w:tr>
      <w:tr>
        <w:trPr>
          <w:trHeight w:val="146"/>
        </w:trPr>
        <w:tc>
          <w:tcPr>
            <w:tcW w:w="2680" w:type="dxa"/>
            <w:vAlign w:val="bottom"/>
            <w:tcBorders>
              <w:left w:val="single" w:sz="8" w:color="009AD9"/>
              <w:bottom w:val="single" w:sz="8" w:color="009AD9"/>
              <w:right w:val="single" w:sz="8" w:color="009AD9"/>
            </w:tcBorders>
            <w:shd w:val="clear" w:color="auto" w:fill="D8EFF9"/>
          </w:tcPr>
          <w:p>
            <w:pPr>
              <w:spacing w:after="0"/>
              <w:rPr>
                <w:sz w:val="12"/>
                <w:szCs w:val="12"/>
                <w:color w:val="auto"/>
              </w:rPr>
            </w:pPr>
          </w:p>
        </w:tc>
        <w:tc>
          <w:tcPr>
            <w:tcW w:w="4680" w:type="dxa"/>
            <w:vAlign w:val="bottom"/>
            <w:tcBorders>
              <w:bottom w:val="single" w:sz="8" w:color="009AD9"/>
              <w:right w:val="single" w:sz="8" w:color="009AD9"/>
            </w:tcBorders>
            <w:gridSpan w:val="4"/>
            <w:shd w:val="clear" w:color="auto" w:fill="D8EFF9"/>
          </w:tcPr>
          <w:p>
            <w:pPr>
              <w:ind w:left="440"/>
              <w:spacing w:after="0"/>
              <w:rPr>
                <w:sz w:val="20"/>
                <w:szCs w:val="20"/>
                <w:color w:val="auto"/>
              </w:rPr>
            </w:pPr>
            <w:r>
              <w:rPr>
                <w:rFonts w:ascii="Arial" w:cs="Arial" w:eastAsia="Arial" w:hAnsi="Arial"/>
                <w:sz w:val="12"/>
                <w:szCs w:val="12"/>
                <w:color w:val="auto"/>
              </w:rPr>
              <w:t>changes, including significant changes below the executive officer level.</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300" w:hanging="318"/>
        <w:spacing w:after="0"/>
        <w:tabs>
          <w:tab w:leader="none" w:pos="2300" w:val="left"/>
        </w:tabs>
        <w:numPr>
          <w:ilvl w:val="0"/>
          <w:numId w:val="133"/>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63" w:lineRule="exact"/>
        <w:rPr>
          <w:sz w:val="20"/>
          <w:szCs w:val="20"/>
          <w:color w:val="auto"/>
        </w:rPr>
      </w:pPr>
    </w:p>
    <w:tbl>
      <w:tblPr>
        <w:tblLayout w:type="fixed"/>
        <w:tblInd w:w="1940" w:type="dxa"/>
        <w:tblCellMar>
          <w:top w:w="0" w:type="dxa"/>
          <w:left w:w="0" w:type="dxa"/>
          <w:bottom w:w="0" w:type="dxa"/>
          <w:right w:w="0" w:type="dxa"/>
        </w:tblCellMar>
      </w:tblPr>
      <w:tr>
        <w:trPr>
          <w:trHeight w:val="20"/>
        </w:trPr>
        <w:tc>
          <w:tcPr>
            <w:tcW w:w="60" w:type="dxa"/>
            <w:vAlign w:val="bottom"/>
            <w:tcBorders>
              <w:right w:val="single" w:sz="8" w:color="009AD9"/>
            </w:tcBorders>
            <w:shd w:val="clear" w:color="auto" w:fill="009AD9"/>
          </w:tcPr>
          <w:p>
            <w:pPr>
              <w:spacing w:after="0" w:line="20" w:lineRule="exact"/>
              <w:rPr>
                <w:sz w:val="1"/>
                <w:szCs w:val="1"/>
                <w:color w:val="auto"/>
              </w:rPr>
            </w:pPr>
          </w:p>
        </w:tc>
        <w:tc>
          <w:tcPr>
            <w:tcW w:w="2660" w:type="dxa"/>
            <w:vAlign w:val="bottom"/>
            <w:tcBorders>
              <w:right w:val="single" w:sz="8" w:color="009AD9"/>
            </w:tcBorders>
            <w:shd w:val="clear" w:color="auto" w:fill="009AD9"/>
          </w:tcPr>
          <w:p>
            <w:pPr>
              <w:spacing w:after="0" w:line="20" w:lineRule="exact"/>
              <w:rPr>
                <w:sz w:val="1"/>
                <w:szCs w:val="1"/>
                <w:color w:val="auto"/>
              </w:rPr>
            </w:pPr>
          </w:p>
        </w:tc>
        <w:tc>
          <w:tcPr>
            <w:tcW w:w="3060" w:type="dxa"/>
            <w:vAlign w:val="bottom"/>
            <w:shd w:val="clear" w:color="auto" w:fill="009AD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9AD9"/>
          </w:tcPr>
          <w:p>
            <w:pPr>
              <w:spacing w:after="0" w:line="20" w:lineRule="exact"/>
              <w:rPr>
                <w:sz w:val="1"/>
                <w:szCs w:val="1"/>
                <w:color w:val="auto"/>
              </w:rPr>
            </w:pPr>
          </w:p>
        </w:tc>
        <w:tc>
          <w:tcPr>
            <w:tcW w:w="400" w:type="dxa"/>
            <w:vAlign w:val="bottom"/>
            <w:tcBorders>
              <w:right w:val="single" w:sz="8" w:color="009AD9"/>
            </w:tcBorders>
            <w:shd w:val="clear" w:color="auto" w:fill="009AD9"/>
          </w:tcPr>
          <w:p>
            <w:pPr>
              <w:spacing w:after="0" w:line="20" w:lineRule="exact"/>
              <w:rPr>
                <w:sz w:val="1"/>
                <w:szCs w:val="1"/>
                <w:color w:val="auto"/>
              </w:rPr>
            </w:pPr>
          </w:p>
        </w:tc>
        <w:tc>
          <w:tcPr>
            <w:tcW w:w="20" w:type="dxa"/>
            <w:vAlign w:val="bottom"/>
            <w:shd w:val="clear" w:color="auto" w:fill="009A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700" w:type="dxa"/>
            <w:vAlign w:val="bottom"/>
            <w:gridSpan w:val="5"/>
          </w:tcPr>
          <w:p>
            <w:pPr>
              <w:ind w:left="2040"/>
              <w:spacing w:after="0"/>
              <w:rPr>
                <w:sz w:val="20"/>
                <w:szCs w:val="20"/>
                <w:color w:val="auto"/>
              </w:rPr>
            </w:pPr>
            <w:r>
              <w:rPr>
                <w:rFonts w:ascii="Arial" w:cs="Arial" w:eastAsia="Arial" w:hAnsi="Arial"/>
                <w:sz w:val="10"/>
                <w:szCs w:val="10"/>
                <w:i w:val="1"/>
                <w:iCs w:val="1"/>
                <w:color w:val="auto"/>
                <w:w w:val="95"/>
              </w:rPr>
              <w:t>Item 3: Advisory Vote on Executive Compensation (continued)</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8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009AD9"/>
            </w:tcBorders>
          </w:tcPr>
          <w:p>
            <w:pPr>
              <w:spacing w:after="0"/>
              <w:rPr>
                <w:sz w:val="14"/>
                <w:szCs w:val="14"/>
                <w:color w:val="auto"/>
              </w:rPr>
            </w:pPr>
          </w:p>
        </w:tc>
        <w:tc>
          <w:tcPr>
            <w:tcW w:w="2660" w:type="dxa"/>
            <w:vAlign w:val="bottom"/>
            <w:tcBorders>
              <w:bottom w:val="single" w:sz="8" w:color="009AD9"/>
              <w:right w:val="single" w:sz="8" w:color="009AD9"/>
            </w:tcBorders>
            <w:shd w:val="clear" w:color="auto" w:fill="009AD9"/>
          </w:tcPr>
          <w:p>
            <w:pPr>
              <w:ind w:left="240"/>
              <w:spacing w:after="0"/>
              <w:rPr>
                <w:sz w:val="20"/>
                <w:szCs w:val="20"/>
                <w:color w:val="auto"/>
              </w:rPr>
            </w:pPr>
            <w:r>
              <w:rPr>
                <w:rFonts w:ascii="Arial" w:cs="Arial" w:eastAsia="Arial" w:hAnsi="Arial"/>
                <w:sz w:val="10"/>
                <w:szCs w:val="10"/>
                <w:b w:val="1"/>
                <w:bCs w:val="1"/>
                <w:color w:val="FFFFFF"/>
              </w:rPr>
              <w:t>WHAT WE HEARD FROM OUR SHAREHOLDERS</w:t>
            </w:r>
          </w:p>
        </w:tc>
        <w:tc>
          <w:tcPr>
            <w:tcW w:w="4280" w:type="dxa"/>
            <w:vAlign w:val="bottom"/>
            <w:tcBorders>
              <w:bottom w:val="single" w:sz="8" w:color="009AD9"/>
            </w:tcBorders>
            <w:gridSpan w:val="3"/>
            <w:shd w:val="clear" w:color="auto" w:fill="009AD9"/>
          </w:tcPr>
          <w:p>
            <w:pPr>
              <w:ind w:left="1880"/>
              <w:spacing w:after="0"/>
              <w:rPr>
                <w:sz w:val="20"/>
                <w:szCs w:val="20"/>
                <w:color w:val="auto"/>
              </w:rPr>
            </w:pPr>
            <w:r>
              <w:rPr>
                <w:rFonts w:ascii="Arial" w:cs="Arial" w:eastAsia="Arial" w:hAnsi="Arial"/>
                <w:sz w:val="10"/>
                <w:szCs w:val="10"/>
                <w:b w:val="1"/>
                <w:bCs w:val="1"/>
                <w:color w:val="FFFFFF"/>
              </w:rPr>
              <w:t>HOW WE RESPONDED</w:t>
            </w:r>
          </w:p>
        </w:tc>
        <w:tc>
          <w:tcPr>
            <w:tcW w:w="400" w:type="dxa"/>
            <w:vAlign w:val="bottom"/>
            <w:tcBorders>
              <w:bottom w:val="single" w:sz="8" w:color="009AD9"/>
              <w:right w:val="single" w:sz="8" w:color="009AD9"/>
            </w:tcBorders>
            <w:shd w:val="clear" w:color="auto" w:fill="009AD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ind w:left="260"/>
              <w:spacing w:after="0"/>
              <w:rPr>
                <w:sz w:val="20"/>
                <w:szCs w:val="20"/>
                <w:color w:val="auto"/>
              </w:rPr>
            </w:pPr>
            <w:r>
              <w:rPr>
                <w:rFonts w:ascii="Arial" w:cs="Arial" w:eastAsia="Arial" w:hAnsi="Arial"/>
                <w:sz w:val="12"/>
                <w:szCs w:val="12"/>
                <w:color w:val="009AD9"/>
              </w:rPr>
              <w:t>•</w:t>
            </w:r>
            <w:r>
              <w:rPr>
                <w:rFonts w:ascii="Arial" w:cs="Arial" w:eastAsia="Arial" w:hAnsi="Arial"/>
                <w:sz w:val="12"/>
                <w:szCs w:val="12"/>
                <w:color w:val="000000"/>
              </w:rPr>
              <w:t xml:space="preserve">    The Company will provide opportunities for shareholders to meet and develop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440"/>
              <w:spacing w:after="0" w:line="137" w:lineRule="exact"/>
              <w:rPr>
                <w:sz w:val="20"/>
                <w:szCs w:val="20"/>
                <w:color w:val="auto"/>
              </w:rPr>
            </w:pPr>
            <w:r>
              <w:rPr>
                <w:rFonts w:ascii="Arial" w:cs="Arial" w:eastAsia="Arial" w:hAnsi="Arial"/>
                <w:sz w:val="12"/>
                <w:szCs w:val="12"/>
                <w:color w:val="auto"/>
              </w:rPr>
              <w:t>relationships with non-executive officer senior management at conferences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280" w:type="dxa"/>
            <w:vAlign w:val="bottom"/>
            <w:gridSpan w:val="3"/>
            <w:shd w:val="clear" w:color="auto" w:fill="D8EFF9"/>
          </w:tcPr>
          <w:p>
            <w:pPr>
              <w:ind w:left="440"/>
              <w:spacing w:after="0"/>
              <w:rPr>
                <w:sz w:val="20"/>
                <w:szCs w:val="20"/>
                <w:color w:val="auto"/>
              </w:rPr>
            </w:pPr>
            <w:r>
              <w:rPr>
                <w:rFonts w:ascii="Arial" w:cs="Arial" w:eastAsia="Arial" w:hAnsi="Arial"/>
                <w:sz w:val="12"/>
                <w:szCs w:val="12"/>
                <w:color w:val="auto"/>
              </w:rPr>
              <w:t>and meetings with shareholders.</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009AD9"/>
            </w:tcBorders>
          </w:tcPr>
          <w:p>
            <w:pPr>
              <w:spacing w:after="0"/>
              <w:rPr>
                <w:sz w:val="18"/>
                <w:szCs w:val="18"/>
                <w:color w:val="auto"/>
              </w:rPr>
            </w:pPr>
          </w:p>
        </w:tc>
        <w:tc>
          <w:tcPr>
            <w:tcW w:w="2660" w:type="dxa"/>
            <w:vAlign w:val="bottom"/>
            <w:tcBorders>
              <w:right w:val="single" w:sz="8" w:color="009AD9"/>
            </w:tcBorders>
            <w:shd w:val="clear" w:color="auto" w:fill="D8EFF9"/>
          </w:tcPr>
          <w:p>
            <w:pPr>
              <w:spacing w:after="0"/>
              <w:rPr>
                <w:sz w:val="18"/>
                <w:szCs w:val="18"/>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For additional disclosure regarding the Company’s succession planning, see “Item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1.  Election  of  Directors—Executive  Succession  Planning  and  Leadership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Development” and “Compensation Discussion and Analysis—Executive Summary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 w:type="dxa"/>
            <w:vAlign w:val="bottom"/>
            <w:tcBorders>
              <w:right w:val="single" w:sz="8" w:color="009AD9"/>
            </w:tcBorders>
          </w:tcPr>
          <w:p>
            <w:pPr>
              <w:spacing w:after="0"/>
              <w:rPr>
                <w:sz w:val="13"/>
                <w:szCs w:val="13"/>
                <w:color w:val="auto"/>
              </w:rPr>
            </w:pPr>
          </w:p>
        </w:tc>
        <w:tc>
          <w:tcPr>
            <w:tcW w:w="2660" w:type="dxa"/>
            <w:vAlign w:val="bottom"/>
            <w:tcBorders>
              <w:bottom w:val="single" w:sz="8" w:color="009AD9"/>
              <w:right w:val="single" w:sz="8" w:color="009AD9"/>
            </w:tcBorders>
            <w:shd w:val="clear" w:color="auto" w:fill="D8EFF9"/>
          </w:tcPr>
          <w:p>
            <w:pPr>
              <w:spacing w:after="0"/>
              <w:rPr>
                <w:sz w:val="13"/>
                <w:szCs w:val="13"/>
                <w:color w:val="auto"/>
              </w:rPr>
            </w:pPr>
          </w:p>
        </w:tc>
        <w:tc>
          <w:tcPr>
            <w:tcW w:w="4280" w:type="dxa"/>
            <w:vAlign w:val="bottom"/>
            <w:tcBorders>
              <w:bottom w:val="single" w:sz="8" w:color="009AD9"/>
            </w:tcBorders>
            <w:gridSpan w:val="3"/>
            <w:shd w:val="clear" w:color="auto" w:fill="D8EFF9"/>
          </w:tcPr>
          <w:p>
            <w:pPr>
              <w:ind w:left="200"/>
              <w:spacing w:after="0"/>
              <w:rPr>
                <w:sz w:val="20"/>
                <w:szCs w:val="20"/>
                <w:color w:val="auto"/>
              </w:rPr>
            </w:pPr>
            <w:r>
              <w:rPr>
                <w:rFonts w:ascii="Arial" w:cs="Arial" w:eastAsia="Arial" w:hAnsi="Arial"/>
                <w:sz w:val="12"/>
                <w:szCs w:val="12"/>
                <w:color w:val="auto"/>
              </w:rPr>
              <w:t>—Execution on Succession Planning.”</w:t>
            </w:r>
          </w:p>
        </w:tc>
        <w:tc>
          <w:tcPr>
            <w:tcW w:w="400" w:type="dxa"/>
            <w:vAlign w:val="bottom"/>
            <w:tcBorders>
              <w:bottom w:val="single" w:sz="8" w:color="009AD9"/>
              <w:right w:val="single" w:sz="8" w:color="009AD9"/>
            </w:tcBorders>
            <w:shd w:val="clear" w:color="auto" w:fill="D8EFF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009AD9"/>
            </w:tcBorders>
          </w:tcPr>
          <w:p>
            <w:pPr>
              <w:spacing w:after="0"/>
              <w:rPr>
                <w:sz w:val="13"/>
                <w:szCs w:val="13"/>
                <w:color w:val="auto"/>
              </w:rPr>
            </w:pPr>
          </w:p>
        </w:tc>
        <w:tc>
          <w:tcPr>
            <w:tcW w:w="2660" w:type="dxa"/>
            <w:vAlign w:val="bottom"/>
            <w:tcBorders>
              <w:bottom w:val="single" w:sz="8" w:color="009AD9"/>
            </w:tcBorders>
          </w:tcPr>
          <w:p>
            <w:pPr>
              <w:ind w:left="80"/>
              <w:spacing w:after="0"/>
              <w:rPr>
                <w:sz w:val="20"/>
                <w:szCs w:val="20"/>
                <w:color w:val="auto"/>
              </w:rPr>
            </w:pPr>
            <w:r>
              <w:rPr>
                <w:rFonts w:ascii="Arial" w:cs="Arial" w:eastAsia="Arial" w:hAnsi="Arial"/>
                <w:sz w:val="12"/>
                <w:szCs w:val="12"/>
                <w:b w:val="1"/>
                <w:bCs w:val="1"/>
                <w:i w:val="1"/>
                <w:iCs w:val="1"/>
                <w:color w:val="auto"/>
              </w:rPr>
              <w:t>Governance</w:t>
            </w:r>
          </w:p>
        </w:tc>
        <w:tc>
          <w:tcPr>
            <w:tcW w:w="3060" w:type="dxa"/>
            <w:vAlign w:val="bottom"/>
            <w:tcBorders>
              <w:bottom w:val="single" w:sz="8" w:color="009AD9"/>
            </w:tcBorders>
          </w:tcPr>
          <w:p>
            <w:pPr>
              <w:spacing w:after="0"/>
              <w:rPr>
                <w:sz w:val="13"/>
                <w:szCs w:val="13"/>
                <w:color w:val="auto"/>
              </w:rPr>
            </w:pPr>
          </w:p>
        </w:tc>
        <w:tc>
          <w:tcPr>
            <w:tcW w:w="80" w:type="dxa"/>
            <w:vAlign w:val="bottom"/>
            <w:tcBorders>
              <w:bottom w:val="single" w:sz="8" w:color="009AD9"/>
            </w:tcBorders>
          </w:tcPr>
          <w:p>
            <w:pPr>
              <w:spacing w:after="0"/>
              <w:rPr>
                <w:sz w:val="13"/>
                <w:szCs w:val="13"/>
                <w:color w:val="auto"/>
              </w:rPr>
            </w:pPr>
          </w:p>
        </w:tc>
        <w:tc>
          <w:tcPr>
            <w:tcW w:w="1140" w:type="dxa"/>
            <w:vAlign w:val="bottom"/>
            <w:tcBorders>
              <w:bottom w:val="single" w:sz="8" w:color="009AD9"/>
            </w:tcBorders>
          </w:tcPr>
          <w:p>
            <w:pPr>
              <w:spacing w:after="0"/>
              <w:rPr>
                <w:sz w:val="13"/>
                <w:szCs w:val="13"/>
                <w:color w:val="auto"/>
              </w:rPr>
            </w:pPr>
          </w:p>
        </w:tc>
        <w:tc>
          <w:tcPr>
            <w:tcW w:w="400" w:type="dxa"/>
            <w:vAlign w:val="bottom"/>
            <w:tcBorders>
              <w:bottom w:val="single" w:sz="8" w:color="009AD9"/>
              <w:right w:val="single" w:sz="8" w:color="009AD9"/>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4" w:lineRule="exact"/>
              <w:rPr>
                <w:sz w:val="20"/>
                <w:szCs w:val="20"/>
                <w:color w:val="auto"/>
              </w:rPr>
            </w:pPr>
            <w:r>
              <w:rPr>
                <w:rFonts w:ascii="Arial" w:cs="Arial" w:eastAsia="Arial" w:hAnsi="Arial"/>
                <w:sz w:val="12"/>
                <w:szCs w:val="12"/>
                <w:color w:val="auto"/>
              </w:rPr>
              <w:t>The Company has undertaken an extensive Board refreshment process over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vMerge w:val="restart"/>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Shareholders desire greater understanding</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past  several  years  and  the  Governance,  Environmental  and  Sustainability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009AD9"/>
            </w:tcBorders>
          </w:tcPr>
          <w:p>
            <w:pPr>
              <w:spacing w:after="0"/>
              <w:rPr>
                <w:sz w:val="10"/>
                <w:szCs w:val="10"/>
                <w:color w:val="auto"/>
              </w:rPr>
            </w:pPr>
          </w:p>
        </w:tc>
        <w:tc>
          <w:tcPr>
            <w:tcW w:w="2660" w:type="dxa"/>
            <w:vAlign w:val="bottom"/>
            <w:tcBorders>
              <w:right w:val="single" w:sz="8" w:color="009AD9"/>
            </w:tcBorders>
            <w:vMerge w:val="continue"/>
            <w:shd w:val="clear" w:color="auto" w:fill="D8EFF9"/>
          </w:tcPr>
          <w:p>
            <w:pPr>
              <w:spacing w:after="0"/>
              <w:rPr>
                <w:sz w:val="10"/>
                <w:szCs w:val="10"/>
                <w:color w:val="auto"/>
              </w:rPr>
            </w:pPr>
          </w:p>
        </w:tc>
        <w:tc>
          <w:tcPr>
            <w:tcW w:w="4680" w:type="dxa"/>
            <w:vAlign w:val="bottom"/>
            <w:tcBorders>
              <w:right w:val="single" w:sz="8" w:color="009AD9"/>
            </w:tcBorders>
            <w:gridSpan w:val="4"/>
            <w:shd w:val="clear" w:color="auto" w:fill="D8EFF9"/>
          </w:tcPr>
          <w:p>
            <w:pPr>
              <w:ind w:left="200"/>
              <w:spacing w:after="0" w:line="122" w:lineRule="exact"/>
              <w:rPr>
                <w:sz w:val="20"/>
                <w:szCs w:val="20"/>
                <w:color w:val="auto"/>
              </w:rPr>
            </w:pPr>
            <w:r>
              <w:rPr>
                <w:rFonts w:ascii="Arial" w:cs="Arial" w:eastAsia="Arial" w:hAnsi="Arial"/>
                <w:sz w:val="12"/>
                <w:szCs w:val="12"/>
                <w:color w:val="auto"/>
              </w:rPr>
              <w:t>Committee continues to evaluate the membership of the Board to ensure a diverse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how each Board member and their skills</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set of experiences, skillsets and viewpoints are represented on the Board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contribute to the execution of the</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support the Company’s long-term growth strategy. The Company has undertaken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Company’s strategy</w:t>
            </w:r>
            <w:r>
              <w:rPr>
                <w:rFonts w:ascii="Arial" w:cs="Arial" w:eastAsia="Arial" w:hAnsi="Arial"/>
                <w:sz w:val="12"/>
                <w:szCs w:val="12"/>
                <w:color w:val="auto"/>
              </w:rPr>
              <w:t>.</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 xml:space="preserve">efforts to further </w:t>
            </w:r>
            <w:r>
              <w:rPr>
                <w:rFonts w:ascii="Arial" w:cs="Arial" w:eastAsia="Arial" w:hAnsi="Arial"/>
                <w:sz w:val="12"/>
                <w:szCs w:val="12"/>
                <w:b w:val="1"/>
                <w:bCs w:val="1"/>
                <w:color w:val="auto"/>
              </w:rPr>
              <w:t>clarify the skills</w:t>
            </w:r>
            <w:r>
              <w:rPr>
                <w:rFonts w:ascii="Arial" w:cs="Arial" w:eastAsia="Arial" w:hAnsi="Arial"/>
                <w:sz w:val="12"/>
                <w:szCs w:val="12"/>
                <w:color w:val="auto"/>
              </w:rPr>
              <w:t xml:space="preserve"> each Director represents in </w:t>
            </w:r>
            <w:r>
              <w:rPr>
                <w:rFonts w:ascii="Arial" w:cs="Arial" w:eastAsia="Arial" w:hAnsi="Arial"/>
                <w:sz w:val="12"/>
                <w:szCs w:val="12"/>
                <w:b w:val="1"/>
                <w:bCs w:val="1"/>
                <w:color w:val="auto"/>
              </w:rPr>
              <w:t>supporting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b w:val="1"/>
                <w:bCs w:val="1"/>
                <w:color w:val="auto"/>
              </w:rPr>
              <w:t xml:space="preserve">Company’s strategy </w:t>
            </w:r>
            <w:r>
              <w:rPr>
                <w:rFonts w:ascii="Arial" w:cs="Arial" w:eastAsia="Arial" w:hAnsi="Arial"/>
                <w:sz w:val="12"/>
                <w:szCs w:val="12"/>
                <w:color w:val="auto"/>
              </w:rPr>
              <w:t>in the</w:t>
            </w:r>
            <w:r>
              <w:rPr>
                <w:rFonts w:ascii="Arial" w:cs="Arial" w:eastAsia="Arial" w:hAnsi="Arial"/>
                <w:sz w:val="12"/>
                <w:szCs w:val="12"/>
                <w:b w:val="1"/>
                <w:bCs w:val="1"/>
                <w:color w:val="auto"/>
              </w:rPr>
              <w:t xml:space="preserve"> Director biographies </w:t>
            </w:r>
            <w:r>
              <w:rPr>
                <w:rFonts w:ascii="Arial" w:cs="Arial" w:eastAsia="Arial" w:hAnsi="Arial"/>
                <w:sz w:val="12"/>
                <w:szCs w:val="12"/>
                <w:color w:val="auto"/>
              </w:rPr>
              <w:t>and new</w:t>
            </w:r>
            <w:r>
              <w:rPr>
                <w:rFonts w:ascii="Arial" w:cs="Arial" w:eastAsia="Arial" w:hAnsi="Arial"/>
                <w:sz w:val="12"/>
                <w:szCs w:val="12"/>
                <w:b w:val="1"/>
                <w:bCs w:val="1"/>
                <w:color w:val="auto"/>
              </w:rPr>
              <w:t xml:space="preserve"> individual director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Borders>
              <w:right w:val="single" w:sz="8" w:color="009AD9"/>
            </w:tcBorders>
          </w:tcPr>
          <w:p>
            <w:pPr>
              <w:spacing w:after="0"/>
              <w:rPr>
                <w:sz w:val="14"/>
                <w:szCs w:val="14"/>
                <w:color w:val="auto"/>
              </w:rPr>
            </w:pPr>
          </w:p>
        </w:tc>
        <w:tc>
          <w:tcPr>
            <w:tcW w:w="2660" w:type="dxa"/>
            <w:vAlign w:val="bottom"/>
            <w:tcBorders>
              <w:bottom w:val="single" w:sz="8" w:color="009AD9"/>
              <w:right w:val="single" w:sz="8" w:color="009AD9"/>
            </w:tcBorders>
            <w:shd w:val="clear" w:color="auto" w:fill="D8EFF9"/>
          </w:tcPr>
          <w:p>
            <w:pPr>
              <w:spacing w:after="0"/>
              <w:rPr>
                <w:sz w:val="14"/>
                <w:szCs w:val="14"/>
                <w:color w:val="auto"/>
              </w:rPr>
            </w:pPr>
          </w:p>
        </w:tc>
        <w:tc>
          <w:tcPr>
            <w:tcW w:w="4280" w:type="dxa"/>
            <w:vAlign w:val="bottom"/>
            <w:tcBorders>
              <w:bottom w:val="single" w:sz="8" w:color="009AD9"/>
            </w:tcBorders>
            <w:gridSpan w:val="3"/>
            <w:shd w:val="clear" w:color="auto" w:fill="D8EFF9"/>
          </w:tcPr>
          <w:p>
            <w:pPr>
              <w:ind w:left="200"/>
              <w:spacing w:after="0"/>
              <w:rPr>
                <w:sz w:val="20"/>
                <w:szCs w:val="20"/>
                <w:color w:val="auto"/>
              </w:rPr>
            </w:pPr>
            <w:r>
              <w:rPr>
                <w:rFonts w:ascii="Arial" w:cs="Arial" w:eastAsia="Arial" w:hAnsi="Arial"/>
                <w:sz w:val="12"/>
                <w:szCs w:val="12"/>
                <w:b w:val="1"/>
                <w:bCs w:val="1"/>
                <w:color w:val="auto"/>
              </w:rPr>
              <w:t xml:space="preserve">skillset matrix </w:t>
            </w:r>
            <w:r>
              <w:rPr>
                <w:rFonts w:ascii="Arial" w:cs="Arial" w:eastAsia="Arial" w:hAnsi="Arial"/>
                <w:sz w:val="12"/>
                <w:szCs w:val="12"/>
                <w:color w:val="auto"/>
              </w:rPr>
              <w:t>included in this proxy statement.</w:t>
            </w:r>
          </w:p>
        </w:tc>
        <w:tc>
          <w:tcPr>
            <w:tcW w:w="400" w:type="dxa"/>
            <w:vAlign w:val="bottom"/>
            <w:tcBorders>
              <w:bottom w:val="single" w:sz="8" w:color="009AD9"/>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The Board and management believe that it is important that all aspects of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Company, including the Board and employee population at large, represent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diverse  communities  in  our  service  territories  in  order  to  better  serve  our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customers.  For  more  information  regarding  the  Company’s  commitment  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spacing w:after="0"/>
              <w:rPr>
                <w:sz w:val="12"/>
                <w:szCs w:val="12"/>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diversity, please see “Item 1. Election of Directors—Director Nomination Process.”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0" w:type="dxa"/>
            <w:vAlign w:val="bottom"/>
            <w:tcBorders>
              <w:right w:val="single" w:sz="8" w:color="009AD9"/>
            </w:tcBorders>
          </w:tcPr>
          <w:p>
            <w:pPr>
              <w:spacing w:after="0"/>
              <w:rPr>
                <w:sz w:val="17"/>
                <w:szCs w:val="17"/>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Shareholders expressed desire that the</w:t>
            </w: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Prior to the departure of Ms. Leslie Biddle in April 2022 from the Board, Board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Board increase gender diversity</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membership represented 30% gender diversity. The Governance, Environmental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Borders>
              <w:right w:val="single" w:sz="8" w:color="009AD9"/>
            </w:tcBorders>
          </w:tcPr>
          <w:p>
            <w:pPr>
              <w:spacing w:after="0"/>
              <w:rPr>
                <w:sz w:val="10"/>
                <w:szCs w:val="10"/>
                <w:color w:val="auto"/>
              </w:rPr>
            </w:pPr>
          </w:p>
        </w:tc>
        <w:tc>
          <w:tcPr>
            <w:tcW w:w="2660" w:type="dxa"/>
            <w:vAlign w:val="bottom"/>
            <w:tcBorders>
              <w:right w:val="single" w:sz="8" w:color="009AD9"/>
            </w:tcBorders>
            <w:shd w:val="clear" w:color="auto" w:fill="D8EFF9"/>
          </w:tcPr>
          <w:p>
            <w:pPr>
              <w:spacing w:after="0"/>
              <w:rPr>
                <w:sz w:val="10"/>
                <w:szCs w:val="10"/>
                <w:color w:val="auto"/>
              </w:rPr>
            </w:pPr>
          </w:p>
        </w:tc>
        <w:tc>
          <w:tcPr>
            <w:tcW w:w="4680" w:type="dxa"/>
            <w:vAlign w:val="bottom"/>
            <w:tcBorders>
              <w:right w:val="single" w:sz="8" w:color="009AD9"/>
            </w:tcBorders>
            <w:gridSpan w:val="4"/>
            <w:shd w:val="clear" w:color="auto" w:fill="D8EFF9"/>
          </w:tcPr>
          <w:p>
            <w:pPr>
              <w:ind w:left="200"/>
              <w:spacing w:after="0" w:line="118" w:lineRule="exact"/>
              <w:rPr>
                <w:sz w:val="20"/>
                <w:szCs w:val="20"/>
                <w:color w:val="auto"/>
              </w:rPr>
            </w:pPr>
            <w:r>
              <w:rPr>
                <w:rFonts w:ascii="Arial" w:cs="Arial" w:eastAsia="Arial" w:hAnsi="Arial"/>
                <w:sz w:val="12"/>
                <w:szCs w:val="12"/>
                <w:color w:val="auto"/>
              </w:rPr>
              <w:t>and Sustainability Committee is committed to continuing to seek out diverse Board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candidates, including gender diverse candidates, who possess skills that will help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advance the near- and long-term strategic goals of the Company. Further,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009AD9"/>
            </w:tcBorders>
          </w:tcPr>
          <w:p>
            <w:pPr>
              <w:spacing w:after="0"/>
              <w:rPr>
                <w:sz w:val="10"/>
                <w:szCs w:val="10"/>
                <w:color w:val="auto"/>
              </w:rPr>
            </w:pPr>
          </w:p>
        </w:tc>
        <w:tc>
          <w:tcPr>
            <w:tcW w:w="2660" w:type="dxa"/>
            <w:vAlign w:val="bottom"/>
            <w:tcBorders>
              <w:right w:val="single" w:sz="8" w:color="009AD9"/>
            </w:tcBorders>
            <w:shd w:val="clear" w:color="auto" w:fill="D8EFF9"/>
          </w:tcPr>
          <w:p>
            <w:pPr>
              <w:spacing w:after="0"/>
              <w:rPr>
                <w:sz w:val="10"/>
                <w:szCs w:val="10"/>
                <w:color w:val="auto"/>
              </w:rPr>
            </w:pPr>
          </w:p>
        </w:tc>
        <w:tc>
          <w:tcPr>
            <w:tcW w:w="4680" w:type="dxa"/>
            <w:vAlign w:val="bottom"/>
            <w:tcBorders>
              <w:right w:val="single" w:sz="8" w:color="009AD9"/>
            </w:tcBorders>
            <w:gridSpan w:val="4"/>
            <w:shd w:val="clear" w:color="auto" w:fill="D8EFF9"/>
          </w:tcPr>
          <w:p>
            <w:pPr>
              <w:ind w:left="200"/>
              <w:spacing w:after="0" w:line="122" w:lineRule="exact"/>
              <w:rPr>
                <w:sz w:val="20"/>
                <w:szCs w:val="20"/>
                <w:color w:val="auto"/>
              </w:rPr>
            </w:pPr>
            <w:r>
              <w:rPr>
                <w:rFonts w:ascii="Arial" w:cs="Arial" w:eastAsia="Arial" w:hAnsi="Arial"/>
                <w:sz w:val="12"/>
                <w:szCs w:val="12"/>
                <w:color w:val="auto"/>
              </w:rPr>
              <w:t>Governance, Environmental and Sustainability Committee and the Board 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 xml:space="preserve">committed to appointing an </w:t>
            </w:r>
            <w:r>
              <w:rPr>
                <w:rFonts w:ascii="Arial" w:cs="Arial" w:eastAsia="Arial" w:hAnsi="Arial"/>
                <w:sz w:val="12"/>
                <w:szCs w:val="12"/>
                <w:b w:val="1"/>
                <w:bCs w:val="1"/>
                <w:color w:val="auto"/>
              </w:rPr>
              <w:t>additional gender diverse director</w:t>
            </w:r>
            <w:r>
              <w:rPr>
                <w:rFonts w:ascii="Arial" w:cs="Arial" w:eastAsia="Arial" w:hAnsi="Arial"/>
                <w:sz w:val="12"/>
                <w:szCs w:val="12"/>
                <w:color w:val="auto"/>
              </w:rPr>
              <w:t xml:space="preserve"> to the Board by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Borders>
              <w:right w:val="single" w:sz="8" w:color="009AD9"/>
            </w:tcBorders>
          </w:tcPr>
          <w:p>
            <w:pPr>
              <w:spacing w:after="0"/>
              <w:rPr>
                <w:sz w:val="14"/>
                <w:szCs w:val="14"/>
                <w:color w:val="auto"/>
              </w:rPr>
            </w:pPr>
          </w:p>
        </w:tc>
        <w:tc>
          <w:tcPr>
            <w:tcW w:w="2660" w:type="dxa"/>
            <w:vAlign w:val="bottom"/>
            <w:tcBorders>
              <w:bottom w:val="single" w:sz="8" w:color="009AD9"/>
              <w:right w:val="single" w:sz="8" w:color="009AD9"/>
            </w:tcBorders>
            <w:shd w:val="clear" w:color="auto" w:fill="D8EFF9"/>
          </w:tcPr>
          <w:p>
            <w:pPr>
              <w:spacing w:after="0"/>
              <w:rPr>
                <w:sz w:val="14"/>
                <w:szCs w:val="14"/>
                <w:color w:val="auto"/>
              </w:rPr>
            </w:pPr>
          </w:p>
        </w:tc>
        <w:tc>
          <w:tcPr>
            <w:tcW w:w="4280" w:type="dxa"/>
            <w:vAlign w:val="bottom"/>
            <w:tcBorders>
              <w:bottom w:val="single" w:sz="8" w:color="009AD9"/>
            </w:tcBorders>
            <w:gridSpan w:val="3"/>
            <w:shd w:val="clear" w:color="auto" w:fill="D8EFF9"/>
          </w:tcPr>
          <w:p>
            <w:pPr>
              <w:ind w:left="200"/>
              <w:spacing w:after="0"/>
              <w:rPr>
                <w:sz w:val="20"/>
                <w:szCs w:val="20"/>
                <w:color w:val="auto"/>
              </w:rPr>
            </w:pPr>
            <w:r>
              <w:rPr>
                <w:rFonts w:ascii="Arial" w:cs="Arial" w:eastAsia="Arial" w:hAnsi="Arial"/>
                <w:sz w:val="12"/>
                <w:szCs w:val="12"/>
                <w:b w:val="1"/>
                <w:bCs w:val="1"/>
                <w:color w:val="auto"/>
              </w:rPr>
              <w:t>December 31, 2023</w:t>
            </w:r>
            <w:r>
              <w:rPr>
                <w:rFonts w:ascii="Arial" w:cs="Arial" w:eastAsia="Arial" w:hAnsi="Arial"/>
                <w:sz w:val="12"/>
                <w:szCs w:val="12"/>
                <w:color w:val="auto"/>
              </w:rPr>
              <w:t>.</w:t>
            </w:r>
          </w:p>
        </w:tc>
        <w:tc>
          <w:tcPr>
            <w:tcW w:w="400" w:type="dxa"/>
            <w:vAlign w:val="bottom"/>
            <w:tcBorders>
              <w:bottom w:val="single" w:sz="8" w:color="009AD9"/>
              <w:right w:val="single" w:sz="8" w:color="009AD9"/>
            </w:tcBorders>
            <w:shd w:val="clear" w:color="auto" w:fill="D8EF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0" w:type="dxa"/>
            <w:vAlign w:val="bottom"/>
            <w:tcBorders>
              <w:right w:val="single" w:sz="8" w:color="009AD9"/>
            </w:tcBorders>
          </w:tcPr>
          <w:p>
            <w:pPr>
              <w:spacing w:after="0"/>
              <w:rPr>
                <w:sz w:val="10"/>
                <w:szCs w:val="10"/>
                <w:color w:val="auto"/>
              </w:rPr>
            </w:pPr>
          </w:p>
        </w:tc>
        <w:tc>
          <w:tcPr>
            <w:tcW w:w="2660" w:type="dxa"/>
            <w:vAlign w:val="bottom"/>
            <w:tcBorders>
              <w:right w:val="single" w:sz="8" w:color="009AD9"/>
            </w:tcBorders>
            <w:shd w:val="clear" w:color="auto" w:fill="D8EFF9"/>
          </w:tcPr>
          <w:p>
            <w:pPr>
              <w:spacing w:after="0"/>
              <w:rPr>
                <w:sz w:val="10"/>
                <w:szCs w:val="10"/>
                <w:color w:val="auto"/>
              </w:rPr>
            </w:pPr>
          </w:p>
        </w:tc>
        <w:tc>
          <w:tcPr>
            <w:tcW w:w="4680" w:type="dxa"/>
            <w:vAlign w:val="bottom"/>
            <w:tcBorders>
              <w:right w:val="single" w:sz="8" w:color="009AD9"/>
            </w:tcBorders>
            <w:gridSpan w:val="4"/>
            <w:shd w:val="clear" w:color="auto" w:fill="D8EFF9"/>
          </w:tcPr>
          <w:p>
            <w:pPr>
              <w:ind w:left="200"/>
              <w:spacing w:after="0" w:line="125" w:lineRule="exact"/>
              <w:rPr>
                <w:sz w:val="20"/>
                <w:szCs w:val="20"/>
                <w:color w:val="auto"/>
              </w:rPr>
            </w:pPr>
            <w:r>
              <w:rPr>
                <w:rFonts w:ascii="Arial" w:cs="Arial" w:eastAsia="Arial" w:hAnsi="Arial"/>
                <w:sz w:val="12"/>
                <w:szCs w:val="12"/>
                <w:color w:val="auto"/>
              </w:rPr>
              <w:t>At the request of the Independent Chair and with the full support of the entire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0" w:type="dxa"/>
            <w:vAlign w:val="bottom"/>
            <w:tcBorders>
              <w:right w:val="single" w:sz="8" w:color="009AD9"/>
            </w:tcBorders>
          </w:tcPr>
          <w:p>
            <w:pPr>
              <w:spacing w:after="0"/>
              <w:rPr>
                <w:sz w:val="13"/>
                <w:szCs w:val="13"/>
                <w:color w:val="auto"/>
              </w:rPr>
            </w:pPr>
          </w:p>
        </w:tc>
        <w:tc>
          <w:tcPr>
            <w:tcW w:w="2660" w:type="dxa"/>
            <w:vAlign w:val="bottom"/>
            <w:tcBorders>
              <w:right w:val="single" w:sz="8" w:color="009AD9"/>
            </w:tcBorders>
            <w:shd w:val="clear" w:color="auto" w:fill="D8EFF9"/>
          </w:tcPr>
          <w:p>
            <w:pPr>
              <w:spacing w:after="0"/>
              <w:rPr>
                <w:sz w:val="13"/>
                <w:szCs w:val="13"/>
                <w:color w:val="auto"/>
              </w:rPr>
            </w:pP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 xml:space="preserve">Board, the Independent Chair Retainer was </w:t>
            </w:r>
            <w:r>
              <w:rPr>
                <w:rFonts w:ascii="Arial" w:cs="Arial" w:eastAsia="Arial" w:hAnsi="Arial"/>
                <w:sz w:val="12"/>
                <w:szCs w:val="12"/>
                <w:b w:val="1"/>
                <w:bCs w:val="1"/>
                <w:color w:val="auto"/>
              </w:rPr>
              <w:t>reduced by 63%</w:t>
            </w:r>
            <w:r>
              <w:rPr>
                <w:rFonts w:ascii="Arial" w:cs="Arial" w:eastAsia="Arial" w:hAnsi="Arial"/>
                <w:sz w:val="12"/>
                <w:szCs w:val="12"/>
                <w:color w:val="auto"/>
              </w:rPr>
              <w:t xml:space="preserve"> from $500,000 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$185,000 beginning on January 1, 2023 to better align total compensation of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Independent Chair with the median total compensation of non-executive chairs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other large public companies. For the rationale for the initial Independent Chair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Shareholders expressed concern regarding</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Retainer awarded in 2021 and its recent reduction, please see “Item 1. Election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ind w:left="80"/>
              <w:spacing w:after="0" w:line="137" w:lineRule="exact"/>
              <w:rPr>
                <w:sz w:val="20"/>
                <w:szCs w:val="20"/>
                <w:color w:val="auto"/>
              </w:rPr>
            </w:pPr>
            <w:r>
              <w:rPr>
                <w:rFonts w:ascii="Arial" w:cs="Arial" w:eastAsia="Arial" w:hAnsi="Arial"/>
                <w:sz w:val="12"/>
                <w:szCs w:val="12"/>
                <w:b w:val="1"/>
                <w:bCs w:val="1"/>
                <w:i w:val="1"/>
                <w:iCs w:val="1"/>
                <w:color w:val="auto"/>
              </w:rPr>
              <w:t>the Independent Chair Retainer and sought</w:t>
            </w: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Directors—Compensation  of  Directors—Reduction  of  Independent  Chair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009AD9"/>
            </w:tcBorders>
          </w:tcPr>
          <w:p>
            <w:pPr>
              <w:spacing w:after="0"/>
              <w:rPr>
                <w:sz w:val="12"/>
                <w:szCs w:val="12"/>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additional disclosure regarding reasons for</w:t>
            </w:r>
          </w:p>
        </w:tc>
        <w:tc>
          <w:tcPr>
            <w:tcW w:w="4280" w:type="dxa"/>
            <w:vAlign w:val="bottom"/>
            <w:gridSpan w:val="3"/>
            <w:shd w:val="clear" w:color="auto" w:fill="D8EFF9"/>
          </w:tcPr>
          <w:p>
            <w:pPr>
              <w:ind w:left="200"/>
              <w:spacing w:after="0"/>
              <w:rPr>
                <w:sz w:val="20"/>
                <w:szCs w:val="20"/>
                <w:color w:val="auto"/>
              </w:rPr>
            </w:pPr>
            <w:r>
              <w:rPr>
                <w:rFonts w:ascii="Arial" w:cs="Arial" w:eastAsia="Arial" w:hAnsi="Arial"/>
                <w:sz w:val="12"/>
                <w:szCs w:val="12"/>
                <w:color w:val="auto"/>
              </w:rPr>
              <w:t>Retainer.”</w:t>
            </w:r>
          </w:p>
        </w:tc>
        <w:tc>
          <w:tcPr>
            <w:tcW w:w="400" w:type="dxa"/>
            <w:vAlign w:val="bottom"/>
            <w:tcBorders>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 w:type="dxa"/>
            <w:vAlign w:val="bottom"/>
            <w:tcBorders>
              <w:right w:val="single" w:sz="8" w:color="009AD9"/>
            </w:tcBorders>
          </w:tcPr>
          <w:p>
            <w:pPr>
              <w:spacing w:after="0"/>
              <w:rPr>
                <w:sz w:val="15"/>
                <w:szCs w:val="15"/>
                <w:color w:val="auto"/>
              </w:rPr>
            </w:pPr>
          </w:p>
        </w:tc>
        <w:tc>
          <w:tcPr>
            <w:tcW w:w="2660" w:type="dxa"/>
            <w:vAlign w:val="bottom"/>
            <w:tcBorders>
              <w:right w:val="single" w:sz="8" w:color="009AD9"/>
            </w:tcBorders>
            <w:shd w:val="clear" w:color="auto" w:fill="D8EFF9"/>
          </w:tcPr>
          <w:p>
            <w:pPr>
              <w:ind w:left="80"/>
              <w:spacing w:after="0"/>
              <w:rPr>
                <w:sz w:val="20"/>
                <w:szCs w:val="20"/>
                <w:color w:val="auto"/>
              </w:rPr>
            </w:pPr>
            <w:r>
              <w:rPr>
                <w:rFonts w:ascii="Arial" w:cs="Arial" w:eastAsia="Arial" w:hAnsi="Arial"/>
                <w:sz w:val="12"/>
                <w:szCs w:val="12"/>
                <w:b w:val="1"/>
                <w:bCs w:val="1"/>
                <w:i w:val="1"/>
                <w:iCs w:val="1"/>
                <w:color w:val="auto"/>
              </w:rPr>
              <w:t>Independent Chair Retainer</w:t>
            </w:r>
          </w:p>
        </w:tc>
        <w:tc>
          <w:tcPr>
            <w:tcW w:w="4680" w:type="dxa"/>
            <w:vAlign w:val="bottom"/>
            <w:tcBorders>
              <w:right w:val="single" w:sz="8" w:color="009AD9"/>
            </w:tcBorders>
            <w:gridSpan w:val="4"/>
            <w:shd w:val="clear" w:color="auto" w:fill="D8EFF9"/>
          </w:tcPr>
          <w:p>
            <w:pPr>
              <w:ind w:left="200"/>
              <w:spacing w:after="0"/>
              <w:rPr>
                <w:sz w:val="20"/>
                <w:szCs w:val="20"/>
                <w:color w:val="auto"/>
              </w:rPr>
            </w:pPr>
            <w:r>
              <w:rPr>
                <w:rFonts w:ascii="Arial" w:cs="Arial" w:eastAsia="Arial" w:hAnsi="Arial"/>
                <w:sz w:val="12"/>
                <w:szCs w:val="12"/>
                <w:color w:val="auto"/>
              </w:rPr>
              <w:t>The Board believes that, given the important role of the Independent Chair as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leader of the Board, a retainer for the Independent Chair continues 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warranted and is generally consistent with the practice at other large public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companies who have an Independent Chair. The Independent Chair also takes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009AD9"/>
            </w:tcBorders>
          </w:tcPr>
          <w:p>
            <w:pPr>
              <w:spacing w:after="0"/>
              <w:rPr>
                <w:sz w:val="11"/>
                <w:szCs w:val="11"/>
                <w:color w:val="auto"/>
              </w:rPr>
            </w:pPr>
          </w:p>
        </w:tc>
        <w:tc>
          <w:tcPr>
            <w:tcW w:w="2660" w:type="dxa"/>
            <w:vAlign w:val="bottom"/>
            <w:tcBorders>
              <w:right w:val="single" w:sz="8" w:color="009AD9"/>
            </w:tcBorders>
            <w:shd w:val="clear" w:color="auto" w:fill="D8EFF9"/>
          </w:tcPr>
          <w:p>
            <w:pPr>
              <w:spacing w:after="0"/>
              <w:rPr>
                <w:sz w:val="11"/>
                <w:szCs w:val="11"/>
                <w:color w:val="auto"/>
              </w:rPr>
            </w:pPr>
          </w:p>
        </w:tc>
        <w:tc>
          <w:tcPr>
            <w:tcW w:w="4680" w:type="dxa"/>
            <w:vAlign w:val="bottom"/>
            <w:tcBorders>
              <w:right w:val="single" w:sz="8" w:color="009AD9"/>
            </w:tcBorders>
            <w:gridSpan w:val="4"/>
            <w:shd w:val="clear" w:color="auto" w:fill="D8EFF9"/>
          </w:tcPr>
          <w:p>
            <w:pPr>
              <w:ind w:left="200"/>
              <w:spacing w:after="0" w:line="137" w:lineRule="exact"/>
              <w:rPr>
                <w:sz w:val="20"/>
                <w:szCs w:val="20"/>
                <w:color w:val="auto"/>
              </w:rPr>
            </w:pPr>
            <w:r>
              <w:rPr>
                <w:rFonts w:ascii="Arial" w:cs="Arial" w:eastAsia="Arial" w:hAnsi="Arial"/>
                <w:sz w:val="12"/>
                <w:szCs w:val="12"/>
                <w:color w:val="auto"/>
              </w:rPr>
              <w:t>numerous significant responsibilities as discussed above in “Item 1. Election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009AD9"/>
            </w:tcBorders>
          </w:tcPr>
          <w:p>
            <w:pPr>
              <w:spacing w:after="0"/>
              <w:rPr>
                <w:sz w:val="12"/>
                <w:szCs w:val="12"/>
                <w:color w:val="auto"/>
              </w:rPr>
            </w:pPr>
          </w:p>
        </w:tc>
        <w:tc>
          <w:tcPr>
            <w:tcW w:w="2660" w:type="dxa"/>
            <w:vAlign w:val="bottom"/>
            <w:tcBorders>
              <w:bottom w:val="single" w:sz="8" w:color="009AD9"/>
              <w:right w:val="single" w:sz="8" w:color="009AD9"/>
            </w:tcBorders>
            <w:shd w:val="clear" w:color="auto" w:fill="D8EFF9"/>
          </w:tcPr>
          <w:p>
            <w:pPr>
              <w:spacing w:after="0"/>
              <w:rPr>
                <w:sz w:val="12"/>
                <w:szCs w:val="12"/>
                <w:color w:val="auto"/>
              </w:rPr>
            </w:pPr>
          </w:p>
        </w:tc>
        <w:tc>
          <w:tcPr>
            <w:tcW w:w="4280" w:type="dxa"/>
            <w:vAlign w:val="bottom"/>
            <w:tcBorders>
              <w:bottom w:val="single" w:sz="8" w:color="009AD9"/>
            </w:tcBorders>
            <w:gridSpan w:val="3"/>
            <w:shd w:val="clear" w:color="auto" w:fill="D8EFF9"/>
          </w:tcPr>
          <w:p>
            <w:pPr>
              <w:ind w:left="200"/>
              <w:spacing w:after="0"/>
              <w:rPr>
                <w:sz w:val="20"/>
                <w:szCs w:val="20"/>
                <w:color w:val="auto"/>
              </w:rPr>
            </w:pPr>
            <w:r>
              <w:rPr>
                <w:rFonts w:ascii="Arial" w:cs="Arial" w:eastAsia="Arial" w:hAnsi="Arial"/>
                <w:sz w:val="12"/>
                <w:szCs w:val="12"/>
                <w:color w:val="auto"/>
              </w:rPr>
              <w:t>Directors—Board Leadership.”</w:t>
            </w:r>
          </w:p>
        </w:tc>
        <w:tc>
          <w:tcPr>
            <w:tcW w:w="400" w:type="dxa"/>
            <w:vAlign w:val="bottom"/>
            <w:tcBorders>
              <w:bottom w:val="single" w:sz="8" w:color="009AD9"/>
              <w:right w:val="single" w:sz="8" w:color="009AD9"/>
            </w:tcBorders>
            <w:shd w:val="clear" w:color="auto" w:fill="D8EFF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009AD9"/>
            </w:tcBorders>
          </w:tcPr>
          <w:p>
            <w:pPr>
              <w:spacing w:after="0"/>
              <w:rPr>
                <w:sz w:val="14"/>
                <w:szCs w:val="14"/>
                <w:color w:val="auto"/>
              </w:rPr>
            </w:pPr>
          </w:p>
        </w:tc>
        <w:tc>
          <w:tcPr>
            <w:tcW w:w="2660" w:type="dxa"/>
            <w:vAlign w:val="bottom"/>
            <w:tcBorders>
              <w:bottom w:val="single" w:sz="8" w:color="009AD9"/>
            </w:tcBorders>
          </w:tcPr>
          <w:p>
            <w:pPr>
              <w:spacing w:after="0"/>
              <w:rPr>
                <w:sz w:val="14"/>
                <w:szCs w:val="14"/>
                <w:color w:val="auto"/>
              </w:rPr>
            </w:pPr>
          </w:p>
        </w:tc>
        <w:tc>
          <w:tcPr>
            <w:tcW w:w="3060" w:type="dxa"/>
            <w:vAlign w:val="bottom"/>
            <w:tcBorders>
              <w:bottom w:val="single" w:sz="8" w:color="009AD9"/>
            </w:tcBorders>
          </w:tcPr>
          <w:p>
            <w:pPr>
              <w:spacing w:after="0"/>
              <w:rPr>
                <w:sz w:val="14"/>
                <w:szCs w:val="14"/>
                <w:color w:val="auto"/>
              </w:rPr>
            </w:pPr>
          </w:p>
        </w:tc>
        <w:tc>
          <w:tcPr>
            <w:tcW w:w="80" w:type="dxa"/>
            <w:vAlign w:val="bottom"/>
            <w:tcBorders>
              <w:bottom w:val="single" w:sz="8" w:color="009AD9"/>
            </w:tcBorders>
          </w:tcPr>
          <w:p>
            <w:pPr>
              <w:spacing w:after="0"/>
              <w:rPr>
                <w:sz w:val="14"/>
                <w:szCs w:val="14"/>
                <w:color w:val="auto"/>
              </w:rPr>
            </w:pPr>
          </w:p>
        </w:tc>
        <w:tc>
          <w:tcPr>
            <w:tcW w:w="1140" w:type="dxa"/>
            <w:vAlign w:val="bottom"/>
            <w:tcBorders>
              <w:bottom w:val="single" w:sz="8" w:color="009AD9"/>
            </w:tcBorders>
          </w:tcPr>
          <w:p>
            <w:pPr>
              <w:spacing w:after="0"/>
              <w:rPr>
                <w:sz w:val="14"/>
                <w:szCs w:val="14"/>
                <w:color w:val="auto"/>
              </w:rPr>
            </w:pPr>
          </w:p>
        </w:tc>
        <w:tc>
          <w:tcPr>
            <w:tcW w:w="400" w:type="dxa"/>
            <w:vAlign w:val="bottom"/>
            <w:tcBorders>
              <w:bottom w:val="single" w:sz="8" w:color="009AD9"/>
            </w:tcBorders>
          </w:tcPr>
          <w:p>
            <w:pPr>
              <w:spacing w:after="0"/>
              <w:rPr>
                <w:sz w:val="14"/>
                <w:szCs w:val="14"/>
                <w:color w:val="auto"/>
              </w:rPr>
            </w:pPr>
          </w:p>
        </w:tc>
        <w:tc>
          <w:tcPr>
            <w:tcW w:w="20" w:type="dxa"/>
            <w:vAlign w:val="bottom"/>
            <w:tcBorders>
              <w:bottom w:val="single" w:sz="8" w:color="009AD9"/>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9AD9"/>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-4403090</wp:posOffset>
            </wp:positionV>
            <wp:extent cx="5715" cy="228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715" cy="2286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3: Advisory Vote on Executive Compensation (continued)</w:t>
      </w:r>
    </w:p>
    <w:p>
      <w:pPr>
        <w:spacing w:after="0" w:line="100"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p>
    <w:p>
      <w:pPr>
        <w:spacing w:after="0" w:line="61" w:lineRule="exact"/>
        <w:rPr>
          <w:sz w:val="20"/>
          <w:szCs w:val="20"/>
          <w:color w:val="auto"/>
        </w:rPr>
      </w:pPr>
    </w:p>
    <w:p>
      <w:pPr>
        <w:jc w:val="both"/>
        <w:ind w:left="2220" w:right="799" w:hanging="213"/>
        <w:spacing w:after="0" w:line="242" w:lineRule="auto"/>
        <w:tabs>
          <w:tab w:leader="none" w:pos="2220" w:val="left"/>
        </w:tabs>
        <w:numPr>
          <w:ilvl w:val="0"/>
          <w:numId w:val="134"/>
        </w:numPr>
        <w:rPr>
          <w:rFonts w:ascii="Arial" w:cs="Arial" w:eastAsia="Arial" w:hAnsi="Arial"/>
          <w:sz w:val="12"/>
          <w:szCs w:val="12"/>
          <w:color w:val="009AD9"/>
        </w:rPr>
      </w:pPr>
      <w:r>
        <w:rPr>
          <w:rFonts w:ascii="Arial" w:cs="Arial" w:eastAsia="Arial" w:hAnsi="Arial"/>
          <w:sz w:val="12"/>
          <w:szCs w:val="12"/>
          <w:i w:val="1"/>
          <w:iCs w:val="1"/>
          <w:color w:val="auto"/>
        </w:rPr>
        <w:t xml:space="preserve">Pay for Performance. </w:t>
      </w:r>
      <w:r>
        <w:rPr>
          <w:rFonts w:ascii="Arial" w:cs="Arial" w:eastAsia="Arial" w:hAnsi="Arial"/>
          <w:sz w:val="12"/>
          <w:szCs w:val="12"/>
          <w:color w:val="auto"/>
        </w:rPr>
        <w:t>The guiding principle of our compensation philosophy is that the interests of executives and shareholders</w:t>
      </w:r>
      <w:r>
        <w:rPr>
          <w:rFonts w:ascii="Arial" w:cs="Arial" w:eastAsia="Arial" w:hAnsi="Arial"/>
          <w:sz w:val="12"/>
          <w:szCs w:val="12"/>
          <w:i w:val="1"/>
          <w:iCs w:val="1"/>
          <w:color w:val="auto"/>
        </w:rPr>
        <w:t xml:space="preserve"> </w:t>
      </w:r>
      <w:r>
        <w:rPr>
          <w:rFonts w:ascii="Arial" w:cs="Arial" w:eastAsia="Arial" w:hAnsi="Arial"/>
          <w:sz w:val="12"/>
          <w:szCs w:val="12"/>
          <w:color w:val="auto"/>
        </w:rPr>
        <w:t>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Compensation Committee. While compensation targets will to a large extent reflect the market, actual compensation in a given year will vary based on CenterPoint Energy’s performance, and to a lesser extent, on qualitative appraisals of individual performance. The following graphics reflect the components of the target total direct compensation opportunities provided to our named executive officers.</w:t>
      </w:r>
    </w:p>
    <w:p>
      <w:pPr>
        <w:spacing w:after="0" w:line="12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TARGET COMPENSATION MIX AS OF DECEMBER 31, 2022</w:t>
      </w:r>
    </w:p>
    <w:p>
      <w:pPr>
        <w:spacing w:after="0" w:line="12"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103505</wp:posOffset>
            </wp:positionV>
            <wp:extent cx="3475990" cy="15938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7599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40" w:right="819"/>
        <w:spacing w:after="0" w:line="234" w:lineRule="auto"/>
        <w:rPr>
          <w:sz w:val="20"/>
          <w:szCs w:val="20"/>
          <w:color w:val="auto"/>
        </w:rPr>
      </w:pPr>
      <w:r>
        <w:rPr>
          <w:rFonts w:ascii="Arial" w:cs="Arial" w:eastAsia="Arial" w:hAnsi="Arial"/>
          <w:sz w:val="10"/>
          <w:szCs w:val="10"/>
          <w:color w:val="auto"/>
        </w:rPr>
        <w:t>*The graphic represents the average size of each component as a percentage of each named executive officer’s (other than the Chief Executive Officer’s) target total direct compensation opportunities (approved by the Compensation Committee in 2022).</w:t>
      </w:r>
    </w:p>
    <w:p>
      <w:pPr>
        <w:spacing w:after="0" w:line="60" w:lineRule="exact"/>
        <w:rPr>
          <w:sz w:val="20"/>
          <w:szCs w:val="20"/>
          <w:color w:val="auto"/>
        </w:rPr>
      </w:pPr>
    </w:p>
    <w:p>
      <w:pPr>
        <w:jc w:val="both"/>
        <w:ind w:left="2220" w:right="799" w:hanging="213"/>
        <w:spacing w:after="0" w:line="224" w:lineRule="auto"/>
        <w:tabs>
          <w:tab w:leader="none" w:pos="2220" w:val="left"/>
        </w:tabs>
        <w:numPr>
          <w:ilvl w:val="0"/>
          <w:numId w:val="135"/>
        </w:numPr>
        <w:rPr>
          <w:rFonts w:ascii="Arial" w:cs="Arial" w:eastAsia="Arial" w:hAnsi="Arial"/>
          <w:sz w:val="12"/>
          <w:szCs w:val="12"/>
          <w:color w:val="009AD9"/>
        </w:rPr>
      </w:pPr>
      <w:r>
        <w:rPr>
          <w:rFonts w:ascii="Arial" w:cs="Arial" w:eastAsia="Arial" w:hAnsi="Arial"/>
          <w:sz w:val="12"/>
          <w:szCs w:val="12"/>
          <w:i w:val="1"/>
          <w:iCs w:val="1"/>
          <w:color w:val="auto"/>
        </w:rPr>
        <w:t>Market-Based Compensation Targets</w:t>
      </w:r>
      <w:r>
        <w:rPr>
          <w:rFonts w:ascii="Arial" w:cs="Arial" w:eastAsia="Arial" w:hAnsi="Arial"/>
          <w:sz w:val="12"/>
          <w:szCs w:val="12"/>
          <w:color w:val="auto"/>
        </w:rPr>
        <w:t>. We generally target the middle of the market (25</w:t>
      </w:r>
      <w:r>
        <w:rPr>
          <w:rFonts w:ascii="Arial" w:cs="Arial" w:eastAsia="Arial" w:hAnsi="Arial"/>
          <w:sz w:val="18"/>
          <w:szCs w:val="18"/>
          <w:color w:val="auto"/>
          <w:vertAlign w:val="superscript"/>
        </w:rPr>
        <w:t>th</w:t>
      </w:r>
      <w:r>
        <w:rPr>
          <w:rFonts w:ascii="Arial" w:cs="Arial" w:eastAsia="Arial" w:hAnsi="Arial"/>
          <w:sz w:val="12"/>
          <w:szCs w:val="12"/>
          <w:i w:val="1"/>
          <w:iCs w:val="1"/>
          <w:color w:val="auto"/>
        </w:rPr>
        <w:t xml:space="preserve"> </w:t>
      </w:r>
      <w:r>
        <w:rPr>
          <w:rFonts w:ascii="Arial" w:cs="Arial" w:eastAsia="Arial" w:hAnsi="Arial"/>
          <w:sz w:val="12"/>
          <w:szCs w:val="12"/>
          <w:color w:val="auto"/>
        </w:rPr>
        <w:t>– 75</w:t>
      </w:r>
      <w:r>
        <w:rPr>
          <w:rFonts w:ascii="Arial" w:cs="Arial" w:eastAsia="Arial" w:hAnsi="Arial"/>
          <w:sz w:val="18"/>
          <w:szCs w:val="18"/>
          <w:color w:val="auto"/>
          <w:vertAlign w:val="superscript"/>
        </w:rPr>
        <w:t>th</w:t>
      </w:r>
      <w:r>
        <w:rPr>
          <w:rFonts w:ascii="Arial" w:cs="Arial" w:eastAsia="Arial" w:hAnsi="Arial"/>
          <w:sz w:val="12"/>
          <w:szCs w:val="12"/>
          <w:i w:val="1"/>
          <w:iCs w:val="1"/>
          <w:color w:val="auto"/>
        </w:rPr>
        <w:t xml:space="preserve"> </w:t>
      </w:r>
      <w:r>
        <w:rPr>
          <w:rFonts w:ascii="Arial" w:cs="Arial" w:eastAsia="Arial" w:hAnsi="Arial"/>
          <w:sz w:val="12"/>
          <w:szCs w:val="12"/>
          <w:color w:val="auto"/>
        </w:rPr>
        <w:t>percentiles) for each major element</w:t>
      </w:r>
      <w:r>
        <w:rPr>
          <w:rFonts w:ascii="Arial" w:cs="Arial" w:eastAsia="Arial" w:hAnsi="Arial"/>
          <w:sz w:val="12"/>
          <w:szCs w:val="12"/>
          <w:i w:val="1"/>
          <w:iCs w:val="1"/>
          <w:color w:val="auto"/>
        </w:rPr>
        <w:t xml:space="preserve"> </w:t>
      </w:r>
      <w:r>
        <w:rPr>
          <w:rFonts w:ascii="Arial" w:cs="Arial" w:eastAsia="Arial" w:hAnsi="Arial"/>
          <w:sz w:val="12"/>
          <w:szCs w:val="12"/>
          <w:color w:val="auto"/>
        </w:rPr>
        <w:t>of 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Compensation Committee considers the data provided by its consultant, the level and nature of the executive’s responsibility, the executive’s experience and the Committee’s own qualitative assessment of the executive’s performance.</w:t>
      </w:r>
    </w:p>
    <w:p>
      <w:pPr>
        <w:spacing w:after="0" w:line="63" w:lineRule="exact"/>
        <w:rPr>
          <w:rFonts w:ascii="Arial" w:cs="Arial" w:eastAsia="Arial" w:hAnsi="Arial"/>
          <w:sz w:val="12"/>
          <w:szCs w:val="12"/>
          <w:color w:val="009AD9"/>
        </w:rPr>
      </w:pPr>
    </w:p>
    <w:p>
      <w:pPr>
        <w:jc w:val="both"/>
        <w:ind w:left="2220" w:right="799" w:hanging="213"/>
        <w:spacing w:after="0" w:line="254" w:lineRule="auto"/>
        <w:tabs>
          <w:tab w:leader="none" w:pos="2220" w:val="left"/>
        </w:tabs>
        <w:numPr>
          <w:ilvl w:val="0"/>
          <w:numId w:val="135"/>
        </w:numPr>
        <w:rPr>
          <w:rFonts w:ascii="Arial" w:cs="Arial" w:eastAsia="Arial" w:hAnsi="Arial"/>
          <w:sz w:val="12"/>
          <w:szCs w:val="12"/>
          <w:color w:val="009AD9"/>
        </w:rPr>
      </w:pPr>
      <w:r>
        <w:rPr>
          <w:rFonts w:ascii="Arial" w:cs="Arial" w:eastAsia="Arial" w:hAnsi="Arial"/>
          <w:sz w:val="12"/>
          <w:szCs w:val="12"/>
          <w:i w:val="1"/>
          <w:iCs w:val="1"/>
          <w:color w:val="auto"/>
        </w:rPr>
        <w:t xml:space="preserve">Change in Control Plan. </w:t>
      </w:r>
      <w:r>
        <w:rPr>
          <w:rFonts w:ascii="Arial" w:cs="Arial" w:eastAsia="Arial" w:hAnsi="Arial"/>
          <w:sz w:val="12"/>
          <w:szCs w:val="12"/>
          <w:color w:val="auto"/>
        </w:rPr>
        <w:t>Our Board of Directors approved a change in control plan, as amended and restated, effective May 1, 2017,</w:t>
      </w:r>
      <w:r>
        <w:rPr>
          <w:rFonts w:ascii="Arial" w:cs="Arial" w:eastAsia="Arial" w:hAnsi="Arial"/>
          <w:sz w:val="12"/>
          <w:szCs w:val="12"/>
          <w:i w:val="1"/>
          <w:iCs w:val="1"/>
          <w:color w:val="auto"/>
        </w:rPr>
        <w:t xml:space="preserve"> </w:t>
      </w:r>
      <w:r>
        <w:rPr>
          <w:rFonts w:ascii="Arial" w:cs="Arial" w:eastAsia="Arial" w:hAnsi="Arial"/>
          <w:sz w:val="12"/>
          <w:szCs w:val="12"/>
          <w:color w:val="auto"/>
        </w:rPr>
        <w:t>which was further amended effective as of March 1, 2021 and January 1, 2022, that applies to all of our named executive officers. The plan contains a “double trigger” term and does not provide for any excise tax gross-up payments.</w:t>
      </w:r>
    </w:p>
    <w:p>
      <w:pPr>
        <w:spacing w:after="0" w:line="124" w:lineRule="exact"/>
        <w:rPr>
          <w:sz w:val="20"/>
          <w:szCs w:val="20"/>
          <w:color w:val="auto"/>
        </w:rPr>
      </w:pPr>
    </w:p>
    <w:p>
      <w:pPr>
        <w:ind w:left="2300" w:hanging="318"/>
        <w:spacing w:after="0"/>
        <w:tabs>
          <w:tab w:leader="none" w:pos="2300" w:val="left"/>
        </w:tabs>
        <w:numPr>
          <w:ilvl w:val="0"/>
          <w:numId w:val="136"/>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3: Advisory Vote on Executive Compensation (continued)</w:t>
      </w:r>
    </w:p>
    <w:p>
      <w:pPr>
        <w:spacing w:after="0" w:line="152" w:lineRule="exact"/>
        <w:rPr>
          <w:sz w:val="20"/>
          <w:szCs w:val="20"/>
          <w:color w:val="auto"/>
        </w:rPr>
      </w:pPr>
    </w:p>
    <w:p>
      <w:pPr>
        <w:jc w:val="both"/>
        <w:ind w:left="2220" w:right="799" w:hanging="213"/>
        <w:spacing w:after="0" w:line="244" w:lineRule="auto"/>
        <w:tabs>
          <w:tab w:leader="none" w:pos="2220" w:val="left"/>
        </w:tabs>
        <w:numPr>
          <w:ilvl w:val="0"/>
          <w:numId w:val="137"/>
        </w:numPr>
        <w:rPr>
          <w:rFonts w:ascii="Arial" w:cs="Arial" w:eastAsia="Arial" w:hAnsi="Arial"/>
          <w:sz w:val="12"/>
          <w:szCs w:val="12"/>
          <w:color w:val="009AD9"/>
        </w:rPr>
      </w:pPr>
      <w:r>
        <w:rPr>
          <w:rFonts w:ascii="Arial" w:cs="Arial" w:eastAsia="Arial" w:hAnsi="Arial"/>
          <w:sz w:val="12"/>
          <w:szCs w:val="12"/>
          <w:i w:val="1"/>
          <w:iCs w:val="1"/>
          <w:color w:val="auto"/>
        </w:rPr>
        <w:t xml:space="preserve">Stock Ownership Guidelines. </w:t>
      </w:r>
      <w:r>
        <w:rPr>
          <w:rFonts w:ascii="Arial" w:cs="Arial" w:eastAsia="Arial" w:hAnsi="Arial"/>
          <w:sz w:val="12"/>
          <w:szCs w:val="12"/>
          <w:color w:val="auto"/>
        </w:rPr>
        <w:t>We maintain executive stock ownership guidelines applicable to certain of our officers, including our</w:t>
      </w:r>
      <w:r>
        <w:rPr>
          <w:rFonts w:ascii="Arial" w:cs="Arial" w:eastAsia="Arial" w:hAnsi="Arial"/>
          <w:sz w:val="12"/>
          <w:szCs w:val="12"/>
          <w:i w:val="1"/>
          <w:iCs w:val="1"/>
          <w:color w:val="auto"/>
        </w:rPr>
        <w:t xml:space="preserve"> </w:t>
      </w:r>
      <w:r>
        <w:rPr>
          <w:rFonts w:ascii="Arial" w:cs="Arial" w:eastAsia="Arial" w:hAnsi="Arial"/>
          <w:sz w:val="12"/>
          <w:szCs w:val="12"/>
          <w:color w:val="auto"/>
        </w:rPr>
        <w:t>named executive officers, to appropriately align the interests of our officers with our shareholders’ interests for CenterPoint Energy common stock. Our guidelines provide that our Chief Executive Officer should own CenterPoint Energy common stock having a market value of five times base salary, our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p>
    <w:p>
      <w:pPr>
        <w:spacing w:after="0" w:line="58" w:lineRule="exact"/>
        <w:rPr>
          <w:rFonts w:ascii="Arial" w:cs="Arial" w:eastAsia="Arial" w:hAnsi="Arial"/>
          <w:sz w:val="12"/>
          <w:szCs w:val="12"/>
          <w:color w:val="009AD9"/>
        </w:rPr>
      </w:pPr>
    </w:p>
    <w:p>
      <w:pPr>
        <w:jc w:val="both"/>
        <w:ind w:left="2220" w:right="799" w:hanging="213"/>
        <w:spacing w:after="0" w:line="245" w:lineRule="auto"/>
        <w:tabs>
          <w:tab w:leader="none" w:pos="2220" w:val="left"/>
        </w:tabs>
        <w:numPr>
          <w:ilvl w:val="0"/>
          <w:numId w:val="137"/>
        </w:numPr>
        <w:rPr>
          <w:rFonts w:ascii="Arial" w:cs="Arial" w:eastAsia="Arial" w:hAnsi="Arial"/>
          <w:sz w:val="12"/>
          <w:szCs w:val="12"/>
          <w:color w:val="009AD9"/>
        </w:rPr>
      </w:pPr>
      <w:r>
        <w:rPr>
          <w:rFonts w:ascii="Arial" w:cs="Arial" w:eastAsia="Arial" w:hAnsi="Arial"/>
          <w:sz w:val="12"/>
          <w:szCs w:val="12"/>
          <w:i w:val="1"/>
          <w:iCs w:val="1"/>
          <w:color w:val="auto"/>
        </w:rPr>
        <w:t xml:space="preserve">Hedging Policy. </w:t>
      </w:r>
      <w:r>
        <w:rPr>
          <w:rFonts w:ascii="Arial" w:cs="Arial" w:eastAsia="Arial" w:hAnsi="Arial"/>
          <w:sz w:val="12"/>
          <w:szCs w:val="12"/>
          <w:color w:val="auto"/>
        </w:rPr>
        <w:t>As part of our Insider Trading Policy, our directors and officers are prohibited, and our non-officer employees are</w:t>
      </w:r>
      <w:r>
        <w:rPr>
          <w:rFonts w:ascii="Arial" w:cs="Arial" w:eastAsia="Arial" w:hAnsi="Arial"/>
          <w:sz w:val="12"/>
          <w:szCs w:val="12"/>
          <w:i w:val="1"/>
          <w:iCs w:val="1"/>
          <w:color w:val="auto"/>
        </w:rPr>
        <w:t xml:space="preserve"> </w:t>
      </w:r>
      <w:r>
        <w:rPr>
          <w:rFonts w:ascii="Arial" w:cs="Arial" w:eastAsia="Arial" w:hAnsi="Arial"/>
          <w:sz w:val="12"/>
          <w:szCs w:val="12"/>
          <w:color w:val="auto"/>
        </w:rPr>
        <w:t>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59" w:lineRule="exact"/>
        <w:rPr>
          <w:rFonts w:ascii="Arial" w:cs="Arial" w:eastAsia="Arial" w:hAnsi="Arial"/>
          <w:sz w:val="12"/>
          <w:szCs w:val="12"/>
          <w:color w:val="009AD9"/>
        </w:rPr>
      </w:pPr>
    </w:p>
    <w:p>
      <w:pPr>
        <w:jc w:val="both"/>
        <w:ind w:left="2220" w:right="799" w:hanging="213"/>
        <w:spacing w:after="0" w:line="248" w:lineRule="auto"/>
        <w:tabs>
          <w:tab w:leader="none" w:pos="2220" w:val="left"/>
        </w:tabs>
        <w:numPr>
          <w:ilvl w:val="0"/>
          <w:numId w:val="137"/>
        </w:numPr>
        <w:rPr>
          <w:rFonts w:ascii="Arial" w:cs="Arial" w:eastAsia="Arial" w:hAnsi="Arial"/>
          <w:sz w:val="12"/>
          <w:szCs w:val="12"/>
          <w:color w:val="009AD9"/>
        </w:rPr>
      </w:pPr>
      <w:r>
        <w:rPr>
          <w:rFonts w:ascii="Arial" w:cs="Arial" w:eastAsia="Arial" w:hAnsi="Arial"/>
          <w:sz w:val="12"/>
          <w:szCs w:val="12"/>
          <w:i w:val="1"/>
          <w:iCs w:val="1"/>
          <w:color w:val="auto"/>
        </w:rPr>
        <w:t xml:space="preserve">Recoupment Policy. </w:t>
      </w:r>
      <w:r>
        <w:rPr>
          <w:rFonts w:ascii="Arial" w:cs="Arial" w:eastAsia="Arial" w:hAnsi="Arial"/>
          <w:sz w:val="12"/>
          <w:szCs w:val="12"/>
          <w:color w:val="auto"/>
        </w:rPr>
        <w:t>We have implemented a policy for the recoupment of short-term and long-term incentive payments in the event</w:t>
      </w:r>
      <w:r>
        <w:rPr>
          <w:rFonts w:ascii="Arial" w:cs="Arial" w:eastAsia="Arial" w:hAnsi="Arial"/>
          <w:sz w:val="12"/>
          <w:szCs w:val="12"/>
          <w:i w:val="1"/>
          <w:iCs w:val="1"/>
          <w:color w:val="auto"/>
        </w:rPr>
        <w:t xml:space="preserve"> </w:t>
      </w:r>
      <w:r>
        <w:rPr>
          <w:rFonts w:ascii="Arial" w:cs="Arial" w:eastAsia="Arial" w:hAnsi="Arial"/>
          <w:sz w:val="12"/>
          <w:szCs w:val="12"/>
          <w:color w:val="auto"/>
        </w:rPr>
        <w:t>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33"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discussion under “Compensation Discussion and Analysis” describes our executive compensation program and the related decisions made by the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p>
    <w:p>
      <w:pPr>
        <w:spacing w:after="0" w:line="137" w:lineRule="exact"/>
        <w:rPr>
          <w:sz w:val="20"/>
          <w:szCs w:val="20"/>
          <w:color w:val="auto"/>
        </w:rPr>
      </w:pPr>
    </w:p>
    <w:p>
      <w:pPr>
        <w:jc w:val="both"/>
        <w:ind w:left="1940" w:right="799"/>
        <w:spacing w:after="0" w:line="245" w:lineRule="auto"/>
        <w:rPr>
          <w:sz w:val="20"/>
          <w:szCs w:val="20"/>
          <w:color w:val="auto"/>
        </w:rPr>
      </w:pPr>
      <w:r>
        <w:rPr>
          <w:rFonts w:ascii="Arial" w:cs="Arial" w:eastAsia="Arial" w:hAnsi="Arial"/>
          <w:sz w:val="12"/>
          <w:szCs w:val="12"/>
          <w:color w:val="auto"/>
        </w:rPr>
        <w:t>In accordance with Section 14A of the Exchange Act and the related rules of the Securities and Exchange Commission, we are asking our shareholders entitled to vote on the matter to approve the following resolution regarding the compensation of our named executive officers:</w:t>
      </w:r>
    </w:p>
    <w:p>
      <w:pPr>
        <w:spacing w:after="0" w:line="259" w:lineRule="exact"/>
        <w:rPr>
          <w:sz w:val="20"/>
          <w:szCs w:val="20"/>
          <w:color w:val="auto"/>
        </w:rPr>
      </w:pPr>
    </w:p>
    <w:p>
      <w:pPr>
        <w:jc w:val="both"/>
        <w:ind w:left="2240" w:right="799"/>
        <w:spacing w:after="0" w:line="249" w:lineRule="auto"/>
        <w:rPr>
          <w:sz w:val="20"/>
          <w:szCs w:val="20"/>
          <w:color w:val="auto"/>
        </w:rPr>
      </w:pPr>
      <w:r>
        <w:rPr>
          <w:rFonts w:ascii="Arial" w:cs="Arial" w:eastAsia="Arial" w:hAnsi="Arial"/>
          <w:sz w:val="12"/>
          <w:szCs w:val="12"/>
          <w:b w:val="1"/>
          <w:bCs w:val="1"/>
          <w:color w:val="auto"/>
        </w:rPr>
        <w:t>RESOLVED, that the shareholders of CenterPoint Energy, Inc. (the “Company”) hereby approve, on an advisory basis, the compensation paid to the Company’s named executive officers, as disclosed in the proxy statement for the Company’s 2023 Annual Meeting of Shareholders pursuant to the compensation disclosure rules of the Securities and Exchange Commission, including the Compensation Discussion and Analysis, compensation tables and narrative discussion.</w:t>
      </w:r>
    </w:p>
    <w:p>
      <w:pPr>
        <w:spacing w:after="0" w:line="132" w:lineRule="exact"/>
        <w:rPr>
          <w:sz w:val="20"/>
          <w:szCs w:val="20"/>
          <w:color w:val="auto"/>
        </w:rPr>
      </w:pPr>
    </w:p>
    <w:p>
      <w:pPr>
        <w:jc w:val="both"/>
        <w:ind w:left="1940" w:right="799"/>
        <w:spacing w:after="0" w:line="250" w:lineRule="auto"/>
        <w:rPr>
          <w:sz w:val="20"/>
          <w:szCs w:val="20"/>
          <w:color w:val="auto"/>
        </w:rPr>
      </w:pPr>
      <w:r>
        <w:rPr>
          <w:rFonts w:ascii="Arial" w:cs="Arial" w:eastAsia="Arial" w:hAnsi="Arial"/>
          <w:sz w:val="12"/>
          <w:szCs w:val="12"/>
          <w:color w:val="auto"/>
        </w:rPr>
        <w:t>Approval of the foregoing resolution requires the affirmative vote of a majority of the shares of common stock entitled to vote and voted for or against this item. Abstentions and broker non-votes will not affect the outcome of the vote on this item.</w:t>
      </w:r>
    </w:p>
    <w:p>
      <w:pPr>
        <w:spacing w:after="0" w:line="131"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As an advisory vote, this proposal is not binding upon CenterPoint Energy or the Board of Directors. The final decision on the compensation and benefits of our named executive officers and on whether and how to address the results of the vote remains with the Board of Directors and the Compensation Committee. However, the Board of Directors values the opinions expressed by our shareholders, and the Compensation Committee will consider the outcome of the vote when making future compensation decisions for our named executive officers. The Company currently expects to hold the next shareholder advisory vote on executive compensation at the Company’s 2024 annual meeting of shareholders.</w:t>
      </w:r>
    </w:p>
    <w:p>
      <w:pPr>
        <w:spacing w:after="0" w:line="125" w:lineRule="exact"/>
        <w:rPr>
          <w:sz w:val="20"/>
          <w:szCs w:val="20"/>
          <w:color w:val="auto"/>
        </w:rPr>
      </w:pPr>
    </w:p>
    <w:p>
      <w:pPr>
        <w:jc w:val="both"/>
        <w:ind w:left="1940" w:right="819"/>
        <w:spacing w:after="0" w:line="274" w:lineRule="auto"/>
        <w:rPr>
          <w:sz w:val="20"/>
          <w:szCs w:val="20"/>
          <w:color w:val="auto"/>
        </w:rPr>
      </w:pPr>
      <w:r>
        <w:rPr>
          <w:rFonts w:ascii="Arial" w:cs="Arial" w:eastAsia="Arial" w:hAnsi="Arial"/>
          <w:sz w:val="12"/>
          <w:szCs w:val="12"/>
          <w:b w:val="1"/>
          <w:bCs w:val="1"/>
          <w:color w:val="009AD9"/>
        </w:rPr>
        <w:t>The Board of Directors recommends a vote FOR the approval, on an advisory basis, of the compensation paid to our named executive officers as disclosed in this proxy statement.</w:t>
      </w:r>
    </w:p>
    <w:p>
      <w:pPr>
        <w:spacing w:after="0" w:line="141"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148" w:lineRule="exact"/>
        <w:rPr>
          <w:sz w:val="20"/>
          <w:szCs w:val="20"/>
          <w:color w:val="auto"/>
        </w:rPr>
      </w:pPr>
    </w:p>
    <w:p>
      <w:pPr>
        <w:ind w:left="1940" w:right="1039"/>
        <w:spacing w:after="0" w:line="298" w:lineRule="auto"/>
        <w:rPr>
          <w:sz w:val="20"/>
          <w:szCs w:val="20"/>
          <w:color w:val="auto"/>
        </w:rPr>
      </w:pPr>
      <w:r>
        <w:rPr>
          <w:rFonts w:ascii="Arial" w:cs="Arial" w:eastAsia="Arial" w:hAnsi="Arial"/>
          <w:sz w:val="21"/>
          <w:szCs w:val="21"/>
          <w:b w:val="1"/>
          <w:bCs w:val="1"/>
          <w:color w:val="009AD9"/>
        </w:rPr>
        <w:t>ITEM 4: ADVISORY VOTE ON THE FREQUENCY OF FUTURE SHAREHOLDER ADVISORY VOTES ON EXECUTIVE COMPENSATION</w:t>
      </w:r>
    </w:p>
    <w:p>
      <w:pPr>
        <w:spacing w:after="0" w:line="78"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In accordance with Section 14A of the Exchange Act and the related rules of the SEC, we are providing our shareholders with the opportunity to cast an advisory vote as to how frequently we should hold future advisory votes on the compensation of our named executive officers, or “say-on-pay” votes. As a shareholder, you have the option of voting in favor of holding future say-on-pay votes every one, two or three years, or, alternatively, you may abstain from voting. Currently, the advisory vote occurs on executive compensation every year.</w:t>
      </w:r>
    </w:p>
    <w:p>
      <w:pPr>
        <w:spacing w:after="0" w:line="275"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After considering the arguments for and against the various alternatives, the Board of Directors recommends that shareholders vote for annual say-on-pay votes instead of the other options being presented. Although we believe our executive compensation program cannot reasonably be judged on the results of a single year, we believe an annual vote provides shareholders with an important vehicle for expressing their views on the effectiveness of our executive compensation program over time. With annual votes, the Compensation Committee will have the benefit of shareholder views on our executive compensation program every year and be able to evaluate changes in those views over time. Since important elements of our program are designed to measure performance over several years, the evaluation of compensation should not be focused merely on results from a single year but instead must be judged on the results achieved over several years. In fact, goals and payout targets must be established early in a year, generally before shareholders have provided their views on the last year’s results, so even annual votes do not provide an opportunity to respond to the results of a given say-on-pay vote. Nevertheless, an annual vote provides the Compensation Committee with more frequent indications of the shareholders’ views and should permit those views to be taken into consideration earlier than would be the case if votes are conducted every two or three years.</w:t>
      </w:r>
    </w:p>
    <w:p>
      <w:pPr>
        <w:spacing w:after="0" w:line="141"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The proxy card provides shareholders with four choices (every one, two or three years or abstain). Shareholders are not voting to approve or disapprove the recommendation of the Board of Directors. The time period that receives the highest number of votes cast will be considered the preferred frequency for future “say-on-pay” votes as determined by our shareholders on an advisory basis. Abstentions and broker non-votes will not affect the outcome of the vote on this item.</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As an advisory vote, this proposal is not binding upon CenterPoint Energy or the Board of Directors. However, the Board of Directors values the opinions expressed by our shareholders in their vote on this proposal and will consider the outcome of the vote when determining the frequency of future advisory votes on executive compensation. Notwithstanding the recommendation of the Board of Directors and the outcome of the shareholder vote with respect to this item, the Board of Directors may decide to conduct future say-on-pay advisory votes on a different basis and may vary its practices based on factors such as input from our shareholders and the adoption of material changes to our executive compensation program.</w:t>
      </w:r>
    </w:p>
    <w:p>
      <w:pPr>
        <w:spacing w:after="0" w:line="125" w:lineRule="exact"/>
        <w:rPr>
          <w:sz w:val="20"/>
          <w:szCs w:val="20"/>
          <w:color w:val="auto"/>
        </w:rPr>
      </w:pPr>
    </w:p>
    <w:p>
      <w:pPr>
        <w:jc w:val="both"/>
        <w:ind w:left="1940" w:right="799"/>
        <w:spacing w:after="0" w:line="274" w:lineRule="auto"/>
        <w:rPr>
          <w:sz w:val="20"/>
          <w:szCs w:val="20"/>
          <w:color w:val="auto"/>
        </w:rPr>
      </w:pPr>
      <w:r>
        <w:rPr>
          <w:rFonts w:ascii="Arial" w:cs="Arial" w:eastAsia="Arial" w:hAnsi="Arial"/>
          <w:sz w:val="12"/>
          <w:szCs w:val="12"/>
          <w:b w:val="1"/>
          <w:bCs w:val="1"/>
          <w:color w:val="009AD9"/>
        </w:rPr>
        <w:t>The Board of Directors recommends a vote FOR “1 YEAR” as the preferred frequency for holding future advisory “say-on-pay” votes.</w:t>
      </w:r>
    </w:p>
    <w:p>
      <w:pPr>
        <w:spacing w:after="0" w:line="113" w:lineRule="exact"/>
        <w:rPr>
          <w:sz w:val="20"/>
          <w:szCs w:val="20"/>
          <w:color w:val="auto"/>
        </w:rPr>
      </w:pPr>
    </w:p>
    <w:p>
      <w:pPr>
        <w:ind w:left="2300" w:hanging="318"/>
        <w:spacing w:after="0"/>
        <w:tabs>
          <w:tab w:leader="none" w:pos="2300" w:val="left"/>
        </w:tabs>
        <w:numPr>
          <w:ilvl w:val="0"/>
          <w:numId w:val="13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right="1039"/>
        <w:spacing w:after="0" w:line="257" w:lineRule="auto"/>
        <w:rPr>
          <w:sz w:val="20"/>
          <w:szCs w:val="20"/>
          <w:color w:val="auto"/>
        </w:rPr>
      </w:pPr>
      <w:r>
        <w:rPr>
          <w:rFonts w:ascii="Arial" w:cs="Arial" w:eastAsia="Arial" w:hAnsi="Arial"/>
          <w:sz w:val="22"/>
          <w:szCs w:val="22"/>
          <w:b w:val="1"/>
          <w:bCs w:val="1"/>
          <w:color w:val="009AD9"/>
        </w:rPr>
        <w:t>ITEM 5: SHAREHOLDER PROPOSAL RELATING TO DISCLOSURE OF OUR SCOPE 3 EMISSIONS AND SETTING SCOPE 3 EMISSIONS TARGETS</w:t>
      </w:r>
    </w:p>
    <w:p>
      <w:pPr>
        <w:spacing w:after="0" w:line="12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This proposal was submitted by As You Sow on behalf of Handlery Hotels Inc. and Marguerite Casey Foundation. We will promptly provide the information furnished by the shareholder proponents regarding their addresses and share ownership upon a shareholder’s oral or written request to the Corporate Secretary at 1111 Louisiana St., Houston, Texas 77002 or (713) 207-6500.</w:t>
      </w:r>
    </w:p>
    <w:p>
      <w:pPr>
        <w:spacing w:after="0" w:line="122" w:lineRule="exact"/>
        <w:rPr>
          <w:sz w:val="20"/>
          <w:szCs w:val="20"/>
          <w:color w:val="auto"/>
        </w:rPr>
      </w:pPr>
    </w:p>
    <w:p>
      <w:pPr>
        <w:jc w:val="both"/>
        <w:ind w:left="1940" w:right="799"/>
        <w:spacing w:after="0" w:line="26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Energy utilities play a critical role in achieving the Paris Agreement’s goal of limiting global warming to 1.5 degrees Celsius</w:t>
      </w:r>
      <w:r>
        <w:rPr>
          <w:rFonts w:ascii="Arial" w:cs="Arial" w:eastAsia="Arial" w:hAnsi="Arial"/>
          <w:sz w:val="12"/>
          <w:szCs w:val="12"/>
          <w:b w:val="1"/>
          <w:bCs w:val="1"/>
          <w:color w:val="auto"/>
        </w:rPr>
        <w:t xml:space="preserve"> </w:t>
      </w:r>
      <w:r>
        <w:rPr>
          <w:rFonts w:ascii="Arial" w:cs="Arial" w:eastAsia="Arial" w:hAnsi="Arial"/>
          <w:sz w:val="12"/>
          <w:szCs w:val="12"/>
          <w:color w:val="auto"/>
        </w:rPr>
        <w:t>(1.5</w:t>
      </w:r>
      <w:r>
        <w:rPr>
          <w:rFonts w:ascii="Arial" w:cs="Arial" w:eastAsia="Arial" w:hAnsi="Arial"/>
          <w:sz w:val="7"/>
          <w:szCs w:val="7"/>
          <w:color w:val="auto"/>
        </w:rPr>
        <w:t>°</w:t>
      </w:r>
      <w:r>
        <w:rPr>
          <w:rFonts w:ascii="Arial" w:cs="Arial" w:eastAsia="Arial" w:hAnsi="Arial"/>
          <w:sz w:val="12"/>
          <w:szCs w:val="12"/>
          <w:color w:val="auto"/>
        </w:rPr>
        <w:t>C). Electricity production accounts for 25% of national greenhouse gas emissions, and burning natural gas for heat in buildings accounts for approximately 11%.</w:t>
      </w:r>
      <w:r>
        <w:rPr>
          <w:rFonts w:ascii="Arial" w:cs="Arial" w:eastAsia="Arial" w:hAnsi="Arial"/>
          <w:sz w:val="18"/>
          <w:szCs w:val="18"/>
          <w:color w:val="auto"/>
          <w:vertAlign w:val="superscript"/>
        </w:rPr>
        <w:t>1</w:t>
      </w:r>
      <w:r>
        <w:rPr>
          <w:rFonts w:ascii="Arial" w:cs="Arial" w:eastAsia="Arial" w:hAnsi="Arial"/>
          <w:sz w:val="12"/>
          <w:szCs w:val="12"/>
          <w:color w:val="auto"/>
        </w:rPr>
        <w:t xml:space="preserve"> Utilities also provide energy to some of the most greenhouse gas (GHG) intensive economic sectors.</w:t>
      </w:r>
    </w:p>
    <w:p>
      <w:pPr>
        <w:spacing w:after="0" w:line="37"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International Energy Agency’s Net Zero Scenario is clear on the trajectory necessary to achieve 1.5</w:t>
      </w:r>
      <w:r>
        <w:rPr>
          <w:rFonts w:ascii="Arial" w:cs="Arial" w:eastAsia="Arial" w:hAnsi="Arial"/>
          <w:sz w:val="7"/>
          <w:szCs w:val="7"/>
          <w:color w:val="auto"/>
        </w:rPr>
        <w:t>°</w:t>
      </w:r>
      <w:r>
        <w:rPr>
          <w:rFonts w:ascii="Arial" w:cs="Arial" w:eastAsia="Arial" w:hAnsi="Arial"/>
          <w:sz w:val="12"/>
          <w:szCs w:val="12"/>
          <w:color w:val="auto"/>
        </w:rPr>
        <w:t>C, calling for net zero emissions from power generation by 2035 in advanced economies and globally by 2040, while requiring a 40% reduction of emissions from the building sector by 2030.</w:t>
      </w:r>
    </w:p>
    <w:p>
      <w:pPr>
        <w:spacing w:after="0" w:line="136" w:lineRule="exact"/>
        <w:rPr>
          <w:sz w:val="20"/>
          <w:szCs w:val="20"/>
          <w:color w:val="auto"/>
        </w:rPr>
      </w:pPr>
    </w:p>
    <w:p>
      <w:pPr>
        <w:jc w:val="both"/>
        <w:ind w:left="1940" w:right="819"/>
        <w:spacing w:after="0" w:line="207" w:lineRule="auto"/>
        <w:rPr>
          <w:sz w:val="20"/>
          <w:szCs w:val="20"/>
          <w:color w:val="auto"/>
        </w:rPr>
      </w:pPr>
      <w:r>
        <w:rPr>
          <w:rFonts w:ascii="Arial" w:cs="Arial" w:eastAsia="Arial" w:hAnsi="Arial"/>
          <w:sz w:val="12"/>
          <w:szCs w:val="12"/>
          <w:color w:val="auto"/>
        </w:rPr>
        <w:t>Fossil fuels, including natural gas, have significant upstream emissions associated with their production.</w:t>
      </w:r>
      <w:r>
        <w:rPr>
          <w:rFonts w:ascii="Arial" w:cs="Arial" w:eastAsia="Arial" w:hAnsi="Arial"/>
          <w:sz w:val="18"/>
          <w:szCs w:val="18"/>
          <w:color w:val="auto"/>
          <w:vertAlign w:val="superscript"/>
        </w:rPr>
        <w:t>2,3</w:t>
      </w:r>
      <w:r>
        <w:rPr>
          <w:rFonts w:ascii="Arial" w:cs="Arial" w:eastAsia="Arial" w:hAnsi="Arial"/>
          <w:sz w:val="12"/>
          <w:szCs w:val="12"/>
          <w:color w:val="auto"/>
        </w:rPr>
        <w:t xml:space="preserve"> Many utilities’ net zero climate targets fail to account for the significant and material value chain emissions associated with upstream production of gas, downstream burning of gas by customers, and purchased power from the grid.</w:t>
      </w:r>
    </w:p>
    <w:p>
      <w:pPr>
        <w:spacing w:after="0" w:line="138" w:lineRule="exact"/>
        <w:rPr>
          <w:sz w:val="20"/>
          <w:szCs w:val="20"/>
          <w:color w:val="auto"/>
        </w:rPr>
      </w:pPr>
    </w:p>
    <w:p>
      <w:pPr>
        <w:jc w:val="both"/>
        <w:ind w:left="1940" w:right="799"/>
        <w:spacing w:after="0" w:line="225" w:lineRule="auto"/>
        <w:rPr>
          <w:sz w:val="20"/>
          <w:szCs w:val="20"/>
          <w:color w:val="auto"/>
        </w:rPr>
      </w:pPr>
      <w:r>
        <w:rPr>
          <w:rFonts w:ascii="Arial" w:cs="Arial" w:eastAsia="Arial" w:hAnsi="Arial"/>
          <w:sz w:val="12"/>
          <w:szCs w:val="12"/>
          <w:color w:val="auto"/>
        </w:rPr>
        <w:t>The Climate Action 100+ initiative, a coalition with $68 trillion in assets, issued a Net Zero Benchmark (“Benchmark”) outlining metrics that create climate accountability for companies and transparency for shareholders.</w:t>
      </w:r>
      <w:r>
        <w:rPr>
          <w:rFonts w:ascii="Arial" w:cs="Arial" w:eastAsia="Arial" w:hAnsi="Arial"/>
          <w:sz w:val="18"/>
          <w:szCs w:val="18"/>
          <w:color w:val="auto"/>
          <w:vertAlign w:val="superscript"/>
        </w:rPr>
        <w:t>4</w:t>
      </w:r>
      <w:r>
        <w:rPr>
          <w:rFonts w:ascii="Arial" w:cs="Arial" w:eastAsia="Arial" w:hAnsi="Arial"/>
          <w:sz w:val="12"/>
          <w:szCs w:val="12"/>
          <w:color w:val="auto"/>
        </w:rPr>
        <w:t xml:space="preserve"> Indicators 1 through 5 of the Benchmark seek reporting on companies’ Net Zero emissions ambitions; short, medium, and long-term GHG reductions goals; and action plans to achieve decarbonization targets. The Science Based Targets Initiative (SBTi) similarly requires that material Scope 3 emissions be included in company GHG reduction targets.</w:t>
      </w:r>
      <w:r>
        <w:rPr>
          <w:rFonts w:ascii="Arial" w:cs="Arial" w:eastAsia="Arial" w:hAnsi="Arial"/>
          <w:sz w:val="18"/>
          <w:szCs w:val="18"/>
          <w:color w:val="auto"/>
          <w:vertAlign w:val="superscript"/>
        </w:rPr>
        <w:t>5</w:t>
      </w:r>
    </w:p>
    <w:p>
      <w:pPr>
        <w:spacing w:after="0" w:line="51" w:lineRule="exact"/>
        <w:rPr>
          <w:sz w:val="20"/>
          <w:szCs w:val="20"/>
          <w:color w:val="auto"/>
        </w:rPr>
      </w:pPr>
    </w:p>
    <w:p>
      <w:pPr>
        <w:jc w:val="both"/>
        <w:ind w:left="1940" w:right="799"/>
        <w:spacing w:after="0" w:line="184" w:lineRule="auto"/>
        <w:rPr>
          <w:sz w:val="20"/>
          <w:szCs w:val="20"/>
          <w:color w:val="auto"/>
        </w:rPr>
      </w:pPr>
      <w:r>
        <w:rPr>
          <w:rFonts w:ascii="Arial" w:cs="Arial" w:eastAsia="Arial" w:hAnsi="Arial"/>
          <w:sz w:val="12"/>
          <w:szCs w:val="12"/>
          <w:color w:val="auto"/>
        </w:rPr>
        <w:t>CenterPoint discloses operational emissions and emissions from use of sold products.</w:t>
      </w:r>
      <w:r>
        <w:rPr>
          <w:rFonts w:ascii="Arial" w:cs="Arial" w:eastAsia="Arial" w:hAnsi="Arial"/>
          <w:sz w:val="18"/>
          <w:szCs w:val="18"/>
          <w:color w:val="auto"/>
          <w:vertAlign w:val="superscript"/>
        </w:rPr>
        <w:t>6</w:t>
      </w:r>
      <w:r>
        <w:rPr>
          <w:rFonts w:ascii="Arial" w:cs="Arial" w:eastAsia="Arial" w:hAnsi="Arial"/>
          <w:sz w:val="12"/>
          <w:szCs w:val="12"/>
          <w:color w:val="auto"/>
        </w:rPr>
        <w:t xml:space="preserve"> It fails, however, to disclose upstream product emissions, which are likely significant, adding between 16 to 65 percent to natural gas combustion emissions.</w:t>
      </w:r>
      <w:r>
        <w:rPr>
          <w:rFonts w:ascii="Arial" w:cs="Arial" w:eastAsia="Arial" w:hAnsi="Arial"/>
          <w:sz w:val="18"/>
          <w:szCs w:val="18"/>
          <w:color w:val="auto"/>
          <w:vertAlign w:val="superscript"/>
        </w:rPr>
        <w:t>7</w:t>
      </w:r>
      <w:r>
        <w:rPr>
          <w:rFonts w:ascii="Arial" w:cs="Arial" w:eastAsia="Arial" w:hAnsi="Arial"/>
          <w:sz w:val="12"/>
          <w:szCs w:val="12"/>
          <w:color w:val="auto"/>
        </w:rPr>
        <w:t xml:space="preserve"> With regard to target setting, CenterPoint has committed to achieve net zero emissions by 2035 for its operational emissions, and to reduce emissions from use of sold products by 20 to 30%.</w:t>
      </w:r>
      <w:r>
        <w:rPr>
          <w:rFonts w:ascii="Arial" w:cs="Arial" w:eastAsia="Arial" w:hAnsi="Arial"/>
          <w:sz w:val="18"/>
          <w:szCs w:val="18"/>
          <w:color w:val="auto"/>
          <w:vertAlign w:val="superscript"/>
        </w:rPr>
        <w:t>8</w:t>
      </w:r>
      <w:r>
        <w:rPr>
          <w:rFonts w:ascii="Arial" w:cs="Arial" w:eastAsia="Arial" w:hAnsi="Arial"/>
          <w:sz w:val="12"/>
          <w:szCs w:val="12"/>
          <w:color w:val="auto"/>
        </w:rPr>
        <w:t xml:space="preserve"> These targets fail to address the remaining 70 to 80 percent of use of sold products and all other Scope 3 value chain emissions, including upstream natural gas emissions.</w:t>
      </w:r>
    </w:p>
    <w:p>
      <w:pPr>
        <w:spacing w:after="0" w:line="140"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In contrast, peer utilities are starting to account for value chain emissions. PSEG and NRG committed to set a net zero target through the Science Based Targets initiative. Sempra, Duke, and Dominion set net zero targets covering full Scope 3 value chain emissions, while Xcel and CMS have expanded their net zero targets to include customer use of natural gas.</w:t>
      </w:r>
    </w:p>
    <w:p>
      <w:pPr>
        <w:spacing w:after="0" w:line="122" w:lineRule="exact"/>
        <w:rPr>
          <w:sz w:val="20"/>
          <w:szCs w:val="20"/>
          <w:color w:val="auto"/>
        </w:rPr>
      </w:pPr>
    </w:p>
    <w:p>
      <w:pPr>
        <w:jc w:val="both"/>
        <w:ind w:left="1940" w:right="799"/>
        <w:spacing w:after="0" w:line="274" w:lineRule="auto"/>
        <w:rPr>
          <w:sz w:val="20"/>
          <w:szCs w:val="20"/>
          <w:color w:val="auto"/>
        </w:rPr>
      </w:pPr>
      <w:r>
        <w:rPr>
          <w:rFonts w:ascii="Arial" w:cs="Arial" w:eastAsia="Arial" w:hAnsi="Arial"/>
          <w:sz w:val="12"/>
          <w:szCs w:val="12"/>
          <w:b w:val="1"/>
          <w:bCs w:val="1"/>
          <w:color w:val="auto"/>
        </w:rPr>
        <w:t>RESOLVED</w:t>
      </w:r>
      <w:r>
        <w:rPr>
          <w:rFonts w:ascii="Arial" w:cs="Arial" w:eastAsia="Arial" w:hAnsi="Arial"/>
          <w:sz w:val="12"/>
          <w:szCs w:val="12"/>
          <w:color w:val="auto"/>
        </w:rPr>
        <w:t>: Shareholders request that the Board disclose all Scope 3 emissions and set Paris-aligned, 1.5</w:t>
      </w:r>
      <w:r>
        <w:rPr>
          <w:rFonts w:ascii="Arial" w:cs="Arial" w:eastAsia="Arial" w:hAnsi="Arial"/>
          <w:sz w:val="7"/>
          <w:szCs w:val="7"/>
          <w:color w:val="auto"/>
        </w:rPr>
        <w:t>°</w:t>
      </w:r>
      <w:r>
        <w:rPr>
          <w:rFonts w:ascii="Arial" w:cs="Arial" w:eastAsia="Arial" w:hAnsi="Arial"/>
          <w:sz w:val="12"/>
          <w:szCs w:val="12"/>
          <w:color w:val="auto"/>
        </w:rPr>
        <w:t>C, Scope 3 targets across its</w:t>
      </w:r>
      <w:r>
        <w:rPr>
          <w:rFonts w:ascii="Arial" w:cs="Arial" w:eastAsia="Arial" w:hAnsi="Arial"/>
          <w:sz w:val="12"/>
          <w:szCs w:val="12"/>
          <w:b w:val="1"/>
          <w:bCs w:val="1"/>
          <w:color w:val="auto"/>
        </w:rPr>
        <w:t xml:space="preserve"> </w:t>
      </w:r>
      <w:r>
        <w:rPr>
          <w:rFonts w:ascii="Arial" w:cs="Arial" w:eastAsia="Arial" w:hAnsi="Arial"/>
          <w:sz w:val="12"/>
          <w:szCs w:val="12"/>
          <w:color w:val="auto"/>
        </w:rPr>
        <w:t>full range of value chain emissions, including short, medium, and long term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45720</wp:posOffset>
            </wp:positionV>
            <wp:extent cx="79692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96925" cy="5715"/>
                    </a:xfrm>
                    <a:prstGeom prst="rect">
                      <a:avLst/>
                    </a:prstGeom>
                    <a:noFill/>
                  </pic:spPr>
                </pic:pic>
              </a:graphicData>
            </a:graphic>
          </wp:anchor>
        </w:drawing>
      </w:r>
    </w:p>
    <w:p>
      <w:pPr>
        <w:spacing w:after="0" w:line="35" w:lineRule="exact"/>
        <w:rPr>
          <w:sz w:val="20"/>
          <w:szCs w:val="20"/>
          <w:color w:val="auto"/>
        </w:rPr>
      </w:pPr>
    </w:p>
    <w:p>
      <w:pPr>
        <w:ind w:left="2160" w:hanging="226"/>
        <w:spacing w:after="0"/>
        <w:tabs>
          <w:tab w:leader="none" w:pos="2160" w:val="left"/>
        </w:tabs>
        <w:numPr>
          <w:ilvl w:val="0"/>
          <w:numId w:val="139"/>
        </w:numPr>
        <w:rPr>
          <w:rFonts w:ascii="Arial" w:cs="Arial" w:eastAsia="Arial" w:hAnsi="Arial"/>
          <w:sz w:val="15"/>
          <w:szCs w:val="15"/>
          <w:color w:val="auto"/>
          <w:vertAlign w:val="superscript"/>
        </w:rPr>
      </w:pPr>
      <w:r>
        <w:rPr>
          <w:rFonts w:ascii="Arial" w:cs="Arial" w:eastAsia="Arial" w:hAnsi="Arial"/>
          <w:sz w:val="10"/>
          <w:szCs w:val="10"/>
          <w:color w:val="auto"/>
        </w:rPr>
        <w:t>https://www.epagov/ghgemissions/sources-greenhouse-gas-emissions</w:t>
      </w:r>
    </w:p>
    <w:p>
      <w:pPr>
        <w:ind w:left="2160" w:hanging="226"/>
        <w:spacing w:after="0" w:line="215" w:lineRule="auto"/>
        <w:tabs>
          <w:tab w:leader="none" w:pos="2160" w:val="left"/>
        </w:tabs>
        <w:numPr>
          <w:ilvl w:val="0"/>
          <w:numId w:val="140"/>
        </w:numPr>
        <w:rPr>
          <w:rFonts w:ascii="Arial" w:cs="Arial" w:eastAsia="Arial" w:hAnsi="Arial"/>
          <w:sz w:val="15"/>
          <w:szCs w:val="15"/>
          <w:color w:val="auto"/>
          <w:vertAlign w:val="superscript"/>
        </w:rPr>
      </w:pPr>
      <w:r>
        <w:rPr>
          <w:rFonts w:ascii="Arial" w:cs="Arial" w:eastAsia="Arial" w:hAnsi="Arial"/>
          <w:sz w:val="10"/>
          <w:szCs w:val="10"/>
          <w:color w:val="auto"/>
        </w:rPr>
        <w:t>https://globalenergymonitor.org/wp-content/uploads/2022/03/GEM_CCM2022_final.pdf</w:t>
      </w:r>
    </w:p>
    <w:p>
      <w:pPr>
        <w:ind w:left="2160" w:hanging="226"/>
        <w:spacing w:after="0" w:line="215" w:lineRule="auto"/>
        <w:tabs>
          <w:tab w:leader="none" w:pos="2160" w:val="left"/>
        </w:tabs>
        <w:numPr>
          <w:ilvl w:val="0"/>
          <w:numId w:val="141"/>
        </w:numPr>
        <w:rPr>
          <w:rFonts w:ascii="Arial" w:cs="Arial" w:eastAsia="Arial" w:hAnsi="Arial"/>
          <w:sz w:val="15"/>
          <w:szCs w:val="15"/>
          <w:color w:val="auto"/>
          <w:vertAlign w:val="superscript"/>
        </w:rPr>
      </w:pPr>
      <w:r>
        <w:rPr>
          <w:rFonts w:ascii="Arial" w:cs="Arial" w:eastAsia="Arial" w:hAnsi="Arial"/>
          <w:sz w:val="10"/>
          <w:szCs w:val="10"/>
          <w:color w:val="auto"/>
        </w:rPr>
        <w:t>https://www.ncbi.nlm.nih.gov/pmc/articles/PMC6223263/</w:t>
      </w:r>
    </w:p>
    <w:p>
      <w:pPr>
        <w:ind w:left="2160" w:hanging="226"/>
        <w:spacing w:after="0" w:line="215" w:lineRule="auto"/>
        <w:tabs>
          <w:tab w:leader="none" w:pos="2160" w:val="left"/>
        </w:tabs>
        <w:numPr>
          <w:ilvl w:val="0"/>
          <w:numId w:val="142"/>
        </w:numPr>
        <w:rPr>
          <w:rFonts w:ascii="Arial" w:cs="Arial" w:eastAsia="Arial" w:hAnsi="Arial"/>
          <w:sz w:val="15"/>
          <w:szCs w:val="15"/>
          <w:color w:val="auto"/>
          <w:vertAlign w:val="superscript"/>
        </w:rPr>
      </w:pPr>
      <w:r>
        <w:rPr>
          <w:rFonts w:ascii="Arial" w:cs="Arial" w:eastAsia="Arial" w:hAnsi="Arial"/>
          <w:sz w:val="10"/>
          <w:szCs w:val="10"/>
          <w:color w:val="auto"/>
        </w:rPr>
        <w:t>https://www.climateaction100.org/wp-content/uploads/2021/03/Climate-Action-100-Benchmark-Indicators-FINAL-3.12.pdf</w:t>
      </w:r>
    </w:p>
    <w:p>
      <w:pPr>
        <w:ind w:left="2160" w:hanging="226"/>
        <w:spacing w:after="0" w:line="215" w:lineRule="auto"/>
        <w:tabs>
          <w:tab w:leader="none" w:pos="2160" w:val="left"/>
        </w:tabs>
        <w:numPr>
          <w:ilvl w:val="0"/>
          <w:numId w:val="143"/>
        </w:numPr>
        <w:rPr>
          <w:rFonts w:ascii="Arial" w:cs="Arial" w:eastAsia="Arial" w:hAnsi="Arial"/>
          <w:sz w:val="15"/>
          <w:szCs w:val="15"/>
          <w:color w:val="auto"/>
          <w:vertAlign w:val="superscript"/>
        </w:rPr>
      </w:pPr>
      <w:r>
        <w:rPr>
          <w:rFonts w:ascii="Arial" w:cs="Arial" w:eastAsia="Arial" w:hAnsi="Arial"/>
          <w:sz w:val="10"/>
          <w:szCs w:val="10"/>
          <w:color w:val="auto"/>
        </w:rPr>
        <w:t>https://sciencebasedtargets.org/resources/legacy/2020/06/SBTi-Power-Sector-15C-guide-FINAL.pdf</w:t>
      </w:r>
    </w:p>
    <w:p>
      <w:pPr>
        <w:ind w:left="2160" w:hanging="226"/>
        <w:spacing w:after="0" w:line="215" w:lineRule="auto"/>
        <w:tabs>
          <w:tab w:leader="none" w:pos="2160" w:val="left"/>
        </w:tabs>
        <w:numPr>
          <w:ilvl w:val="0"/>
          <w:numId w:val="144"/>
        </w:numPr>
        <w:rPr>
          <w:rFonts w:ascii="Arial" w:cs="Arial" w:eastAsia="Arial" w:hAnsi="Arial"/>
          <w:sz w:val="15"/>
          <w:szCs w:val="15"/>
          <w:color w:val="auto"/>
          <w:vertAlign w:val="superscript"/>
        </w:rPr>
      </w:pPr>
      <w:r>
        <w:rPr>
          <w:rFonts w:ascii="Arial" w:cs="Arial" w:eastAsia="Arial" w:hAnsi="Arial"/>
          <w:sz w:val="10"/>
          <w:szCs w:val="10"/>
          <w:color w:val="auto"/>
        </w:rPr>
        <w:t>https://sustainability.centerpointenergy.com/esg-data-center/#emissions</w:t>
      </w:r>
    </w:p>
    <w:p>
      <w:pPr>
        <w:ind w:left="2160" w:hanging="226"/>
        <w:spacing w:after="0" w:line="215" w:lineRule="auto"/>
        <w:tabs>
          <w:tab w:leader="none" w:pos="2160" w:val="left"/>
        </w:tabs>
        <w:numPr>
          <w:ilvl w:val="0"/>
          <w:numId w:val="145"/>
        </w:numPr>
        <w:rPr>
          <w:rFonts w:ascii="Arial" w:cs="Arial" w:eastAsia="Arial" w:hAnsi="Arial"/>
          <w:sz w:val="15"/>
          <w:szCs w:val="15"/>
          <w:color w:val="auto"/>
          <w:vertAlign w:val="superscript"/>
        </w:rPr>
      </w:pPr>
      <w:r>
        <w:rPr>
          <w:rFonts w:ascii="Arial" w:cs="Arial" w:eastAsia="Arial" w:hAnsi="Arial"/>
          <w:sz w:val="10"/>
          <w:szCs w:val="10"/>
          <w:color w:val="auto"/>
        </w:rPr>
        <w:t>https://iopscience.iop.org/article/10.1088/1748-9326/abef33</w:t>
      </w:r>
    </w:p>
    <w:p>
      <w:pPr>
        <w:spacing w:after="0" w:line="39" w:lineRule="exact"/>
        <w:rPr>
          <w:rFonts w:ascii="Arial" w:cs="Arial" w:eastAsia="Arial" w:hAnsi="Arial"/>
          <w:sz w:val="15"/>
          <w:szCs w:val="15"/>
          <w:color w:val="auto"/>
          <w:vertAlign w:val="superscript"/>
        </w:rPr>
      </w:pPr>
    </w:p>
    <w:p>
      <w:pPr>
        <w:ind w:left="1940"/>
        <w:spacing w:after="0"/>
        <w:rPr>
          <w:rFonts w:ascii="Arial" w:cs="Arial" w:eastAsia="Arial" w:hAnsi="Arial"/>
          <w:sz w:val="15"/>
          <w:szCs w:val="15"/>
          <w:color w:val="auto"/>
          <w:vertAlign w:val="superscript"/>
        </w:rPr>
      </w:pPr>
      <w:r>
        <w:rPr>
          <w:rFonts w:ascii="Arial" w:cs="Arial" w:eastAsia="Arial" w:hAnsi="Arial"/>
          <w:sz w:val="14"/>
          <w:szCs w:val="14"/>
          <w:color w:val="auto"/>
          <w:vertAlign w:val="superscript"/>
        </w:rPr>
        <w:t>8</w:t>
      </w:r>
      <w:r>
        <w:rPr>
          <w:rFonts w:ascii="Arial" w:cs="Arial" w:eastAsia="Arial" w:hAnsi="Arial"/>
          <w:sz w:val="10"/>
          <w:szCs w:val="10"/>
          <w:color w:val="auto"/>
        </w:rPr>
        <w:t xml:space="preserve">     https://sustainability.centerpointenergy.com/net-zero/</w:t>
      </w:r>
    </w:p>
    <w:p>
      <w:pPr>
        <w:spacing w:after="0" w:line="114"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5: Shareholder Proposal Relating to Disclosure of Our Scope 3 Emissions and Setting Scope 3 Emissions Targets (continued)</w:t>
      </w:r>
    </w:p>
    <w:p>
      <w:pPr>
        <w:spacing w:after="0" w:line="86"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SUPPORTING STATEMENT</w:t>
      </w:r>
      <w:r>
        <w:rPr>
          <w:rFonts w:ascii="Arial" w:cs="Arial" w:eastAsia="Arial" w:hAnsi="Arial"/>
          <w:sz w:val="12"/>
          <w:szCs w:val="12"/>
          <w:color w:val="auto"/>
        </w:rPr>
        <w:t>: Proponents suggest, at management’s discretion, the report:</w:t>
      </w:r>
    </w:p>
    <w:p>
      <w:pPr>
        <w:spacing w:after="0" w:line="94" w:lineRule="exact"/>
        <w:rPr>
          <w:sz w:val="20"/>
          <w:szCs w:val="20"/>
          <w:color w:val="auto"/>
        </w:rPr>
      </w:pPr>
    </w:p>
    <w:p>
      <w:pPr>
        <w:ind w:left="2220" w:hanging="213"/>
        <w:spacing w:after="0"/>
        <w:tabs>
          <w:tab w:leader="none" w:pos="2220" w:val="left"/>
        </w:tabs>
        <w:numPr>
          <w:ilvl w:val="0"/>
          <w:numId w:val="146"/>
        </w:numPr>
        <w:rPr>
          <w:rFonts w:ascii="Arial" w:cs="Arial" w:eastAsia="Arial" w:hAnsi="Arial"/>
          <w:sz w:val="12"/>
          <w:szCs w:val="12"/>
          <w:color w:val="009AD9"/>
        </w:rPr>
      </w:pPr>
      <w:r>
        <w:rPr>
          <w:rFonts w:ascii="Arial" w:cs="Arial" w:eastAsia="Arial" w:hAnsi="Arial"/>
          <w:sz w:val="12"/>
          <w:szCs w:val="12"/>
          <w:color w:val="auto"/>
        </w:rPr>
        <w:t>In setting targets, take into consideration approaches used by advisory groups such as the Science Based Targets Initiative;</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146"/>
        </w:numPr>
        <w:rPr>
          <w:rFonts w:ascii="Arial" w:cs="Arial" w:eastAsia="Arial" w:hAnsi="Arial"/>
          <w:sz w:val="12"/>
          <w:szCs w:val="12"/>
          <w:color w:val="009AD9"/>
        </w:rPr>
      </w:pPr>
      <w:r>
        <w:rPr>
          <w:rFonts w:ascii="Arial" w:cs="Arial" w:eastAsia="Arial" w:hAnsi="Arial"/>
          <w:sz w:val="12"/>
          <w:szCs w:val="12"/>
          <w:color w:val="auto"/>
        </w:rPr>
        <w:t>Provide a timeline for setting a 1.5</w:t>
      </w:r>
      <w:r>
        <w:rPr>
          <w:rFonts w:ascii="Arial" w:cs="Arial" w:eastAsia="Arial" w:hAnsi="Arial"/>
          <w:sz w:val="7"/>
          <w:szCs w:val="7"/>
          <w:color w:val="auto"/>
        </w:rPr>
        <w:t>°</w:t>
      </w:r>
      <w:r>
        <w:rPr>
          <w:rFonts w:ascii="Arial" w:cs="Arial" w:eastAsia="Arial" w:hAnsi="Arial"/>
          <w:sz w:val="12"/>
          <w:szCs w:val="12"/>
          <w:color w:val="auto"/>
        </w:rPr>
        <w:t>C aligned Net Zero by 2050 GHG reduction target, and 1.5 degree-aligned interim goals;</w:t>
      </w:r>
    </w:p>
    <w:p>
      <w:pPr>
        <w:spacing w:after="0" w:line="80" w:lineRule="exact"/>
        <w:rPr>
          <w:rFonts w:ascii="Arial" w:cs="Arial" w:eastAsia="Arial" w:hAnsi="Arial"/>
          <w:sz w:val="12"/>
          <w:szCs w:val="12"/>
          <w:color w:val="009AD9"/>
        </w:rPr>
      </w:pPr>
    </w:p>
    <w:p>
      <w:pPr>
        <w:ind w:left="2220" w:hanging="213"/>
        <w:spacing w:after="0"/>
        <w:tabs>
          <w:tab w:leader="none" w:pos="2220" w:val="left"/>
        </w:tabs>
        <w:numPr>
          <w:ilvl w:val="0"/>
          <w:numId w:val="146"/>
        </w:numPr>
        <w:rPr>
          <w:rFonts w:ascii="Arial" w:cs="Arial" w:eastAsia="Arial" w:hAnsi="Arial"/>
          <w:sz w:val="12"/>
          <w:szCs w:val="12"/>
          <w:color w:val="009AD9"/>
        </w:rPr>
      </w:pPr>
      <w:r>
        <w:rPr>
          <w:rFonts w:ascii="Arial" w:cs="Arial" w:eastAsia="Arial" w:hAnsi="Arial"/>
          <w:sz w:val="12"/>
          <w:szCs w:val="12"/>
          <w:color w:val="auto"/>
        </w:rPr>
        <w:t>Provide an enterprise-wide climate transition plan to achieve net zero emissions.</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Board of Directors Response</w:t>
      </w:r>
    </w:p>
    <w:p>
      <w:pPr>
        <w:spacing w:after="0" w:line="71" w:lineRule="exact"/>
        <w:rPr>
          <w:sz w:val="20"/>
          <w:szCs w:val="20"/>
          <w:color w:val="auto"/>
        </w:rPr>
      </w:pPr>
    </w:p>
    <w:p>
      <w:pPr>
        <w:ind w:left="1940" w:right="819"/>
        <w:spacing w:after="0" w:line="274" w:lineRule="auto"/>
        <w:rPr>
          <w:sz w:val="20"/>
          <w:szCs w:val="20"/>
          <w:color w:val="auto"/>
        </w:rPr>
      </w:pPr>
      <w:r>
        <w:rPr>
          <w:rFonts w:ascii="Arial" w:cs="Arial" w:eastAsia="Arial" w:hAnsi="Arial"/>
          <w:sz w:val="12"/>
          <w:szCs w:val="12"/>
          <w:b w:val="1"/>
          <w:bCs w:val="1"/>
          <w:color w:val="009AD9"/>
        </w:rPr>
        <w:t>THE BOARD OF DIRECTORS OPPOSES THIS SHAREHOLDER PROPOSAL AND RECOMMENDS A VOTE AGAINST IT FOR THE REASONS SET FORTH BELOW:</w:t>
      </w:r>
    </w:p>
    <w:p>
      <w:pPr>
        <w:spacing w:after="0" w:line="44" w:lineRule="exact"/>
        <w:rPr>
          <w:sz w:val="20"/>
          <w:szCs w:val="20"/>
          <w:color w:val="auto"/>
        </w:rPr>
      </w:pPr>
    </w:p>
    <w:p>
      <w:pPr>
        <w:ind w:left="1940" w:right="799"/>
        <w:spacing w:after="0" w:line="250" w:lineRule="auto"/>
        <w:rPr>
          <w:sz w:val="20"/>
          <w:szCs w:val="20"/>
          <w:color w:val="auto"/>
        </w:rPr>
      </w:pPr>
      <w:r>
        <w:rPr>
          <w:rFonts w:ascii="Arial" w:cs="Arial" w:eastAsia="Arial" w:hAnsi="Arial"/>
          <w:sz w:val="12"/>
          <w:szCs w:val="12"/>
          <w:color w:val="auto"/>
        </w:rPr>
        <w:t>The Board has carefully considered this proposal and for the reasons identified below believes that approval of the proposed resolution is not in the best interest of the Company or its shareholders:</w:t>
      </w:r>
    </w:p>
    <w:p>
      <w:pPr>
        <w:spacing w:after="0" w:line="67" w:lineRule="exact"/>
        <w:rPr>
          <w:sz w:val="20"/>
          <w:szCs w:val="20"/>
          <w:color w:val="auto"/>
        </w:rPr>
      </w:pPr>
    </w:p>
    <w:p>
      <w:pPr>
        <w:ind w:left="2220" w:right="819" w:hanging="213"/>
        <w:spacing w:after="0" w:line="250" w:lineRule="auto"/>
        <w:tabs>
          <w:tab w:leader="none" w:pos="2220" w:val="left"/>
        </w:tabs>
        <w:numPr>
          <w:ilvl w:val="0"/>
          <w:numId w:val="147"/>
        </w:numPr>
        <w:rPr>
          <w:rFonts w:ascii="Arial" w:cs="Arial" w:eastAsia="Arial" w:hAnsi="Arial"/>
          <w:sz w:val="12"/>
          <w:szCs w:val="12"/>
          <w:color w:val="009AD9"/>
        </w:rPr>
      </w:pPr>
      <w:r>
        <w:rPr>
          <w:rFonts w:ascii="Arial" w:cs="Arial" w:eastAsia="Arial" w:hAnsi="Arial"/>
          <w:sz w:val="12"/>
          <w:szCs w:val="12"/>
          <w:color w:val="auto"/>
        </w:rPr>
        <w:t>We recognize the importance of addressing climate change and aggressively pursuing GHG emission reductions, and our Board is actively involved in overseeing our efforts.</w:t>
      </w:r>
    </w:p>
    <w:p>
      <w:pPr>
        <w:spacing w:after="0" w:line="148" w:lineRule="exact"/>
        <w:rPr>
          <w:rFonts w:ascii="Arial" w:cs="Arial" w:eastAsia="Arial" w:hAnsi="Arial"/>
          <w:sz w:val="12"/>
          <w:szCs w:val="12"/>
          <w:color w:val="009AD9"/>
        </w:rPr>
      </w:pPr>
    </w:p>
    <w:p>
      <w:pPr>
        <w:ind w:left="2220" w:hanging="213"/>
        <w:spacing w:after="0"/>
        <w:tabs>
          <w:tab w:leader="none" w:pos="2220" w:val="left"/>
        </w:tabs>
        <w:numPr>
          <w:ilvl w:val="0"/>
          <w:numId w:val="147"/>
        </w:numPr>
        <w:rPr>
          <w:rFonts w:ascii="Arial" w:cs="Arial" w:eastAsia="Arial" w:hAnsi="Arial"/>
          <w:sz w:val="12"/>
          <w:szCs w:val="12"/>
          <w:color w:val="009AD9"/>
        </w:rPr>
      </w:pPr>
      <w:r>
        <w:rPr>
          <w:rFonts w:ascii="Arial" w:cs="Arial" w:eastAsia="Arial" w:hAnsi="Arial"/>
          <w:sz w:val="12"/>
          <w:szCs w:val="12"/>
          <w:color w:val="auto"/>
        </w:rPr>
        <w:t>We are acting responsibly in setting and pursuing our Scope 1, 2 and 3 emission goals.</w:t>
      </w:r>
    </w:p>
    <w:p>
      <w:pPr>
        <w:spacing w:after="0" w:line="162" w:lineRule="exact"/>
        <w:rPr>
          <w:rFonts w:ascii="Arial" w:cs="Arial" w:eastAsia="Arial" w:hAnsi="Arial"/>
          <w:sz w:val="12"/>
          <w:szCs w:val="12"/>
          <w:color w:val="009AD9"/>
        </w:rPr>
      </w:pPr>
    </w:p>
    <w:p>
      <w:pPr>
        <w:ind w:left="2220" w:right="799" w:hanging="213"/>
        <w:spacing w:after="0" w:line="250" w:lineRule="auto"/>
        <w:tabs>
          <w:tab w:leader="none" w:pos="2220" w:val="left"/>
        </w:tabs>
        <w:numPr>
          <w:ilvl w:val="0"/>
          <w:numId w:val="147"/>
        </w:numPr>
        <w:rPr>
          <w:rFonts w:ascii="Arial" w:cs="Arial" w:eastAsia="Arial" w:hAnsi="Arial"/>
          <w:sz w:val="12"/>
          <w:szCs w:val="12"/>
          <w:color w:val="009AD9"/>
        </w:rPr>
      </w:pPr>
      <w:r>
        <w:rPr>
          <w:rFonts w:ascii="Arial" w:cs="Arial" w:eastAsia="Arial" w:hAnsi="Arial"/>
          <w:sz w:val="12"/>
          <w:szCs w:val="12"/>
          <w:color w:val="auto"/>
        </w:rPr>
        <w:t>We believe that the expansion of Scope 3 reporting and goals requested by this proposal is not appropriate or supported by appropriate third-party standards at this time.</w:t>
      </w:r>
    </w:p>
    <w:p>
      <w:pPr>
        <w:spacing w:after="0" w:line="67" w:lineRule="exact"/>
        <w:rPr>
          <w:rFonts w:ascii="Arial" w:cs="Arial" w:eastAsia="Arial" w:hAnsi="Arial"/>
          <w:sz w:val="12"/>
          <w:szCs w:val="12"/>
          <w:color w:val="009AD9"/>
        </w:rPr>
      </w:pPr>
    </w:p>
    <w:p>
      <w:pPr>
        <w:ind w:left="2520" w:right="819" w:hanging="295"/>
        <w:spacing w:after="0" w:line="250" w:lineRule="auto"/>
        <w:tabs>
          <w:tab w:leader="none" w:pos="2520" w:val="left"/>
        </w:tabs>
        <w:numPr>
          <w:ilvl w:val="1"/>
          <w:numId w:val="147"/>
        </w:numPr>
        <w:rPr>
          <w:rFonts w:ascii="Arial" w:cs="Arial" w:eastAsia="Arial" w:hAnsi="Arial"/>
          <w:sz w:val="12"/>
          <w:szCs w:val="12"/>
          <w:color w:val="009AD9"/>
        </w:rPr>
      </w:pPr>
      <w:r>
        <w:rPr>
          <w:rFonts w:ascii="Arial" w:cs="Arial" w:eastAsia="Arial" w:hAnsi="Arial"/>
          <w:sz w:val="12"/>
          <w:szCs w:val="12"/>
          <w:color w:val="auto"/>
        </w:rPr>
        <w:t>Securities Exchange Commission announced plans to finalize carbon emissions disclosure rules this year; Company resources focused on addressing new requirements.</w:t>
      </w:r>
    </w:p>
    <w:p>
      <w:pPr>
        <w:spacing w:after="0" w:line="67" w:lineRule="exact"/>
        <w:rPr>
          <w:rFonts w:ascii="Arial" w:cs="Arial" w:eastAsia="Arial" w:hAnsi="Arial"/>
          <w:sz w:val="12"/>
          <w:szCs w:val="12"/>
          <w:color w:val="009AD9"/>
        </w:rPr>
      </w:pPr>
    </w:p>
    <w:p>
      <w:pPr>
        <w:ind w:left="2520" w:hanging="295"/>
        <w:spacing w:after="0"/>
        <w:tabs>
          <w:tab w:leader="none" w:pos="2520" w:val="left"/>
        </w:tabs>
        <w:numPr>
          <w:ilvl w:val="1"/>
          <w:numId w:val="147"/>
        </w:numPr>
        <w:rPr>
          <w:rFonts w:ascii="Arial" w:cs="Arial" w:eastAsia="Arial" w:hAnsi="Arial"/>
          <w:sz w:val="12"/>
          <w:szCs w:val="12"/>
          <w:color w:val="009AD9"/>
        </w:rPr>
      </w:pPr>
      <w:r>
        <w:rPr>
          <w:rFonts w:ascii="Arial" w:cs="Arial" w:eastAsia="Arial" w:hAnsi="Arial"/>
          <w:sz w:val="12"/>
          <w:szCs w:val="12"/>
          <w:color w:val="auto"/>
        </w:rPr>
        <w:t>Third-party standards for reporting accurate measurements that capture full breadth of Scope 3 emissions still in development.</w:t>
      </w:r>
    </w:p>
    <w:p>
      <w:pPr>
        <w:spacing w:after="0" w:line="80" w:lineRule="exact"/>
        <w:rPr>
          <w:rFonts w:ascii="Arial" w:cs="Arial" w:eastAsia="Arial" w:hAnsi="Arial"/>
          <w:sz w:val="12"/>
          <w:szCs w:val="12"/>
          <w:color w:val="009AD9"/>
        </w:rPr>
      </w:pPr>
    </w:p>
    <w:p>
      <w:pPr>
        <w:ind w:left="2520" w:hanging="295"/>
        <w:spacing w:after="0"/>
        <w:tabs>
          <w:tab w:leader="none" w:pos="2520" w:val="left"/>
        </w:tabs>
        <w:numPr>
          <w:ilvl w:val="1"/>
          <w:numId w:val="147"/>
        </w:numPr>
        <w:rPr>
          <w:rFonts w:ascii="Arial" w:cs="Arial" w:eastAsia="Arial" w:hAnsi="Arial"/>
          <w:sz w:val="12"/>
          <w:szCs w:val="12"/>
          <w:color w:val="009AD9"/>
        </w:rPr>
      </w:pPr>
      <w:r>
        <w:rPr>
          <w:rFonts w:ascii="Arial" w:cs="Arial" w:eastAsia="Arial" w:hAnsi="Arial"/>
          <w:sz w:val="12"/>
          <w:szCs w:val="12"/>
          <w:color w:val="auto"/>
        </w:rPr>
        <w:t>Company believes robust diligence and governance are prerequisites to establishing new goals and related disclosure.</w:t>
      </w:r>
    </w:p>
    <w:p>
      <w:pPr>
        <w:spacing w:after="0" w:line="13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CenterPoint Energy Recognizes the Importance of Reducing GHG Emissions</w:t>
      </w:r>
    </w:p>
    <w:p>
      <w:pPr>
        <w:spacing w:after="0" w:line="85"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 xml:space="preserve">At CenterPoint Energy, we recognize climate change is one of the defining public policy issues of our time. That’s why we continue to work towards significantly reducing our carbon emissions while seeking to provide safer, more reliable and affordable services to our customers. In addition, we recognize the importance to shareholders of regular reporting on the progress we are making towards reducing our carbon emissions and achieving our net zero and carbon emission reduction goals. In response, the Company has undertaken to provide clear and transparent disclosure of these items through our sustainability website, </w:t>
      </w:r>
      <w:r>
        <w:rPr>
          <w:rFonts w:ascii="Arial" w:cs="Arial" w:eastAsia="Arial" w:hAnsi="Arial"/>
          <w:sz w:val="12"/>
          <w:szCs w:val="12"/>
          <w:i w:val="1"/>
          <w:iCs w:val="1"/>
          <w:color w:val="auto"/>
        </w:rPr>
        <w:t>www.sustainability.centerpointenergy.com</w:t>
      </w:r>
      <w:r>
        <w:rPr>
          <w:rFonts w:ascii="Arial" w:cs="Arial" w:eastAsia="Arial" w:hAnsi="Arial"/>
          <w:sz w:val="12"/>
          <w:szCs w:val="12"/>
          <w:color w:val="auto"/>
        </w:rPr>
        <w:t>, and other voluntary reporting.</w:t>
      </w:r>
    </w:p>
    <w:p>
      <w:pPr>
        <w:spacing w:after="0" w:line="139"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The Board is actively involved in overseeing and guiding our work in this area. As discussed earlier in this proxy statement, the Board formed the Governance, Environmental and Sustainability Committee, which is charged with oversight responsibility of the Company’s environmental matters, including those matters related to climate change, as well as assessing its sustainability strategy and initiatives, including the pathways and progress towards achievement of the Company’s net zero and carbon emissions reduction goals. The Governance, Environmental and Sustainability Committee, the Board or both receive quarterly reports from representatives of the Company’s ESG Council regarding the Company’s environmental and sustainability activities and risks, including risks related to climate change and to the achievement of the Company’s net zero and carbon emissions reduction goals, among others. In addition, as addressed in the CD&amp;A, beginning in 2022, the Compensation Committee of the Board incorporated a carbon emissions reduction performance goal into senior executives’ long term incentive awards, having a 5% weight, as a way to incentivize and to track the Company’s progress towards it net zero and Scope 3 carbon emissions reduction goals.</w:t>
      </w:r>
    </w:p>
    <w:p>
      <w:pPr>
        <w:spacing w:after="0" w:line="136" w:lineRule="exact"/>
        <w:rPr>
          <w:sz w:val="20"/>
          <w:szCs w:val="20"/>
          <w:color w:val="auto"/>
        </w:rPr>
      </w:pPr>
    </w:p>
    <w:p>
      <w:pPr>
        <w:ind w:left="2300" w:hanging="318"/>
        <w:spacing w:after="0"/>
        <w:tabs>
          <w:tab w:leader="none" w:pos="2300" w:val="left"/>
        </w:tabs>
        <w:numPr>
          <w:ilvl w:val="0"/>
          <w:numId w:val="148"/>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45" w:lineRule="exact"/>
        <w:rPr>
          <w:sz w:val="20"/>
          <w:szCs w:val="20"/>
          <w:color w:val="auto"/>
        </w:rPr>
      </w:pPr>
    </w:p>
    <w:p>
      <w:pPr>
        <w:jc w:val="right"/>
        <w:ind w:right="799"/>
        <w:spacing w:after="0"/>
        <w:rPr>
          <w:sz w:val="20"/>
          <w:szCs w:val="20"/>
          <w:color w:val="auto"/>
        </w:rPr>
      </w:pPr>
      <w:r>
        <w:rPr>
          <w:rFonts w:ascii="Arial" w:cs="Arial" w:eastAsia="Arial" w:hAnsi="Arial"/>
          <w:sz w:val="10"/>
          <w:szCs w:val="10"/>
          <w:i w:val="1"/>
          <w:iCs w:val="1"/>
          <w:color w:val="auto"/>
        </w:rPr>
        <w:t>Item 5: Shareholder Proposal Relating to Disclosure of Our Scope 3 Emissions and Setting Scope 3 Emissions Targets (continued)</w:t>
      </w:r>
    </w:p>
    <w:p>
      <w:pPr>
        <w:spacing w:after="0" w:line="150"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CenterPoint Energy Already Discloses Certain Scope 1, 2 and 3 Emissions and Has Set Appropriate Emission Reduction Goals</w:t>
      </w:r>
    </w:p>
    <w:p>
      <w:pPr>
        <w:spacing w:after="0" w:line="85"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CenterPoint Energy currently reports certain Scope 1, 2 and 3 emissions on its sustainability website in accordance with its reporting of emissions to the United State Environmental Protection Agency. Further, in 2022 the Company published its inaugural report following the recommendations of the Task Force for Climate-Related Financial Disclosures, which can also be located on the Company’s sustainability website.</w:t>
      </w:r>
    </w:p>
    <w:p>
      <w:pPr>
        <w:spacing w:after="0" w:line="137"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In addition, in September 2021, CenterPoint Energy was the first combined electric and natural gas utility with generation operations to announce its net zero goals for Scope 1 and certain Scope 2 GHG emissions by 2035, nearly 15 years ahead of certain of its peers’ average goals. Further, we agree that measuring Scope 3 emissions is an important tool to address climate change, which is why we were one of the first utilities to have incorporated certain Scope 3 reduction targets as described below. In this regard, CenterPoint Energy strives to help its residential and commercial customers reduce GHG emissions attributable to their end use of natural gas by 20-30% by 2035 from a 2021 baseline. This Scope 3 goal is comparable to emission reductions for both our Scope 1 and 2 net zero goals, as customer end use of natural gas represents a significant component of our Scope 3 emissions. These goals span across CenterPoint Energy’s electric, natural gas, and generation businesses, as well as across its multi-state footprint.</w:t>
      </w:r>
    </w:p>
    <w:p>
      <w:pPr>
        <w:spacing w:after="0" w:line="137"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We developed these goals after careful review of our business strategy, operations, and extensive modeling to identify goals that had identifiable pathways of achievement and, for our Scope 1 and 2 emissions goals, are aligned with the Paris Agreement. The importance of developing these actionable pathways prior to the announcement of these goals can be seen in the steps the Company has taken since announcement to further these goals. With respect to our Scope 3 goals, CenterPoint Energy has focused on actionable steps, including partnering with customers to offer affordable conservation and energy-efficiency programs, continuing to develop alternative fuel programs, collaborating with our suppliers to lower their methane emissions and piloting and supporting innovation. The Company is currently conducting commercial carbon capture and sequestration pilots, hydrogen pilots and energy efficiency conservation improvement programs while also planning to utilize renewable natural gas and other offsets. In addition, the Company intends to continue to align its reporting of Scope 1, 2 and 3 emissions with current regulatory and legislative requirements, and intends to seek to provide additional disclosures as such data becomes appropriately verifiable or estimable.</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b w:val="1"/>
          <w:bCs w:val="1"/>
          <w:i w:val="1"/>
          <w:iCs w:val="1"/>
          <w:color w:val="auto"/>
        </w:rPr>
        <w:t>The Expansion of Scope 3 Reporting and Goals Requested by This Proposal Is Not Appropriate at This Time</w:t>
      </w:r>
    </w:p>
    <w:p>
      <w:pPr>
        <w:spacing w:after="0" w:line="85" w:lineRule="exact"/>
        <w:rPr>
          <w:sz w:val="20"/>
          <w:szCs w:val="20"/>
          <w:color w:val="auto"/>
        </w:rPr>
      </w:pPr>
    </w:p>
    <w:p>
      <w:pPr>
        <w:jc w:val="both"/>
        <w:ind w:left="1940" w:right="799"/>
        <w:spacing w:after="0"/>
        <w:rPr>
          <w:sz w:val="20"/>
          <w:szCs w:val="20"/>
          <w:color w:val="auto"/>
        </w:rPr>
      </w:pPr>
      <w:r>
        <w:rPr>
          <w:rFonts w:ascii="Arial" w:cs="Arial" w:eastAsia="Arial" w:hAnsi="Arial"/>
          <w:sz w:val="12"/>
          <w:szCs w:val="12"/>
          <w:color w:val="auto"/>
        </w:rPr>
        <w:t>Before the Company could implement the shareholder’s proposal and announce an expansion of its Scope 3 carbon emission reduction goals, appropriate governance necessitates expansive data gathering and a similar review of updated modeling and the development of identifiable pathways to goal achievement. These processes require a significant amount of time, resources and due diligence and the Company believes it is not appropriate to establish new emission reduction goals and disclosure without completion of these important internal processes.</w:t>
      </w:r>
    </w:p>
    <w:p>
      <w:pPr>
        <w:spacing w:after="0" w:line="138" w:lineRule="exact"/>
        <w:rPr>
          <w:sz w:val="20"/>
          <w:szCs w:val="20"/>
          <w:color w:val="auto"/>
        </w:rPr>
      </w:pPr>
    </w:p>
    <w:p>
      <w:pPr>
        <w:jc w:val="both"/>
        <w:ind w:left="1940" w:right="799"/>
        <w:spacing w:after="0" w:line="204" w:lineRule="auto"/>
        <w:rPr>
          <w:sz w:val="20"/>
          <w:szCs w:val="20"/>
          <w:color w:val="auto"/>
        </w:rPr>
      </w:pPr>
      <w:r>
        <w:rPr>
          <w:rFonts w:ascii="Arial" w:cs="Arial" w:eastAsia="Arial" w:hAnsi="Arial"/>
          <w:sz w:val="12"/>
          <w:szCs w:val="12"/>
          <w:color w:val="auto"/>
        </w:rPr>
        <w:t>However, the processes and methodologies for calculating Scope 3 emissions (and validating targets in respect thereof) are currently not as well established as for Scope 1 and Scope 2 emissions. Indeed, the Science-Based Targets initiative (SBTi), which is referred to in the proposal, has stated that it cannot presently validate targets for certain natural gas activities because specific methods and guidance have not yet been published.</w:t>
      </w:r>
      <w:r>
        <w:rPr>
          <w:rFonts w:ascii="Arial" w:cs="Arial" w:eastAsia="Arial" w:hAnsi="Arial"/>
          <w:sz w:val="18"/>
          <w:szCs w:val="18"/>
          <w:color w:val="auto"/>
          <w:vertAlign w:val="superscript"/>
        </w:rPr>
        <w:t>9</w:t>
      </w:r>
      <w:r>
        <w:rPr>
          <w:rFonts w:ascii="Arial" w:cs="Arial" w:eastAsia="Arial" w:hAnsi="Arial"/>
          <w:sz w:val="12"/>
          <w:szCs w:val="12"/>
          <w:color w:val="auto"/>
        </w:rPr>
        <w:t xml:space="preserve"> Moreover, Climate Action 100+, also referred to in the proposal, states that: “Many publicly listed electric utilities also sell other forms of energy including natural gas, heat and electricity supplied by third parties… However it is not currently possible to directly benchmark these activities using the sectoral decarbonisation approach.”</w:t>
      </w:r>
      <w:r>
        <w:rPr>
          <w:rFonts w:ascii="Arial" w:cs="Arial" w:eastAsia="Arial" w:hAnsi="Arial"/>
          <w:sz w:val="18"/>
          <w:szCs w:val="18"/>
          <w:color w:val="auto"/>
          <w:vertAlign w:val="superscript"/>
        </w:rPr>
        <w:t>10</w:t>
      </w:r>
      <w:r>
        <w:rPr>
          <w:rFonts w:ascii="Arial" w:cs="Arial" w:eastAsia="Arial" w:hAnsi="Arial"/>
          <w:sz w:val="12"/>
          <w:szCs w:val="12"/>
          <w:color w:val="auto"/>
        </w:rPr>
        <w:t xml:space="preserve"> Similarly, the Corporate Value Chain (Scope 3) Accounting and Reporting Standard,</w:t>
      </w:r>
      <w:r>
        <w:rPr>
          <w:rFonts w:ascii="Arial" w:cs="Arial" w:eastAsia="Arial" w:hAnsi="Arial"/>
          <w:sz w:val="18"/>
          <w:szCs w:val="18"/>
          <w:color w:val="auto"/>
          <w:vertAlign w:val="superscript"/>
        </w:rPr>
        <w:t>11</w:t>
      </w:r>
      <w:r>
        <w:rPr>
          <w:rFonts w:ascii="Arial" w:cs="Arial" w:eastAsia="Arial" w:hAnsi="Arial"/>
          <w:sz w:val="12"/>
          <w:szCs w:val="12"/>
          <w:color w:val="auto"/>
        </w:rPr>
        <w:t xml:space="preserve"> which is the definitive guide for Scope 3 reporting published by The GHG Protocol Initiative, notes that Scope 3 reporting is optional and states, “Companies may want to focus on accounting for and reporting those activities that are relevant to their business and goals, and for which they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61595</wp:posOffset>
            </wp:positionV>
            <wp:extent cx="79692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96925" cy="5715"/>
                    </a:xfrm>
                    <a:prstGeom prst="rect">
                      <a:avLst/>
                    </a:prstGeom>
                    <a:noFill/>
                  </pic:spPr>
                </pic:pic>
              </a:graphicData>
            </a:graphic>
          </wp:anchor>
        </w:drawing>
      </w:r>
    </w:p>
    <w:p>
      <w:pPr>
        <w:spacing w:after="0" w:line="59" w:lineRule="exact"/>
        <w:rPr>
          <w:sz w:val="20"/>
          <w:szCs w:val="20"/>
          <w:color w:val="auto"/>
        </w:rPr>
      </w:pPr>
    </w:p>
    <w:p>
      <w:pPr>
        <w:ind w:left="2160" w:hanging="226"/>
        <w:spacing w:after="0"/>
        <w:tabs>
          <w:tab w:leader="none" w:pos="2160" w:val="left"/>
        </w:tabs>
        <w:numPr>
          <w:ilvl w:val="0"/>
          <w:numId w:val="149"/>
        </w:numPr>
        <w:rPr>
          <w:rFonts w:ascii="Arial" w:cs="Arial" w:eastAsia="Arial" w:hAnsi="Arial"/>
          <w:sz w:val="15"/>
          <w:szCs w:val="15"/>
          <w:color w:val="auto"/>
          <w:vertAlign w:val="superscript"/>
        </w:rPr>
      </w:pPr>
      <w:r>
        <w:rPr>
          <w:rFonts w:ascii="Arial" w:cs="Arial" w:eastAsia="Arial" w:hAnsi="Arial"/>
          <w:sz w:val="10"/>
          <w:szCs w:val="10"/>
          <w:i w:val="1"/>
          <w:iCs w:val="1"/>
          <w:color w:val="auto"/>
        </w:rPr>
        <w:t>See, e.g.</w:t>
      </w:r>
      <w:r>
        <w:rPr>
          <w:rFonts w:ascii="Arial" w:cs="Arial" w:eastAsia="Arial" w:hAnsi="Arial"/>
          <w:sz w:val="10"/>
          <w:szCs w:val="10"/>
          <w:color w:val="auto"/>
        </w:rPr>
        <w:t>, SBTi Criteria and Recommendations, Version 5.0 (October 2021), https://sciencebasedtargets.org/resources/files/SBTi-criteria.pdf.</w:t>
      </w:r>
    </w:p>
    <w:p>
      <w:pPr>
        <w:ind w:left="2160" w:hanging="226"/>
        <w:spacing w:after="0" w:line="215" w:lineRule="auto"/>
        <w:tabs>
          <w:tab w:leader="none" w:pos="2160" w:val="left"/>
        </w:tabs>
        <w:numPr>
          <w:ilvl w:val="0"/>
          <w:numId w:val="150"/>
        </w:numPr>
        <w:rPr>
          <w:rFonts w:ascii="Arial" w:cs="Arial" w:eastAsia="Arial" w:hAnsi="Arial"/>
          <w:sz w:val="15"/>
          <w:szCs w:val="15"/>
          <w:color w:val="auto"/>
          <w:vertAlign w:val="superscript"/>
        </w:rPr>
      </w:pPr>
      <w:r>
        <w:rPr>
          <w:rFonts w:ascii="Arial" w:cs="Arial" w:eastAsia="Arial" w:hAnsi="Arial"/>
          <w:sz w:val="10"/>
          <w:szCs w:val="10"/>
          <w:color w:val="auto"/>
        </w:rPr>
        <w:t>Climate Action 100+, Global Sector Strategies: Investor Interventions to Accelerate Net Zero Electric Utilities (October 2021), p. 19.</w:t>
      </w:r>
    </w:p>
    <w:p>
      <w:pPr>
        <w:spacing w:after="0" w:line="38" w:lineRule="exact"/>
        <w:rPr>
          <w:rFonts w:ascii="Arial" w:cs="Arial" w:eastAsia="Arial" w:hAnsi="Arial"/>
          <w:sz w:val="15"/>
          <w:szCs w:val="15"/>
          <w:color w:val="auto"/>
          <w:vertAlign w:val="superscript"/>
        </w:rPr>
      </w:pPr>
    </w:p>
    <w:p>
      <w:pPr>
        <w:ind w:left="2160" w:hanging="226"/>
        <w:spacing w:after="0" w:line="185" w:lineRule="auto"/>
        <w:tabs>
          <w:tab w:leader="none" w:pos="2160" w:val="left"/>
        </w:tabs>
        <w:numPr>
          <w:ilvl w:val="0"/>
          <w:numId w:val="150"/>
        </w:numPr>
        <w:rPr>
          <w:rFonts w:ascii="Arial" w:cs="Arial" w:eastAsia="Arial" w:hAnsi="Arial"/>
          <w:sz w:val="13"/>
          <w:szCs w:val="13"/>
          <w:color w:val="auto"/>
          <w:vertAlign w:val="superscript"/>
        </w:rPr>
      </w:pPr>
      <w:r>
        <w:rPr>
          <w:rFonts w:ascii="Arial" w:cs="Arial" w:eastAsia="Arial" w:hAnsi="Arial"/>
          <w:sz w:val="9"/>
          <w:szCs w:val="9"/>
          <w:color w:val="auto"/>
        </w:rPr>
        <w:t>A</w:t>
      </w:r>
      <w:r>
        <w:rPr>
          <w:rFonts w:ascii="Arial" w:cs="Arial" w:eastAsia="Arial" w:hAnsi="Arial"/>
          <w:sz w:val="9"/>
          <w:szCs w:val="9"/>
          <w:i w:val="1"/>
          <w:iCs w:val="1"/>
          <w:color w:val="auto"/>
        </w:rPr>
        <w:t>vailable at</w:t>
      </w:r>
      <w:r>
        <w:rPr>
          <w:rFonts w:ascii="Arial" w:cs="Arial" w:eastAsia="Arial" w:hAnsi="Arial"/>
          <w:sz w:val="9"/>
          <w:szCs w:val="9"/>
          <w:color w:val="auto"/>
        </w:rPr>
        <w:t xml:space="preserve"> https://ghgprotocol.org/sites/default/files/standards/Corporate-Value-Chain-Accounting-Reporing-Standard_041613_2.pdf.</w:t>
      </w:r>
    </w:p>
    <w:p>
      <w:pPr>
        <w:spacing w:after="0" w:line="159"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Item 5: Shareholder Proposal Relating to Disclosure of Our Scope 3 Emissions and Setting Scope 3 Emissions Targets (continued)</w:t>
      </w:r>
    </w:p>
    <w:p>
      <w:pPr>
        <w:spacing w:after="0" w:line="100"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reliable information.” Thus, in overseeing the Company’s determination of what Scope 3 emissions are appropriate for the Company’s reporting and goal-setting, the Board considered that the standards to ensure accurate measurements that capture the full breadth of Scope 3 emissions are still in development, and not yet ripe for full incorporation into the Company’s emissions reduction goals.</w:t>
      </w:r>
    </w:p>
    <w:p>
      <w:pPr>
        <w:spacing w:after="0" w:line="136"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Further, while the Securities and Exchange Commission has published proposed rules regarding public companies’ disclosure of Scope 1, 2 and 3 emissions, final rules have not yet been adopted and become effective. It currently is uncertain to what extent the final rules will match the proposed rules or if additional requirements will be added, and even once the terms of any final rules are known, there are likely to be many interpretive issues as to the implementation of any Scope 3 reporting requirements. As with many public companies, compliance with the SEC’s final climate-related rules and timeline likely will require a significant amount of resources, and the Board believes that trying to comply with both the shareholder proposed framework and the SEC’s climate related disclosure requirements would unnecessarily strain the Company’s resources with little additional climate reporting benefits. Therefore, the Board believes that adopting a new and additional voluntary reporting framework is untimely and that the best use of the Company’s resources will be to focus on addressing any final Securities and Exchange Commission climate related disclosure requirements.</w:t>
      </w:r>
    </w:p>
    <w:p>
      <w:pPr>
        <w:spacing w:after="0" w:line="136"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In conclusion, the Company continues to make progress towards achieving its emissions reduction goals. For example, we are executing on our generation transition plan in Indiana, including plans to close our coal power plants and increasing our portfolio of renewables, and are executing on our 10-year capital plan, which includes investment to modernize and harden our infrastructure. However, the Board believes it currently is not the right time for the Company to implement new Scope 3 emission disclosures or goals in light of the pending Securities and Exchange Commission climate disclosure rules, the need to conduct the prerequisite lengthy and time consuming due diligence process that will be necessary to confirm that such disclosures are reliable and the goals have identified pathways of achievement, and the absence of clear standards for reporting by companies with operations such as the Company. CenterPoint Energy continues to utilize a systematic, deliberative and disciplined approach to reducing its emissions by focusing on those sources it has determined yield the most value. We believe this approach will enable the Company to update its emission reduction targets with the appropriate scientific rigor once better third-party guidance is available.</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009AD9"/>
        </w:rPr>
        <w:t>The Board of Directors recommends a vote AGAINST this Proposal/Item 5.</w:t>
      </w:r>
    </w:p>
    <w:p>
      <w:pPr>
        <w:spacing w:after="0" w:line="153" w:lineRule="exact"/>
        <w:rPr>
          <w:sz w:val="20"/>
          <w:szCs w:val="20"/>
          <w:color w:val="auto"/>
        </w:rPr>
      </w:pPr>
    </w:p>
    <w:p>
      <w:pPr>
        <w:ind w:left="2300" w:hanging="318"/>
        <w:spacing w:after="0"/>
        <w:tabs>
          <w:tab w:leader="none" w:pos="2300" w:val="left"/>
        </w:tabs>
        <w:numPr>
          <w:ilvl w:val="0"/>
          <w:numId w:val="151"/>
        </w:numPr>
        <w:rPr>
          <w:rFonts w:ascii="Arial" w:cs="Arial" w:eastAsia="Arial" w:hAnsi="Arial"/>
          <w:sz w:val="15"/>
          <w:szCs w:val="15"/>
          <w:b w:val="1"/>
          <w:bCs w:val="1"/>
          <w:color w:val="009AD9"/>
        </w:rPr>
      </w:pPr>
      <w:r>
        <w:rPr>
          <w:rFonts w:ascii="Arial" w:cs="Arial" w:eastAsia="Arial" w:hAnsi="Arial"/>
          <w:sz w:val="13"/>
          <w:szCs w:val="13"/>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471170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192"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009AD9"/>
        </w:rPr>
        <w:t>GENERAL INFORMATION</w:t>
      </w:r>
    </w:p>
    <w:p>
      <w:pPr>
        <w:spacing w:after="0" w:line="170" w:lineRule="exact"/>
        <w:rPr>
          <w:sz w:val="20"/>
          <w:szCs w:val="20"/>
          <w:color w:val="auto"/>
        </w:rPr>
      </w:pPr>
    </w:p>
    <w:p>
      <w:pPr>
        <w:jc w:val="both"/>
        <w:ind w:left="1940" w:right="799"/>
        <w:spacing w:after="0" w:line="221" w:lineRule="auto"/>
        <w:rPr>
          <w:sz w:val="20"/>
          <w:szCs w:val="20"/>
          <w:color w:val="auto"/>
        </w:rPr>
      </w:pPr>
      <w:r>
        <w:rPr>
          <w:rFonts w:ascii="Arial" w:cs="Arial" w:eastAsia="Arial" w:hAnsi="Arial"/>
          <w:sz w:val="12"/>
          <w:szCs w:val="12"/>
          <w:color w:val="auto"/>
        </w:rPr>
        <w:t>We began mailing this proxy statement and the accompanying proxy card to shareholders on or about March 10, 2023. The proxy statement and proxy card are being furnished at the direction of the Board of Directors. We will pay all solicitation costs, including the fee of Okapi Partners LLC, 1212 Avenue of the Americas, 17</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Floor, New York, New York 10036, who will help us solicit proxies, of $15,000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w:t>
      </w:r>
    </w:p>
    <w:p>
      <w:pPr>
        <w:spacing w:after="0" w:line="138"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Shareholder Proposals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819"/>
        <w:spacing w:after="0" w:line="243" w:lineRule="auto"/>
        <w:rPr>
          <w:sz w:val="20"/>
          <w:szCs w:val="20"/>
          <w:color w:val="auto"/>
        </w:rPr>
      </w:pPr>
      <w:r>
        <w:rPr>
          <w:rFonts w:ascii="Arial" w:cs="Arial" w:eastAsia="Arial" w:hAnsi="Arial"/>
          <w:sz w:val="12"/>
          <w:szCs w:val="12"/>
          <w:color w:val="auto"/>
        </w:rPr>
        <w:t>Any shareholder who intends to present a proposal at the 2024 annual meeting of shareholders and who requests inclusion of the proposal in CenterPoint Energy’s proxy statement and form of proxy in accordance with applicable rules of the Securities and Exchange Commission must file such proposal with us by November 11, 2023.</w:t>
      </w:r>
    </w:p>
    <w:p>
      <w:pPr>
        <w:spacing w:after="0" w:line="136"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 xml:space="preserve">Our bylaws also require advance notice of other proposals by shareholders to be presented for action at an annual meeting. In the case of the 2024 annual meeting of shareholders, the required notice must be received by our Corporate Secretary between October 24, 2023 and January 22, 2024. The bylaws require, among other things, that the proposal must constitute a proper subject to be brought before the meeting and that the notice must contain prescribed information, including a description of the proposal and the reasons for bringing it before the meeting, proof of the proponent’s status as a shareholder and the number of shares held, the name and address of the proponent, a description of all arrangements and understandings between the proponent and anyone else in connection with the proposal and any material interest of the proponent in the proposal, as well as comply with other procedural requirements. If any of the foregoing information changes or requires supplementation, the proponent must update the information at the times provided in our bylaws. If the proposal is for an amendment of the bylaws, the notice must also include the text of the proposal and be accompanied by an opinion of counsel to the effect the proposal would not conflict with our Restated Articles of Incorporation or Texas law. A copy of the bylaws describing the requirements for notice of shareholder proposals may be obtained on our website at </w:t>
      </w:r>
      <w:r>
        <w:rPr>
          <w:rFonts w:ascii="Arial" w:cs="Arial" w:eastAsia="Arial" w:hAnsi="Arial"/>
          <w:sz w:val="12"/>
          <w:szCs w:val="12"/>
          <w:i w:val="1"/>
          <w:iCs w:val="1"/>
          <w:color w:val="auto"/>
        </w:rPr>
        <w:t>https://investors.centerpointenergy.com/governance</w:t>
      </w:r>
      <w:r>
        <w:rPr>
          <w:rFonts w:ascii="Arial" w:cs="Arial" w:eastAsia="Arial" w:hAnsi="Arial"/>
          <w:sz w:val="12"/>
          <w:szCs w:val="12"/>
          <w:color w:val="auto"/>
        </w:rPr>
        <w:t>.</w:t>
      </w:r>
    </w:p>
    <w:p>
      <w:pPr>
        <w:spacing w:after="0" w:line="136"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Director Nominations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1" w:lineRule="auto"/>
        <w:rPr>
          <w:sz w:val="20"/>
          <w:szCs w:val="20"/>
          <w:color w:val="auto"/>
        </w:rPr>
      </w:pPr>
      <w:r>
        <w:rPr>
          <w:rFonts w:ascii="Arial" w:cs="Arial" w:eastAsia="Arial" w:hAnsi="Arial"/>
          <w:sz w:val="12"/>
          <w:szCs w:val="12"/>
          <w:color w:val="auto"/>
        </w:rPr>
        <w:t>For director nominations by eligible shareholders to be included in our proxy materials or on the universal proxy card, see “Item 1— Election of Directors—Director Nomination Process” for further information. Additionally, for any shareholders seeking to make director nominations, but not seeking to include such matters in our proxy materials for the 2024 annual meeting, see “Item 1—Election of Directors—Director Nomination Process” for further information.</w:t>
      </w:r>
    </w:p>
    <w:p>
      <w:pPr>
        <w:spacing w:after="0" w:line="133"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819"/>
        <w:spacing w:after="0" w:line="241" w:lineRule="auto"/>
        <w:rPr>
          <w:sz w:val="20"/>
          <w:szCs w:val="20"/>
          <w:color w:val="auto"/>
        </w:rPr>
      </w:pPr>
      <w:r>
        <w:rPr>
          <w:rFonts w:ascii="Arial" w:cs="Arial" w:eastAsia="Arial" w:hAnsi="Arial"/>
          <w:sz w:val="12"/>
          <w:szCs w:val="12"/>
          <w:color w:val="auto"/>
        </w:rPr>
        <w:t>Section 16(a) of the Exchange Act requires our directors, executive officers, and holders of more than ten percent of our common stock to file with the Securities and Exchange Commission initial reports of ownership and reports of changes in ownership of our common stock. Except for one transaction on Form 4 for Ms. Peterson that was filed late due to administrative error, we believe that during the fiscal year ended December 31, 2022, all of our officers and directors complied with these filing requirements.</w:t>
      </w:r>
    </w:p>
    <w:p>
      <w:pPr>
        <w:spacing w:after="0" w:line="160"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General Information (continued)</w:t>
      </w:r>
    </w:p>
    <w:p>
      <w:pPr>
        <w:spacing w:after="0" w:line="9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38" w:lineRule="auto"/>
        <w:rPr>
          <w:sz w:val="20"/>
          <w:szCs w:val="20"/>
          <w:color w:val="auto"/>
        </w:rPr>
      </w:pPr>
      <w:r>
        <w:rPr>
          <w:rFonts w:ascii="Arial" w:cs="Arial" w:eastAsia="Arial" w:hAnsi="Arial"/>
          <w:sz w:val="12"/>
          <w:szCs w:val="12"/>
          <w:color w:val="auto"/>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 shareholders who are currently receiving householded materials may revoke their consent, and street-name 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137"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26035</wp:posOffset>
            </wp:positionV>
            <wp:extent cx="471170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pacing w:after="0" w:line="102" w:lineRule="exact"/>
        <w:rPr>
          <w:sz w:val="20"/>
          <w:szCs w:val="20"/>
          <w:color w:val="auto"/>
        </w:rPr>
      </w:pPr>
    </w:p>
    <w:p>
      <w:pPr>
        <w:jc w:val="both"/>
        <w:ind w:left="1940" w:right="799"/>
        <w:spacing w:after="0" w:line="243" w:lineRule="auto"/>
        <w:rPr>
          <w:sz w:val="20"/>
          <w:szCs w:val="20"/>
          <w:color w:val="auto"/>
        </w:rPr>
      </w:pPr>
      <w:r>
        <w:rPr>
          <w:rFonts w:ascii="Arial" w:cs="Arial" w:eastAsia="Arial" w:hAnsi="Arial"/>
          <w:sz w:val="12"/>
          <w:szCs w:val="12"/>
          <w:color w:val="auto"/>
        </w:rPr>
        <w:t>The Annual Report to Shareholders, which includes a copy of our annual report on Form 10-K containing our consolidated financial statements for the fiscal year ended December 31, 2022, accompanies the proxy material being mailed to all shareholders. The Annual Report is not part of the proxy solicitation material.</w:t>
      </w:r>
    </w:p>
    <w:p>
      <w:pPr>
        <w:spacing w:after="0" w:line="136"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219075</wp:posOffset>
            </wp:positionV>
            <wp:extent cx="1010285" cy="2889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010285" cy="28892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195580</wp:posOffset>
            </wp:positionV>
            <wp:extent cx="1056640" cy="3117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056640" cy="31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3680" w:type="dxa"/>
            <w:vAlign w:val="bottom"/>
          </w:tcPr>
          <w:p>
            <w:pPr>
              <w:jc w:val="center"/>
              <w:spacing w:after="0"/>
              <w:rPr>
                <w:sz w:val="20"/>
                <w:szCs w:val="20"/>
                <w:color w:val="auto"/>
              </w:rPr>
            </w:pPr>
            <w:r>
              <w:rPr>
                <w:rFonts w:ascii="Arial" w:cs="Arial" w:eastAsia="Arial" w:hAnsi="Arial"/>
                <w:sz w:val="12"/>
                <w:szCs w:val="12"/>
                <w:color w:val="auto"/>
              </w:rPr>
              <w:t>Martin H. Nesbitt</w:t>
            </w:r>
          </w:p>
        </w:tc>
        <w:tc>
          <w:tcPr>
            <w:tcW w:w="3740" w:type="dxa"/>
            <w:vAlign w:val="bottom"/>
          </w:tcPr>
          <w:p>
            <w:pPr>
              <w:jc w:val="center"/>
              <w:ind w:left="259"/>
              <w:spacing w:after="0"/>
              <w:rPr>
                <w:sz w:val="20"/>
                <w:szCs w:val="20"/>
                <w:color w:val="auto"/>
              </w:rPr>
            </w:pPr>
            <w:r>
              <w:rPr>
                <w:rFonts w:ascii="Arial" w:cs="Arial" w:eastAsia="Arial" w:hAnsi="Arial"/>
                <w:sz w:val="12"/>
                <w:szCs w:val="12"/>
                <w:color w:val="auto"/>
              </w:rPr>
              <w:t>David J. Lesar</w:t>
            </w:r>
          </w:p>
        </w:tc>
      </w:tr>
      <w:tr>
        <w:trPr>
          <w:trHeight w:val="146"/>
        </w:trPr>
        <w:tc>
          <w:tcPr>
            <w:tcW w:w="3680" w:type="dxa"/>
            <w:vAlign w:val="bottom"/>
          </w:tcPr>
          <w:p>
            <w:pPr>
              <w:jc w:val="center"/>
              <w:spacing w:after="0"/>
              <w:rPr>
                <w:sz w:val="20"/>
                <w:szCs w:val="20"/>
                <w:color w:val="auto"/>
              </w:rPr>
            </w:pPr>
            <w:r>
              <w:rPr>
                <w:rFonts w:ascii="Arial" w:cs="Arial" w:eastAsia="Arial" w:hAnsi="Arial"/>
                <w:sz w:val="12"/>
                <w:szCs w:val="12"/>
                <w:color w:val="auto"/>
              </w:rPr>
              <w:t>Independent Chair of the Board</w:t>
            </w:r>
          </w:p>
        </w:tc>
        <w:tc>
          <w:tcPr>
            <w:tcW w:w="3740" w:type="dxa"/>
            <w:vAlign w:val="bottom"/>
          </w:tcPr>
          <w:p>
            <w:pPr>
              <w:jc w:val="center"/>
              <w:ind w:left="259"/>
              <w:spacing w:after="0"/>
              <w:rPr>
                <w:sz w:val="20"/>
                <w:szCs w:val="20"/>
                <w:color w:val="auto"/>
              </w:rPr>
            </w:pPr>
            <w:r>
              <w:rPr>
                <w:rFonts w:ascii="Arial" w:cs="Arial" w:eastAsia="Arial" w:hAnsi="Arial"/>
                <w:sz w:val="12"/>
                <w:szCs w:val="12"/>
                <w:color w:val="auto"/>
              </w:rPr>
              <w:t>President and Chief Executive Officer</w:t>
            </w:r>
          </w:p>
        </w:tc>
      </w:tr>
      <w:tr>
        <w:trPr>
          <w:trHeight w:val="291"/>
        </w:trPr>
        <w:tc>
          <w:tcPr>
            <w:tcW w:w="3680" w:type="dxa"/>
            <w:vAlign w:val="bottom"/>
          </w:tcPr>
          <w:p>
            <w:pPr>
              <w:spacing w:after="0"/>
              <w:rPr>
                <w:sz w:val="20"/>
                <w:szCs w:val="20"/>
                <w:color w:val="auto"/>
              </w:rPr>
            </w:pPr>
            <w:r>
              <w:rPr>
                <w:rFonts w:ascii="Arial" w:cs="Arial" w:eastAsia="Arial" w:hAnsi="Arial"/>
                <w:sz w:val="12"/>
                <w:szCs w:val="12"/>
                <w:color w:val="auto"/>
              </w:rPr>
              <w:t>March 10, 2023</w:t>
            </w:r>
          </w:p>
        </w:tc>
        <w:tc>
          <w:tcPr>
            <w:tcW w:w="3740" w:type="dxa"/>
            <w:vAlign w:val="bottom"/>
          </w:tcPr>
          <w:p>
            <w:pPr>
              <w:spacing w:after="0"/>
              <w:rPr>
                <w:sz w:val="24"/>
                <w:szCs w:val="24"/>
                <w:color w:val="auto"/>
              </w:rPr>
            </w:pPr>
          </w:p>
        </w:tc>
      </w:tr>
      <w:tr>
        <w:trPr>
          <w:trHeight w:val="137"/>
        </w:trPr>
        <w:tc>
          <w:tcPr>
            <w:tcW w:w="3680" w:type="dxa"/>
            <w:vAlign w:val="bottom"/>
            <w:tcBorders>
              <w:bottom w:val="single" w:sz="8" w:color="009AD9"/>
            </w:tcBorders>
          </w:tcPr>
          <w:p>
            <w:pPr>
              <w:spacing w:after="0"/>
              <w:rPr>
                <w:sz w:val="11"/>
                <w:szCs w:val="11"/>
                <w:color w:val="auto"/>
              </w:rPr>
            </w:pPr>
          </w:p>
        </w:tc>
        <w:tc>
          <w:tcPr>
            <w:tcW w:w="3740" w:type="dxa"/>
            <w:vAlign w:val="bottom"/>
            <w:tcBorders>
              <w:bottom w:val="single" w:sz="8" w:color="009AD9"/>
            </w:tcBorders>
          </w:tcPr>
          <w:p>
            <w:pPr>
              <w:spacing w:after="0"/>
              <w:rPr>
                <w:sz w:val="11"/>
                <w:szCs w:val="11"/>
                <w:color w:val="auto"/>
              </w:rPr>
            </w:pPr>
          </w:p>
        </w:tc>
      </w:tr>
      <w:tr>
        <w:trPr>
          <w:trHeight w:val="181"/>
        </w:trPr>
        <w:tc>
          <w:tcPr>
            <w:tcW w:w="3680" w:type="dxa"/>
            <w:vAlign w:val="bottom"/>
          </w:tcPr>
          <w:p>
            <w:pPr>
              <w:ind w:left="40"/>
              <w:spacing w:after="0"/>
              <w:rPr>
                <w:sz w:val="20"/>
                <w:szCs w:val="20"/>
                <w:color w:val="auto"/>
              </w:rPr>
            </w:pPr>
            <w:r>
              <w:rPr>
                <w:rFonts w:ascii="Arial" w:cs="Arial" w:eastAsia="Arial" w:hAnsi="Arial"/>
                <w:sz w:val="15"/>
                <w:szCs w:val="15"/>
                <w:b w:val="1"/>
                <w:bCs w:val="1"/>
                <w:color w:val="009AD9"/>
              </w:rPr>
              <w:t xml:space="preserve">112 </w:t>
            </w:r>
            <w:r>
              <w:rPr>
                <w:rFonts w:ascii="Arial" w:cs="Arial" w:eastAsia="Arial" w:hAnsi="Arial"/>
                <w:sz w:val="13"/>
                <w:szCs w:val="13"/>
                <w:color w:val="000000"/>
              </w:rPr>
              <w:t>CenterPoint Energy</w:t>
            </w:r>
          </w:p>
        </w:tc>
        <w:tc>
          <w:tcPr>
            <w:tcW w:w="3740" w:type="dxa"/>
            <w:vAlign w:val="bottom"/>
          </w:tcPr>
          <w:p>
            <w:pPr>
              <w:spacing w:after="0"/>
              <w:rPr>
                <w:sz w:val="15"/>
                <w:szCs w:val="15"/>
                <w:color w:val="auto"/>
              </w:rPr>
            </w:pPr>
          </w:p>
        </w:tc>
      </w:tr>
    </w:tbl>
    <w:p>
      <w:pPr>
        <w:sectPr>
          <w:pgSz w:w="11900" w:h="16838" w:orient="portrait"/>
          <w:cols w:equalWidth="0" w:num="1">
            <w:col w:w="10159"/>
          </w:cols>
          <w:pgMar w:left="300" w:top="372" w:right="1440"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40005</wp:posOffset>
            </wp:positionV>
            <wp:extent cx="367220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672205" cy="5715"/>
                    </a:xfrm>
                    <a:prstGeom prst="rect">
                      <a:avLst/>
                    </a:prstGeom>
                    <a:noFill/>
                  </pic:spPr>
                </pic:pic>
              </a:graphicData>
            </a:graphic>
          </wp:anchor>
        </w:drawing>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Appendix A</w:t>
      </w:r>
    </w:p>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Reconciliation of non-GAAP Financial Measures to GAAP</w:t>
      </w:r>
    </w:p>
    <w:p>
      <w:pPr>
        <w:spacing w:after="0" w:line="158"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This proxy statement contains financial measures, Adjusted EPS and cumulative net income, that are not determined in accordance with generally accepted accounting principles in the United States of America (GAAP). Management uses these non-GAAP financial measures for, among other things, determining performance-based compensation and financial planning. Management believes that presenting these non-GAAP financial measures enhances an investor’s understanding of the Company’s overall financial performance by providing them with an additional meaningful and relevant comparison of current and anticipated future results across periods. The adjustments made in these non-GAAP financial measures exclude items that management believes do not most accurately reflect the company’s fundamental business performance. These excluded items are reflected in the reconciliation tables below. Non-GAAP financial measures should not be considered as an alternative to the Company’s reported results prepared in accordance with GAAP. These non-GAAP financial measures also may be different than non-GAAP financial measures used by other companies.</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Reconciliation of Adjusted EPS to nearest GAAP Metric</w:t>
      </w:r>
    </w:p>
    <w:p>
      <w:pPr>
        <w:spacing w:after="0" w:line="83" w:lineRule="exact"/>
        <w:rPr>
          <w:sz w:val="20"/>
          <w:szCs w:val="20"/>
          <w:color w:val="auto"/>
        </w:rPr>
      </w:pPr>
    </w:p>
    <w:p>
      <w:pPr>
        <w:jc w:val="both"/>
        <w:ind w:left="1940" w:right="799"/>
        <w:spacing w:after="0" w:line="239" w:lineRule="auto"/>
        <w:rPr>
          <w:sz w:val="20"/>
          <w:szCs w:val="20"/>
          <w:color w:val="auto"/>
        </w:rPr>
      </w:pPr>
      <w:r>
        <w:rPr>
          <w:rFonts w:ascii="Arial" w:cs="Arial" w:eastAsia="Arial" w:hAnsi="Arial"/>
          <w:sz w:val="12"/>
          <w:szCs w:val="12"/>
          <w:color w:val="auto"/>
        </w:rPr>
        <w:t>Adjusted EPS includes net income from the company’s Electric and Natural Gas segments, as well as after tax Corporate and Other operating income and an allocation of corporate overhead based upon Electric’s and Natural Gas’s relative earnings contribution. Corporate overhead consists primarily of interest expense, preferred stock dividend requirements, and other items directly attributable to the parent along with the associated income taxes. It is also adjusted for certain factors to reflect what we consider to be our fundamental business performance. Please see below for the adjustments to Adjusted EPS in 2022, 2021 and 2020. Beginning in 2022, CenterPoint Energy no longer separates utility and midstream operations and reports on a consolidated Adjusted EPS basis.</w:t>
      </w:r>
    </w:p>
    <w:p>
      <w:pPr>
        <w:spacing w:after="0" w:line="125" w:lineRule="exact"/>
        <w:rPr>
          <w:sz w:val="20"/>
          <w:szCs w:val="20"/>
          <w:color w:val="auto"/>
        </w:rPr>
      </w:pPr>
    </w:p>
    <w:p>
      <w:pPr>
        <w:ind w:left="1940" w:right="839"/>
        <w:spacing w:after="0" w:line="274" w:lineRule="auto"/>
        <w:rPr>
          <w:sz w:val="20"/>
          <w:szCs w:val="20"/>
          <w:color w:val="auto"/>
        </w:rPr>
      </w:pPr>
      <w:r>
        <w:rPr>
          <w:rFonts w:ascii="Arial" w:cs="Arial" w:eastAsia="Arial" w:hAnsi="Arial"/>
          <w:sz w:val="12"/>
          <w:szCs w:val="12"/>
          <w:b w:val="1"/>
          <w:bCs w:val="1"/>
          <w:color w:val="auto"/>
        </w:rPr>
        <w:t>Reconciliation of Consolidated income (loss) available to common shareholders and diluted earnings (loss) per share (GAAP) to non-GAAP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86360</wp:posOffset>
            </wp:positionV>
            <wp:extent cx="4711700" cy="3752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711700" cy="375285"/>
                    </a:xfrm>
                    <a:prstGeom prst="rect">
                      <a:avLst/>
                    </a:prstGeom>
                    <a:noFill/>
                  </pic:spPr>
                </pic:pic>
              </a:graphicData>
            </a:graphic>
          </wp:anchor>
        </w:drawing>
      </w:r>
    </w:p>
    <w:p>
      <w:pPr>
        <w:spacing w:after="0" w:line="144" w:lineRule="exact"/>
        <w:rPr>
          <w:sz w:val="20"/>
          <w:szCs w:val="20"/>
          <w:color w:val="auto"/>
        </w:rPr>
      </w:pPr>
    </w:p>
    <w:p>
      <w:pPr>
        <w:ind w:left="8340"/>
        <w:spacing w:after="0"/>
        <w:rPr>
          <w:sz w:val="20"/>
          <w:szCs w:val="20"/>
          <w:color w:val="auto"/>
        </w:rPr>
      </w:pPr>
      <w:r>
        <w:rPr>
          <w:rFonts w:ascii="Arial" w:cs="Arial" w:eastAsia="Arial" w:hAnsi="Arial"/>
          <w:sz w:val="10"/>
          <w:szCs w:val="10"/>
          <w:b w:val="1"/>
          <w:bCs w:val="1"/>
          <w:color w:val="FFFFFF"/>
        </w:rPr>
        <w:t>Year-to-Date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-66675</wp:posOffset>
            </wp:positionV>
            <wp:extent cx="808355" cy="3524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08355" cy="352425"/>
                    </a:xfrm>
                    <a:prstGeom prst="rect">
                      <a:avLst/>
                    </a:prstGeom>
                    <a:noFill/>
                  </pic:spPr>
                </pic:pic>
              </a:graphicData>
            </a:graphic>
          </wp:anchor>
        </w:drawing>
      </w:r>
    </w:p>
    <w:p>
      <w:pPr>
        <w:ind w:left="8340"/>
        <w:spacing w:after="0"/>
        <w:rPr>
          <w:sz w:val="20"/>
          <w:szCs w:val="20"/>
          <w:color w:val="auto"/>
        </w:rPr>
      </w:pPr>
      <w:r>
        <w:rPr>
          <w:rFonts w:ascii="Arial" w:cs="Arial" w:eastAsia="Arial" w:hAnsi="Arial"/>
          <w:sz w:val="10"/>
          <w:szCs w:val="10"/>
          <w:b w:val="1"/>
          <w:bCs w:val="1"/>
          <w:color w:val="FFFFFF"/>
        </w:rPr>
        <w:t>December 31, 2022</w:t>
      </w:r>
    </w:p>
    <w:p>
      <w:pPr>
        <w:spacing w:after="0" w:line="36" w:lineRule="exact"/>
        <w:rPr>
          <w:sz w:val="20"/>
          <w:szCs w:val="20"/>
          <w:color w:val="auto"/>
        </w:rPr>
      </w:pPr>
    </w:p>
    <w:tbl>
      <w:tblPr>
        <w:tblLayout w:type="fixed"/>
        <w:tblInd w:w="1940" w:type="dxa"/>
        <w:tblCellMar>
          <w:top w:w="0" w:type="dxa"/>
          <w:left w:w="0" w:type="dxa"/>
          <w:bottom w:w="0" w:type="dxa"/>
          <w:right w:w="0" w:type="dxa"/>
        </w:tblCellMar>
      </w:tblPr>
      <w:tr>
        <w:trPr>
          <w:trHeight w:val="36"/>
        </w:trPr>
        <w:tc>
          <w:tcPr>
            <w:tcW w:w="6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4"/>
            <w:vMerge w:val="restart"/>
            <w:shd w:val="clear" w:color="auto" w:fill="009AD9"/>
          </w:tcPr>
          <w:p>
            <w:pPr>
              <w:ind w:left="60"/>
              <w:spacing w:after="0"/>
              <w:rPr>
                <w:sz w:val="20"/>
                <w:szCs w:val="20"/>
                <w:color w:val="auto"/>
              </w:rPr>
            </w:pPr>
            <w:r>
              <w:rPr>
                <w:rFonts w:ascii="Arial" w:cs="Arial" w:eastAsia="Arial" w:hAnsi="Arial"/>
                <w:sz w:val="10"/>
                <w:szCs w:val="10"/>
                <w:b w:val="1"/>
                <w:bCs w:val="1"/>
                <w:color w:val="FFFFFF"/>
              </w:rPr>
              <w:t>Dollars in</w:t>
            </w:r>
          </w:p>
        </w:tc>
        <w:tc>
          <w:tcPr>
            <w:tcW w:w="500" w:type="dxa"/>
            <w:vAlign w:val="bottom"/>
            <w:gridSpan w:val="4"/>
            <w:vMerge w:val="restart"/>
            <w:shd w:val="clear" w:color="auto" w:fill="009AD9"/>
          </w:tcPr>
          <w:p>
            <w:pPr>
              <w:ind w:left="80"/>
              <w:spacing w:after="0"/>
              <w:rPr>
                <w:sz w:val="20"/>
                <w:szCs w:val="20"/>
                <w:color w:val="auto"/>
              </w:rPr>
            </w:pPr>
            <w:r>
              <w:rPr>
                <w:rFonts w:ascii="Arial" w:cs="Arial" w:eastAsia="Arial" w:hAnsi="Arial"/>
                <w:sz w:val="10"/>
                <w:szCs w:val="10"/>
                <w:b w:val="1"/>
                <w:bCs w:val="1"/>
                <w:color w:val="FFFFFF"/>
              </w:rPr>
              <w:t>Diluted</w:t>
            </w:r>
          </w:p>
        </w:tc>
        <w:tc>
          <w:tcPr>
            <w:tcW w:w="0" w:type="dxa"/>
            <w:vAlign w:val="bottom"/>
          </w:tcPr>
          <w:p>
            <w:pPr>
              <w:spacing w:after="0" w:line="20" w:lineRule="exact"/>
              <w:rPr>
                <w:sz w:val="1"/>
                <w:szCs w:val="1"/>
                <w:color w:val="auto"/>
              </w:rPr>
            </w:pPr>
          </w:p>
        </w:tc>
      </w:tr>
      <w:tr>
        <w:trPr>
          <w:trHeight w:val="99"/>
        </w:trPr>
        <w:tc>
          <w:tcPr>
            <w:tcW w:w="6140" w:type="dxa"/>
            <w:vAlign w:val="bottom"/>
          </w:tcPr>
          <w:p>
            <w:pPr>
              <w:spacing w:after="0"/>
              <w:rPr>
                <w:sz w:val="8"/>
                <w:szCs w:val="8"/>
                <w:color w:val="auto"/>
              </w:rPr>
            </w:pPr>
          </w:p>
        </w:tc>
        <w:tc>
          <w:tcPr>
            <w:tcW w:w="140" w:type="dxa"/>
            <w:vAlign w:val="bottom"/>
            <w:shd w:val="clear" w:color="auto" w:fill="009AD9"/>
          </w:tcPr>
          <w:p>
            <w:pPr>
              <w:spacing w:after="0"/>
              <w:rPr>
                <w:sz w:val="8"/>
                <w:szCs w:val="8"/>
                <w:color w:val="auto"/>
              </w:rPr>
            </w:pPr>
          </w:p>
        </w:tc>
        <w:tc>
          <w:tcPr>
            <w:tcW w:w="640" w:type="dxa"/>
            <w:vAlign w:val="bottom"/>
            <w:gridSpan w:val="4"/>
            <w:vMerge w:val="continue"/>
            <w:shd w:val="clear" w:color="auto" w:fill="009AD9"/>
          </w:tcPr>
          <w:p>
            <w:pPr>
              <w:spacing w:after="0"/>
              <w:rPr>
                <w:sz w:val="8"/>
                <w:szCs w:val="8"/>
                <w:color w:val="auto"/>
              </w:rPr>
            </w:pPr>
          </w:p>
        </w:tc>
        <w:tc>
          <w:tcPr>
            <w:tcW w:w="500" w:type="dxa"/>
            <w:vAlign w:val="bottom"/>
            <w:gridSpan w:val="4"/>
            <w:vMerge w:val="continue"/>
            <w:shd w:val="clear" w:color="auto" w:fill="009AD9"/>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140" w:type="dxa"/>
            <w:vAlign w:val="bottom"/>
            <w:shd w:val="clear" w:color="auto" w:fill="009AD9"/>
          </w:tcPr>
          <w:p>
            <w:pPr>
              <w:spacing w:after="0"/>
              <w:rPr>
                <w:sz w:val="13"/>
                <w:szCs w:val="13"/>
                <w:color w:val="auto"/>
              </w:rPr>
            </w:pPr>
          </w:p>
        </w:tc>
        <w:tc>
          <w:tcPr>
            <w:tcW w:w="60" w:type="dxa"/>
            <w:vAlign w:val="bottom"/>
            <w:shd w:val="clear" w:color="auto" w:fill="009AD9"/>
          </w:tcPr>
          <w:p>
            <w:pPr>
              <w:spacing w:after="0"/>
              <w:rPr>
                <w:sz w:val="13"/>
                <w:szCs w:val="13"/>
                <w:color w:val="auto"/>
              </w:rPr>
            </w:pPr>
          </w:p>
        </w:tc>
        <w:tc>
          <w:tcPr>
            <w:tcW w:w="580" w:type="dxa"/>
            <w:vAlign w:val="bottom"/>
            <w:gridSpan w:val="3"/>
            <w:shd w:val="clear" w:color="auto" w:fill="009AD9"/>
          </w:tcPr>
          <w:p>
            <w:pPr>
              <w:jc w:val="right"/>
              <w:ind w:right="180"/>
              <w:spacing w:after="0"/>
              <w:rPr>
                <w:sz w:val="20"/>
                <w:szCs w:val="20"/>
                <w:color w:val="auto"/>
              </w:rPr>
            </w:pPr>
            <w:r>
              <w:rPr>
                <w:rFonts w:ascii="Arial" w:cs="Arial" w:eastAsia="Arial" w:hAnsi="Arial"/>
                <w:sz w:val="10"/>
                <w:szCs w:val="10"/>
                <w:b w:val="1"/>
                <w:bCs w:val="1"/>
                <w:color w:val="FFFFFF"/>
              </w:rPr>
              <w:t>millions</w:t>
            </w:r>
          </w:p>
        </w:tc>
        <w:tc>
          <w:tcPr>
            <w:tcW w:w="80" w:type="dxa"/>
            <w:vAlign w:val="bottom"/>
            <w:shd w:val="clear" w:color="auto" w:fill="009AD9"/>
          </w:tcPr>
          <w:p>
            <w:pPr>
              <w:spacing w:after="0"/>
              <w:rPr>
                <w:sz w:val="13"/>
                <w:szCs w:val="13"/>
                <w:color w:val="auto"/>
              </w:rPr>
            </w:pPr>
          </w:p>
        </w:tc>
        <w:tc>
          <w:tcPr>
            <w:tcW w:w="420" w:type="dxa"/>
            <w:vAlign w:val="bottom"/>
            <w:gridSpan w:val="3"/>
            <w:shd w:val="clear" w:color="auto" w:fill="009AD9"/>
          </w:tcPr>
          <w:p>
            <w:pPr>
              <w:jc w:val="right"/>
              <w:ind w:right="100"/>
              <w:spacing w:after="0" w:line="156" w:lineRule="exact"/>
              <w:rPr>
                <w:sz w:val="20"/>
                <w:szCs w:val="20"/>
                <w:color w:val="auto"/>
              </w:rPr>
            </w:pPr>
            <w:r>
              <w:rPr>
                <w:rFonts w:ascii="Arial" w:cs="Arial" w:eastAsia="Arial" w:hAnsi="Arial"/>
                <w:sz w:val="18"/>
                <w:szCs w:val="18"/>
                <w:b w:val="1"/>
                <w:bCs w:val="1"/>
                <w:color w:val="FFFFFF"/>
                <w:w w:val="91"/>
                <w:vertAlign w:val="subscript"/>
              </w:rPr>
              <w:t>EPS</w:t>
            </w:r>
            <w:r>
              <w:rPr>
                <w:rFonts w:ascii="Arial" w:cs="Arial" w:eastAsia="Arial" w:hAnsi="Arial"/>
                <w:sz w:val="7"/>
                <w:szCs w:val="7"/>
                <w:b w:val="1"/>
                <w:bCs w:val="1"/>
                <w:color w:val="FFFFFF"/>
                <w:w w:val="91"/>
              </w:rPr>
              <w:t>(1)</w:t>
            </w:r>
          </w:p>
        </w:tc>
        <w:tc>
          <w:tcPr>
            <w:tcW w:w="0" w:type="dxa"/>
            <w:vAlign w:val="bottom"/>
          </w:tcPr>
          <w:p>
            <w:pPr>
              <w:spacing w:after="0"/>
              <w:rPr>
                <w:sz w:val="1"/>
                <w:szCs w:val="1"/>
                <w:color w:val="auto"/>
              </w:rPr>
            </w:pPr>
          </w:p>
        </w:tc>
      </w:tr>
      <w:tr>
        <w:trPr>
          <w:trHeight w:val="162"/>
        </w:trPr>
        <w:tc>
          <w:tcPr>
            <w:tcW w:w="61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Consolidated income (loss) available to common shareholders and diluted EPS</w:t>
            </w:r>
          </w:p>
        </w:tc>
        <w:tc>
          <w:tcPr>
            <w:tcW w:w="140" w:type="dxa"/>
            <w:vAlign w:val="bottom"/>
            <w:tcBorders>
              <w:bottom w:val="single" w:sz="8" w:color="D8EFF9"/>
            </w:tcBorders>
            <w:shd w:val="clear" w:color="auto" w:fill="D8EFF9"/>
          </w:tcPr>
          <w:p>
            <w:pPr>
              <w:spacing w:after="0"/>
              <w:rPr>
                <w:sz w:val="14"/>
                <w:szCs w:val="14"/>
                <w:color w:val="auto"/>
              </w:rPr>
            </w:pPr>
          </w:p>
        </w:tc>
        <w:tc>
          <w:tcPr>
            <w:tcW w:w="18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1,008</w:t>
            </w:r>
          </w:p>
        </w:tc>
        <w:tc>
          <w:tcPr>
            <w:tcW w:w="120" w:type="dxa"/>
            <w:vAlign w:val="bottom"/>
            <w:tcBorders>
              <w:bottom w:val="single" w:sz="8" w:color="D8EFF9"/>
            </w:tcBorders>
            <w:shd w:val="clear" w:color="auto" w:fill="D8EFF9"/>
          </w:tcPr>
          <w:p>
            <w:pPr>
              <w:spacing w:after="0"/>
              <w:rPr>
                <w:sz w:val="14"/>
                <w:szCs w:val="14"/>
                <w:color w:val="auto"/>
              </w:rPr>
            </w:pPr>
          </w:p>
        </w:tc>
        <w:tc>
          <w:tcPr>
            <w:tcW w:w="160" w:type="dxa"/>
            <w:vAlign w:val="bottom"/>
            <w:tcBorders>
              <w:bottom w:val="single" w:sz="8" w:color="D8EFF9"/>
            </w:tcBorders>
            <w:gridSpan w:val="2"/>
            <w:shd w:val="clear" w:color="auto" w:fill="D8EFF9"/>
          </w:tcPr>
          <w:p>
            <w:pPr>
              <w:ind w:left="8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1.59</w:t>
            </w:r>
          </w:p>
        </w:tc>
        <w:tc>
          <w:tcPr>
            <w:tcW w:w="80" w:type="dxa"/>
            <w:vAlign w:val="bottom"/>
            <w:tcBorders>
              <w:bottom w:val="single" w:sz="8" w:color="D8EFF9"/>
            </w:tcBorders>
            <w:shd w:val="clear" w:color="auto" w:fill="D8EFF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80" w:type="dxa"/>
            <w:vAlign w:val="bottom"/>
            <w:gridSpan w:val="2"/>
          </w:tcPr>
          <w:p>
            <w:pPr>
              <w:ind w:left="40"/>
              <w:spacing w:after="0"/>
              <w:rPr>
                <w:sz w:val="20"/>
                <w:szCs w:val="20"/>
                <w:color w:val="auto"/>
              </w:rPr>
            </w:pPr>
            <w:r>
              <w:rPr>
                <w:rFonts w:ascii="Arial" w:cs="Arial" w:eastAsia="Arial" w:hAnsi="Arial"/>
                <w:sz w:val="10"/>
                <w:szCs w:val="10"/>
                <w:b w:val="1"/>
                <w:bCs w:val="1"/>
                <w:color w:val="auto"/>
              </w:rPr>
              <w:t>ZENS-related mark-to-market (gains) losses: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140" w:type="dxa"/>
            <w:vAlign w:val="bottom"/>
            <w:shd w:val="clear" w:color="auto" w:fill="D8EFF9"/>
          </w:tcPr>
          <w:p>
            <w:pPr>
              <w:ind w:left="100"/>
              <w:spacing w:after="0"/>
              <w:rPr>
                <w:sz w:val="20"/>
                <w:szCs w:val="20"/>
                <w:color w:val="auto"/>
              </w:rPr>
            </w:pPr>
            <w:r>
              <w:rPr>
                <w:rFonts w:ascii="Arial" w:cs="Arial" w:eastAsia="Arial" w:hAnsi="Arial"/>
                <w:sz w:val="10"/>
                <w:szCs w:val="10"/>
                <w:color w:val="auto"/>
              </w:rPr>
              <w:t>Equity securities (net of taxes of $66)</w:t>
            </w:r>
            <w:r>
              <w:rPr>
                <w:rFonts w:ascii="Arial" w:cs="Arial" w:eastAsia="Arial" w:hAnsi="Arial"/>
                <w:sz w:val="14"/>
                <w:szCs w:val="14"/>
                <w:color w:val="auto"/>
                <w:vertAlign w:val="superscript"/>
              </w:rPr>
              <w:t>(2)(3)</w:t>
            </w:r>
          </w:p>
        </w:tc>
        <w:tc>
          <w:tcPr>
            <w:tcW w:w="14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120" w:type="dxa"/>
            <w:vAlign w:val="bottom"/>
            <w:shd w:val="clear" w:color="auto" w:fill="D8EFF9"/>
          </w:tcPr>
          <w:p>
            <w:pPr>
              <w:spacing w:after="0"/>
              <w:rPr>
                <w:sz w:val="15"/>
                <w:szCs w:val="15"/>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247</w:t>
            </w:r>
          </w:p>
        </w:tc>
        <w:tc>
          <w:tcPr>
            <w:tcW w:w="120" w:type="dxa"/>
            <w:vAlign w:val="bottom"/>
            <w:shd w:val="clear" w:color="auto" w:fill="D8EFF9"/>
          </w:tcPr>
          <w:p>
            <w:pPr>
              <w:spacing w:after="0"/>
              <w:rPr>
                <w:sz w:val="15"/>
                <w:szCs w:val="15"/>
                <w:color w:val="auto"/>
              </w:rPr>
            </w:pPr>
          </w:p>
        </w:tc>
        <w:tc>
          <w:tcPr>
            <w:tcW w:w="80" w:type="dxa"/>
            <w:vAlign w:val="bottom"/>
            <w:shd w:val="clear" w:color="auto" w:fill="D8EFF9"/>
          </w:tcPr>
          <w:p>
            <w:pPr>
              <w:spacing w:after="0"/>
              <w:rPr>
                <w:sz w:val="15"/>
                <w:szCs w:val="15"/>
                <w:color w:val="auto"/>
              </w:rPr>
            </w:pPr>
          </w:p>
        </w:tc>
        <w:tc>
          <w:tcPr>
            <w:tcW w:w="80" w:type="dxa"/>
            <w:vAlign w:val="bottom"/>
            <w:shd w:val="clear" w:color="auto" w:fill="D8EFF9"/>
          </w:tcPr>
          <w:p>
            <w:pPr>
              <w:spacing w:after="0"/>
              <w:rPr>
                <w:sz w:val="15"/>
                <w:szCs w:val="15"/>
                <w:color w:val="auto"/>
              </w:rPr>
            </w:pPr>
          </w:p>
        </w:tc>
        <w:tc>
          <w:tcPr>
            <w:tcW w:w="2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0.39</w:t>
            </w:r>
          </w:p>
        </w:tc>
        <w:tc>
          <w:tcPr>
            <w:tcW w:w="80" w:type="dxa"/>
            <w:vAlign w:val="bottom"/>
            <w:shd w:val="clear" w:color="auto" w:fill="D8EFF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ind w:left="100"/>
              <w:spacing w:after="0"/>
              <w:rPr>
                <w:sz w:val="20"/>
                <w:szCs w:val="20"/>
                <w:color w:val="auto"/>
              </w:rPr>
            </w:pPr>
            <w:r>
              <w:rPr>
                <w:rFonts w:ascii="Arial" w:cs="Arial" w:eastAsia="Arial" w:hAnsi="Arial"/>
                <w:sz w:val="10"/>
                <w:szCs w:val="10"/>
                <w:color w:val="auto"/>
              </w:rPr>
              <w:t>Indexed debt securities (net of taxes of $68)</w:t>
            </w:r>
            <w:r>
              <w:rPr>
                <w:rFonts w:ascii="Arial" w:cs="Arial" w:eastAsia="Arial" w:hAnsi="Arial"/>
                <w:sz w:val="14"/>
                <w:szCs w:val="14"/>
                <w:color w:val="auto"/>
                <w:vertAlign w:val="superscript"/>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(256)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(0.40)</w:t>
            </w:r>
          </w:p>
        </w:tc>
        <w:tc>
          <w:tcPr>
            <w:tcW w:w="0" w:type="dxa"/>
            <w:vAlign w:val="bottom"/>
          </w:tcPr>
          <w:p>
            <w:pPr>
              <w:spacing w:after="0"/>
              <w:rPr>
                <w:sz w:val="1"/>
                <w:szCs w:val="1"/>
                <w:color w:val="auto"/>
              </w:rPr>
            </w:pPr>
          </w:p>
        </w:tc>
      </w:tr>
      <w:tr>
        <w:trPr>
          <w:trHeight w:val="182"/>
        </w:trPr>
        <w:tc>
          <w:tcPr>
            <w:tcW w:w="6140" w:type="dxa"/>
            <w:vAlign w:val="bottom"/>
            <w:shd w:val="clear" w:color="auto" w:fill="D8EFF9"/>
          </w:tcPr>
          <w:p>
            <w:pPr>
              <w:ind w:left="40"/>
              <w:spacing w:after="0"/>
              <w:rPr>
                <w:sz w:val="20"/>
                <w:szCs w:val="20"/>
                <w:color w:val="auto"/>
              </w:rPr>
            </w:pPr>
            <w:r>
              <w:rPr>
                <w:rFonts w:ascii="Arial" w:cs="Arial" w:eastAsia="Arial" w:hAnsi="Arial"/>
                <w:sz w:val="10"/>
                <w:szCs w:val="10"/>
                <w:color w:val="auto"/>
              </w:rPr>
              <w:t>Midstream-related earnings (net of taxes of $2)</w:t>
            </w:r>
            <w:r>
              <w:rPr>
                <w:rFonts w:ascii="Arial" w:cs="Arial" w:eastAsia="Arial" w:hAnsi="Arial"/>
                <w:sz w:val="14"/>
                <w:szCs w:val="14"/>
                <w:color w:val="auto"/>
                <w:vertAlign w:val="superscript"/>
              </w:rPr>
              <w:t>(2)(4)</w:t>
            </w:r>
          </w:p>
        </w:tc>
        <w:tc>
          <w:tcPr>
            <w:tcW w:w="140" w:type="dxa"/>
            <w:vAlign w:val="bottom"/>
            <w:shd w:val="clear" w:color="auto" w:fill="D8EFF9"/>
          </w:tcPr>
          <w:p>
            <w:pPr>
              <w:spacing w:after="0"/>
              <w:rPr>
                <w:sz w:val="15"/>
                <w:szCs w:val="15"/>
                <w:color w:val="auto"/>
              </w:rPr>
            </w:pPr>
          </w:p>
        </w:tc>
        <w:tc>
          <w:tcPr>
            <w:tcW w:w="60" w:type="dxa"/>
            <w:vAlign w:val="bottom"/>
            <w:shd w:val="clear" w:color="auto" w:fill="D8EFF9"/>
          </w:tcPr>
          <w:p>
            <w:pPr>
              <w:spacing w:after="0"/>
              <w:rPr>
                <w:sz w:val="15"/>
                <w:szCs w:val="15"/>
                <w:color w:val="auto"/>
              </w:rPr>
            </w:pPr>
          </w:p>
        </w:tc>
        <w:tc>
          <w:tcPr>
            <w:tcW w:w="120" w:type="dxa"/>
            <w:vAlign w:val="bottom"/>
            <w:shd w:val="clear" w:color="auto" w:fill="D8EFF9"/>
          </w:tcPr>
          <w:p>
            <w:pPr>
              <w:spacing w:after="0"/>
              <w:rPr>
                <w:sz w:val="15"/>
                <w:szCs w:val="15"/>
                <w:color w:val="auto"/>
              </w:rPr>
            </w:pPr>
          </w:p>
        </w:tc>
        <w:tc>
          <w:tcPr>
            <w:tcW w:w="46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(46)</w:t>
            </w:r>
          </w:p>
        </w:tc>
        <w:tc>
          <w:tcPr>
            <w:tcW w:w="80" w:type="dxa"/>
            <w:vAlign w:val="bottom"/>
            <w:shd w:val="clear" w:color="auto" w:fill="D8EFF9"/>
          </w:tcPr>
          <w:p>
            <w:pPr>
              <w:spacing w:after="0"/>
              <w:rPr>
                <w:sz w:val="15"/>
                <w:szCs w:val="15"/>
                <w:color w:val="auto"/>
              </w:rPr>
            </w:pPr>
          </w:p>
        </w:tc>
        <w:tc>
          <w:tcPr>
            <w:tcW w:w="80" w:type="dxa"/>
            <w:vAlign w:val="bottom"/>
            <w:shd w:val="clear" w:color="auto" w:fill="D8EFF9"/>
          </w:tcPr>
          <w:p>
            <w:pPr>
              <w:spacing w:after="0"/>
              <w:rPr>
                <w:sz w:val="15"/>
                <w:szCs w:val="15"/>
                <w:color w:val="auto"/>
              </w:rPr>
            </w:pPr>
          </w:p>
        </w:tc>
        <w:tc>
          <w:tcPr>
            <w:tcW w:w="340" w:type="dxa"/>
            <w:vAlign w:val="bottom"/>
            <w:gridSpan w:val="2"/>
            <w:shd w:val="clear" w:color="auto" w:fill="D8EFF9"/>
          </w:tcPr>
          <w:p>
            <w:pPr>
              <w:jc w:val="right"/>
              <w:ind w:right="40"/>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82"/>
        </w:trPr>
        <w:tc>
          <w:tcPr>
            <w:tcW w:w="6280" w:type="dxa"/>
            <w:vAlign w:val="bottom"/>
            <w:gridSpan w:val="2"/>
          </w:tcPr>
          <w:p>
            <w:pPr>
              <w:ind w:left="40"/>
              <w:spacing w:after="0"/>
              <w:rPr>
                <w:sz w:val="20"/>
                <w:szCs w:val="20"/>
                <w:color w:val="auto"/>
              </w:rPr>
            </w:pPr>
            <w:r>
              <w:rPr>
                <w:rFonts w:ascii="Arial" w:cs="Arial" w:eastAsia="Arial" w:hAnsi="Arial"/>
                <w:sz w:val="10"/>
                <w:szCs w:val="10"/>
                <w:color w:val="auto"/>
              </w:rPr>
              <w:t>Impacts associated with mergers and divestitures (net of taxes of $165)</w:t>
            </w:r>
            <w:r>
              <w:rPr>
                <w:rFonts w:ascii="Arial" w:cs="Arial" w:eastAsia="Arial" w:hAnsi="Arial"/>
                <w:sz w:val="14"/>
                <w:szCs w:val="14"/>
                <w:color w:val="auto"/>
                <w:vertAlign w:val="superscript"/>
              </w:rPr>
              <w:t>(2)(5)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(0.13)</w:t>
            </w:r>
          </w:p>
        </w:tc>
        <w:tc>
          <w:tcPr>
            <w:tcW w:w="0" w:type="dxa"/>
            <w:vAlign w:val="bottom"/>
          </w:tcPr>
          <w:p>
            <w:pPr>
              <w:spacing w:after="0"/>
              <w:rPr>
                <w:sz w:val="1"/>
                <w:szCs w:val="1"/>
                <w:color w:val="auto"/>
              </w:rPr>
            </w:pPr>
          </w:p>
        </w:tc>
      </w:tr>
      <w:tr>
        <w:trPr>
          <w:trHeight w:val="160"/>
        </w:trPr>
        <w:tc>
          <w:tcPr>
            <w:tcW w:w="614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Consolidated on a non-GAAP basis</w:t>
            </w:r>
          </w:p>
        </w:tc>
        <w:tc>
          <w:tcPr>
            <w:tcW w:w="140" w:type="dxa"/>
            <w:vAlign w:val="bottom"/>
            <w:tcBorders>
              <w:bottom w:val="single" w:sz="8" w:color="D8EFF9"/>
            </w:tcBorders>
            <w:shd w:val="clear" w:color="auto" w:fill="D8EFF9"/>
          </w:tcPr>
          <w:p>
            <w:pPr>
              <w:spacing w:after="0"/>
              <w:rPr>
                <w:sz w:val="13"/>
                <w:szCs w:val="13"/>
                <w:color w:val="auto"/>
              </w:rPr>
            </w:pPr>
          </w:p>
        </w:tc>
        <w:tc>
          <w:tcPr>
            <w:tcW w:w="60" w:type="dxa"/>
            <w:vAlign w:val="bottom"/>
            <w:tcBorders>
              <w:bottom w:val="single" w:sz="8" w:color="D8EFF9"/>
            </w:tcBorders>
            <w:shd w:val="clear" w:color="auto" w:fill="D8EFF9"/>
          </w:tcPr>
          <w:p>
            <w:pPr>
              <w:spacing w:after="0"/>
              <w:rPr>
                <w:sz w:val="13"/>
                <w:szCs w:val="13"/>
                <w:color w:val="auto"/>
              </w:rPr>
            </w:pPr>
          </w:p>
        </w:tc>
        <w:tc>
          <w:tcPr>
            <w:tcW w:w="120" w:type="dxa"/>
            <w:vAlign w:val="bottom"/>
            <w:tcBorders>
              <w:top w:val="single" w:sz="8" w:color="auto"/>
              <w:bottom w:val="single" w:sz="8" w:color="D8EFF9"/>
            </w:tcBorders>
            <w:shd w:val="clear" w:color="auto" w:fill="D8EFF9"/>
          </w:tcPr>
          <w:p>
            <w:pPr>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873</w:t>
            </w:r>
          </w:p>
        </w:tc>
        <w:tc>
          <w:tcPr>
            <w:tcW w:w="120" w:type="dxa"/>
            <w:vAlign w:val="bottom"/>
            <w:tcBorders>
              <w:bottom w:val="single" w:sz="8" w:color="D8EFF9"/>
            </w:tcBorders>
            <w:shd w:val="clear" w:color="auto" w:fill="D8EFF9"/>
          </w:tcPr>
          <w:p>
            <w:pPr>
              <w:spacing w:after="0"/>
              <w:rPr>
                <w:sz w:val="13"/>
                <w:szCs w:val="13"/>
                <w:color w:val="auto"/>
              </w:rPr>
            </w:pPr>
          </w:p>
        </w:tc>
        <w:tc>
          <w:tcPr>
            <w:tcW w:w="80" w:type="dxa"/>
            <w:vAlign w:val="bottom"/>
            <w:tcBorders>
              <w:bottom w:val="single" w:sz="8" w:color="D8EFF9"/>
            </w:tcBorders>
            <w:shd w:val="clear" w:color="auto" w:fill="D8EFF9"/>
          </w:tcPr>
          <w:p>
            <w:pPr>
              <w:spacing w:after="0"/>
              <w:rPr>
                <w:sz w:val="13"/>
                <w:szCs w:val="13"/>
                <w:color w:val="auto"/>
              </w:rPr>
            </w:pPr>
          </w:p>
        </w:tc>
        <w:tc>
          <w:tcPr>
            <w:tcW w:w="80" w:type="dxa"/>
            <w:vAlign w:val="bottom"/>
            <w:tcBorders>
              <w:top w:val="single" w:sz="8" w:color="auto"/>
              <w:bottom w:val="single" w:sz="8" w:color="D8EFF9"/>
            </w:tcBorders>
            <w:shd w:val="clear" w:color="auto" w:fill="D8EFF9"/>
          </w:tcPr>
          <w:p>
            <w:pPr>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1.38</w:t>
            </w:r>
          </w:p>
        </w:tc>
        <w:tc>
          <w:tcPr>
            <w:tcW w:w="80" w:type="dxa"/>
            <w:vAlign w:val="bottom"/>
            <w:tcBorders>
              <w:bottom w:val="single" w:sz="8" w:color="D8EFF9"/>
            </w:tcBorders>
            <w:shd w:val="clear" w:color="auto" w:fill="D8EFF9"/>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160" w:right="799" w:hanging="226"/>
        <w:spacing w:after="0" w:line="234" w:lineRule="auto"/>
        <w:tabs>
          <w:tab w:leader="none" w:pos="216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Quarterly diluted EPS on both a GAAP and non-GAAP basis are based on the weighted average number of shares of common stock outstanding during the quarter, and the sum of the quarters may not equal year-to-date diluted EPS.</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Taxes are computed based on the impact removing such item would have on tax expense.</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Comprised of common stock of AT&amp;T Inc., Charter Communications, Inc., and Warner Bros. Discovery, Inc.</w:t>
      </w:r>
    </w:p>
    <w:p>
      <w:pPr>
        <w:spacing w:after="0" w:line="39" w:lineRule="exact"/>
        <w:rPr>
          <w:rFonts w:ascii="Arial" w:cs="Arial" w:eastAsia="Arial" w:hAnsi="Arial"/>
          <w:sz w:val="10"/>
          <w:szCs w:val="10"/>
          <w:color w:val="auto"/>
        </w:rPr>
      </w:pPr>
    </w:p>
    <w:p>
      <w:pPr>
        <w:jc w:val="both"/>
        <w:ind w:left="2160" w:right="819" w:hanging="226"/>
        <w:spacing w:after="0" w:line="232" w:lineRule="auto"/>
        <w:tabs>
          <w:tab w:leader="none" w:pos="216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Includes earnings and expenses related to ownership and disposal of Energy Transfer LP units, a corresponding amount of debt related to the units and an allocation of associated corporate overhead. Includes costs associated with early extinguishment of $600 million debt at CenterPoint Energy, Inc. of approximately $35 million, net of taxes.</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Includes a settlement charge of $35 million, net of tax, related to CenterPoint Energy pension plan’s purchase of a group annuity contract in December 2022 to transfer benefit obligations of CenterPoint Energy’s previously divested businesses to an insurance company.</w:t>
      </w:r>
    </w:p>
    <w:p>
      <w:pPr>
        <w:spacing w:after="0" w:line="159"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2760" w:type="dxa"/>
            <w:vAlign w:val="bottom"/>
          </w:tcPr>
          <w:p>
            <w:pPr>
              <w:spacing w:after="0"/>
              <w:rPr>
                <w:sz w:val="20"/>
                <w:szCs w:val="20"/>
                <w:color w:val="auto"/>
              </w:rPr>
            </w:pPr>
            <w:r>
              <w:rPr>
                <w:rFonts w:ascii="Arial" w:cs="Arial" w:eastAsia="Arial" w:hAnsi="Arial"/>
                <w:sz w:val="10"/>
                <w:szCs w:val="10"/>
                <w:i w:val="1"/>
                <w:iCs w:val="1"/>
                <w:color w:val="auto"/>
              </w:rPr>
              <w:t>Appendix A (continued)</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90"/>
        </w:trPr>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gridSpan w:val="2"/>
          </w:tcPr>
          <w:p>
            <w:pPr>
              <w:spacing w:after="0"/>
              <w:rPr>
                <w:sz w:val="7"/>
                <w:szCs w:val="7"/>
                <w:color w:val="auto"/>
              </w:rPr>
            </w:pPr>
          </w:p>
        </w:tc>
        <w:tc>
          <w:tcPr>
            <w:tcW w:w="340" w:type="dxa"/>
            <w:vAlign w:val="bottom"/>
            <w:gridSpan w:val="2"/>
          </w:tcPr>
          <w:p>
            <w:pPr>
              <w:spacing w:after="0"/>
              <w:rPr>
                <w:sz w:val="7"/>
                <w:szCs w:val="7"/>
                <w:color w:val="auto"/>
              </w:rPr>
            </w:pPr>
          </w:p>
        </w:tc>
        <w:tc>
          <w:tcPr>
            <w:tcW w:w="22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45"/>
        </w:trPr>
        <w:tc>
          <w:tcPr>
            <w:tcW w:w="2760" w:type="dxa"/>
            <w:vAlign w:val="bottom"/>
            <w:shd w:val="clear" w:color="auto" w:fill="009AD9"/>
          </w:tcPr>
          <w:p>
            <w:pPr>
              <w:spacing w:after="0"/>
              <w:rPr>
                <w:sz w:val="12"/>
                <w:szCs w:val="12"/>
                <w:color w:val="auto"/>
              </w:rPr>
            </w:pPr>
          </w:p>
        </w:tc>
        <w:tc>
          <w:tcPr>
            <w:tcW w:w="160" w:type="dxa"/>
            <w:vAlign w:val="bottom"/>
            <w:tcBorders>
              <w:right w:val="single" w:sz="8" w:color="009AD9"/>
            </w:tcBorders>
            <w:shd w:val="clear" w:color="auto" w:fill="009AD9"/>
          </w:tcPr>
          <w:p>
            <w:pPr>
              <w:spacing w:after="0"/>
              <w:rPr>
                <w:sz w:val="12"/>
                <w:szCs w:val="12"/>
                <w:color w:val="auto"/>
              </w:rPr>
            </w:pPr>
          </w:p>
        </w:tc>
        <w:tc>
          <w:tcPr>
            <w:tcW w:w="1680" w:type="dxa"/>
            <w:vAlign w:val="bottom"/>
            <w:gridSpan w:val="9"/>
            <w:shd w:val="clear" w:color="auto" w:fill="009AD9"/>
          </w:tcPr>
          <w:p>
            <w:pPr>
              <w:jc w:val="right"/>
              <w:ind w:right="480"/>
              <w:spacing w:after="0"/>
              <w:rPr>
                <w:sz w:val="20"/>
                <w:szCs w:val="20"/>
                <w:color w:val="auto"/>
              </w:rPr>
            </w:pPr>
            <w:r>
              <w:rPr>
                <w:rFonts w:ascii="Arial" w:cs="Arial" w:eastAsia="Arial" w:hAnsi="Arial"/>
                <w:sz w:val="10"/>
                <w:szCs w:val="10"/>
                <w:b w:val="1"/>
                <w:bCs w:val="1"/>
                <w:color w:val="FFFFFF"/>
              </w:rPr>
              <w:t>Year-to-Date Ended</w:t>
            </w:r>
          </w:p>
        </w:tc>
        <w:tc>
          <w:tcPr>
            <w:tcW w:w="140" w:type="dxa"/>
            <w:vAlign w:val="bottom"/>
            <w:tcBorders>
              <w:right w:val="single" w:sz="8" w:color="009AD9"/>
            </w:tcBorders>
            <w:shd w:val="clear" w:color="auto" w:fill="009AD9"/>
          </w:tcPr>
          <w:p>
            <w:pPr>
              <w:spacing w:after="0"/>
              <w:rPr>
                <w:sz w:val="12"/>
                <w:szCs w:val="12"/>
                <w:color w:val="auto"/>
              </w:rPr>
            </w:pPr>
          </w:p>
        </w:tc>
        <w:tc>
          <w:tcPr>
            <w:tcW w:w="38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6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34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24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340" w:type="dxa"/>
            <w:vAlign w:val="bottom"/>
            <w:shd w:val="clear" w:color="auto" w:fill="009AD9"/>
          </w:tcPr>
          <w:p>
            <w:pPr>
              <w:spacing w:after="0"/>
              <w:rPr>
                <w:sz w:val="12"/>
                <w:szCs w:val="12"/>
                <w:color w:val="auto"/>
              </w:rPr>
            </w:pPr>
          </w:p>
        </w:tc>
        <w:tc>
          <w:tcPr>
            <w:tcW w:w="10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260" w:type="dxa"/>
            <w:vAlign w:val="bottom"/>
            <w:shd w:val="clear" w:color="auto" w:fill="009AD9"/>
          </w:tcPr>
          <w:p>
            <w:pPr>
              <w:spacing w:after="0"/>
              <w:rPr>
                <w:sz w:val="12"/>
                <w:szCs w:val="12"/>
                <w:color w:val="auto"/>
              </w:rPr>
            </w:pPr>
          </w:p>
        </w:tc>
        <w:tc>
          <w:tcPr>
            <w:tcW w:w="60" w:type="dxa"/>
            <w:vAlign w:val="bottom"/>
            <w:shd w:val="clear" w:color="auto" w:fill="009AD9"/>
          </w:tcPr>
          <w:p>
            <w:pPr>
              <w:spacing w:after="0"/>
              <w:rPr>
                <w:sz w:val="12"/>
                <w:szCs w:val="12"/>
                <w:color w:val="auto"/>
              </w:rPr>
            </w:pPr>
          </w:p>
        </w:tc>
      </w:tr>
      <w:tr>
        <w:trPr>
          <w:trHeight w:val="128"/>
        </w:trPr>
        <w:tc>
          <w:tcPr>
            <w:tcW w:w="2760" w:type="dxa"/>
            <w:vAlign w:val="bottom"/>
            <w:shd w:val="clear" w:color="auto" w:fill="009AD9"/>
          </w:tcPr>
          <w:p>
            <w:pPr>
              <w:spacing w:after="0"/>
              <w:rPr>
                <w:sz w:val="11"/>
                <w:szCs w:val="11"/>
                <w:color w:val="auto"/>
              </w:rPr>
            </w:pPr>
          </w:p>
        </w:tc>
        <w:tc>
          <w:tcPr>
            <w:tcW w:w="160" w:type="dxa"/>
            <w:vAlign w:val="bottom"/>
            <w:tcBorders>
              <w:right w:val="single" w:sz="8" w:color="009AD9"/>
            </w:tcBorders>
            <w:shd w:val="clear" w:color="auto" w:fill="009AD9"/>
          </w:tcPr>
          <w:p>
            <w:pPr>
              <w:spacing w:after="0"/>
              <w:rPr>
                <w:sz w:val="11"/>
                <w:szCs w:val="11"/>
                <w:color w:val="auto"/>
              </w:rPr>
            </w:pPr>
          </w:p>
        </w:tc>
        <w:tc>
          <w:tcPr>
            <w:tcW w:w="1680" w:type="dxa"/>
            <w:vAlign w:val="bottom"/>
            <w:gridSpan w:val="9"/>
            <w:shd w:val="clear" w:color="auto" w:fill="009AD9"/>
          </w:tcPr>
          <w:p>
            <w:pPr>
              <w:jc w:val="right"/>
              <w:ind w:right="500"/>
              <w:spacing w:after="0"/>
              <w:rPr>
                <w:sz w:val="20"/>
                <w:szCs w:val="20"/>
                <w:color w:val="auto"/>
              </w:rPr>
            </w:pPr>
            <w:r>
              <w:rPr>
                <w:rFonts w:ascii="Arial" w:cs="Arial" w:eastAsia="Arial" w:hAnsi="Arial"/>
                <w:sz w:val="10"/>
                <w:szCs w:val="10"/>
                <w:b w:val="1"/>
                <w:bCs w:val="1"/>
                <w:color w:val="FFFFFF"/>
              </w:rPr>
              <w:t>December 31, 2021</w:t>
            </w:r>
          </w:p>
        </w:tc>
        <w:tc>
          <w:tcPr>
            <w:tcW w:w="140" w:type="dxa"/>
            <w:vAlign w:val="bottom"/>
            <w:tcBorders>
              <w:right w:val="single" w:sz="8" w:color="009AD9"/>
            </w:tcBorders>
            <w:shd w:val="clear" w:color="auto" w:fill="009AD9"/>
          </w:tcPr>
          <w:p>
            <w:pPr>
              <w:spacing w:after="0"/>
              <w:rPr>
                <w:sz w:val="11"/>
                <w:szCs w:val="11"/>
                <w:color w:val="auto"/>
              </w:rPr>
            </w:pPr>
          </w:p>
        </w:tc>
        <w:tc>
          <w:tcPr>
            <w:tcW w:w="38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6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34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24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340" w:type="dxa"/>
            <w:vAlign w:val="bottom"/>
            <w:shd w:val="clear" w:color="auto" w:fill="009AD9"/>
          </w:tcPr>
          <w:p>
            <w:pPr>
              <w:spacing w:after="0"/>
              <w:rPr>
                <w:sz w:val="11"/>
                <w:szCs w:val="11"/>
                <w:color w:val="auto"/>
              </w:rPr>
            </w:pPr>
          </w:p>
        </w:tc>
        <w:tc>
          <w:tcPr>
            <w:tcW w:w="10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260" w:type="dxa"/>
            <w:vAlign w:val="bottom"/>
            <w:shd w:val="clear" w:color="auto" w:fill="009AD9"/>
          </w:tcPr>
          <w:p>
            <w:pPr>
              <w:spacing w:after="0"/>
              <w:rPr>
                <w:sz w:val="11"/>
                <w:szCs w:val="11"/>
                <w:color w:val="auto"/>
              </w:rPr>
            </w:pPr>
          </w:p>
        </w:tc>
        <w:tc>
          <w:tcPr>
            <w:tcW w:w="60" w:type="dxa"/>
            <w:vAlign w:val="bottom"/>
            <w:shd w:val="clear" w:color="auto" w:fill="009AD9"/>
          </w:tcPr>
          <w:p>
            <w:pPr>
              <w:spacing w:after="0"/>
              <w:rPr>
                <w:sz w:val="11"/>
                <w:szCs w:val="11"/>
                <w:color w:val="auto"/>
              </w:rPr>
            </w:pPr>
          </w:p>
        </w:tc>
      </w:tr>
      <w:tr>
        <w:trPr>
          <w:trHeight w:val="117"/>
        </w:trPr>
        <w:tc>
          <w:tcPr>
            <w:tcW w:w="2760" w:type="dxa"/>
            <w:vAlign w:val="bottom"/>
            <w:shd w:val="clear" w:color="auto" w:fill="009AD9"/>
          </w:tcPr>
          <w:p>
            <w:pPr>
              <w:spacing w:after="0"/>
              <w:rPr>
                <w:sz w:val="10"/>
                <w:szCs w:val="10"/>
                <w:color w:val="auto"/>
              </w:rPr>
            </w:pPr>
          </w:p>
        </w:tc>
        <w:tc>
          <w:tcPr>
            <w:tcW w:w="160" w:type="dxa"/>
            <w:vAlign w:val="bottom"/>
            <w:tcBorders>
              <w:right w:val="single" w:sz="8" w:color="009AD9"/>
            </w:tcBorders>
            <w:shd w:val="clear" w:color="auto" w:fill="009AD9"/>
          </w:tcPr>
          <w:p>
            <w:pPr>
              <w:spacing w:after="0"/>
              <w:rPr>
                <w:sz w:val="10"/>
                <w:szCs w:val="10"/>
                <w:color w:val="auto"/>
              </w:rPr>
            </w:pPr>
          </w:p>
        </w:tc>
        <w:tc>
          <w:tcPr>
            <w:tcW w:w="38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60" w:type="dxa"/>
            <w:vAlign w:val="bottom"/>
            <w:shd w:val="clear" w:color="auto" w:fill="009AD9"/>
          </w:tcPr>
          <w:p>
            <w:pPr>
              <w:spacing w:after="0"/>
              <w:rPr>
                <w:sz w:val="10"/>
                <w:szCs w:val="10"/>
                <w:color w:val="auto"/>
              </w:rPr>
            </w:pPr>
          </w:p>
        </w:tc>
        <w:tc>
          <w:tcPr>
            <w:tcW w:w="80" w:type="dxa"/>
            <w:vAlign w:val="bottom"/>
            <w:shd w:val="clear" w:color="auto" w:fill="009AD9"/>
          </w:tcPr>
          <w:p>
            <w:pPr>
              <w:spacing w:after="0"/>
              <w:rPr>
                <w:sz w:val="10"/>
                <w:szCs w:val="10"/>
                <w:color w:val="auto"/>
              </w:rPr>
            </w:pPr>
          </w:p>
        </w:tc>
        <w:tc>
          <w:tcPr>
            <w:tcW w:w="26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120" w:type="dxa"/>
            <w:vAlign w:val="bottom"/>
            <w:tcBorders>
              <w:right w:val="single" w:sz="8" w:color="009AD9"/>
            </w:tcBorders>
            <w:shd w:val="clear" w:color="auto" w:fill="009AD9"/>
          </w:tcPr>
          <w:p>
            <w:pPr>
              <w:spacing w:after="0"/>
              <w:rPr>
                <w:sz w:val="10"/>
                <w:szCs w:val="10"/>
                <w:color w:val="auto"/>
              </w:rPr>
            </w:pPr>
          </w:p>
        </w:tc>
        <w:tc>
          <w:tcPr>
            <w:tcW w:w="48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140" w:type="dxa"/>
            <w:vAlign w:val="bottom"/>
            <w:tcBorders>
              <w:right w:val="single" w:sz="8" w:color="009AD9"/>
            </w:tcBorders>
            <w:shd w:val="clear" w:color="auto" w:fill="009AD9"/>
          </w:tcPr>
          <w:p>
            <w:pPr>
              <w:spacing w:after="0"/>
              <w:rPr>
                <w:sz w:val="10"/>
                <w:szCs w:val="10"/>
                <w:color w:val="auto"/>
              </w:rPr>
            </w:pPr>
          </w:p>
        </w:tc>
        <w:tc>
          <w:tcPr>
            <w:tcW w:w="38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6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940" w:type="dxa"/>
            <w:vAlign w:val="bottom"/>
            <w:gridSpan w:val="6"/>
            <w:shd w:val="clear" w:color="auto" w:fill="009AD9"/>
          </w:tcPr>
          <w:p>
            <w:pPr>
              <w:jc w:val="center"/>
              <w:ind w:right="200"/>
              <w:spacing w:after="0"/>
              <w:rPr>
                <w:sz w:val="20"/>
                <w:szCs w:val="20"/>
                <w:color w:val="auto"/>
              </w:rPr>
            </w:pPr>
            <w:r>
              <w:rPr>
                <w:rFonts w:ascii="Arial" w:cs="Arial" w:eastAsia="Arial" w:hAnsi="Arial"/>
                <w:sz w:val="10"/>
                <w:szCs w:val="10"/>
                <w:b w:val="1"/>
                <w:bCs w:val="1"/>
                <w:color w:val="FFFFFF"/>
                <w:w w:val="96"/>
              </w:rPr>
              <w:t>Corporate and</w:t>
            </w:r>
          </w:p>
        </w:tc>
        <w:tc>
          <w:tcPr>
            <w:tcW w:w="8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340" w:type="dxa"/>
            <w:vAlign w:val="bottom"/>
            <w:shd w:val="clear" w:color="auto" w:fill="009AD9"/>
          </w:tcPr>
          <w:p>
            <w:pPr>
              <w:spacing w:after="0"/>
              <w:rPr>
                <w:sz w:val="10"/>
                <w:szCs w:val="10"/>
                <w:color w:val="auto"/>
              </w:rPr>
            </w:pPr>
          </w:p>
        </w:tc>
        <w:tc>
          <w:tcPr>
            <w:tcW w:w="100" w:type="dxa"/>
            <w:vAlign w:val="bottom"/>
            <w:shd w:val="clear" w:color="auto" w:fill="009AD9"/>
          </w:tcPr>
          <w:p>
            <w:pPr>
              <w:spacing w:after="0"/>
              <w:rPr>
                <w:sz w:val="10"/>
                <w:szCs w:val="10"/>
                <w:color w:val="auto"/>
              </w:rPr>
            </w:pPr>
          </w:p>
        </w:tc>
        <w:tc>
          <w:tcPr>
            <w:tcW w:w="80" w:type="dxa"/>
            <w:vAlign w:val="bottom"/>
            <w:shd w:val="clear" w:color="auto" w:fill="009AD9"/>
          </w:tcPr>
          <w:p>
            <w:pPr>
              <w:spacing w:after="0"/>
              <w:rPr>
                <w:sz w:val="10"/>
                <w:szCs w:val="10"/>
                <w:color w:val="auto"/>
              </w:rPr>
            </w:pPr>
          </w:p>
        </w:tc>
        <w:tc>
          <w:tcPr>
            <w:tcW w:w="80" w:type="dxa"/>
            <w:vAlign w:val="bottom"/>
            <w:shd w:val="clear" w:color="auto" w:fill="009AD9"/>
          </w:tcPr>
          <w:p>
            <w:pPr>
              <w:spacing w:after="0"/>
              <w:rPr>
                <w:sz w:val="10"/>
                <w:szCs w:val="10"/>
                <w:color w:val="auto"/>
              </w:rPr>
            </w:pPr>
          </w:p>
        </w:tc>
        <w:tc>
          <w:tcPr>
            <w:tcW w:w="260" w:type="dxa"/>
            <w:vAlign w:val="bottom"/>
            <w:shd w:val="clear" w:color="auto" w:fill="009AD9"/>
          </w:tcPr>
          <w:p>
            <w:pPr>
              <w:spacing w:after="0"/>
              <w:rPr>
                <w:sz w:val="10"/>
                <w:szCs w:val="10"/>
                <w:color w:val="auto"/>
              </w:rPr>
            </w:pPr>
          </w:p>
        </w:tc>
        <w:tc>
          <w:tcPr>
            <w:tcW w:w="60" w:type="dxa"/>
            <w:vAlign w:val="bottom"/>
            <w:shd w:val="clear" w:color="auto" w:fill="009AD9"/>
          </w:tcPr>
          <w:p>
            <w:pPr>
              <w:spacing w:after="0"/>
              <w:rPr>
                <w:sz w:val="10"/>
                <w:szCs w:val="10"/>
                <w:color w:val="auto"/>
              </w:rPr>
            </w:pPr>
          </w:p>
        </w:tc>
      </w:tr>
      <w:tr>
        <w:trPr>
          <w:trHeight w:val="156"/>
        </w:trPr>
        <w:tc>
          <w:tcPr>
            <w:tcW w:w="2760" w:type="dxa"/>
            <w:vAlign w:val="bottom"/>
            <w:shd w:val="clear" w:color="auto" w:fill="009AD9"/>
          </w:tcPr>
          <w:p>
            <w:pPr>
              <w:spacing w:after="0"/>
              <w:rPr>
                <w:sz w:val="13"/>
                <w:szCs w:val="13"/>
                <w:color w:val="auto"/>
              </w:rPr>
            </w:pPr>
          </w:p>
        </w:tc>
        <w:tc>
          <w:tcPr>
            <w:tcW w:w="160" w:type="dxa"/>
            <w:vAlign w:val="bottom"/>
            <w:tcBorders>
              <w:right w:val="single" w:sz="8" w:color="009AD9"/>
            </w:tcBorders>
            <w:shd w:val="clear" w:color="auto" w:fill="009AD9"/>
          </w:tcPr>
          <w:p>
            <w:pPr>
              <w:spacing w:after="0"/>
              <w:rPr>
                <w:sz w:val="13"/>
                <w:szCs w:val="13"/>
                <w:color w:val="auto"/>
              </w:rPr>
            </w:pPr>
          </w:p>
        </w:tc>
        <w:tc>
          <w:tcPr>
            <w:tcW w:w="980" w:type="dxa"/>
            <w:vAlign w:val="bottom"/>
            <w:gridSpan w:val="6"/>
            <w:shd w:val="clear" w:color="auto" w:fill="009AD9"/>
          </w:tcPr>
          <w:p>
            <w:pPr>
              <w:jc w:val="right"/>
              <w:ind w:right="180"/>
              <w:spacing w:after="0"/>
              <w:rPr>
                <w:sz w:val="20"/>
                <w:szCs w:val="20"/>
                <w:color w:val="auto"/>
              </w:rPr>
            </w:pPr>
            <w:r>
              <w:rPr>
                <w:rFonts w:ascii="Arial" w:cs="Arial" w:eastAsia="Arial" w:hAnsi="Arial"/>
                <w:sz w:val="10"/>
                <w:szCs w:val="10"/>
                <w:b w:val="1"/>
                <w:bCs w:val="1"/>
                <w:color w:val="FFFFFF"/>
                <w:w w:val="93"/>
              </w:rPr>
              <w:t>Utility Operations</w:t>
            </w:r>
          </w:p>
        </w:tc>
        <w:tc>
          <w:tcPr>
            <w:tcW w:w="120" w:type="dxa"/>
            <w:vAlign w:val="bottom"/>
            <w:tcBorders>
              <w:right w:val="single" w:sz="8" w:color="009AD9"/>
            </w:tcBorders>
            <w:shd w:val="clear" w:color="auto" w:fill="009AD9"/>
          </w:tcPr>
          <w:p>
            <w:pPr>
              <w:spacing w:after="0"/>
              <w:rPr>
                <w:sz w:val="13"/>
                <w:szCs w:val="13"/>
                <w:color w:val="auto"/>
              </w:rPr>
            </w:pPr>
          </w:p>
        </w:tc>
        <w:tc>
          <w:tcPr>
            <w:tcW w:w="1200" w:type="dxa"/>
            <w:vAlign w:val="bottom"/>
            <w:gridSpan w:val="5"/>
            <w:shd w:val="clear" w:color="auto" w:fill="009AD9"/>
          </w:tcPr>
          <w:p>
            <w:pPr>
              <w:jc w:val="right"/>
              <w:ind w:right="140"/>
              <w:spacing w:after="0"/>
              <w:rPr>
                <w:sz w:val="20"/>
                <w:szCs w:val="20"/>
                <w:color w:val="auto"/>
              </w:rPr>
            </w:pPr>
            <w:r>
              <w:rPr>
                <w:rFonts w:ascii="Arial" w:cs="Arial" w:eastAsia="Arial" w:hAnsi="Arial"/>
                <w:sz w:val="10"/>
                <w:szCs w:val="10"/>
                <w:b w:val="1"/>
                <w:bCs w:val="1"/>
                <w:color w:val="FFFFFF"/>
                <w:w w:val="93"/>
              </w:rPr>
              <w:t>Midstream Investments</w:t>
            </w:r>
          </w:p>
        </w:tc>
        <w:tc>
          <w:tcPr>
            <w:tcW w:w="60" w:type="dxa"/>
            <w:vAlign w:val="bottom"/>
            <w:shd w:val="clear" w:color="auto" w:fill="009AD9"/>
          </w:tcPr>
          <w:p>
            <w:pPr>
              <w:spacing w:after="0"/>
              <w:rPr>
                <w:sz w:val="13"/>
                <w:szCs w:val="13"/>
                <w:color w:val="auto"/>
              </w:rPr>
            </w:pPr>
          </w:p>
        </w:tc>
        <w:tc>
          <w:tcPr>
            <w:tcW w:w="100" w:type="dxa"/>
            <w:vAlign w:val="bottom"/>
            <w:shd w:val="clear" w:color="auto" w:fill="009AD9"/>
          </w:tcPr>
          <w:p>
            <w:pPr>
              <w:spacing w:after="0"/>
              <w:rPr>
                <w:sz w:val="13"/>
                <w:szCs w:val="13"/>
                <w:color w:val="auto"/>
              </w:rPr>
            </w:pPr>
          </w:p>
        </w:tc>
        <w:tc>
          <w:tcPr>
            <w:tcW w:w="600" w:type="dxa"/>
            <w:vAlign w:val="bottom"/>
            <w:gridSpan w:val="4"/>
            <w:shd w:val="clear" w:color="auto" w:fill="009AD9"/>
          </w:tcPr>
          <w:p>
            <w:pPr>
              <w:jc w:val="center"/>
              <w:ind w:left="92"/>
              <w:spacing w:after="0" w:line="156" w:lineRule="exact"/>
              <w:rPr>
                <w:sz w:val="20"/>
                <w:szCs w:val="20"/>
                <w:color w:val="auto"/>
              </w:rPr>
            </w:pPr>
            <w:r>
              <w:rPr>
                <w:rFonts w:ascii="Arial" w:cs="Arial" w:eastAsia="Arial" w:hAnsi="Arial"/>
                <w:sz w:val="10"/>
                <w:szCs w:val="10"/>
                <w:b w:val="1"/>
                <w:bCs w:val="1"/>
                <w:color w:val="FFFFFF"/>
                <w:w w:val="89"/>
              </w:rPr>
              <w:t>Other</w:t>
            </w:r>
            <w:r>
              <w:rPr>
                <w:rFonts w:ascii="Arial" w:cs="Arial" w:eastAsia="Arial" w:hAnsi="Arial"/>
                <w:sz w:val="14"/>
                <w:szCs w:val="14"/>
                <w:b w:val="1"/>
                <w:bCs w:val="1"/>
                <w:color w:val="FFFFFF"/>
                <w:w w:val="89"/>
                <w:vertAlign w:val="superscript"/>
              </w:rPr>
              <w:t>(7)</w:t>
            </w:r>
          </w:p>
        </w:tc>
        <w:tc>
          <w:tcPr>
            <w:tcW w:w="240" w:type="dxa"/>
            <w:vAlign w:val="bottom"/>
            <w:shd w:val="clear" w:color="auto" w:fill="009AD9"/>
          </w:tcPr>
          <w:p>
            <w:pPr>
              <w:spacing w:after="0"/>
              <w:rPr>
                <w:sz w:val="13"/>
                <w:szCs w:val="13"/>
                <w:color w:val="auto"/>
              </w:rPr>
            </w:pPr>
          </w:p>
        </w:tc>
        <w:tc>
          <w:tcPr>
            <w:tcW w:w="100" w:type="dxa"/>
            <w:vAlign w:val="bottom"/>
            <w:shd w:val="clear" w:color="auto" w:fill="009AD9"/>
          </w:tcPr>
          <w:p>
            <w:pPr>
              <w:spacing w:after="0"/>
              <w:rPr>
                <w:sz w:val="13"/>
                <w:szCs w:val="13"/>
                <w:color w:val="auto"/>
              </w:rPr>
            </w:pPr>
          </w:p>
        </w:tc>
        <w:tc>
          <w:tcPr>
            <w:tcW w:w="80" w:type="dxa"/>
            <w:vAlign w:val="bottom"/>
            <w:shd w:val="clear" w:color="auto" w:fill="009AD9"/>
          </w:tcPr>
          <w:p>
            <w:pPr>
              <w:spacing w:after="0"/>
              <w:rPr>
                <w:sz w:val="13"/>
                <w:szCs w:val="13"/>
                <w:color w:val="auto"/>
              </w:rPr>
            </w:pPr>
          </w:p>
        </w:tc>
        <w:tc>
          <w:tcPr>
            <w:tcW w:w="100" w:type="dxa"/>
            <w:vAlign w:val="bottom"/>
            <w:shd w:val="clear" w:color="auto" w:fill="009AD9"/>
          </w:tcPr>
          <w:p>
            <w:pPr>
              <w:spacing w:after="0"/>
              <w:rPr>
                <w:sz w:val="13"/>
                <w:szCs w:val="13"/>
                <w:color w:val="auto"/>
              </w:rPr>
            </w:pPr>
          </w:p>
        </w:tc>
        <w:tc>
          <w:tcPr>
            <w:tcW w:w="860" w:type="dxa"/>
            <w:vAlign w:val="bottom"/>
            <w:gridSpan w:val="5"/>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Consolidated</w:t>
            </w:r>
          </w:p>
        </w:tc>
        <w:tc>
          <w:tcPr>
            <w:tcW w:w="60" w:type="dxa"/>
            <w:vAlign w:val="bottom"/>
            <w:shd w:val="clear" w:color="auto" w:fill="009AD9"/>
          </w:tcPr>
          <w:p>
            <w:pPr>
              <w:spacing w:after="0"/>
              <w:rPr>
                <w:sz w:val="13"/>
                <w:szCs w:val="13"/>
                <w:color w:val="auto"/>
              </w:rPr>
            </w:pPr>
          </w:p>
        </w:tc>
      </w:tr>
      <w:tr>
        <w:trPr>
          <w:trHeight w:val="99"/>
        </w:trPr>
        <w:tc>
          <w:tcPr>
            <w:tcW w:w="2760" w:type="dxa"/>
            <w:vAlign w:val="bottom"/>
            <w:shd w:val="clear" w:color="auto" w:fill="009AD9"/>
          </w:tcPr>
          <w:p>
            <w:pPr>
              <w:spacing w:after="0"/>
              <w:rPr>
                <w:sz w:val="8"/>
                <w:szCs w:val="8"/>
                <w:color w:val="auto"/>
              </w:rPr>
            </w:pPr>
          </w:p>
        </w:tc>
        <w:tc>
          <w:tcPr>
            <w:tcW w:w="640" w:type="dxa"/>
            <w:vAlign w:val="bottom"/>
            <w:gridSpan w:val="3"/>
            <w:shd w:val="clear" w:color="auto" w:fill="009AD9"/>
          </w:tcPr>
          <w:p>
            <w:pPr>
              <w:ind w:left="100"/>
              <w:spacing w:after="0" w:line="99" w:lineRule="exact"/>
              <w:rPr>
                <w:sz w:val="20"/>
                <w:szCs w:val="20"/>
                <w:color w:val="auto"/>
              </w:rPr>
            </w:pPr>
            <w:r>
              <w:rPr>
                <w:rFonts w:ascii="Arial" w:cs="Arial" w:eastAsia="Arial" w:hAnsi="Arial"/>
                <w:sz w:val="10"/>
                <w:szCs w:val="10"/>
                <w:b w:val="1"/>
                <w:bCs w:val="1"/>
                <w:color w:val="FFFFFF"/>
              </w:rPr>
              <w:t>Dollars in</w:t>
            </w:r>
          </w:p>
        </w:tc>
        <w:tc>
          <w:tcPr>
            <w:tcW w:w="500" w:type="dxa"/>
            <w:vAlign w:val="bottom"/>
            <w:gridSpan w:val="4"/>
            <w:shd w:val="clear" w:color="auto" w:fill="009AD9"/>
          </w:tcPr>
          <w:p>
            <w:pPr>
              <w:ind w:left="60"/>
              <w:spacing w:after="0" w:line="99" w:lineRule="exact"/>
              <w:rPr>
                <w:sz w:val="20"/>
                <w:szCs w:val="20"/>
                <w:color w:val="auto"/>
              </w:rPr>
            </w:pPr>
            <w:r>
              <w:rPr>
                <w:rFonts w:ascii="Arial" w:cs="Arial" w:eastAsia="Arial" w:hAnsi="Arial"/>
                <w:sz w:val="10"/>
                <w:szCs w:val="10"/>
                <w:b w:val="1"/>
                <w:bCs w:val="1"/>
                <w:color w:val="FFFFFF"/>
              </w:rPr>
              <w:t>Diluted</w:t>
            </w:r>
          </w:p>
        </w:tc>
        <w:tc>
          <w:tcPr>
            <w:tcW w:w="120" w:type="dxa"/>
            <w:vAlign w:val="bottom"/>
            <w:tcBorders>
              <w:right w:val="single" w:sz="8" w:color="009AD9"/>
            </w:tcBorders>
            <w:shd w:val="clear" w:color="auto" w:fill="009AD9"/>
          </w:tcPr>
          <w:p>
            <w:pPr>
              <w:spacing w:after="0"/>
              <w:rPr>
                <w:sz w:val="8"/>
                <w:szCs w:val="8"/>
                <w:color w:val="auto"/>
              </w:rPr>
            </w:pPr>
          </w:p>
        </w:tc>
        <w:tc>
          <w:tcPr>
            <w:tcW w:w="580" w:type="dxa"/>
            <w:vAlign w:val="bottom"/>
            <w:gridSpan w:val="2"/>
            <w:shd w:val="clear" w:color="auto" w:fill="009AD9"/>
          </w:tcPr>
          <w:p>
            <w:pPr>
              <w:jc w:val="right"/>
              <w:ind w:right="140"/>
              <w:spacing w:after="0" w:line="99" w:lineRule="exact"/>
              <w:rPr>
                <w:sz w:val="20"/>
                <w:szCs w:val="20"/>
                <w:color w:val="auto"/>
              </w:rPr>
            </w:pPr>
            <w:r>
              <w:rPr>
                <w:rFonts w:ascii="Arial" w:cs="Arial" w:eastAsia="Arial" w:hAnsi="Arial"/>
                <w:sz w:val="10"/>
                <w:szCs w:val="10"/>
                <w:b w:val="1"/>
                <w:bCs w:val="1"/>
                <w:color w:val="FFFFFF"/>
                <w:w w:val="92"/>
              </w:rPr>
              <w:t>Dollars in</w:t>
            </w:r>
          </w:p>
        </w:tc>
        <w:tc>
          <w:tcPr>
            <w:tcW w:w="140" w:type="dxa"/>
            <w:vAlign w:val="bottom"/>
            <w:tcBorders>
              <w:right w:val="single" w:sz="8" w:color="009AD9"/>
            </w:tcBorders>
            <w:shd w:val="clear" w:color="auto" w:fill="009AD9"/>
          </w:tcPr>
          <w:p>
            <w:pPr>
              <w:spacing w:after="0"/>
              <w:rPr>
                <w:sz w:val="8"/>
                <w:szCs w:val="8"/>
                <w:color w:val="auto"/>
              </w:rPr>
            </w:pPr>
          </w:p>
        </w:tc>
        <w:tc>
          <w:tcPr>
            <w:tcW w:w="480" w:type="dxa"/>
            <w:vAlign w:val="bottom"/>
            <w:gridSpan w:val="2"/>
            <w:shd w:val="clear" w:color="auto" w:fill="009AD9"/>
          </w:tcPr>
          <w:p>
            <w:pPr>
              <w:jc w:val="right"/>
              <w:ind w:right="160"/>
              <w:spacing w:after="0" w:line="99" w:lineRule="exact"/>
              <w:rPr>
                <w:sz w:val="20"/>
                <w:szCs w:val="20"/>
                <w:color w:val="auto"/>
              </w:rPr>
            </w:pPr>
            <w:r>
              <w:rPr>
                <w:rFonts w:ascii="Arial" w:cs="Arial" w:eastAsia="Arial" w:hAnsi="Arial"/>
                <w:sz w:val="10"/>
                <w:szCs w:val="10"/>
                <w:b w:val="1"/>
                <w:bCs w:val="1"/>
                <w:color w:val="FFFFFF"/>
                <w:w w:val="88"/>
              </w:rPr>
              <w:t>Diluted</w:t>
            </w:r>
          </w:p>
        </w:tc>
        <w:tc>
          <w:tcPr>
            <w:tcW w:w="600" w:type="dxa"/>
            <w:vAlign w:val="bottom"/>
            <w:gridSpan w:val="4"/>
            <w:shd w:val="clear" w:color="auto" w:fill="009AD9"/>
          </w:tcPr>
          <w:p>
            <w:pPr>
              <w:ind w:left="60"/>
              <w:spacing w:after="0" w:line="99" w:lineRule="exact"/>
              <w:rPr>
                <w:sz w:val="20"/>
                <w:szCs w:val="20"/>
                <w:color w:val="auto"/>
              </w:rPr>
            </w:pPr>
            <w:r>
              <w:rPr>
                <w:rFonts w:ascii="Arial" w:cs="Arial" w:eastAsia="Arial" w:hAnsi="Arial"/>
                <w:sz w:val="10"/>
                <w:szCs w:val="10"/>
                <w:b w:val="1"/>
                <w:bCs w:val="1"/>
                <w:color w:val="FFFFFF"/>
              </w:rPr>
              <w:t>Dollars in</w:t>
            </w:r>
          </w:p>
        </w:tc>
        <w:tc>
          <w:tcPr>
            <w:tcW w:w="500" w:type="dxa"/>
            <w:vAlign w:val="bottom"/>
            <w:gridSpan w:val="4"/>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rPr>
              <w:t>Diluted</w:t>
            </w:r>
          </w:p>
        </w:tc>
        <w:tc>
          <w:tcPr>
            <w:tcW w:w="620" w:type="dxa"/>
            <w:vAlign w:val="bottom"/>
            <w:gridSpan w:val="4"/>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rPr>
              <w:t>Dollars in</w:t>
            </w:r>
          </w:p>
        </w:tc>
        <w:tc>
          <w:tcPr>
            <w:tcW w:w="420" w:type="dxa"/>
            <w:vAlign w:val="bottom"/>
            <w:gridSpan w:val="3"/>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w w:val="94"/>
              </w:rPr>
              <w:t>Diluted</w:t>
            </w:r>
          </w:p>
        </w:tc>
        <w:tc>
          <w:tcPr>
            <w:tcW w:w="60" w:type="dxa"/>
            <w:vAlign w:val="bottom"/>
            <w:shd w:val="clear" w:color="auto" w:fill="009AD9"/>
          </w:tcPr>
          <w:p>
            <w:pPr>
              <w:spacing w:after="0"/>
              <w:rPr>
                <w:sz w:val="8"/>
                <w:szCs w:val="8"/>
                <w:color w:val="auto"/>
              </w:rPr>
            </w:pPr>
          </w:p>
        </w:tc>
      </w:tr>
      <w:tr>
        <w:trPr>
          <w:trHeight w:val="156"/>
        </w:trPr>
        <w:tc>
          <w:tcPr>
            <w:tcW w:w="2760" w:type="dxa"/>
            <w:vAlign w:val="bottom"/>
            <w:shd w:val="clear" w:color="auto" w:fill="009AD9"/>
          </w:tcPr>
          <w:p>
            <w:pPr>
              <w:spacing w:after="0"/>
              <w:rPr>
                <w:sz w:val="13"/>
                <w:szCs w:val="13"/>
                <w:color w:val="auto"/>
              </w:rPr>
            </w:pPr>
          </w:p>
        </w:tc>
        <w:tc>
          <w:tcPr>
            <w:tcW w:w="160" w:type="dxa"/>
            <w:vAlign w:val="bottom"/>
            <w:tcBorders>
              <w:right w:val="single" w:sz="8" w:color="009AD9"/>
            </w:tcBorders>
            <w:shd w:val="clear" w:color="auto" w:fill="009AD9"/>
          </w:tcPr>
          <w:p>
            <w:pPr>
              <w:spacing w:after="0"/>
              <w:rPr>
                <w:sz w:val="13"/>
                <w:szCs w:val="13"/>
                <w:color w:val="auto"/>
              </w:rPr>
            </w:pPr>
          </w:p>
        </w:tc>
        <w:tc>
          <w:tcPr>
            <w:tcW w:w="480" w:type="dxa"/>
            <w:vAlign w:val="bottom"/>
            <w:gridSpan w:val="2"/>
            <w:shd w:val="clear" w:color="auto" w:fill="009AD9"/>
          </w:tcPr>
          <w:p>
            <w:pPr>
              <w:jc w:val="right"/>
              <w:ind w:right="140"/>
              <w:spacing w:after="0"/>
              <w:rPr>
                <w:sz w:val="20"/>
                <w:szCs w:val="20"/>
                <w:color w:val="auto"/>
              </w:rPr>
            </w:pPr>
            <w:r>
              <w:rPr>
                <w:rFonts w:ascii="Arial" w:cs="Arial" w:eastAsia="Arial" w:hAnsi="Arial"/>
                <w:sz w:val="10"/>
                <w:szCs w:val="10"/>
                <w:b w:val="1"/>
                <w:bCs w:val="1"/>
                <w:color w:val="FFFFFF"/>
                <w:w w:val="84"/>
              </w:rPr>
              <w:t>millions</w:t>
            </w:r>
          </w:p>
        </w:tc>
        <w:tc>
          <w:tcPr>
            <w:tcW w:w="60" w:type="dxa"/>
            <w:vAlign w:val="bottom"/>
            <w:shd w:val="clear" w:color="auto" w:fill="009AD9"/>
          </w:tcPr>
          <w:p>
            <w:pPr>
              <w:spacing w:after="0"/>
              <w:rPr>
                <w:sz w:val="13"/>
                <w:szCs w:val="13"/>
                <w:color w:val="auto"/>
              </w:rPr>
            </w:pPr>
          </w:p>
        </w:tc>
        <w:tc>
          <w:tcPr>
            <w:tcW w:w="440" w:type="dxa"/>
            <w:vAlign w:val="bottom"/>
            <w:gridSpan w:val="3"/>
            <w:shd w:val="clear" w:color="auto" w:fill="009AD9"/>
          </w:tcPr>
          <w:p>
            <w:pPr>
              <w:jc w:val="right"/>
              <w:ind w:right="140"/>
              <w:spacing w:after="0" w:line="156" w:lineRule="exact"/>
              <w:rPr>
                <w:sz w:val="20"/>
                <w:szCs w:val="20"/>
                <w:color w:val="auto"/>
              </w:rPr>
            </w:pPr>
            <w:r>
              <w:rPr>
                <w:rFonts w:ascii="Arial" w:cs="Arial" w:eastAsia="Arial" w:hAnsi="Arial"/>
                <w:sz w:val="10"/>
                <w:szCs w:val="10"/>
                <w:b w:val="1"/>
                <w:bCs w:val="1"/>
                <w:color w:val="FFFFFF"/>
                <w:w w:val="88"/>
              </w:rPr>
              <w:t>EPS</w:t>
            </w:r>
            <w:r>
              <w:rPr>
                <w:rFonts w:ascii="Arial" w:cs="Arial" w:eastAsia="Arial" w:hAnsi="Arial"/>
                <w:sz w:val="14"/>
                <w:szCs w:val="14"/>
                <w:b w:val="1"/>
                <w:bCs w:val="1"/>
                <w:color w:val="FFFFFF"/>
                <w:w w:val="88"/>
                <w:vertAlign w:val="superscript"/>
              </w:rPr>
              <w:t>(1)</w:t>
            </w:r>
          </w:p>
        </w:tc>
        <w:tc>
          <w:tcPr>
            <w:tcW w:w="120" w:type="dxa"/>
            <w:vAlign w:val="bottom"/>
            <w:tcBorders>
              <w:right w:val="single" w:sz="8" w:color="009AD9"/>
            </w:tcBorders>
            <w:shd w:val="clear" w:color="auto" w:fill="009AD9"/>
          </w:tcPr>
          <w:p>
            <w:pPr>
              <w:spacing w:after="0"/>
              <w:rPr>
                <w:sz w:val="13"/>
                <w:szCs w:val="13"/>
                <w:color w:val="auto"/>
              </w:rPr>
            </w:pPr>
          </w:p>
        </w:tc>
        <w:tc>
          <w:tcPr>
            <w:tcW w:w="580" w:type="dxa"/>
            <w:vAlign w:val="bottom"/>
            <w:gridSpan w:val="2"/>
            <w:shd w:val="clear" w:color="auto" w:fill="009AD9"/>
          </w:tcPr>
          <w:p>
            <w:pPr>
              <w:jc w:val="right"/>
              <w:ind w:right="180"/>
              <w:spacing w:after="0"/>
              <w:rPr>
                <w:sz w:val="20"/>
                <w:szCs w:val="20"/>
                <w:color w:val="auto"/>
              </w:rPr>
            </w:pPr>
            <w:r>
              <w:rPr>
                <w:rFonts w:ascii="Arial" w:cs="Arial" w:eastAsia="Arial" w:hAnsi="Arial"/>
                <w:sz w:val="10"/>
                <w:szCs w:val="10"/>
                <w:b w:val="1"/>
                <w:bCs w:val="1"/>
                <w:color w:val="FFFFFF"/>
              </w:rPr>
              <w:t>millions</w:t>
            </w:r>
          </w:p>
        </w:tc>
        <w:tc>
          <w:tcPr>
            <w:tcW w:w="140" w:type="dxa"/>
            <w:vAlign w:val="bottom"/>
            <w:tcBorders>
              <w:right w:val="single" w:sz="8" w:color="009AD9"/>
            </w:tcBorders>
            <w:shd w:val="clear" w:color="auto" w:fill="009AD9"/>
          </w:tcPr>
          <w:p>
            <w:pPr>
              <w:spacing w:after="0"/>
              <w:rPr>
                <w:sz w:val="13"/>
                <w:szCs w:val="13"/>
                <w:color w:val="auto"/>
              </w:rPr>
            </w:pPr>
          </w:p>
        </w:tc>
        <w:tc>
          <w:tcPr>
            <w:tcW w:w="480" w:type="dxa"/>
            <w:vAlign w:val="bottom"/>
            <w:gridSpan w:val="2"/>
            <w:shd w:val="clear" w:color="auto" w:fill="009AD9"/>
          </w:tcPr>
          <w:p>
            <w:pPr>
              <w:jc w:val="right"/>
              <w:ind w:right="180"/>
              <w:spacing w:after="0" w:line="156" w:lineRule="exact"/>
              <w:rPr>
                <w:sz w:val="20"/>
                <w:szCs w:val="20"/>
                <w:color w:val="auto"/>
              </w:rPr>
            </w:pPr>
            <w:r>
              <w:rPr>
                <w:rFonts w:ascii="Arial" w:cs="Arial" w:eastAsia="Arial" w:hAnsi="Arial"/>
                <w:sz w:val="10"/>
                <w:szCs w:val="10"/>
                <w:b w:val="1"/>
                <w:bCs w:val="1"/>
                <w:color w:val="FFFFFF"/>
                <w:w w:val="88"/>
              </w:rPr>
              <w:t>EPS</w:t>
            </w:r>
            <w:r>
              <w:rPr>
                <w:rFonts w:ascii="Arial" w:cs="Arial" w:eastAsia="Arial" w:hAnsi="Arial"/>
                <w:sz w:val="14"/>
                <w:szCs w:val="14"/>
                <w:b w:val="1"/>
                <w:bCs w:val="1"/>
                <w:color w:val="FFFFFF"/>
                <w:w w:val="88"/>
                <w:vertAlign w:val="superscript"/>
              </w:rPr>
              <w:t>(1)</w:t>
            </w:r>
          </w:p>
        </w:tc>
        <w:tc>
          <w:tcPr>
            <w:tcW w:w="60" w:type="dxa"/>
            <w:vAlign w:val="bottom"/>
            <w:shd w:val="clear" w:color="auto" w:fill="009AD9"/>
          </w:tcPr>
          <w:p>
            <w:pPr>
              <w:spacing w:after="0"/>
              <w:rPr>
                <w:sz w:val="13"/>
                <w:szCs w:val="13"/>
                <w:color w:val="auto"/>
              </w:rPr>
            </w:pPr>
          </w:p>
        </w:tc>
        <w:tc>
          <w:tcPr>
            <w:tcW w:w="540" w:type="dxa"/>
            <w:vAlign w:val="bottom"/>
            <w:gridSpan w:val="3"/>
            <w:shd w:val="clear" w:color="auto" w:fill="009AD9"/>
          </w:tcPr>
          <w:p>
            <w:pPr>
              <w:jc w:val="right"/>
              <w:ind w:right="140"/>
              <w:spacing w:after="0"/>
              <w:rPr>
                <w:sz w:val="20"/>
                <w:szCs w:val="20"/>
                <w:color w:val="auto"/>
              </w:rPr>
            </w:pPr>
            <w:r>
              <w:rPr>
                <w:rFonts w:ascii="Arial" w:cs="Arial" w:eastAsia="Arial" w:hAnsi="Arial"/>
                <w:sz w:val="10"/>
                <w:szCs w:val="10"/>
                <w:b w:val="1"/>
                <w:bCs w:val="1"/>
                <w:color w:val="FFFFFF"/>
              </w:rPr>
              <w:t>millions</w:t>
            </w:r>
          </w:p>
        </w:tc>
        <w:tc>
          <w:tcPr>
            <w:tcW w:w="80" w:type="dxa"/>
            <w:vAlign w:val="bottom"/>
            <w:shd w:val="clear" w:color="auto" w:fill="009AD9"/>
          </w:tcPr>
          <w:p>
            <w:pPr>
              <w:spacing w:after="0"/>
              <w:rPr>
                <w:sz w:val="13"/>
                <w:szCs w:val="13"/>
                <w:color w:val="auto"/>
              </w:rPr>
            </w:pPr>
          </w:p>
        </w:tc>
        <w:tc>
          <w:tcPr>
            <w:tcW w:w="420" w:type="dxa"/>
            <w:vAlign w:val="bottom"/>
            <w:gridSpan w:val="3"/>
            <w:shd w:val="clear" w:color="auto" w:fill="009AD9"/>
          </w:tcPr>
          <w:p>
            <w:pPr>
              <w:jc w:val="right"/>
              <w:ind w:right="120"/>
              <w:spacing w:after="0" w:line="156" w:lineRule="exact"/>
              <w:rPr>
                <w:sz w:val="20"/>
                <w:szCs w:val="20"/>
                <w:color w:val="auto"/>
              </w:rPr>
            </w:pPr>
            <w:r>
              <w:rPr>
                <w:rFonts w:ascii="Arial" w:cs="Arial" w:eastAsia="Arial" w:hAnsi="Arial"/>
                <w:sz w:val="10"/>
                <w:szCs w:val="10"/>
                <w:b w:val="1"/>
                <w:bCs w:val="1"/>
                <w:color w:val="FFFFFF"/>
                <w:w w:val="88"/>
              </w:rPr>
              <w:t>EPS</w:t>
            </w:r>
            <w:r>
              <w:rPr>
                <w:rFonts w:ascii="Arial" w:cs="Arial" w:eastAsia="Arial" w:hAnsi="Arial"/>
                <w:sz w:val="14"/>
                <w:szCs w:val="14"/>
                <w:b w:val="1"/>
                <w:bCs w:val="1"/>
                <w:color w:val="FFFFFF"/>
                <w:w w:val="88"/>
                <w:vertAlign w:val="superscript"/>
              </w:rPr>
              <w:t>(1)</w:t>
            </w:r>
          </w:p>
        </w:tc>
        <w:tc>
          <w:tcPr>
            <w:tcW w:w="80" w:type="dxa"/>
            <w:vAlign w:val="bottom"/>
            <w:shd w:val="clear" w:color="auto" w:fill="009AD9"/>
          </w:tcPr>
          <w:p>
            <w:pPr>
              <w:spacing w:after="0"/>
              <w:rPr>
                <w:sz w:val="13"/>
                <w:szCs w:val="13"/>
                <w:color w:val="auto"/>
              </w:rPr>
            </w:pPr>
          </w:p>
        </w:tc>
        <w:tc>
          <w:tcPr>
            <w:tcW w:w="540" w:type="dxa"/>
            <w:vAlign w:val="bottom"/>
            <w:gridSpan w:val="3"/>
            <w:shd w:val="clear" w:color="auto" w:fill="009AD9"/>
          </w:tcPr>
          <w:p>
            <w:pPr>
              <w:jc w:val="right"/>
              <w:ind w:right="140"/>
              <w:spacing w:after="0"/>
              <w:rPr>
                <w:sz w:val="20"/>
                <w:szCs w:val="20"/>
                <w:color w:val="auto"/>
              </w:rPr>
            </w:pPr>
            <w:r>
              <w:rPr>
                <w:rFonts w:ascii="Arial" w:cs="Arial" w:eastAsia="Arial" w:hAnsi="Arial"/>
                <w:sz w:val="10"/>
                <w:szCs w:val="10"/>
                <w:b w:val="1"/>
                <w:bCs w:val="1"/>
                <w:color w:val="FFFFFF"/>
              </w:rPr>
              <w:t>millions</w:t>
            </w:r>
          </w:p>
        </w:tc>
        <w:tc>
          <w:tcPr>
            <w:tcW w:w="80" w:type="dxa"/>
            <w:vAlign w:val="bottom"/>
            <w:shd w:val="clear" w:color="auto" w:fill="009AD9"/>
          </w:tcPr>
          <w:p>
            <w:pPr>
              <w:spacing w:after="0"/>
              <w:rPr>
                <w:sz w:val="13"/>
                <w:szCs w:val="13"/>
                <w:color w:val="auto"/>
              </w:rPr>
            </w:pPr>
          </w:p>
        </w:tc>
        <w:tc>
          <w:tcPr>
            <w:tcW w:w="340" w:type="dxa"/>
            <w:vAlign w:val="bottom"/>
            <w:gridSpan w:val="2"/>
            <w:shd w:val="clear" w:color="auto" w:fill="009AD9"/>
          </w:tcPr>
          <w:p>
            <w:pPr>
              <w:jc w:val="right"/>
              <w:spacing w:after="0" w:line="156" w:lineRule="exact"/>
              <w:rPr>
                <w:sz w:val="20"/>
                <w:szCs w:val="20"/>
                <w:color w:val="auto"/>
              </w:rPr>
            </w:pPr>
            <w:r>
              <w:rPr>
                <w:rFonts w:ascii="Arial" w:cs="Arial" w:eastAsia="Arial" w:hAnsi="Arial"/>
                <w:sz w:val="10"/>
                <w:szCs w:val="10"/>
                <w:b w:val="1"/>
                <w:bCs w:val="1"/>
                <w:color w:val="FFFFFF"/>
                <w:w w:val="88"/>
              </w:rPr>
              <w:t>EPS</w:t>
            </w:r>
            <w:r>
              <w:rPr>
                <w:rFonts w:ascii="Arial" w:cs="Arial" w:eastAsia="Arial" w:hAnsi="Arial"/>
                <w:sz w:val="14"/>
                <w:szCs w:val="14"/>
                <w:b w:val="1"/>
                <w:bCs w:val="1"/>
                <w:color w:val="FFFFFF"/>
                <w:w w:val="88"/>
                <w:vertAlign w:val="superscript"/>
              </w:rPr>
              <w:t>(1)</w:t>
            </w:r>
          </w:p>
        </w:tc>
        <w:tc>
          <w:tcPr>
            <w:tcW w:w="60" w:type="dxa"/>
            <w:vAlign w:val="bottom"/>
            <w:shd w:val="clear" w:color="auto" w:fill="009AD9"/>
          </w:tcPr>
          <w:p>
            <w:pPr>
              <w:spacing w:after="0"/>
              <w:rPr>
                <w:sz w:val="13"/>
                <w:szCs w:val="13"/>
                <w:color w:val="auto"/>
              </w:rPr>
            </w:pPr>
          </w:p>
        </w:tc>
      </w:tr>
      <w:tr>
        <w:trPr>
          <w:trHeight w:val="119"/>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Consolidated income (loss) available to common</w:t>
            </w:r>
          </w:p>
        </w:tc>
        <w:tc>
          <w:tcPr>
            <w:tcW w:w="16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20" w:type="dxa"/>
            <w:vAlign w:val="bottom"/>
            <w:tcBorders>
              <w:right w:val="single" w:sz="8" w:color="D8EFF9"/>
            </w:tcBorders>
            <w:shd w:val="clear" w:color="auto" w:fill="D8EFF9"/>
          </w:tcPr>
          <w:p>
            <w:pPr>
              <w:spacing w:after="0"/>
              <w:rPr>
                <w:sz w:val="10"/>
                <w:szCs w:val="10"/>
                <w:color w:val="auto"/>
              </w:rPr>
            </w:pPr>
          </w:p>
        </w:tc>
        <w:tc>
          <w:tcPr>
            <w:tcW w:w="4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4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r>
      <w:tr>
        <w:trPr>
          <w:trHeight w:val="134"/>
        </w:trPr>
        <w:tc>
          <w:tcPr>
            <w:tcW w:w="276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shareholders and diluted EPS</w:t>
            </w:r>
          </w:p>
        </w:tc>
        <w:tc>
          <w:tcPr>
            <w:tcW w:w="160" w:type="dxa"/>
            <w:vAlign w:val="bottom"/>
            <w:tcBorders>
              <w:bottom w:val="single" w:sz="8" w:color="D8EFF9"/>
              <w:right w:val="single" w:sz="8" w:color="D8EFF9"/>
            </w:tcBorders>
            <w:shd w:val="clear" w:color="auto" w:fill="D8EFF9"/>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878</w:t>
            </w:r>
          </w:p>
        </w:tc>
        <w:tc>
          <w:tcPr>
            <w:tcW w:w="100" w:type="dxa"/>
            <w:vAlign w:val="bottom"/>
            <w:tcBorders>
              <w:bottom w:val="single" w:sz="8" w:color="D8EFF9"/>
            </w:tcBorders>
            <w:shd w:val="clear" w:color="auto" w:fill="D8EFF9"/>
          </w:tcPr>
          <w:p>
            <w:pPr>
              <w:spacing w:after="0"/>
              <w:rPr>
                <w:sz w:val="11"/>
                <w:szCs w:val="11"/>
                <w:color w:val="auto"/>
              </w:rPr>
            </w:pPr>
          </w:p>
        </w:tc>
        <w:tc>
          <w:tcPr>
            <w:tcW w:w="14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1.44</w:t>
            </w:r>
          </w:p>
        </w:tc>
        <w:tc>
          <w:tcPr>
            <w:tcW w:w="100" w:type="dxa"/>
            <w:vAlign w:val="bottom"/>
            <w:tcBorders>
              <w:bottom w:val="single" w:sz="8" w:color="D8EFF9"/>
            </w:tcBorders>
            <w:shd w:val="clear" w:color="auto" w:fill="D8EFF9"/>
          </w:tcPr>
          <w:p>
            <w:pPr>
              <w:spacing w:after="0"/>
              <w:rPr>
                <w:sz w:val="11"/>
                <w:szCs w:val="11"/>
                <w:color w:val="auto"/>
              </w:rPr>
            </w:pPr>
          </w:p>
        </w:tc>
        <w:tc>
          <w:tcPr>
            <w:tcW w:w="12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818</w:t>
            </w:r>
          </w:p>
        </w:tc>
        <w:tc>
          <w:tcPr>
            <w:tcW w:w="100" w:type="dxa"/>
            <w:vAlign w:val="bottom"/>
            <w:tcBorders>
              <w:bottom w:val="single" w:sz="8" w:color="D8EFF9"/>
            </w:tcBorders>
            <w:shd w:val="clear" w:color="auto" w:fill="D8EFF9"/>
          </w:tcPr>
          <w:p>
            <w:pPr>
              <w:spacing w:after="0"/>
              <w:rPr>
                <w:sz w:val="11"/>
                <w:szCs w:val="11"/>
                <w:color w:val="auto"/>
              </w:rPr>
            </w:pP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1.34</w:t>
            </w:r>
          </w:p>
        </w:tc>
        <w:tc>
          <w:tcPr>
            <w:tcW w:w="100" w:type="dxa"/>
            <w:vAlign w:val="bottom"/>
            <w:tcBorders>
              <w:bottom w:val="single" w:sz="8" w:color="D8EFF9"/>
            </w:tcBorders>
            <w:shd w:val="clear" w:color="auto" w:fill="D8EFF9"/>
          </w:tcPr>
          <w:p>
            <w:pPr>
              <w:spacing w:after="0"/>
              <w:rPr>
                <w:sz w:val="11"/>
                <w:szCs w:val="11"/>
                <w:color w:val="auto"/>
              </w:rPr>
            </w:pPr>
          </w:p>
        </w:tc>
        <w:tc>
          <w:tcPr>
            <w:tcW w:w="16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gridSpan w:val="2"/>
            <w:shd w:val="clear" w:color="auto" w:fill="D8EFF9"/>
          </w:tcPr>
          <w:p>
            <w:pPr>
              <w:jc w:val="right"/>
              <w:ind w:right="60"/>
              <w:spacing w:after="0"/>
              <w:rPr>
                <w:sz w:val="20"/>
                <w:szCs w:val="20"/>
                <w:color w:val="auto"/>
              </w:rPr>
            </w:pPr>
            <w:r>
              <w:rPr>
                <w:rFonts w:ascii="Arial" w:cs="Arial" w:eastAsia="Arial" w:hAnsi="Arial"/>
                <w:sz w:val="10"/>
                <w:szCs w:val="10"/>
                <w:color w:val="auto"/>
              </w:rPr>
              <w:t>(305)</w:t>
            </w:r>
          </w:p>
        </w:tc>
        <w:tc>
          <w:tcPr>
            <w:tcW w:w="16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gridSpan w:val="2"/>
            <w:shd w:val="clear" w:color="auto" w:fill="D8EFF9"/>
          </w:tcPr>
          <w:p>
            <w:pPr>
              <w:jc w:val="right"/>
              <w:ind w:right="60"/>
              <w:spacing w:after="0"/>
              <w:rPr>
                <w:sz w:val="20"/>
                <w:szCs w:val="20"/>
                <w:color w:val="auto"/>
              </w:rPr>
            </w:pPr>
            <w:r>
              <w:rPr>
                <w:rFonts w:ascii="Arial" w:cs="Arial" w:eastAsia="Arial" w:hAnsi="Arial"/>
                <w:sz w:val="10"/>
                <w:szCs w:val="10"/>
                <w:color w:val="auto"/>
                <w:w w:val="99"/>
              </w:rPr>
              <w:t>(0.50)</w:t>
            </w:r>
          </w:p>
        </w:tc>
        <w:tc>
          <w:tcPr>
            <w:tcW w:w="180" w:type="dxa"/>
            <w:vAlign w:val="bottom"/>
            <w:tcBorders>
              <w:bottom w:val="single" w:sz="8" w:color="D8EFF9"/>
            </w:tcBorders>
            <w:gridSpan w:val="2"/>
            <w:shd w:val="clear" w:color="auto" w:fill="D8EFF9"/>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1,391</w:t>
            </w:r>
          </w:p>
        </w:tc>
        <w:tc>
          <w:tcPr>
            <w:tcW w:w="100" w:type="dxa"/>
            <w:vAlign w:val="bottom"/>
            <w:tcBorders>
              <w:bottom w:val="single" w:sz="8" w:color="D8EFF9"/>
            </w:tcBorders>
            <w:shd w:val="clear" w:color="auto" w:fill="D8EFF9"/>
          </w:tcPr>
          <w:p>
            <w:pPr>
              <w:spacing w:after="0"/>
              <w:rPr>
                <w:sz w:val="11"/>
                <w:szCs w:val="11"/>
                <w:color w:val="auto"/>
              </w:rPr>
            </w:pPr>
          </w:p>
        </w:tc>
        <w:tc>
          <w:tcPr>
            <w:tcW w:w="160" w:type="dxa"/>
            <w:vAlign w:val="bottom"/>
            <w:tcBorders>
              <w:bottom w:val="single" w:sz="8" w:color="D8EFF9"/>
            </w:tcBorders>
            <w:gridSpan w:val="2"/>
            <w:shd w:val="clear" w:color="auto" w:fill="D8EFF9"/>
          </w:tcPr>
          <w:p>
            <w:pPr>
              <w:ind w:left="8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2.28</w:t>
            </w:r>
          </w:p>
        </w:tc>
        <w:tc>
          <w:tcPr>
            <w:tcW w:w="60" w:type="dxa"/>
            <w:vAlign w:val="bottom"/>
            <w:tcBorders>
              <w:bottom w:val="single" w:sz="8" w:color="D8EFF9"/>
            </w:tcBorders>
            <w:shd w:val="clear" w:color="auto" w:fill="D8EFF9"/>
          </w:tcPr>
          <w:p>
            <w:pPr>
              <w:spacing w:after="0"/>
              <w:rPr>
                <w:sz w:val="11"/>
                <w:szCs w:val="11"/>
                <w:color w:val="auto"/>
              </w:rPr>
            </w:pPr>
          </w:p>
        </w:tc>
      </w:tr>
      <w:tr>
        <w:trPr>
          <w:trHeight w:val="137"/>
        </w:trPr>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ZENS-related mark-to-market (gains) losses: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4"/>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color w:val="auto"/>
              </w:rPr>
              <w:t>Equity securities (net of taxes of $11)</w:t>
            </w:r>
            <w:r>
              <w:rPr>
                <w:rFonts w:ascii="Arial" w:cs="Arial" w:eastAsia="Arial" w:hAnsi="Arial"/>
                <w:sz w:val="14"/>
                <w:szCs w:val="14"/>
                <w:color w:val="auto"/>
                <w:vertAlign w:val="superscript"/>
              </w:rPr>
              <w:t>(2)(3)</w:t>
            </w:r>
          </w:p>
        </w:tc>
        <w:tc>
          <w:tcPr>
            <w:tcW w:w="160" w:type="dxa"/>
            <w:vAlign w:val="bottom"/>
            <w:tcBorders>
              <w:right w:val="single" w:sz="8" w:color="D8EFF9"/>
            </w:tcBorders>
            <w:shd w:val="clear" w:color="auto" w:fill="D8EFF9"/>
          </w:tcPr>
          <w:p>
            <w:pPr>
              <w:spacing w:after="0"/>
              <w:rPr>
                <w:sz w:val="14"/>
                <w:szCs w:val="14"/>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36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8EFF9"/>
            </w:tcBorders>
            <w:shd w:val="clear" w:color="auto" w:fill="D8EFF9"/>
          </w:tcPr>
          <w:p>
            <w:pPr>
              <w:spacing w:after="0"/>
              <w:rPr>
                <w:sz w:val="14"/>
                <w:szCs w:val="14"/>
                <w:color w:val="auto"/>
              </w:rPr>
            </w:pPr>
          </w:p>
        </w:tc>
        <w:tc>
          <w:tcPr>
            <w:tcW w:w="5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8EFF9"/>
            </w:tcBorders>
            <w:shd w:val="clear" w:color="auto" w:fill="D8EFF9"/>
          </w:tcPr>
          <w:p>
            <w:pPr>
              <w:spacing w:after="0"/>
              <w:rPr>
                <w:sz w:val="14"/>
                <w:szCs w:val="14"/>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4"/>
                <w:szCs w:val="14"/>
                <w:color w:val="auto"/>
              </w:rPr>
            </w:pPr>
          </w:p>
        </w:tc>
        <w:tc>
          <w:tcPr>
            <w:tcW w:w="100" w:type="dxa"/>
            <w:vAlign w:val="bottom"/>
            <w:shd w:val="clear" w:color="auto" w:fill="D8EFF9"/>
          </w:tcPr>
          <w:p>
            <w:pPr>
              <w:spacing w:after="0"/>
              <w:rPr>
                <w:sz w:val="14"/>
                <w:szCs w:val="14"/>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40</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2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0.07</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100" w:type="dxa"/>
            <w:vAlign w:val="bottom"/>
            <w:shd w:val="clear" w:color="auto" w:fill="D8EFF9"/>
          </w:tcPr>
          <w:p>
            <w:pPr>
              <w:spacing w:after="0"/>
              <w:rPr>
                <w:sz w:val="14"/>
                <w:szCs w:val="14"/>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40</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2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0.07</w:t>
            </w:r>
          </w:p>
        </w:tc>
        <w:tc>
          <w:tcPr>
            <w:tcW w:w="60" w:type="dxa"/>
            <w:vAlign w:val="bottom"/>
            <w:shd w:val="clear" w:color="auto" w:fill="D8EFF9"/>
          </w:tcPr>
          <w:p>
            <w:pPr>
              <w:spacing w:after="0"/>
              <w:rPr>
                <w:sz w:val="14"/>
                <w:szCs w:val="14"/>
                <w:color w:val="auto"/>
              </w:rPr>
            </w:pPr>
          </w:p>
        </w:tc>
      </w:tr>
      <w:tr>
        <w:trPr>
          <w:trHeight w:val="164"/>
        </w:trPr>
        <w:tc>
          <w:tcPr>
            <w:tcW w:w="2760" w:type="dxa"/>
            <w:vAlign w:val="bottom"/>
          </w:tcPr>
          <w:p>
            <w:pPr>
              <w:ind w:left="40"/>
              <w:spacing w:after="0"/>
              <w:rPr>
                <w:sz w:val="20"/>
                <w:szCs w:val="20"/>
                <w:color w:val="auto"/>
              </w:rPr>
            </w:pPr>
            <w:r>
              <w:rPr>
                <w:rFonts w:ascii="Arial" w:cs="Arial" w:eastAsia="Arial" w:hAnsi="Arial"/>
                <w:sz w:val="10"/>
                <w:szCs w:val="10"/>
                <w:color w:val="auto"/>
              </w:rPr>
              <w:t>Indexed debt securities (net of taxes of $11)</w:t>
            </w:r>
            <w:r>
              <w:rPr>
                <w:rFonts w:ascii="Arial" w:cs="Arial" w:eastAsia="Arial" w:hAnsi="Arial"/>
                <w:sz w:val="14"/>
                <w:szCs w:val="14"/>
                <w:color w:val="auto"/>
                <w:vertAlign w:val="superscript"/>
              </w:rPr>
              <w:t>(2)</w:t>
            </w:r>
          </w:p>
        </w:tc>
        <w:tc>
          <w:tcPr>
            <w:tcW w:w="1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w w:val="99"/>
              </w:rPr>
              <w:t>(0.06)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0"/>
                <w:szCs w:val="10"/>
                <w:color w:val="auto"/>
                <w:w w:val="99"/>
              </w:rPr>
              <w:t>(0.06)</w:t>
            </w:r>
          </w:p>
        </w:tc>
      </w:tr>
      <w:tr>
        <w:trPr>
          <w:trHeight w:val="117"/>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w w:val="97"/>
              </w:rPr>
              <w:t>Impacts associated with gas LDC sales (net of taxes of $2,</w:t>
            </w:r>
          </w:p>
        </w:tc>
        <w:tc>
          <w:tcPr>
            <w:tcW w:w="16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20" w:type="dxa"/>
            <w:vAlign w:val="bottom"/>
            <w:tcBorders>
              <w:right w:val="single" w:sz="8" w:color="D8EFF9"/>
            </w:tcBorders>
            <w:shd w:val="clear" w:color="auto" w:fill="D8EFF9"/>
          </w:tcPr>
          <w:p>
            <w:pPr>
              <w:spacing w:after="0"/>
              <w:rPr>
                <w:sz w:val="10"/>
                <w:szCs w:val="10"/>
                <w:color w:val="auto"/>
              </w:rPr>
            </w:pPr>
          </w:p>
        </w:tc>
        <w:tc>
          <w:tcPr>
            <w:tcW w:w="4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4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r>
      <w:tr>
        <w:trPr>
          <w:trHeight w:val="156"/>
        </w:trPr>
        <w:tc>
          <w:tcPr>
            <w:tcW w:w="2760" w:type="dxa"/>
            <w:vAlign w:val="bottom"/>
            <w:shd w:val="clear" w:color="auto" w:fill="D8EFF9"/>
          </w:tcPr>
          <w:p>
            <w:pPr>
              <w:ind w:left="40"/>
              <w:spacing w:after="0" w:line="156" w:lineRule="exact"/>
              <w:rPr>
                <w:sz w:val="20"/>
                <w:szCs w:val="20"/>
                <w:color w:val="auto"/>
              </w:rPr>
            </w:pPr>
            <w:r>
              <w:rPr>
                <w:rFonts w:ascii="Arial" w:cs="Arial" w:eastAsia="Arial" w:hAnsi="Arial"/>
                <w:sz w:val="18"/>
                <w:szCs w:val="18"/>
                <w:b w:val="1"/>
                <w:bCs w:val="1"/>
                <w:color w:val="auto"/>
                <w:vertAlign w:val="subscript"/>
              </w:rPr>
              <w:t>$3)</w:t>
            </w:r>
            <w:r>
              <w:rPr>
                <w:rFonts w:ascii="Arial" w:cs="Arial" w:eastAsia="Arial" w:hAnsi="Arial"/>
                <w:sz w:val="7"/>
                <w:szCs w:val="7"/>
                <w:b w:val="1"/>
                <w:bCs w:val="1"/>
                <w:color w:val="auto"/>
              </w:rPr>
              <w:t>(2)(4)</w:t>
            </w:r>
          </w:p>
        </w:tc>
        <w:tc>
          <w:tcPr>
            <w:tcW w:w="160" w:type="dxa"/>
            <w:vAlign w:val="bottom"/>
            <w:tcBorders>
              <w:right w:val="single" w:sz="8" w:color="D8EFF9"/>
            </w:tcBorders>
            <w:shd w:val="clear" w:color="auto" w:fill="D8EFF9"/>
          </w:tcPr>
          <w:p>
            <w:pPr>
              <w:spacing w:after="0"/>
              <w:rPr>
                <w:sz w:val="13"/>
                <w:szCs w:val="13"/>
                <w:color w:val="auto"/>
              </w:rPr>
            </w:pPr>
          </w:p>
        </w:tc>
        <w:tc>
          <w:tcPr>
            <w:tcW w:w="480" w:type="dxa"/>
            <w:vAlign w:val="bottom"/>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(4)</w:t>
            </w:r>
          </w:p>
        </w:tc>
        <w:tc>
          <w:tcPr>
            <w:tcW w:w="6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360" w:type="dxa"/>
            <w:vAlign w:val="bottom"/>
            <w:gridSpan w:val="2"/>
            <w:shd w:val="clear" w:color="auto" w:fill="D8EFF9"/>
          </w:tcPr>
          <w:p>
            <w:pPr>
              <w:jc w:val="right"/>
              <w:ind w:right="80"/>
              <w:spacing w:after="0"/>
              <w:rPr>
                <w:sz w:val="20"/>
                <w:szCs w:val="20"/>
                <w:color w:val="auto"/>
              </w:rPr>
            </w:pPr>
            <w:r>
              <w:rPr>
                <w:rFonts w:ascii="Arial" w:cs="Arial" w:eastAsia="Arial" w:hAnsi="Arial"/>
                <w:sz w:val="10"/>
                <w:szCs w:val="10"/>
                <w:color w:val="auto"/>
                <w:w w:val="99"/>
              </w:rPr>
              <w:t>(0.01)</w:t>
            </w:r>
          </w:p>
        </w:tc>
        <w:tc>
          <w:tcPr>
            <w:tcW w:w="120" w:type="dxa"/>
            <w:vAlign w:val="bottom"/>
            <w:tcBorders>
              <w:right w:val="single" w:sz="8" w:color="D8EFF9"/>
            </w:tcBorders>
            <w:shd w:val="clear" w:color="auto" w:fill="D8EFF9"/>
          </w:tcPr>
          <w:p>
            <w:pPr>
              <w:spacing w:after="0"/>
              <w:rPr>
                <w:sz w:val="13"/>
                <w:szCs w:val="13"/>
                <w:color w:val="auto"/>
              </w:rPr>
            </w:pPr>
          </w:p>
        </w:tc>
        <w:tc>
          <w:tcPr>
            <w:tcW w:w="5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8EFF9"/>
            </w:tcBorders>
            <w:shd w:val="clear" w:color="auto" w:fill="D8EFF9"/>
          </w:tcPr>
          <w:p>
            <w:pPr>
              <w:spacing w:after="0"/>
              <w:rPr>
                <w:sz w:val="13"/>
                <w:szCs w:val="13"/>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2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0.01</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320" w:type="dxa"/>
            <w:vAlign w:val="bottom"/>
            <w:gridSpan w:val="2"/>
            <w:shd w:val="clear" w:color="auto" w:fill="D8EFF9"/>
          </w:tcPr>
          <w:p>
            <w:pPr>
              <w:jc w:val="right"/>
              <w:ind w:right="60"/>
              <w:spacing w:after="0"/>
              <w:rPr>
                <w:sz w:val="20"/>
                <w:szCs w:val="20"/>
                <w:color w:val="auto"/>
              </w:rPr>
            </w:pPr>
            <w:r>
              <w:rPr>
                <w:rFonts w:ascii="Arial" w:cs="Arial" w:eastAsia="Arial" w:hAnsi="Arial"/>
                <w:sz w:val="10"/>
                <w:szCs w:val="10"/>
                <w:color w:val="auto"/>
              </w:rPr>
              <w:t>—</w:t>
            </w:r>
          </w:p>
        </w:tc>
      </w:tr>
      <w:tr>
        <w:trPr>
          <w:trHeight w:val="117"/>
        </w:trPr>
        <w:tc>
          <w:tcPr>
            <w:tcW w:w="2760" w:type="dxa"/>
            <w:vAlign w:val="bottom"/>
          </w:tcPr>
          <w:p>
            <w:pPr>
              <w:ind w:left="40"/>
              <w:spacing w:after="0"/>
              <w:rPr>
                <w:sz w:val="20"/>
                <w:szCs w:val="20"/>
                <w:color w:val="auto"/>
              </w:rPr>
            </w:pPr>
            <w:r>
              <w:rPr>
                <w:rFonts w:ascii="Arial" w:cs="Arial" w:eastAsia="Arial" w:hAnsi="Arial"/>
                <w:sz w:val="10"/>
                <w:szCs w:val="10"/>
                <w:b w:val="1"/>
                <w:bCs w:val="1"/>
                <w:color w:val="auto"/>
                <w:w w:val="97"/>
              </w:rPr>
              <w:t>Cost associated with the early extinguishment of debt (net</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6"/>
        </w:trPr>
        <w:tc>
          <w:tcPr>
            <w:tcW w:w="2760" w:type="dxa"/>
            <w:vAlign w:val="bottom"/>
          </w:tcPr>
          <w:p>
            <w:pPr>
              <w:ind w:left="40"/>
              <w:spacing w:after="0" w:line="156" w:lineRule="exact"/>
              <w:rPr>
                <w:sz w:val="20"/>
                <w:szCs w:val="20"/>
                <w:color w:val="auto"/>
              </w:rPr>
            </w:pPr>
            <w:r>
              <w:rPr>
                <w:rFonts w:ascii="Arial" w:cs="Arial" w:eastAsia="Arial" w:hAnsi="Arial"/>
                <w:sz w:val="10"/>
                <w:szCs w:val="10"/>
                <w:b w:val="1"/>
                <w:bCs w:val="1"/>
                <w:color w:val="auto"/>
              </w:rPr>
              <w:t>of taxes of $7)</w:t>
            </w:r>
            <w:r>
              <w:rPr>
                <w:rFonts w:ascii="Arial" w:cs="Arial" w:eastAsia="Arial" w:hAnsi="Arial"/>
                <w:sz w:val="14"/>
                <w:szCs w:val="14"/>
                <w:b w:val="1"/>
                <w:bCs w:val="1"/>
                <w:color w:val="auto"/>
                <w:vertAlign w:val="superscript"/>
              </w:rPr>
              <w:t>(2)</w:t>
            </w:r>
          </w:p>
        </w:tc>
        <w:tc>
          <w:tcPr>
            <w:tcW w:w="1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0.04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0.04</w:t>
            </w:r>
          </w:p>
        </w:tc>
        <w:tc>
          <w:tcPr>
            <w:tcW w:w="60" w:type="dxa"/>
            <w:vAlign w:val="bottom"/>
          </w:tcPr>
          <w:p>
            <w:pPr>
              <w:spacing w:after="0"/>
              <w:rPr>
                <w:sz w:val="13"/>
                <w:szCs w:val="13"/>
                <w:color w:val="auto"/>
              </w:rPr>
            </w:pPr>
          </w:p>
        </w:tc>
      </w:tr>
      <w:tr>
        <w:trPr>
          <w:trHeight w:val="119"/>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Impacts associated with Enable &amp; Energy Transfer</w:t>
            </w:r>
          </w:p>
        </w:tc>
        <w:tc>
          <w:tcPr>
            <w:tcW w:w="16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20" w:type="dxa"/>
            <w:vAlign w:val="bottom"/>
            <w:tcBorders>
              <w:right w:val="single" w:sz="8" w:color="D8EFF9"/>
            </w:tcBorders>
            <w:shd w:val="clear" w:color="auto" w:fill="D8EFF9"/>
          </w:tcPr>
          <w:p>
            <w:pPr>
              <w:spacing w:after="0"/>
              <w:rPr>
                <w:sz w:val="10"/>
                <w:szCs w:val="10"/>
                <w:color w:val="auto"/>
              </w:rPr>
            </w:pPr>
          </w:p>
        </w:tc>
        <w:tc>
          <w:tcPr>
            <w:tcW w:w="4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4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r>
      <w:tr>
        <w:trPr>
          <w:trHeight w:val="134"/>
        </w:trPr>
        <w:tc>
          <w:tcPr>
            <w:tcW w:w="276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merger:</w:t>
            </w:r>
          </w:p>
        </w:tc>
        <w:tc>
          <w:tcPr>
            <w:tcW w:w="160" w:type="dxa"/>
            <w:vAlign w:val="bottom"/>
            <w:tcBorders>
              <w:bottom w:val="single" w:sz="8" w:color="D8EFF9"/>
              <w:right w:val="single" w:sz="8" w:color="D8EFF9"/>
            </w:tcBorders>
            <w:shd w:val="clear" w:color="auto" w:fill="D8EFF9"/>
          </w:tcPr>
          <w:p>
            <w:pPr>
              <w:spacing w:after="0"/>
              <w:rPr>
                <w:sz w:val="11"/>
                <w:szCs w:val="11"/>
                <w:color w:val="auto"/>
              </w:rPr>
            </w:pPr>
          </w:p>
        </w:tc>
        <w:tc>
          <w:tcPr>
            <w:tcW w:w="38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6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26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120" w:type="dxa"/>
            <w:vAlign w:val="bottom"/>
            <w:tcBorders>
              <w:bottom w:val="single" w:sz="8" w:color="D8EFF9"/>
              <w:right w:val="single" w:sz="8" w:color="D8EFF9"/>
            </w:tcBorders>
            <w:shd w:val="clear" w:color="auto" w:fill="D8EFF9"/>
          </w:tcPr>
          <w:p>
            <w:pPr>
              <w:spacing w:after="0"/>
              <w:rPr>
                <w:sz w:val="11"/>
                <w:szCs w:val="11"/>
                <w:color w:val="auto"/>
              </w:rPr>
            </w:pPr>
          </w:p>
        </w:tc>
        <w:tc>
          <w:tcPr>
            <w:tcW w:w="48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140" w:type="dxa"/>
            <w:vAlign w:val="bottom"/>
            <w:tcBorders>
              <w:bottom w:val="single" w:sz="8" w:color="D8EFF9"/>
              <w:right w:val="single" w:sz="8" w:color="D8EFF9"/>
            </w:tcBorders>
            <w:shd w:val="clear" w:color="auto" w:fill="D8EFF9"/>
          </w:tcPr>
          <w:p>
            <w:pPr>
              <w:spacing w:after="0"/>
              <w:rPr>
                <w:sz w:val="11"/>
                <w:szCs w:val="11"/>
                <w:color w:val="auto"/>
              </w:rPr>
            </w:pPr>
          </w:p>
        </w:tc>
        <w:tc>
          <w:tcPr>
            <w:tcW w:w="38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6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34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24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340" w:type="dxa"/>
            <w:vAlign w:val="bottom"/>
            <w:tcBorders>
              <w:bottom w:val="single" w:sz="8" w:color="D8EFF9"/>
            </w:tcBorders>
            <w:shd w:val="clear" w:color="auto" w:fill="D8EFF9"/>
          </w:tcPr>
          <w:p>
            <w:pPr>
              <w:spacing w:after="0"/>
              <w:rPr>
                <w:sz w:val="11"/>
                <w:szCs w:val="11"/>
                <w:color w:val="auto"/>
              </w:rPr>
            </w:pPr>
          </w:p>
        </w:tc>
        <w:tc>
          <w:tcPr>
            <w:tcW w:w="10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80" w:type="dxa"/>
            <w:vAlign w:val="bottom"/>
            <w:tcBorders>
              <w:bottom w:val="single" w:sz="8" w:color="D8EFF9"/>
            </w:tcBorders>
            <w:shd w:val="clear" w:color="auto" w:fill="D8EFF9"/>
          </w:tcPr>
          <w:p>
            <w:pPr>
              <w:spacing w:after="0"/>
              <w:rPr>
                <w:sz w:val="11"/>
                <w:szCs w:val="11"/>
                <w:color w:val="auto"/>
              </w:rPr>
            </w:pPr>
          </w:p>
        </w:tc>
        <w:tc>
          <w:tcPr>
            <w:tcW w:w="260" w:type="dxa"/>
            <w:vAlign w:val="bottom"/>
            <w:tcBorders>
              <w:bottom w:val="single" w:sz="8" w:color="D8EFF9"/>
            </w:tcBorders>
            <w:shd w:val="clear" w:color="auto" w:fill="D8EFF9"/>
          </w:tcPr>
          <w:p>
            <w:pPr>
              <w:spacing w:after="0"/>
              <w:rPr>
                <w:sz w:val="11"/>
                <w:szCs w:val="11"/>
                <w:color w:val="auto"/>
              </w:rPr>
            </w:pPr>
          </w:p>
        </w:tc>
        <w:tc>
          <w:tcPr>
            <w:tcW w:w="60" w:type="dxa"/>
            <w:vAlign w:val="bottom"/>
            <w:tcBorders>
              <w:bottom w:val="single" w:sz="8" w:color="D8EFF9"/>
            </w:tcBorders>
            <w:shd w:val="clear" w:color="auto" w:fill="D8EFF9"/>
          </w:tcPr>
          <w:p>
            <w:pPr>
              <w:spacing w:after="0"/>
              <w:rPr>
                <w:sz w:val="11"/>
                <w:szCs w:val="11"/>
                <w:color w:val="auto"/>
              </w:rPr>
            </w:pPr>
          </w:p>
        </w:tc>
      </w:tr>
      <w:tr>
        <w:trPr>
          <w:trHeight w:val="125"/>
        </w:trPr>
        <w:tc>
          <w:tcPr>
            <w:tcW w:w="2760" w:type="dxa"/>
            <w:vAlign w:val="bottom"/>
          </w:tcPr>
          <w:p>
            <w:pPr>
              <w:ind w:left="40"/>
              <w:spacing w:after="0"/>
              <w:rPr>
                <w:sz w:val="20"/>
                <w:szCs w:val="20"/>
                <w:color w:val="auto"/>
              </w:rPr>
            </w:pPr>
            <w:r>
              <w:rPr>
                <w:rFonts w:ascii="Arial" w:cs="Arial" w:eastAsia="Arial" w:hAnsi="Arial"/>
                <w:sz w:val="10"/>
                <w:szCs w:val="10"/>
                <w:color w:val="auto"/>
                <w:w w:val="99"/>
              </w:rPr>
              <w:t>Gain at merger close, net of transaction costs (net of taxes of</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2760" w:type="dxa"/>
            <w:vAlign w:val="bottom"/>
          </w:tcPr>
          <w:p>
            <w:pPr>
              <w:ind w:left="40"/>
              <w:spacing w:after="0" w:line="148" w:lineRule="exact"/>
              <w:rPr>
                <w:sz w:val="20"/>
                <w:szCs w:val="20"/>
                <w:color w:val="auto"/>
              </w:rPr>
            </w:pPr>
            <w:r>
              <w:rPr>
                <w:rFonts w:ascii="Arial" w:cs="Arial" w:eastAsia="Arial" w:hAnsi="Arial"/>
                <w:sz w:val="10"/>
                <w:szCs w:val="10"/>
                <w:color w:val="auto"/>
              </w:rPr>
              <w:t>$134 and $0)</w:t>
            </w:r>
            <w:r>
              <w:rPr>
                <w:rFonts w:ascii="Arial" w:cs="Arial" w:eastAsia="Arial" w:hAnsi="Arial"/>
                <w:sz w:val="14"/>
                <w:szCs w:val="14"/>
                <w:color w:val="auto"/>
                <w:vertAlign w:val="superscript"/>
              </w:rPr>
              <w:t>(2)</w:t>
            </w:r>
          </w:p>
        </w:tc>
        <w:tc>
          <w:tcPr>
            <w:tcW w:w="1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(546)</w:t>
            </w:r>
          </w:p>
        </w:tc>
        <w:tc>
          <w:tcPr>
            <w:tcW w:w="14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(0.90)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(547)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0"/>
                <w:szCs w:val="10"/>
                <w:color w:val="auto"/>
                <w:w w:val="99"/>
              </w:rPr>
              <w:t>(0.90)</w:t>
            </w:r>
          </w:p>
        </w:tc>
      </w:tr>
      <w:tr>
        <w:trPr>
          <w:trHeight w:val="164"/>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color w:val="auto"/>
              </w:rPr>
              <w:t>Loss on equity securities (net of taxes of $24)</w:t>
            </w:r>
            <w:r>
              <w:rPr>
                <w:rFonts w:ascii="Arial" w:cs="Arial" w:eastAsia="Arial" w:hAnsi="Arial"/>
                <w:sz w:val="14"/>
                <w:szCs w:val="14"/>
                <w:color w:val="auto"/>
                <w:vertAlign w:val="superscript"/>
              </w:rPr>
              <w:t>(2)(5)</w:t>
            </w:r>
          </w:p>
        </w:tc>
        <w:tc>
          <w:tcPr>
            <w:tcW w:w="160" w:type="dxa"/>
            <w:vAlign w:val="bottom"/>
            <w:tcBorders>
              <w:right w:val="single" w:sz="8" w:color="D8EFF9"/>
            </w:tcBorders>
            <w:shd w:val="clear" w:color="auto" w:fill="D8EFF9"/>
          </w:tcPr>
          <w:p>
            <w:pPr>
              <w:spacing w:after="0"/>
              <w:rPr>
                <w:sz w:val="14"/>
                <w:szCs w:val="14"/>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36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8EFF9"/>
            </w:tcBorders>
            <w:shd w:val="clear" w:color="auto" w:fill="D8EFF9"/>
          </w:tcPr>
          <w:p>
            <w:pPr>
              <w:spacing w:after="0"/>
              <w:rPr>
                <w:sz w:val="14"/>
                <w:szCs w:val="14"/>
                <w:color w:val="auto"/>
              </w:rPr>
            </w:pPr>
          </w:p>
        </w:tc>
        <w:tc>
          <w:tcPr>
            <w:tcW w:w="5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8EFF9"/>
            </w:tcBorders>
            <w:shd w:val="clear" w:color="auto" w:fill="D8EFF9"/>
          </w:tcPr>
          <w:p>
            <w:pPr>
              <w:spacing w:after="0"/>
              <w:rPr>
                <w:sz w:val="14"/>
                <w:szCs w:val="14"/>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4"/>
                <w:szCs w:val="14"/>
                <w:color w:val="auto"/>
              </w:rPr>
            </w:pPr>
          </w:p>
        </w:tc>
        <w:tc>
          <w:tcPr>
            <w:tcW w:w="100" w:type="dxa"/>
            <w:vAlign w:val="bottom"/>
            <w:shd w:val="clear" w:color="auto" w:fill="D8EFF9"/>
          </w:tcPr>
          <w:p>
            <w:pPr>
              <w:spacing w:after="0"/>
              <w:rPr>
                <w:sz w:val="14"/>
                <w:szCs w:val="14"/>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98</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2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0.16</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100" w:type="dxa"/>
            <w:vAlign w:val="bottom"/>
            <w:shd w:val="clear" w:color="auto" w:fill="D8EFF9"/>
          </w:tcPr>
          <w:p>
            <w:pPr>
              <w:spacing w:after="0"/>
              <w:rPr>
                <w:sz w:val="14"/>
                <w:szCs w:val="14"/>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98</w:t>
            </w:r>
          </w:p>
        </w:tc>
        <w:tc>
          <w:tcPr>
            <w:tcW w:w="10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80" w:type="dxa"/>
            <w:vAlign w:val="bottom"/>
            <w:shd w:val="clear" w:color="auto" w:fill="D8EFF9"/>
          </w:tcPr>
          <w:p>
            <w:pPr>
              <w:spacing w:after="0"/>
              <w:rPr>
                <w:sz w:val="14"/>
                <w:szCs w:val="14"/>
                <w:color w:val="auto"/>
              </w:rPr>
            </w:pPr>
          </w:p>
        </w:tc>
        <w:tc>
          <w:tcPr>
            <w:tcW w:w="2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0.16</w:t>
            </w:r>
          </w:p>
        </w:tc>
        <w:tc>
          <w:tcPr>
            <w:tcW w:w="60" w:type="dxa"/>
            <w:vAlign w:val="bottom"/>
            <w:shd w:val="clear" w:color="auto" w:fill="D8EFF9"/>
          </w:tcPr>
          <w:p>
            <w:pPr>
              <w:spacing w:after="0"/>
              <w:rPr>
                <w:sz w:val="14"/>
                <w:szCs w:val="14"/>
                <w:color w:val="auto"/>
              </w:rPr>
            </w:pPr>
          </w:p>
        </w:tc>
      </w:tr>
      <w:tr>
        <w:trPr>
          <w:trHeight w:val="125"/>
        </w:trPr>
        <w:tc>
          <w:tcPr>
            <w:tcW w:w="2760" w:type="dxa"/>
            <w:vAlign w:val="bottom"/>
          </w:tcPr>
          <w:p>
            <w:pPr>
              <w:ind w:left="40"/>
              <w:spacing w:after="0"/>
              <w:rPr>
                <w:sz w:val="20"/>
                <w:szCs w:val="20"/>
                <w:color w:val="auto"/>
              </w:rPr>
            </w:pPr>
            <w:r>
              <w:rPr>
                <w:rFonts w:ascii="Arial" w:cs="Arial" w:eastAsia="Arial" w:hAnsi="Arial"/>
                <w:sz w:val="10"/>
                <w:szCs w:val="10"/>
                <w:color w:val="auto"/>
                <w:w w:val="99"/>
              </w:rPr>
              <w:t>Costs associated with the early extinguishment of debt (net of</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2760" w:type="dxa"/>
            <w:vAlign w:val="bottom"/>
          </w:tcPr>
          <w:p>
            <w:pPr>
              <w:ind w:left="40"/>
              <w:spacing w:after="0" w:line="148" w:lineRule="exact"/>
              <w:rPr>
                <w:sz w:val="20"/>
                <w:szCs w:val="20"/>
                <w:color w:val="auto"/>
              </w:rPr>
            </w:pPr>
            <w:r>
              <w:rPr>
                <w:rFonts w:ascii="Arial" w:cs="Arial" w:eastAsia="Arial" w:hAnsi="Arial"/>
                <w:sz w:val="10"/>
                <w:szCs w:val="10"/>
                <w:color w:val="auto"/>
              </w:rPr>
              <w:t>taxes of $1)</w:t>
            </w:r>
            <w:r>
              <w:rPr>
                <w:rFonts w:ascii="Arial" w:cs="Arial" w:eastAsia="Arial" w:hAnsi="Arial"/>
                <w:sz w:val="14"/>
                <w:szCs w:val="14"/>
                <w:color w:val="auto"/>
                <w:vertAlign w:val="superscript"/>
              </w:rPr>
              <w:t>(2)</w:t>
            </w:r>
          </w:p>
        </w:tc>
        <w:tc>
          <w:tcPr>
            <w:tcW w:w="1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0.01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0.01</w:t>
            </w:r>
          </w:p>
        </w:tc>
        <w:tc>
          <w:tcPr>
            <w:tcW w:w="60" w:type="dxa"/>
            <w:vAlign w:val="bottom"/>
          </w:tcPr>
          <w:p>
            <w:pPr>
              <w:spacing w:after="0"/>
              <w:rPr>
                <w:sz w:val="12"/>
                <w:szCs w:val="12"/>
                <w:color w:val="auto"/>
              </w:rPr>
            </w:pPr>
          </w:p>
        </w:tc>
      </w:tr>
      <w:tr>
        <w:trPr>
          <w:trHeight w:val="117"/>
        </w:trPr>
        <w:tc>
          <w:tcPr>
            <w:tcW w:w="276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rPr>
              <w:t>Impacts associated with other mergers and divestitures</w:t>
            </w:r>
          </w:p>
        </w:tc>
        <w:tc>
          <w:tcPr>
            <w:tcW w:w="16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20" w:type="dxa"/>
            <w:vAlign w:val="bottom"/>
            <w:tcBorders>
              <w:right w:val="single" w:sz="8" w:color="D8EFF9"/>
            </w:tcBorders>
            <w:shd w:val="clear" w:color="auto" w:fill="D8EFF9"/>
          </w:tcPr>
          <w:p>
            <w:pPr>
              <w:spacing w:after="0"/>
              <w:rPr>
                <w:sz w:val="10"/>
                <w:szCs w:val="10"/>
                <w:color w:val="auto"/>
              </w:rPr>
            </w:pPr>
          </w:p>
        </w:tc>
        <w:tc>
          <w:tcPr>
            <w:tcW w:w="4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140" w:type="dxa"/>
            <w:vAlign w:val="bottom"/>
            <w:tcBorders>
              <w:right w:val="single" w:sz="8" w:color="D8EFF9"/>
            </w:tcBorders>
            <w:shd w:val="clear" w:color="auto" w:fill="D8EFF9"/>
          </w:tcPr>
          <w:p>
            <w:pPr>
              <w:spacing w:after="0"/>
              <w:rPr>
                <w:sz w:val="10"/>
                <w:szCs w:val="10"/>
                <w:color w:val="auto"/>
              </w:rPr>
            </w:pPr>
          </w:p>
        </w:tc>
        <w:tc>
          <w:tcPr>
            <w:tcW w:w="3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340" w:type="dxa"/>
            <w:vAlign w:val="bottom"/>
            <w:shd w:val="clear" w:color="auto" w:fill="D8EFF9"/>
          </w:tcPr>
          <w:p>
            <w:pPr>
              <w:spacing w:after="0"/>
              <w:rPr>
                <w:sz w:val="10"/>
                <w:szCs w:val="10"/>
                <w:color w:val="auto"/>
              </w:rPr>
            </w:pPr>
          </w:p>
        </w:tc>
        <w:tc>
          <w:tcPr>
            <w:tcW w:w="10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80" w:type="dxa"/>
            <w:vAlign w:val="bottom"/>
            <w:shd w:val="clear" w:color="auto" w:fill="D8EFF9"/>
          </w:tcPr>
          <w:p>
            <w:pPr>
              <w:spacing w:after="0"/>
              <w:rPr>
                <w:sz w:val="10"/>
                <w:szCs w:val="10"/>
                <w:color w:val="auto"/>
              </w:rPr>
            </w:pPr>
          </w:p>
        </w:tc>
        <w:tc>
          <w:tcPr>
            <w:tcW w:w="260" w:type="dxa"/>
            <w:vAlign w:val="bottom"/>
            <w:shd w:val="clear" w:color="auto" w:fill="D8EFF9"/>
          </w:tcPr>
          <w:p>
            <w:pPr>
              <w:spacing w:after="0"/>
              <w:rPr>
                <w:sz w:val="10"/>
                <w:szCs w:val="10"/>
                <w:color w:val="auto"/>
              </w:rPr>
            </w:pPr>
          </w:p>
        </w:tc>
        <w:tc>
          <w:tcPr>
            <w:tcW w:w="60" w:type="dxa"/>
            <w:vAlign w:val="bottom"/>
            <w:shd w:val="clear" w:color="auto" w:fill="D8EFF9"/>
          </w:tcPr>
          <w:p>
            <w:pPr>
              <w:spacing w:after="0"/>
              <w:rPr>
                <w:sz w:val="10"/>
                <w:szCs w:val="10"/>
                <w:color w:val="auto"/>
              </w:rPr>
            </w:pPr>
          </w:p>
        </w:tc>
      </w:tr>
      <w:tr>
        <w:trPr>
          <w:trHeight w:val="156"/>
        </w:trPr>
        <w:tc>
          <w:tcPr>
            <w:tcW w:w="2760" w:type="dxa"/>
            <w:vAlign w:val="bottom"/>
            <w:shd w:val="clear" w:color="auto" w:fill="D8EFF9"/>
          </w:tcPr>
          <w:p>
            <w:pPr>
              <w:ind w:left="40"/>
              <w:spacing w:after="0" w:line="156" w:lineRule="exact"/>
              <w:rPr>
                <w:sz w:val="20"/>
                <w:szCs w:val="20"/>
                <w:color w:val="auto"/>
              </w:rPr>
            </w:pPr>
            <w:r>
              <w:rPr>
                <w:rFonts w:ascii="Arial" w:cs="Arial" w:eastAsia="Arial" w:hAnsi="Arial"/>
                <w:sz w:val="10"/>
                <w:szCs w:val="10"/>
                <w:b w:val="1"/>
                <w:bCs w:val="1"/>
                <w:color w:val="auto"/>
              </w:rPr>
              <w:t>(net of taxes of $2, $13)</w:t>
            </w:r>
            <w:r>
              <w:rPr>
                <w:rFonts w:ascii="Arial" w:cs="Arial" w:eastAsia="Arial" w:hAnsi="Arial"/>
                <w:sz w:val="14"/>
                <w:szCs w:val="14"/>
                <w:b w:val="1"/>
                <w:bCs w:val="1"/>
                <w:color w:val="auto"/>
                <w:vertAlign w:val="superscript"/>
              </w:rPr>
              <w:t>(2)(6)</w:t>
            </w:r>
          </w:p>
        </w:tc>
        <w:tc>
          <w:tcPr>
            <w:tcW w:w="160" w:type="dxa"/>
            <w:vAlign w:val="bottom"/>
            <w:tcBorders>
              <w:right w:val="single" w:sz="8" w:color="D8EFF9"/>
            </w:tcBorders>
            <w:shd w:val="clear" w:color="auto" w:fill="D8EFF9"/>
          </w:tcPr>
          <w:p>
            <w:pPr>
              <w:spacing w:after="0"/>
              <w:rPr>
                <w:sz w:val="13"/>
                <w:szCs w:val="13"/>
                <w:color w:val="auto"/>
              </w:rPr>
            </w:pPr>
          </w:p>
        </w:tc>
        <w:tc>
          <w:tcPr>
            <w:tcW w:w="380" w:type="dxa"/>
            <w:vAlign w:val="bottom"/>
            <w:shd w:val="clear" w:color="auto" w:fill="D8EFF9"/>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D8EFF9"/>
          </w:tcPr>
          <w:p>
            <w:pPr>
              <w:spacing w:after="0"/>
              <w:rPr>
                <w:sz w:val="13"/>
                <w:szCs w:val="13"/>
                <w:color w:val="auto"/>
              </w:rPr>
            </w:pPr>
          </w:p>
        </w:tc>
        <w:tc>
          <w:tcPr>
            <w:tcW w:w="6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2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0.01</w:t>
            </w:r>
          </w:p>
        </w:tc>
        <w:tc>
          <w:tcPr>
            <w:tcW w:w="100" w:type="dxa"/>
            <w:vAlign w:val="bottom"/>
            <w:shd w:val="clear" w:color="auto" w:fill="D8EFF9"/>
          </w:tcPr>
          <w:p>
            <w:pPr>
              <w:spacing w:after="0"/>
              <w:rPr>
                <w:sz w:val="13"/>
                <w:szCs w:val="13"/>
                <w:color w:val="auto"/>
              </w:rPr>
            </w:pPr>
          </w:p>
        </w:tc>
        <w:tc>
          <w:tcPr>
            <w:tcW w:w="120" w:type="dxa"/>
            <w:vAlign w:val="bottom"/>
            <w:tcBorders>
              <w:right w:val="single" w:sz="8" w:color="D8EFF9"/>
            </w:tcBorders>
            <w:shd w:val="clear" w:color="auto" w:fill="D8EFF9"/>
          </w:tcPr>
          <w:p>
            <w:pPr>
              <w:spacing w:after="0"/>
              <w:rPr>
                <w:sz w:val="13"/>
                <w:szCs w:val="13"/>
                <w:color w:val="auto"/>
              </w:rPr>
            </w:pPr>
          </w:p>
        </w:tc>
        <w:tc>
          <w:tcPr>
            <w:tcW w:w="5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8EFF9"/>
            </w:tcBorders>
            <w:shd w:val="clear" w:color="auto" w:fill="D8EFF9"/>
          </w:tcPr>
          <w:p>
            <w:pPr>
              <w:spacing w:after="0"/>
              <w:rPr>
                <w:sz w:val="13"/>
                <w:szCs w:val="13"/>
                <w:color w:val="auto"/>
              </w:rPr>
            </w:pPr>
          </w:p>
        </w:tc>
        <w:tc>
          <w:tcPr>
            <w:tcW w:w="48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2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0.03</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3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2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0.04</w:t>
            </w:r>
          </w:p>
        </w:tc>
        <w:tc>
          <w:tcPr>
            <w:tcW w:w="60" w:type="dxa"/>
            <w:vAlign w:val="bottom"/>
            <w:shd w:val="clear" w:color="auto" w:fill="D8EFF9"/>
          </w:tcPr>
          <w:p>
            <w:pPr>
              <w:spacing w:after="0"/>
              <w:rPr>
                <w:sz w:val="13"/>
                <w:szCs w:val="13"/>
                <w:color w:val="auto"/>
              </w:rPr>
            </w:pPr>
          </w:p>
        </w:tc>
      </w:tr>
      <w:tr>
        <w:trPr>
          <w:trHeight w:val="137"/>
        </w:trPr>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Corporate and Other Allocation</w:t>
            </w:r>
          </w:p>
        </w:tc>
        <w:tc>
          <w:tcPr>
            <w:tcW w:w="1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w w:val="99"/>
              </w:rPr>
              <w:t>(0.17)</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(44)</w:t>
            </w:r>
          </w:p>
        </w:tc>
        <w:tc>
          <w:tcPr>
            <w:tcW w:w="14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(0.07)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0.24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42"/>
        </w:trPr>
        <w:tc>
          <w:tcPr>
            <w:tcW w:w="276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Consolidated on a non-GAAP basis</w:t>
            </w:r>
          </w:p>
        </w:tc>
        <w:tc>
          <w:tcPr>
            <w:tcW w:w="160" w:type="dxa"/>
            <w:vAlign w:val="bottom"/>
            <w:tcBorders>
              <w:bottom w:val="single" w:sz="8" w:color="D8EFF9"/>
              <w:right w:val="single" w:sz="8" w:color="D8EFF9"/>
            </w:tcBorders>
            <w:shd w:val="clear" w:color="auto" w:fill="D8EFF9"/>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773</w:t>
            </w:r>
          </w:p>
        </w:tc>
        <w:tc>
          <w:tcPr>
            <w:tcW w:w="100" w:type="dxa"/>
            <w:vAlign w:val="bottom"/>
            <w:tcBorders>
              <w:bottom w:val="single" w:sz="8" w:color="D8EFF9"/>
            </w:tcBorders>
            <w:shd w:val="clear" w:color="auto" w:fill="D8EFF9"/>
          </w:tcPr>
          <w:p>
            <w:pPr>
              <w:spacing w:after="0"/>
              <w:rPr>
                <w:sz w:val="12"/>
                <w:szCs w:val="12"/>
                <w:color w:val="auto"/>
              </w:rPr>
            </w:pPr>
          </w:p>
        </w:tc>
        <w:tc>
          <w:tcPr>
            <w:tcW w:w="14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1.27</w:t>
            </w:r>
          </w:p>
        </w:tc>
        <w:tc>
          <w:tcPr>
            <w:tcW w:w="100" w:type="dxa"/>
            <w:vAlign w:val="bottom"/>
            <w:tcBorders>
              <w:bottom w:val="single" w:sz="8" w:color="D8EFF9"/>
            </w:tcBorders>
            <w:shd w:val="clear" w:color="auto" w:fill="D8EFF9"/>
          </w:tcPr>
          <w:p>
            <w:pPr>
              <w:spacing w:after="0"/>
              <w:rPr>
                <w:sz w:val="12"/>
                <w:szCs w:val="12"/>
                <w:color w:val="auto"/>
              </w:rPr>
            </w:pPr>
          </w:p>
        </w:tc>
        <w:tc>
          <w:tcPr>
            <w:tcW w:w="12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228</w:t>
            </w:r>
          </w:p>
        </w:tc>
        <w:tc>
          <w:tcPr>
            <w:tcW w:w="100" w:type="dxa"/>
            <w:vAlign w:val="bottom"/>
            <w:tcBorders>
              <w:bottom w:val="single" w:sz="8" w:color="D8EFF9"/>
            </w:tcBorders>
            <w:shd w:val="clear" w:color="auto" w:fill="D8EFF9"/>
          </w:tcPr>
          <w:p>
            <w:pPr>
              <w:spacing w:after="0"/>
              <w:rPr>
                <w:sz w:val="12"/>
                <w:szCs w:val="12"/>
                <w:color w:val="auto"/>
              </w:rPr>
            </w:pPr>
          </w:p>
        </w:tc>
        <w:tc>
          <w:tcPr>
            <w:tcW w:w="140" w:type="dxa"/>
            <w:vAlign w:val="bottom"/>
            <w:tcBorders>
              <w:bottom w:val="single" w:sz="8" w:color="D8EFF9"/>
              <w:right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0.37</w:t>
            </w:r>
          </w:p>
        </w:tc>
        <w:tc>
          <w:tcPr>
            <w:tcW w:w="100" w:type="dxa"/>
            <w:vAlign w:val="bottom"/>
            <w:tcBorders>
              <w:bottom w:val="single" w:sz="8" w:color="D8EFF9"/>
            </w:tcBorders>
            <w:shd w:val="clear" w:color="auto" w:fill="D8EFF9"/>
          </w:tcPr>
          <w:p>
            <w:pPr>
              <w:spacing w:after="0"/>
              <w:rPr>
                <w:sz w:val="12"/>
                <w:szCs w:val="12"/>
                <w:color w:val="auto"/>
              </w:rPr>
            </w:pPr>
          </w:p>
        </w:tc>
        <w:tc>
          <w:tcPr>
            <w:tcW w:w="16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8EFF9"/>
            </w:tcBorders>
            <w:gridSpan w:val="2"/>
            <w:shd w:val="clear" w:color="auto" w:fill="D8EFF9"/>
          </w:tcPr>
          <w:p>
            <w:pPr>
              <w:ind w:left="6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8EFF9"/>
            </w:tcBorders>
            <w:gridSpan w:val="2"/>
            <w:shd w:val="clear" w:color="auto" w:fill="D8EFF9"/>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1,001</w:t>
            </w:r>
          </w:p>
        </w:tc>
        <w:tc>
          <w:tcPr>
            <w:tcW w:w="100" w:type="dxa"/>
            <w:vAlign w:val="bottom"/>
            <w:tcBorders>
              <w:bottom w:val="single" w:sz="8" w:color="D8EFF9"/>
            </w:tcBorders>
            <w:shd w:val="clear" w:color="auto" w:fill="D8EFF9"/>
          </w:tcPr>
          <w:p>
            <w:pPr>
              <w:spacing w:after="0"/>
              <w:rPr>
                <w:sz w:val="12"/>
                <w:szCs w:val="12"/>
                <w:color w:val="auto"/>
              </w:rPr>
            </w:pPr>
          </w:p>
        </w:tc>
        <w:tc>
          <w:tcPr>
            <w:tcW w:w="160" w:type="dxa"/>
            <w:vAlign w:val="bottom"/>
            <w:tcBorders>
              <w:bottom w:val="single" w:sz="8" w:color="D8EFF9"/>
            </w:tcBorders>
            <w:gridSpan w:val="2"/>
            <w:shd w:val="clear" w:color="auto" w:fill="D8EFF9"/>
          </w:tcPr>
          <w:p>
            <w:pPr>
              <w:ind w:left="8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1.64</w:t>
            </w:r>
          </w:p>
        </w:tc>
        <w:tc>
          <w:tcPr>
            <w:tcW w:w="60" w:type="dxa"/>
            <w:vAlign w:val="bottom"/>
            <w:tcBorders>
              <w:bottom w:val="single" w:sz="8" w:color="D8EFF9"/>
            </w:tcBorders>
            <w:shd w:val="clear" w:color="auto" w:fill="D8EFF9"/>
          </w:tcPr>
          <w:p>
            <w:pPr>
              <w:spacing w:after="0"/>
              <w:rPr>
                <w:sz w:val="12"/>
                <w:szCs w:val="12"/>
                <w:color w:val="auto"/>
              </w:rPr>
            </w:pPr>
          </w:p>
        </w:tc>
      </w:tr>
      <w:tr>
        <w:trPr>
          <w:trHeight w:val="27"/>
        </w:trPr>
        <w:tc>
          <w:tcPr>
            <w:tcW w:w="27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4" w:lineRule="exact"/>
        <w:rPr>
          <w:sz w:val="20"/>
          <w:szCs w:val="20"/>
          <w:color w:val="auto"/>
        </w:rPr>
      </w:pPr>
    </w:p>
    <w:p>
      <w:pPr>
        <w:jc w:val="both"/>
        <w:ind w:left="2160" w:right="799" w:hanging="226"/>
        <w:spacing w:after="0" w:line="232" w:lineRule="auto"/>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Taxes are computed based on the impact removing such item would have on tax expense.</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Comprised of common stock of AT&amp;T Inc. and Charter Communications, Inc.</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Includes gain from remeasurement of state deferred taxes, costs to achieve the sales and costs associated with the early extinguishment of debt.</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Comprised of Energy Transfer LP common and Series G preferred units.</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3"/>
        </w:numPr>
        <w:rPr>
          <w:rFonts w:ascii="Arial" w:cs="Arial" w:eastAsia="Arial" w:hAnsi="Arial"/>
          <w:sz w:val="10"/>
          <w:szCs w:val="10"/>
          <w:color w:val="auto"/>
        </w:rPr>
      </w:pPr>
      <w:r>
        <w:rPr>
          <w:rFonts w:ascii="Arial" w:cs="Arial" w:eastAsia="Arial" w:hAnsi="Arial"/>
          <w:sz w:val="10"/>
          <w:szCs w:val="10"/>
          <w:color w:val="auto"/>
        </w:rPr>
        <w:t>Includes impacts associated with the Vectren merger and the sales of Infrastructure Services (CIS) and Mobile Energy Solutions (MES).</w:t>
      </w:r>
    </w:p>
    <w:p>
      <w:pPr>
        <w:spacing w:after="0" w:line="39" w:lineRule="exact"/>
        <w:rPr>
          <w:rFonts w:ascii="Arial" w:cs="Arial" w:eastAsia="Arial" w:hAnsi="Arial"/>
          <w:sz w:val="10"/>
          <w:szCs w:val="10"/>
          <w:color w:val="auto"/>
        </w:rPr>
      </w:pPr>
    </w:p>
    <w:p>
      <w:pPr>
        <w:jc w:val="both"/>
        <w:ind w:left="2160" w:right="799" w:hanging="226"/>
        <w:spacing w:after="0" w:line="315" w:lineRule="auto"/>
        <w:tabs>
          <w:tab w:leader="none" w:pos="2160" w:val="left"/>
        </w:tabs>
        <w:numPr>
          <w:ilvl w:val="0"/>
          <w:numId w:val="153"/>
        </w:numPr>
        <w:rPr>
          <w:rFonts w:ascii="Arial" w:cs="Arial" w:eastAsia="Arial" w:hAnsi="Arial"/>
          <w:sz w:val="8"/>
          <w:szCs w:val="8"/>
          <w:color w:val="auto"/>
        </w:rPr>
      </w:pPr>
      <w:r>
        <w:rPr>
          <w:rFonts w:ascii="Arial" w:cs="Arial" w:eastAsia="Arial" w:hAnsi="Arial"/>
          <w:sz w:val="8"/>
          <w:szCs w:val="8"/>
          <w:color w:val="auto"/>
        </w:rPr>
        <w:t>The Corporate and Other allocation includes after tax Corporate and Other operating income, earnings from the Midstream preferred distributions net of an associated amount of debt, and an allocation of corporate overhead based upon Utility’s and Midstream’s relative earnings contribution. Corporate overhead consists primarily of interest expense, preferred stock dividend requirements, and other items directly attributable to the parent along with the associated income taxes..</w:t>
      </w:r>
    </w:p>
    <w:p>
      <w:pPr>
        <w:spacing w:after="0" w:line="94" w:lineRule="exact"/>
        <w:rPr>
          <w:sz w:val="20"/>
          <w:szCs w:val="20"/>
          <w:color w:val="auto"/>
        </w:rPr>
      </w:pPr>
    </w:p>
    <w:p>
      <w:pPr>
        <w:ind w:left="2000"/>
        <w:spacing w:after="0"/>
        <w:rPr>
          <w:sz w:val="20"/>
          <w:szCs w:val="20"/>
          <w:color w:val="auto"/>
        </w:rPr>
      </w:pPr>
      <w:r>
        <w:rPr>
          <w:rFonts w:ascii="Arial" w:cs="Arial" w:eastAsia="Arial" w:hAnsi="Arial"/>
          <w:sz w:val="15"/>
          <w:szCs w:val="15"/>
          <w:b w:val="1"/>
          <w:bCs w:val="1"/>
          <w:color w:val="009AD9"/>
        </w:rPr>
        <w:t xml:space="preserve">A-2 </w:t>
      </w:r>
      <w:r>
        <w:rPr>
          <w:rFonts w:ascii="Arial" w:cs="Arial" w:eastAsia="Arial" w:hAnsi="Arial"/>
          <w:sz w:val="13"/>
          <w:szCs w:val="13"/>
          <w:color w:val="000000"/>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-100330</wp:posOffset>
            </wp:positionV>
            <wp:extent cx="471170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139700</wp:posOffset>
            </wp:positionV>
            <wp:extent cx="1039495" cy="1498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039495" cy="149860"/>
                    </a:xfrm>
                    <a:prstGeom prst="rect">
                      <a:avLst/>
                    </a:prstGeom>
                    <a:noFill/>
                  </pic:spPr>
                </pic:pic>
              </a:graphicData>
            </a:graphic>
          </wp:anchor>
        </w:drawing>
      </w:r>
    </w:p>
    <w:p>
      <w:pPr>
        <w:spacing w:after="0" w:line="227" w:lineRule="exact"/>
        <w:rPr>
          <w:sz w:val="20"/>
          <w:szCs w:val="20"/>
          <w:color w:val="auto"/>
        </w:rPr>
      </w:pPr>
    </w:p>
    <w:p>
      <w:pPr>
        <w:ind w:left="8040"/>
        <w:spacing w:after="0"/>
        <w:rPr>
          <w:sz w:val="20"/>
          <w:szCs w:val="20"/>
          <w:color w:val="auto"/>
        </w:rPr>
      </w:pPr>
      <w:r>
        <w:rPr>
          <w:rFonts w:ascii="Arial" w:cs="Arial" w:eastAsia="Arial" w:hAnsi="Arial"/>
          <w:sz w:val="12"/>
          <w:szCs w:val="12"/>
          <w:color w:val="FFFFFF"/>
        </w:rPr>
        <w:t>2023 Proxy Statement</w:t>
      </w:r>
    </w:p>
    <w:p>
      <w:pPr>
        <w:spacing w:after="0" w:line="43" w:lineRule="exact"/>
        <w:rPr>
          <w:sz w:val="20"/>
          <w:szCs w:val="20"/>
          <w:color w:val="auto"/>
        </w:rPr>
      </w:pPr>
    </w:p>
    <w:tbl>
      <w:tblPr>
        <w:tblLayout w:type="fixed"/>
        <w:tblInd w:w="1940" w:type="dxa"/>
        <w:tblCellMar>
          <w:top w:w="0" w:type="dxa"/>
          <w:left w:w="0" w:type="dxa"/>
          <w:bottom w:w="0" w:type="dxa"/>
          <w:right w:w="0" w:type="dxa"/>
        </w:tblCellMar>
      </w:tblPr>
      <w:tr>
        <w:trPr>
          <w:trHeight w:val="135"/>
        </w:trPr>
        <w:tc>
          <w:tcPr>
            <w:tcW w:w="1780" w:type="dxa"/>
            <w:vAlign w:val="bottom"/>
            <w:tcBorders>
              <w:top w:val="single" w:sz="8" w:color="009AD9"/>
            </w:tcBorders>
          </w:tcPr>
          <w:p>
            <w:pPr>
              <w:spacing w:after="0"/>
              <w:rPr>
                <w:sz w:val="11"/>
                <w:szCs w:val="11"/>
                <w:color w:val="auto"/>
              </w:rPr>
            </w:pPr>
          </w:p>
        </w:tc>
        <w:tc>
          <w:tcPr>
            <w:tcW w:w="140" w:type="dxa"/>
            <w:vAlign w:val="bottom"/>
            <w:tcBorders>
              <w:top w:val="single" w:sz="8" w:color="009AD9"/>
            </w:tcBorders>
          </w:tcPr>
          <w:p>
            <w:pPr>
              <w:spacing w:after="0"/>
              <w:rPr>
                <w:sz w:val="11"/>
                <w:szCs w:val="11"/>
                <w:color w:val="auto"/>
              </w:rPr>
            </w:pPr>
          </w:p>
        </w:tc>
        <w:tc>
          <w:tcPr>
            <w:tcW w:w="480" w:type="dxa"/>
            <w:vAlign w:val="bottom"/>
            <w:tcBorders>
              <w:top w:val="single" w:sz="8" w:color="009AD9"/>
            </w:tcBorders>
          </w:tcPr>
          <w:p>
            <w:pPr>
              <w:spacing w:after="0"/>
              <w:rPr>
                <w:sz w:val="11"/>
                <w:szCs w:val="11"/>
                <w:color w:val="auto"/>
              </w:rPr>
            </w:pPr>
          </w:p>
        </w:tc>
        <w:tc>
          <w:tcPr>
            <w:tcW w:w="480" w:type="dxa"/>
            <w:vAlign w:val="bottom"/>
            <w:tcBorders>
              <w:top w:val="single" w:sz="8" w:color="009AD9"/>
            </w:tcBorders>
          </w:tcPr>
          <w:p>
            <w:pPr>
              <w:spacing w:after="0"/>
              <w:rPr>
                <w:sz w:val="11"/>
                <w:szCs w:val="11"/>
                <w:color w:val="auto"/>
              </w:rPr>
            </w:pPr>
          </w:p>
        </w:tc>
        <w:tc>
          <w:tcPr>
            <w:tcW w:w="140" w:type="dxa"/>
            <w:vAlign w:val="bottom"/>
            <w:tcBorders>
              <w:top w:val="single" w:sz="8" w:color="009AD9"/>
            </w:tcBorders>
          </w:tcPr>
          <w:p>
            <w:pPr>
              <w:spacing w:after="0"/>
              <w:rPr>
                <w:sz w:val="11"/>
                <w:szCs w:val="11"/>
                <w:color w:val="auto"/>
              </w:rPr>
            </w:pPr>
          </w:p>
        </w:tc>
        <w:tc>
          <w:tcPr>
            <w:tcW w:w="580" w:type="dxa"/>
            <w:vAlign w:val="bottom"/>
            <w:tcBorders>
              <w:top w:val="single" w:sz="8" w:color="009AD9"/>
            </w:tcBorders>
          </w:tcPr>
          <w:p>
            <w:pPr>
              <w:spacing w:after="0"/>
              <w:rPr>
                <w:sz w:val="11"/>
                <w:szCs w:val="11"/>
                <w:color w:val="auto"/>
              </w:rPr>
            </w:pPr>
          </w:p>
        </w:tc>
        <w:tc>
          <w:tcPr>
            <w:tcW w:w="120" w:type="dxa"/>
            <w:vAlign w:val="bottom"/>
            <w:tcBorders>
              <w:top w:val="single" w:sz="8" w:color="009AD9"/>
            </w:tcBorders>
          </w:tcPr>
          <w:p>
            <w:pPr>
              <w:spacing w:after="0"/>
              <w:rPr>
                <w:sz w:val="11"/>
                <w:szCs w:val="11"/>
                <w:color w:val="auto"/>
              </w:rPr>
            </w:pPr>
          </w:p>
        </w:tc>
        <w:tc>
          <w:tcPr>
            <w:tcW w:w="480" w:type="dxa"/>
            <w:vAlign w:val="bottom"/>
            <w:tcBorders>
              <w:top w:val="single" w:sz="8" w:color="009AD9"/>
            </w:tcBorders>
          </w:tcPr>
          <w:p>
            <w:pPr>
              <w:spacing w:after="0"/>
              <w:rPr>
                <w:sz w:val="11"/>
                <w:szCs w:val="11"/>
                <w:color w:val="auto"/>
              </w:rPr>
            </w:pPr>
          </w:p>
        </w:tc>
        <w:tc>
          <w:tcPr>
            <w:tcW w:w="160" w:type="dxa"/>
            <w:vAlign w:val="bottom"/>
            <w:tcBorders>
              <w:top w:val="single" w:sz="8" w:color="009AD9"/>
            </w:tcBorders>
          </w:tcPr>
          <w:p>
            <w:pPr>
              <w:spacing w:after="0"/>
              <w:rPr>
                <w:sz w:val="11"/>
                <w:szCs w:val="11"/>
                <w:color w:val="auto"/>
              </w:rPr>
            </w:pPr>
          </w:p>
        </w:tc>
        <w:tc>
          <w:tcPr>
            <w:tcW w:w="440" w:type="dxa"/>
            <w:vAlign w:val="bottom"/>
            <w:tcBorders>
              <w:top w:val="single" w:sz="8" w:color="009AD9"/>
            </w:tcBorders>
          </w:tcPr>
          <w:p>
            <w:pPr>
              <w:spacing w:after="0"/>
              <w:rPr>
                <w:sz w:val="11"/>
                <w:szCs w:val="11"/>
                <w:color w:val="auto"/>
              </w:rPr>
            </w:pPr>
          </w:p>
        </w:tc>
        <w:tc>
          <w:tcPr>
            <w:tcW w:w="480" w:type="dxa"/>
            <w:vAlign w:val="bottom"/>
            <w:tcBorders>
              <w:top w:val="single" w:sz="8" w:color="009AD9"/>
            </w:tcBorders>
          </w:tcPr>
          <w:p>
            <w:pPr>
              <w:spacing w:after="0"/>
              <w:rPr>
                <w:sz w:val="11"/>
                <w:szCs w:val="11"/>
                <w:color w:val="auto"/>
              </w:rPr>
            </w:pPr>
          </w:p>
        </w:tc>
        <w:tc>
          <w:tcPr>
            <w:tcW w:w="160" w:type="dxa"/>
            <w:vAlign w:val="bottom"/>
            <w:tcBorders>
              <w:top w:val="single" w:sz="8" w:color="009AD9"/>
            </w:tcBorders>
          </w:tcPr>
          <w:p>
            <w:pPr>
              <w:spacing w:after="0"/>
              <w:rPr>
                <w:sz w:val="11"/>
                <w:szCs w:val="11"/>
                <w:color w:val="auto"/>
              </w:rPr>
            </w:pPr>
          </w:p>
        </w:tc>
        <w:tc>
          <w:tcPr>
            <w:tcW w:w="340" w:type="dxa"/>
            <w:vAlign w:val="bottom"/>
            <w:tcBorders>
              <w:top w:val="single" w:sz="8" w:color="009AD9"/>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009AD9"/>
            </w:tcBorders>
          </w:tcPr>
          <w:p>
            <w:pPr>
              <w:spacing w:after="0"/>
              <w:rPr>
                <w:sz w:val="11"/>
                <w:szCs w:val="11"/>
                <w:color w:val="auto"/>
              </w:rPr>
            </w:pPr>
          </w:p>
        </w:tc>
        <w:tc>
          <w:tcPr>
            <w:tcW w:w="1060" w:type="dxa"/>
            <w:vAlign w:val="bottom"/>
            <w:tcBorders>
              <w:top w:val="single" w:sz="8" w:color="009AD9"/>
            </w:tcBorders>
            <w:gridSpan w:val="3"/>
          </w:tcPr>
          <w:p>
            <w:pPr>
              <w:jc w:val="right"/>
              <w:spacing w:after="0"/>
              <w:rPr>
                <w:sz w:val="20"/>
                <w:szCs w:val="20"/>
                <w:color w:val="auto"/>
              </w:rPr>
            </w:pPr>
            <w:r>
              <w:rPr>
                <w:rFonts w:ascii="Arial" w:cs="Arial" w:eastAsia="Arial" w:hAnsi="Arial"/>
                <w:sz w:val="10"/>
                <w:szCs w:val="10"/>
                <w:i w:val="1"/>
                <w:iCs w:val="1"/>
                <w:color w:val="auto"/>
              </w:rPr>
              <w:t>Appendix A (continued)</w:t>
            </w:r>
          </w:p>
        </w:tc>
      </w:tr>
      <w:tr>
        <w:trPr>
          <w:trHeight w:val="147"/>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5"/>
        </w:trPr>
        <w:tc>
          <w:tcPr>
            <w:tcW w:w="1780" w:type="dxa"/>
            <w:vAlign w:val="bottom"/>
            <w:shd w:val="clear" w:color="auto" w:fill="009AD9"/>
          </w:tcPr>
          <w:p>
            <w:pPr>
              <w:spacing w:after="0"/>
              <w:rPr>
                <w:sz w:val="12"/>
                <w:szCs w:val="12"/>
                <w:color w:val="auto"/>
              </w:rPr>
            </w:pPr>
          </w:p>
        </w:tc>
        <w:tc>
          <w:tcPr>
            <w:tcW w:w="140" w:type="dxa"/>
            <w:vAlign w:val="bottom"/>
            <w:shd w:val="clear" w:color="auto" w:fill="009AD9"/>
          </w:tcPr>
          <w:p>
            <w:pPr>
              <w:spacing w:after="0"/>
              <w:rPr>
                <w:sz w:val="12"/>
                <w:szCs w:val="12"/>
                <w:color w:val="auto"/>
              </w:rPr>
            </w:pPr>
          </w:p>
        </w:tc>
        <w:tc>
          <w:tcPr>
            <w:tcW w:w="480" w:type="dxa"/>
            <w:vAlign w:val="bottom"/>
            <w:shd w:val="clear" w:color="auto" w:fill="009AD9"/>
          </w:tcPr>
          <w:p>
            <w:pPr>
              <w:spacing w:after="0"/>
              <w:rPr>
                <w:sz w:val="12"/>
                <w:szCs w:val="12"/>
                <w:color w:val="auto"/>
              </w:rPr>
            </w:pPr>
          </w:p>
        </w:tc>
        <w:tc>
          <w:tcPr>
            <w:tcW w:w="480" w:type="dxa"/>
            <w:vAlign w:val="bottom"/>
            <w:shd w:val="clear" w:color="auto" w:fill="009AD9"/>
          </w:tcPr>
          <w:p>
            <w:pPr>
              <w:spacing w:after="0"/>
              <w:rPr>
                <w:sz w:val="12"/>
                <w:szCs w:val="12"/>
                <w:color w:val="auto"/>
              </w:rPr>
            </w:pPr>
          </w:p>
        </w:tc>
        <w:tc>
          <w:tcPr>
            <w:tcW w:w="140" w:type="dxa"/>
            <w:vAlign w:val="bottom"/>
            <w:shd w:val="clear" w:color="auto" w:fill="009AD9"/>
          </w:tcPr>
          <w:p>
            <w:pPr>
              <w:spacing w:after="0"/>
              <w:rPr>
                <w:sz w:val="12"/>
                <w:szCs w:val="12"/>
                <w:color w:val="auto"/>
              </w:rPr>
            </w:pPr>
          </w:p>
        </w:tc>
        <w:tc>
          <w:tcPr>
            <w:tcW w:w="1180" w:type="dxa"/>
            <w:vAlign w:val="bottom"/>
            <w:gridSpan w:val="3"/>
            <w:shd w:val="clear" w:color="auto" w:fill="009AD9"/>
          </w:tcPr>
          <w:p>
            <w:pPr>
              <w:jc w:val="right"/>
              <w:ind w:right="195"/>
              <w:spacing w:after="0"/>
              <w:rPr>
                <w:sz w:val="20"/>
                <w:szCs w:val="20"/>
                <w:color w:val="auto"/>
              </w:rPr>
            </w:pPr>
            <w:r>
              <w:rPr>
                <w:rFonts w:ascii="Arial" w:cs="Arial" w:eastAsia="Arial" w:hAnsi="Arial"/>
                <w:sz w:val="10"/>
                <w:szCs w:val="10"/>
                <w:b w:val="1"/>
                <w:bCs w:val="1"/>
                <w:color w:val="FFFFFF"/>
              </w:rPr>
              <w:t>Year-to-Date</w:t>
            </w:r>
          </w:p>
        </w:tc>
        <w:tc>
          <w:tcPr>
            <w:tcW w:w="160" w:type="dxa"/>
            <w:vAlign w:val="bottom"/>
            <w:shd w:val="clear" w:color="auto" w:fill="009AD9"/>
          </w:tcPr>
          <w:p>
            <w:pPr>
              <w:spacing w:after="0"/>
              <w:rPr>
                <w:sz w:val="12"/>
                <w:szCs w:val="12"/>
                <w:color w:val="auto"/>
              </w:rPr>
            </w:pPr>
          </w:p>
        </w:tc>
        <w:tc>
          <w:tcPr>
            <w:tcW w:w="440" w:type="dxa"/>
            <w:vAlign w:val="bottom"/>
            <w:shd w:val="clear" w:color="auto" w:fill="009AD9"/>
          </w:tcPr>
          <w:p>
            <w:pPr>
              <w:spacing w:after="0"/>
              <w:rPr>
                <w:sz w:val="12"/>
                <w:szCs w:val="12"/>
                <w:color w:val="auto"/>
              </w:rPr>
            </w:pPr>
          </w:p>
        </w:tc>
        <w:tc>
          <w:tcPr>
            <w:tcW w:w="480" w:type="dxa"/>
            <w:vAlign w:val="bottom"/>
            <w:shd w:val="clear" w:color="auto" w:fill="009AD9"/>
          </w:tcPr>
          <w:p>
            <w:pPr>
              <w:spacing w:after="0"/>
              <w:rPr>
                <w:sz w:val="12"/>
                <w:szCs w:val="12"/>
                <w:color w:val="auto"/>
              </w:rPr>
            </w:pPr>
          </w:p>
        </w:tc>
        <w:tc>
          <w:tcPr>
            <w:tcW w:w="160" w:type="dxa"/>
            <w:vAlign w:val="bottom"/>
            <w:shd w:val="clear" w:color="auto" w:fill="009AD9"/>
          </w:tcPr>
          <w:p>
            <w:pPr>
              <w:spacing w:after="0"/>
              <w:rPr>
                <w:sz w:val="12"/>
                <w:szCs w:val="12"/>
                <w:color w:val="auto"/>
              </w:rPr>
            </w:pPr>
          </w:p>
        </w:tc>
        <w:tc>
          <w:tcPr>
            <w:tcW w:w="340" w:type="dxa"/>
            <w:vAlign w:val="bottom"/>
            <w:shd w:val="clear" w:color="auto" w:fill="009AD9"/>
          </w:tcPr>
          <w:p>
            <w:pPr>
              <w:spacing w:after="0"/>
              <w:rPr>
                <w:sz w:val="12"/>
                <w:szCs w:val="12"/>
                <w:color w:val="auto"/>
              </w:rPr>
            </w:pPr>
          </w:p>
        </w:tc>
        <w:tc>
          <w:tcPr>
            <w:tcW w:w="80" w:type="dxa"/>
            <w:vAlign w:val="bottom"/>
            <w:shd w:val="clear" w:color="auto" w:fill="009AD9"/>
          </w:tcPr>
          <w:p>
            <w:pPr>
              <w:spacing w:after="0"/>
              <w:rPr>
                <w:sz w:val="12"/>
                <w:szCs w:val="12"/>
                <w:color w:val="auto"/>
              </w:rPr>
            </w:pPr>
          </w:p>
        </w:tc>
        <w:tc>
          <w:tcPr>
            <w:tcW w:w="500" w:type="dxa"/>
            <w:vAlign w:val="bottom"/>
            <w:shd w:val="clear" w:color="auto" w:fill="009AD9"/>
          </w:tcPr>
          <w:p>
            <w:pPr>
              <w:spacing w:after="0"/>
              <w:rPr>
                <w:sz w:val="12"/>
                <w:szCs w:val="12"/>
                <w:color w:val="auto"/>
              </w:rPr>
            </w:pPr>
          </w:p>
        </w:tc>
        <w:tc>
          <w:tcPr>
            <w:tcW w:w="180" w:type="dxa"/>
            <w:vAlign w:val="bottom"/>
            <w:shd w:val="clear" w:color="auto" w:fill="009AD9"/>
          </w:tcPr>
          <w:p>
            <w:pPr>
              <w:spacing w:after="0"/>
              <w:rPr>
                <w:sz w:val="12"/>
                <w:szCs w:val="12"/>
                <w:color w:val="auto"/>
              </w:rPr>
            </w:pPr>
          </w:p>
        </w:tc>
        <w:tc>
          <w:tcPr>
            <w:tcW w:w="420" w:type="dxa"/>
            <w:vAlign w:val="bottom"/>
            <w:shd w:val="clear" w:color="auto" w:fill="009AD9"/>
          </w:tcPr>
          <w:p>
            <w:pPr>
              <w:spacing w:after="0"/>
              <w:rPr>
                <w:sz w:val="12"/>
                <w:szCs w:val="12"/>
                <w:color w:val="auto"/>
              </w:rPr>
            </w:pPr>
          </w:p>
        </w:tc>
        <w:tc>
          <w:tcPr>
            <w:tcW w:w="460" w:type="dxa"/>
            <w:vAlign w:val="bottom"/>
            <w:shd w:val="clear" w:color="auto" w:fill="009AD9"/>
          </w:tcPr>
          <w:p>
            <w:pPr>
              <w:spacing w:after="0"/>
              <w:rPr>
                <w:sz w:val="12"/>
                <w:szCs w:val="12"/>
                <w:color w:val="auto"/>
              </w:rPr>
            </w:pPr>
          </w:p>
        </w:tc>
      </w:tr>
      <w:tr>
        <w:trPr>
          <w:trHeight w:val="128"/>
        </w:trPr>
        <w:tc>
          <w:tcPr>
            <w:tcW w:w="1780" w:type="dxa"/>
            <w:vAlign w:val="bottom"/>
            <w:shd w:val="clear" w:color="auto" w:fill="009AD9"/>
          </w:tcPr>
          <w:p>
            <w:pPr>
              <w:spacing w:after="0"/>
              <w:rPr>
                <w:sz w:val="11"/>
                <w:szCs w:val="11"/>
                <w:color w:val="auto"/>
              </w:rPr>
            </w:pPr>
          </w:p>
        </w:tc>
        <w:tc>
          <w:tcPr>
            <w:tcW w:w="140" w:type="dxa"/>
            <w:vAlign w:val="bottom"/>
            <w:shd w:val="clear" w:color="auto" w:fill="009AD9"/>
          </w:tcPr>
          <w:p>
            <w:pPr>
              <w:spacing w:after="0"/>
              <w:rPr>
                <w:sz w:val="11"/>
                <w:szCs w:val="11"/>
                <w:color w:val="auto"/>
              </w:rPr>
            </w:pPr>
          </w:p>
        </w:tc>
        <w:tc>
          <w:tcPr>
            <w:tcW w:w="480" w:type="dxa"/>
            <w:vAlign w:val="bottom"/>
            <w:shd w:val="clear" w:color="auto" w:fill="009AD9"/>
          </w:tcPr>
          <w:p>
            <w:pPr>
              <w:spacing w:after="0"/>
              <w:rPr>
                <w:sz w:val="11"/>
                <w:szCs w:val="11"/>
                <w:color w:val="auto"/>
              </w:rPr>
            </w:pPr>
          </w:p>
        </w:tc>
        <w:tc>
          <w:tcPr>
            <w:tcW w:w="480" w:type="dxa"/>
            <w:vAlign w:val="bottom"/>
            <w:shd w:val="clear" w:color="auto" w:fill="009AD9"/>
          </w:tcPr>
          <w:p>
            <w:pPr>
              <w:spacing w:after="0"/>
              <w:rPr>
                <w:sz w:val="11"/>
                <w:szCs w:val="11"/>
                <w:color w:val="auto"/>
              </w:rPr>
            </w:pPr>
          </w:p>
        </w:tc>
        <w:tc>
          <w:tcPr>
            <w:tcW w:w="140" w:type="dxa"/>
            <w:vAlign w:val="bottom"/>
            <w:shd w:val="clear" w:color="auto" w:fill="009AD9"/>
          </w:tcPr>
          <w:p>
            <w:pPr>
              <w:spacing w:after="0"/>
              <w:rPr>
                <w:sz w:val="11"/>
                <w:szCs w:val="11"/>
                <w:color w:val="auto"/>
              </w:rPr>
            </w:pPr>
          </w:p>
        </w:tc>
        <w:tc>
          <w:tcPr>
            <w:tcW w:w="1180" w:type="dxa"/>
            <w:vAlign w:val="bottom"/>
            <w:gridSpan w:val="3"/>
            <w:shd w:val="clear" w:color="auto" w:fill="009AD9"/>
          </w:tcPr>
          <w:p>
            <w:pPr>
              <w:jc w:val="right"/>
              <w:ind w:right="55"/>
              <w:spacing w:after="0"/>
              <w:rPr>
                <w:sz w:val="20"/>
                <w:szCs w:val="20"/>
                <w:color w:val="auto"/>
              </w:rPr>
            </w:pPr>
            <w:r>
              <w:rPr>
                <w:rFonts w:ascii="Arial" w:cs="Arial" w:eastAsia="Arial" w:hAnsi="Arial"/>
                <w:sz w:val="10"/>
                <w:szCs w:val="10"/>
                <w:b w:val="1"/>
                <w:bCs w:val="1"/>
                <w:color w:val="FFFFFF"/>
              </w:rPr>
              <w:t>December 31, 2020</w:t>
            </w:r>
          </w:p>
        </w:tc>
        <w:tc>
          <w:tcPr>
            <w:tcW w:w="160" w:type="dxa"/>
            <w:vAlign w:val="bottom"/>
            <w:shd w:val="clear" w:color="auto" w:fill="009AD9"/>
          </w:tcPr>
          <w:p>
            <w:pPr>
              <w:spacing w:after="0"/>
              <w:rPr>
                <w:sz w:val="11"/>
                <w:szCs w:val="11"/>
                <w:color w:val="auto"/>
              </w:rPr>
            </w:pPr>
          </w:p>
        </w:tc>
        <w:tc>
          <w:tcPr>
            <w:tcW w:w="440" w:type="dxa"/>
            <w:vAlign w:val="bottom"/>
            <w:shd w:val="clear" w:color="auto" w:fill="009AD9"/>
          </w:tcPr>
          <w:p>
            <w:pPr>
              <w:spacing w:after="0"/>
              <w:rPr>
                <w:sz w:val="11"/>
                <w:szCs w:val="11"/>
                <w:color w:val="auto"/>
              </w:rPr>
            </w:pPr>
          </w:p>
        </w:tc>
        <w:tc>
          <w:tcPr>
            <w:tcW w:w="480" w:type="dxa"/>
            <w:vAlign w:val="bottom"/>
            <w:shd w:val="clear" w:color="auto" w:fill="009AD9"/>
          </w:tcPr>
          <w:p>
            <w:pPr>
              <w:spacing w:after="0"/>
              <w:rPr>
                <w:sz w:val="11"/>
                <w:szCs w:val="11"/>
                <w:color w:val="auto"/>
              </w:rPr>
            </w:pPr>
          </w:p>
        </w:tc>
        <w:tc>
          <w:tcPr>
            <w:tcW w:w="160" w:type="dxa"/>
            <w:vAlign w:val="bottom"/>
            <w:shd w:val="clear" w:color="auto" w:fill="009AD9"/>
          </w:tcPr>
          <w:p>
            <w:pPr>
              <w:spacing w:after="0"/>
              <w:rPr>
                <w:sz w:val="11"/>
                <w:szCs w:val="11"/>
                <w:color w:val="auto"/>
              </w:rPr>
            </w:pPr>
          </w:p>
        </w:tc>
        <w:tc>
          <w:tcPr>
            <w:tcW w:w="340" w:type="dxa"/>
            <w:vAlign w:val="bottom"/>
            <w:shd w:val="clear" w:color="auto" w:fill="009AD9"/>
          </w:tcPr>
          <w:p>
            <w:pPr>
              <w:spacing w:after="0"/>
              <w:rPr>
                <w:sz w:val="11"/>
                <w:szCs w:val="11"/>
                <w:color w:val="auto"/>
              </w:rPr>
            </w:pPr>
          </w:p>
        </w:tc>
        <w:tc>
          <w:tcPr>
            <w:tcW w:w="80" w:type="dxa"/>
            <w:vAlign w:val="bottom"/>
            <w:shd w:val="clear" w:color="auto" w:fill="009AD9"/>
          </w:tcPr>
          <w:p>
            <w:pPr>
              <w:spacing w:after="0"/>
              <w:rPr>
                <w:sz w:val="11"/>
                <w:szCs w:val="11"/>
                <w:color w:val="auto"/>
              </w:rPr>
            </w:pPr>
          </w:p>
        </w:tc>
        <w:tc>
          <w:tcPr>
            <w:tcW w:w="500" w:type="dxa"/>
            <w:vAlign w:val="bottom"/>
            <w:shd w:val="clear" w:color="auto" w:fill="009AD9"/>
          </w:tcPr>
          <w:p>
            <w:pPr>
              <w:spacing w:after="0"/>
              <w:rPr>
                <w:sz w:val="11"/>
                <w:szCs w:val="11"/>
                <w:color w:val="auto"/>
              </w:rPr>
            </w:pPr>
          </w:p>
        </w:tc>
        <w:tc>
          <w:tcPr>
            <w:tcW w:w="180" w:type="dxa"/>
            <w:vAlign w:val="bottom"/>
            <w:shd w:val="clear" w:color="auto" w:fill="009AD9"/>
          </w:tcPr>
          <w:p>
            <w:pPr>
              <w:spacing w:after="0"/>
              <w:rPr>
                <w:sz w:val="11"/>
                <w:szCs w:val="11"/>
                <w:color w:val="auto"/>
              </w:rPr>
            </w:pPr>
          </w:p>
        </w:tc>
        <w:tc>
          <w:tcPr>
            <w:tcW w:w="420" w:type="dxa"/>
            <w:vAlign w:val="bottom"/>
            <w:shd w:val="clear" w:color="auto" w:fill="009AD9"/>
          </w:tcPr>
          <w:p>
            <w:pPr>
              <w:spacing w:after="0"/>
              <w:rPr>
                <w:sz w:val="11"/>
                <w:szCs w:val="11"/>
                <w:color w:val="auto"/>
              </w:rPr>
            </w:pPr>
          </w:p>
        </w:tc>
        <w:tc>
          <w:tcPr>
            <w:tcW w:w="460" w:type="dxa"/>
            <w:vAlign w:val="bottom"/>
            <w:shd w:val="clear" w:color="auto" w:fill="009AD9"/>
          </w:tcPr>
          <w:p>
            <w:pPr>
              <w:spacing w:after="0"/>
              <w:rPr>
                <w:sz w:val="11"/>
                <w:szCs w:val="11"/>
                <w:color w:val="auto"/>
              </w:rPr>
            </w:pPr>
          </w:p>
        </w:tc>
      </w:tr>
      <w:tr>
        <w:trPr>
          <w:trHeight w:val="118"/>
        </w:trPr>
        <w:tc>
          <w:tcPr>
            <w:tcW w:w="1780" w:type="dxa"/>
            <w:vAlign w:val="bottom"/>
            <w:shd w:val="clear" w:color="auto" w:fill="009AD9"/>
          </w:tcPr>
          <w:p>
            <w:pPr>
              <w:spacing w:after="0"/>
              <w:rPr>
                <w:sz w:val="10"/>
                <w:szCs w:val="10"/>
                <w:color w:val="auto"/>
              </w:rPr>
            </w:pPr>
          </w:p>
        </w:tc>
        <w:tc>
          <w:tcPr>
            <w:tcW w:w="140" w:type="dxa"/>
            <w:vAlign w:val="bottom"/>
            <w:shd w:val="clear" w:color="auto" w:fill="009AD9"/>
          </w:tcPr>
          <w:p>
            <w:pPr>
              <w:spacing w:after="0"/>
              <w:rPr>
                <w:sz w:val="10"/>
                <w:szCs w:val="10"/>
                <w:color w:val="auto"/>
              </w:rPr>
            </w:pPr>
          </w:p>
        </w:tc>
        <w:tc>
          <w:tcPr>
            <w:tcW w:w="480" w:type="dxa"/>
            <w:vAlign w:val="bottom"/>
            <w:shd w:val="clear" w:color="auto" w:fill="009AD9"/>
          </w:tcPr>
          <w:p>
            <w:pPr>
              <w:spacing w:after="0"/>
              <w:rPr>
                <w:sz w:val="10"/>
                <w:szCs w:val="10"/>
                <w:color w:val="auto"/>
              </w:rPr>
            </w:pPr>
          </w:p>
        </w:tc>
        <w:tc>
          <w:tcPr>
            <w:tcW w:w="480" w:type="dxa"/>
            <w:vAlign w:val="bottom"/>
            <w:shd w:val="clear" w:color="auto" w:fill="009AD9"/>
          </w:tcPr>
          <w:p>
            <w:pPr>
              <w:spacing w:after="0"/>
              <w:rPr>
                <w:sz w:val="10"/>
                <w:szCs w:val="10"/>
                <w:color w:val="auto"/>
              </w:rPr>
            </w:pPr>
          </w:p>
        </w:tc>
        <w:tc>
          <w:tcPr>
            <w:tcW w:w="1320" w:type="dxa"/>
            <w:vAlign w:val="bottom"/>
            <w:gridSpan w:val="4"/>
            <w:shd w:val="clear" w:color="auto" w:fill="009AD9"/>
          </w:tcPr>
          <w:p>
            <w:pPr>
              <w:jc w:val="right"/>
              <w:ind w:right="95"/>
              <w:spacing w:after="0"/>
              <w:rPr>
                <w:sz w:val="20"/>
                <w:szCs w:val="20"/>
                <w:color w:val="auto"/>
              </w:rPr>
            </w:pPr>
            <w:r>
              <w:rPr>
                <w:rFonts w:ascii="Arial" w:cs="Arial" w:eastAsia="Arial" w:hAnsi="Arial"/>
                <w:sz w:val="10"/>
                <w:szCs w:val="10"/>
                <w:b w:val="1"/>
                <w:bCs w:val="1"/>
                <w:color w:val="FFFFFF"/>
              </w:rPr>
              <w:t>Midstream Investments</w:t>
            </w:r>
          </w:p>
        </w:tc>
        <w:tc>
          <w:tcPr>
            <w:tcW w:w="160" w:type="dxa"/>
            <w:vAlign w:val="bottom"/>
            <w:shd w:val="clear" w:color="auto" w:fill="009AD9"/>
          </w:tcPr>
          <w:p>
            <w:pPr>
              <w:spacing w:after="0"/>
              <w:rPr>
                <w:sz w:val="10"/>
                <w:szCs w:val="10"/>
                <w:color w:val="auto"/>
              </w:rPr>
            </w:pPr>
          </w:p>
        </w:tc>
        <w:tc>
          <w:tcPr>
            <w:tcW w:w="920" w:type="dxa"/>
            <w:vAlign w:val="bottom"/>
            <w:gridSpan w:val="2"/>
            <w:shd w:val="clear" w:color="auto" w:fill="009AD9"/>
          </w:tcPr>
          <w:p>
            <w:pPr>
              <w:jc w:val="right"/>
              <w:ind w:right="175"/>
              <w:spacing w:after="0"/>
              <w:rPr>
                <w:sz w:val="20"/>
                <w:szCs w:val="20"/>
                <w:color w:val="auto"/>
              </w:rPr>
            </w:pPr>
            <w:r>
              <w:rPr>
                <w:rFonts w:ascii="Arial" w:cs="Arial" w:eastAsia="Arial" w:hAnsi="Arial"/>
                <w:sz w:val="10"/>
                <w:szCs w:val="10"/>
                <w:b w:val="1"/>
                <w:bCs w:val="1"/>
                <w:color w:val="FFFFFF"/>
                <w:w w:val="99"/>
              </w:rPr>
              <w:t>Corporate and</w:t>
            </w:r>
          </w:p>
        </w:tc>
        <w:tc>
          <w:tcPr>
            <w:tcW w:w="160" w:type="dxa"/>
            <w:vAlign w:val="bottom"/>
            <w:shd w:val="clear" w:color="auto" w:fill="009AD9"/>
          </w:tcPr>
          <w:p>
            <w:pPr>
              <w:spacing w:after="0"/>
              <w:rPr>
                <w:sz w:val="10"/>
                <w:szCs w:val="10"/>
                <w:color w:val="auto"/>
              </w:rPr>
            </w:pPr>
          </w:p>
        </w:tc>
        <w:tc>
          <w:tcPr>
            <w:tcW w:w="920" w:type="dxa"/>
            <w:vAlign w:val="bottom"/>
            <w:gridSpan w:val="3"/>
            <w:shd w:val="clear" w:color="auto" w:fill="009AD9"/>
          </w:tcPr>
          <w:p>
            <w:pPr>
              <w:jc w:val="right"/>
              <w:ind w:right="175"/>
              <w:spacing w:after="0" w:line="118" w:lineRule="exact"/>
              <w:rPr>
                <w:sz w:val="20"/>
                <w:szCs w:val="20"/>
                <w:color w:val="auto"/>
              </w:rPr>
            </w:pPr>
            <w:r>
              <w:rPr>
                <w:rFonts w:ascii="Arial" w:cs="Arial" w:eastAsia="Arial" w:hAnsi="Arial"/>
                <w:sz w:val="9"/>
                <w:szCs w:val="9"/>
                <w:b w:val="1"/>
                <w:bCs w:val="1"/>
                <w:color w:val="FFFFFF"/>
              </w:rPr>
              <w:t>CES</w:t>
            </w:r>
            <w:r>
              <w:rPr>
                <w:rFonts w:ascii="Arial" w:cs="Arial" w:eastAsia="Arial" w:hAnsi="Arial"/>
                <w:sz w:val="13"/>
                <w:szCs w:val="13"/>
                <w:b w:val="1"/>
                <w:bCs w:val="1"/>
                <w:color w:val="FFFFFF"/>
                <w:vertAlign w:val="superscript"/>
              </w:rPr>
              <w:t>(1)</w:t>
            </w:r>
            <w:r>
              <w:rPr>
                <w:rFonts w:ascii="Arial" w:cs="Arial" w:eastAsia="Arial" w:hAnsi="Arial"/>
                <w:sz w:val="9"/>
                <w:szCs w:val="9"/>
                <w:b w:val="1"/>
                <w:bCs w:val="1"/>
                <w:color w:val="FFFFFF"/>
              </w:rPr>
              <w:t xml:space="preserve"> &amp; CIS</w:t>
            </w:r>
            <w:r>
              <w:rPr>
                <w:rFonts w:ascii="Arial" w:cs="Arial" w:eastAsia="Arial" w:hAnsi="Arial"/>
                <w:sz w:val="13"/>
                <w:szCs w:val="13"/>
                <w:b w:val="1"/>
                <w:bCs w:val="1"/>
                <w:color w:val="FFFFFF"/>
                <w:vertAlign w:val="superscript"/>
              </w:rPr>
              <w:t>(2)</w:t>
            </w:r>
          </w:p>
        </w:tc>
        <w:tc>
          <w:tcPr>
            <w:tcW w:w="180" w:type="dxa"/>
            <w:vAlign w:val="bottom"/>
            <w:shd w:val="clear" w:color="auto" w:fill="009AD9"/>
          </w:tcPr>
          <w:p>
            <w:pPr>
              <w:spacing w:after="0"/>
              <w:rPr>
                <w:sz w:val="10"/>
                <w:szCs w:val="10"/>
                <w:color w:val="auto"/>
              </w:rPr>
            </w:pPr>
          </w:p>
        </w:tc>
        <w:tc>
          <w:tcPr>
            <w:tcW w:w="420" w:type="dxa"/>
            <w:vAlign w:val="bottom"/>
            <w:shd w:val="clear" w:color="auto" w:fill="009AD9"/>
          </w:tcPr>
          <w:p>
            <w:pPr>
              <w:spacing w:after="0"/>
              <w:rPr>
                <w:sz w:val="10"/>
                <w:szCs w:val="10"/>
                <w:color w:val="auto"/>
              </w:rPr>
            </w:pPr>
          </w:p>
        </w:tc>
        <w:tc>
          <w:tcPr>
            <w:tcW w:w="460" w:type="dxa"/>
            <w:vAlign w:val="bottom"/>
            <w:shd w:val="clear" w:color="auto" w:fill="009AD9"/>
          </w:tcPr>
          <w:p>
            <w:pPr>
              <w:spacing w:after="0"/>
              <w:rPr>
                <w:sz w:val="10"/>
                <w:szCs w:val="10"/>
                <w:color w:val="auto"/>
              </w:rPr>
            </w:pPr>
          </w:p>
        </w:tc>
      </w:tr>
      <w:tr>
        <w:trPr>
          <w:trHeight w:val="163"/>
        </w:trPr>
        <w:tc>
          <w:tcPr>
            <w:tcW w:w="1780" w:type="dxa"/>
            <w:vAlign w:val="bottom"/>
            <w:shd w:val="clear" w:color="auto" w:fill="009AD9"/>
          </w:tcPr>
          <w:p>
            <w:pPr>
              <w:spacing w:after="0"/>
              <w:rPr>
                <w:sz w:val="14"/>
                <w:szCs w:val="14"/>
                <w:color w:val="auto"/>
              </w:rPr>
            </w:pPr>
          </w:p>
        </w:tc>
        <w:tc>
          <w:tcPr>
            <w:tcW w:w="140" w:type="dxa"/>
            <w:vAlign w:val="bottom"/>
            <w:shd w:val="clear" w:color="auto" w:fill="009AD9"/>
          </w:tcPr>
          <w:p>
            <w:pPr>
              <w:spacing w:after="0"/>
              <w:rPr>
                <w:sz w:val="14"/>
                <w:szCs w:val="14"/>
                <w:color w:val="auto"/>
              </w:rPr>
            </w:pPr>
          </w:p>
        </w:tc>
        <w:tc>
          <w:tcPr>
            <w:tcW w:w="960" w:type="dxa"/>
            <w:vAlign w:val="bottom"/>
            <w:gridSpan w:val="2"/>
            <w:shd w:val="clear" w:color="auto" w:fill="009AD9"/>
          </w:tcPr>
          <w:p>
            <w:pPr>
              <w:jc w:val="right"/>
              <w:ind w:right="95"/>
              <w:spacing w:after="0"/>
              <w:rPr>
                <w:sz w:val="20"/>
                <w:szCs w:val="20"/>
                <w:color w:val="auto"/>
              </w:rPr>
            </w:pPr>
            <w:r>
              <w:rPr>
                <w:rFonts w:ascii="Arial" w:cs="Arial" w:eastAsia="Arial" w:hAnsi="Arial"/>
                <w:sz w:val="10"/>
                <w:szCs w:val="10"/>
                <w:b w:val="1"/>
                <w:bCs w:val="1"/>
                <w:color w:val="FFFFFF"/>
                <w:w w:val="95"/>
              </w:rPr>
              <w:t>Utility Operations</w:t>
            </w:r>
          </w:p>
        </w:tc>
        <w:tc>
          <w:tcPr>
            <w:tcW w:w="140" w:type="dxa"/>
            <w:vAlign w:val="bottom"/>
            <w:shd w:val="clear" w:color="auto" w:fill="009AD9"/>
          </w:tcPr>
          <w:p>
            <w:pPr>
              <w:spacing w:after="0"/>
              <w:rPr>
                <w:sz w:val="14"/>
                <w:szCs w:val="14"/>
                <w:color w:val="auto"/>
              </w:rPr>
            </w:pPr>
          </w:p>
        </w:tc>
        <w:tc>
          <w:tcPr>
            <w:tcW w:w="1180" w:type="dxa"/>
            <w:vAlign w:val="bottom"/>
            <w:gridSpan w:val="3"/>
            <w:shd w:val="clear" w:color="auto" w:fill="009AD9"/>
          </w:tcPr>
          <w:p>
            <w:pPr>
              <w:jc w:val="right"/>
              <w:ind w:right="215"/>
              <w:spacing w:after="0"/>
              <w:rPr>
                <w:sz w:val="20"/>
                <w:szCs w:val="20"/>
                <w:color w:val="auto"/>
              </w:rPr>
            </w:pPr>
            <w:r>
              <w:rPr>
                <w:rFonts w:ascii="Arial" w:cs="Arial" w:eastAsia="Arial" w:hAnsi="Arial"/>
                <w:sz w:val="10"/>
                <w:szCs w:val="10"/>
                <w:b w:val="1"/>
                <w:bCs w:val="1"/>
                <w:color w:val="FFFFFF"/>
              </w:rPr>
              <w:t>(Disc. Operations)</w:t>
            </w:r>
          </w:p>
        </w:tc>
        <w:tc>
          <w:tcPr>
            <w:tcW w:w="160" w:type="dxa"/>
            <w:vAlign w:val="bottom"/>
            <w:shd w:val="clear" w:color="auto" w:fill="009AD9"/>
          </w:tcPr>
          <w:p>
            <w:pPr>
              <w:spacing w:after="0"/>
              <w:rPr>
                <w:sz w:val="14"/>
                <w:szCs w:val="14"/>
                <w:color w:val="auto"/>
              </w:rPr>
            </w:pPr>
          </w:p>
        </w:tc>
        <w:tc>
          <w:tcPr>
            <w:tcW w:w="920" w:type="dxa"/>
            <w:vAlign w:val="bottom"/>
            <w:gridSpan w:val="2"/>
            <w:shd w:val="clear" w:color="auto" w:fill="009AD9"/>
          </w:tcPr>
          <w:p>
            <w:pPr>
              <w:jc w:val="right"/>
              <w:ind w:right="335"/>
              <w:spacing w:after="0"/>
              <w:rPr>
                <w:sz w:val="20"/>
                <w:szCs w:val="20"/>
                <w:color w:val="auto"/>
              </w:rPr>
            </w:pPr>
            <w:r>
              <w:rPr>
                <w:rFonts w:ascii="Arial" w:cs="Arial" w:eastAsia="Arial" w:hAnsi="Arial"/>
                <w:sz w:val="10"/>
                <w:szCs w:val="10"/>
                <w:b w:val="1"/>
                <w:bCs w:val="1"/>
                <w:color w:val="FFFFFF"/>
              </w:rPr>
              <w:t>Other</w:t>
            </w:r>
            <w:r>
              <w:rPr>
                <w:rFonts w:ascii="Arial" w:cs="Arial" w:eastAsia="Arial" w:hAnsi="Arial"/>
                <w:sz w:val="14"/>
                <w:szCs w:val="14"/>
                <w:b w:val="1"/>
                <w:bCs w:val="1"/>
                <w:color w:val="FFFFFF"/>
                <w:vertAlign w:val="superscript"/>
              </w:rPr>
              <w:t>(6)</w:t>
            </w:r>
          </w:p>
        </w:tc>
        <w:tc>
          <w:tcPr>
            <w:tcW w:w="1080" w:type="dxa"/>
            <w:vAlign w:val="bottom"/>
            <w:gridSpan w:val="4"/>
            <w:shd w:val="clear" w:color="auto" w:fill="009AD9"/>
          </w:tcPr>
          <w:p>
            <w:pPr>
              <w:ind w:left="120"/>
              <w:spacing w:after="0"/>
              <w:rPr>
                <w:sz w:val="20"/>
                <w:szCs w:val="20"/>
                <w:color w:val="auto"/>
              </w:rPr>
            </w:pPr>
            <w:r>
              <w:rPr>
                <w:rFonts w:ascii="Arial" w:cs="Arial" w:eastAsia="Arial" w:hAnsi="Arial"/>
                <w:sz w:val="10"/>
                <w:szCs w:val="10"/>
                <w:b w:val="1"/>
                <w:bCs w:val="1"/>
                <w:color w:val="FFFFFF"/>
              </w:rPr>
              <w:t>(Disc. Operations)</w:t>
            </w:r>
          </w:p>
        </w:tc>
        <w:tc>
          <w:tcPr>
            <w:tcW w:w="180" w:type="dxa"/>
            <w:vAlign w:val="bottom"/>
            <w:shd w:val="clear" w:color="auto" w:fill="009AD9"/>
          </w:tcPr>
          <w:p>
            <w:pPr>
              <w:spacing w:after="0"/>
              <w:rPr>
                <w:sz w:val="14"/>
                <w:szCs w:val="14"/>
                <w:color w:val="auto"/>
              </w:rPr>
            </w:pPr>
          </w:p>
        </w:tc>
        <w:tc>
          <w:tcPr>
            <w:tcW w:w="880" w:type="dxa"/>
            <w:vAlign w:val="bottom"/>
            <w:gridSpan w:val="2"/>
            <w:shd w:val="clear" w:color="auto" w:fill="009AD9"/>
          </w:tcPr>
          <w:p>
            <w:pPr>
              <w:jc w:val="right"/>
              <w:ind w:right="175"/>
              <w:spacing w:after="0"/>
              <w:rPr>
                <w:sz w:val="20"/>
                <w:szCs w:val="20"/>
                <w:color w:val="auto"/>
              </w:rPr>
            </w:pPr>
            <w:r>
              <w:rPr>
                <w:rFonts w:ascii="Arial" w:cs="Arial" w:eastAsia="Arial" w:hAnsi="Arial"/>
                <w:sz w:val="10"/>
                <w:szCs w:val="10"/>
                <w:b w:val="1"/>
                <w:bCs w:val="1"/>
                <w:color w:val="FFFFFF"/>
              </w:rPr>
              <w:t>Consolidated</w:t>
            </w:r>
          </w:p>
        </w:tc>
      </w:tr>
      <w:tr>
        <w:trPr>
          <w:trHeight w:val="99"/>
        </w:trPr>
        <w:tc>
          <w:tcPr>
            <w:tcW w:w="1780" w:type="dxa"/>
            <w:vAlign w:val="bottom"/>
            <w:shd w:val="clear" w:color="auto" w:fill="009AD9"/>
          </w:tcPr>
          <w:p>
            <w:pPr>
              <w:spacing w:after="0"/>
              <w:rPr>
                <w:sz w:val="8"/>
                <w:szCs w:val="8"/>
                <w:color w:val="auto"/>
              </w:rPr>
            </w:pPr>
          </w:p>
        </w:tc>
        <w:tc>
          <w:tcPr>
            <w:tcW w:w="620" w:type="dxa"/>
            <w:vAlign w:val="bottom"/>
            <w:gridSpan w:val="2"/>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rPr>
              <w:t>Dollars in</w:t>
            </w:r>
          </w:p>
        </w:tc>
        <w:tc>
          <w:tcPr>
            <w:tcW w:w="480" w:type="dxa"/>
            <w:vAlign w:val="bottom"/>
            <w:shd w:val="clear" w:color="auto" w:fill="009AD9"/>
          </w:tcPr>
          <w:p>
            <w:pPr>
              <w:jc w:val="right"/>
              <w:ind w:right="35"/>
              <w:spacing w:after="0" w:line="99" w:lineRule="exact"/>
              <w:rPr>
                <w:sz w:val="20"/>
                <w:szCs w:val="20"/>
                <w:color w:val="auto"/>
              </w:rPr>
            </w:pPr>
            <w:r>
              <w:rPr>
                <w:rFonts w:ascii="Arial" w:cs="Arial" w:eastAsia="Arial" w:hAnsi="Arial"/>
                <w:sz w:val="10"/>
                <w:szCs w:val="10"/>
                <w:b w:val="1"/>
                <w:bCs w:val="1"/>
                <w:color w:val="FFFFFF"/>
              </w:rPr>
              <w:t>Diluted</w:t>
            </w:r>
          </w:p>
        </w:tc>
        <w:tc>
          <w:tcPr>
            <w:tcW w:w="140" w:type="dxa"/>
            <w:vAlign w:val="bottom"/>
            <w:shd w:val="clear" w:color="auto" w:fill="009AD9"/>
          </w:tcPr>
          <w:p>
            <w:pPr>
              <w:spacing w:after="0"/>
              <w:rPr>
                <w:sz w:val="8"/>
                <w:szCs w:val="8"/>
                <w:color w:val="auto"/>
              </w:rPr>
            </w:pPr>
          </w:p>
        </w:tc>
        <w:tc>
          <w:tcPr>
            <w:tcW w:w="580" w:type="dxa"/>
            <w:vAlign w:val="bottom"/>
            <w:shd w:val="clear" w:color="auto" w:fill="009AD9"/>
          </w:tcPr>
          <w:p>
            <w:pPr>
              <w:jc w:val="right"/>
              <w:ind w:right="92"/>
              <w:spacing w:after="0" w:line="99" w:lineRule="exact"/>
              <w:rPr>
                <w:sz w:val="20"/>
                <w:szCs w:val="20"/>
                <w:color w:val="auto"/>
              </w:rPr>
            </w:pPr>
            <w:r>
              <w:rPr>
                <w:rFonts w:ascii="Arial" w:cs="Arial" w:eastAsia="Arial" w:hAnsi="Arial"/>
                <w:sz w:val="10"/>
                <w:szCs w:val="10"/>
                <w:b w:val="1"/>
                <w:bCs w:val="1"/>
                <w:color w:val="FFFFFF"/>
                <w:w w:val="92"/>
              </w:rPr>
              <w:t>Dollars in</w:t>
            </w:r>
          </w:p>
        </w:tc>
        <w:tc>
          <w:tcPr>
            <w:tcW w:w="120" w:type="dxa"/>
            <w:vAlign w:val="bottom"/>
            <w:shd w:val="clear" w:color="auto" w:fill="009AD9"/>
          </w:tcPr>
          <w:p>
            <w:pPr>
              <w:spacing w:after="0"/>
              <w:rPr>
                <w:sz w:val="8"/>
                <w:szCs w:val="8"/>
                <w:color w:val="auto"/>
              </w:rPr>
            </w:pPr>
          </w:p>
        </w:tc>
        <w:tc>
          <w:tcPr>
            <w:tcW w:w="480" w:type="dxa"/>
            <w:vAlign w:val="bottom"/>
            <w:shd w:val="clear" w:color="auto" w:fill="009AD9"/>
          </w:tcPr>
          <w:p>
            <w:pPr>
              <w:jc w:val="right"/>
              <w:ind w:right="95"/>
              <w:spacing w:after="0" w:line="99" w:lineRule="exact"/>
              <w:rPr>
                <w:sz w:val="20"/>
                <w:szCs w:val="20"/>
                <w:color w:val="auto"/>
              </w:rPr>
            </w:pPr>
            <w:r>
              <w:rPr>
                <w:rFonts w:ascii="Arial" w:cs="Arial" w:eastAsia="Arial" w:hAnsi="Arial"/>
                <w:sz w:val="10"/>
                <w:szCs w:val="10"/>
                <w:b w:val="1"/>
                <w:bCs w:val="1"/>
                <w:color w:val="FFFFFF"/>
                <w:w w:val="94"/>
              </w:rPr>
              <w:t>Diluted</w:t>
            </w:r>
          </w:p>
        </w:tc>
        <w:tc>
          <w:tcPr>
            <w:tcW w:w="600" w:type="dxa"/>
            <w:vAlign w:val="bottom"/>
            <w:gridSpan w:val="2"/>
            <w:shd w:val="clear" w:color="auto" w:fill="009AD9"/>
          </w:tcPr>
          <w:p>
            <w:pPr>
              <w:ind w:left="60"/>
              <w:spacing w:after="0" w:line="99" w:lineRule="exact"/>
              <w:rPr>
                <w:sz w:val="20"/>
                <w:szCs w:val="20"/>
                <w:color w:val="auto"/>
              </w:rPr>
            </w:pPr>
            <w:r>
              <w:rPr>
                <w:rFonts w:ascii="Arial" w:cs="Arial" w:eastAsia="Arial" w:hAnsi="Arial"/>
                <w:sz w:val="10"/>
                <w:szCs w:val="10"/>
                <w:b w:val="1"/>
                <w:bCs w:val="1"/>
                <w:color w:val="FFFFFF"/>
              </w:rPr>
              <w:t>Dollars in</w:t>
            </w:r>
          </w:p>
        </w:tc>
        <w:tc>
          <w:tcPr>
            <w:tcW w:w="480" w:type="dxa"/>
            <w:vAlign w:val="bottom"/>
            <w:shd w:val="clear" w:color="auto" w:fill="009AD9"/>
          </w:tcPr>
          <w:p>
            <w:pPr>
              <w:jc w:val="right"/>
              <w:ind w:right="35"/>
              <w:spacing w:after="0" w:line="99" w:lineRule="exact"/>
              <w:rPr>
                <w:sz w:val="20"/>
                <w:szCs w:val="20"/>
                <w:color w:val="auto"/>
              </w:rPr>
            </w:pPr>
            <w:r>
              <w:rPr>
                <w:rFonts w:ascii="Arial" w:cs="Arial" w:eastAsia="Arial" w:hAnsi="Arial"/>
                <w:sz w:val="10"/>
                <w:szCs w:val="10"/>
                <w:b w:val="1"/>
                <w:bCs w:val="1"/>
                <w:color w:val="FFFFFF"/>
              </w:rPr>
              <w:t>Diluted</w:t>
            </w:r>
          </w:p>
        </w:tc>
        <w:tc>
          <w:tcPr>
            <w:tcW w:w="580" w:type="dxa"/>
            <w:vAlign w:val="bottom"/>
            <w:gridSpan w:val="3"/>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rPr>
              <w:t>Dollars in</w:t>
            </w:r>
          </w:p>
        </w:tc>
        <w:tc>
          <w:tcPr>
            <w:tcW w:w="500" w:type="dxa"/>
            <w:vAlign w:val="bottom"/>
            <w:shd w:val="clear" w:color="auto" w:fill="009AD9"/>
          </w:tcPr>
          <w:p>
            <w:pPr>
              <w:jc w:val="right"/>
              <w:ind w:right="35"/>
              <w:spacing w:after="0" w:line="99" w:lineRule="exact"/>
              <w:rPr>
                <w:sz w:val="20"/>
                <w:szCs w:val="20"/>
                <w:color w:val="auto"/>
              </w:rPr>
            </w:pPr>
            <w:r>
              <w:rPr>
                <w:rFonts w:ascii="Arial" w:cs="Arial" w:eastAsia="Arial" w:hAnsi="Arial"/>
                <w:sz w:val="10"/>
                <w:szCs w:val="10"/>
                <w:b w:val="1"/>
                <w:bCs w:val="1"/>
                <w:color w:val="FFFFFF"/>
              </w:rPr>
              <w:t>Diluted</w:t>
            </w:r>
          </w:p>
        </w:tc>
        <w:tc>
          <w:tcPr>
            <w:tcW w:w="600" w:type="dxa"/>
            <w:vAlign w:val="bottom"/>
            <w:gridSpan w:val="2"/>
            <w:shd w:val="clear" w:color="auto" w:fill="009AD9"/>
          </w:tcPr>
          <w:p>
            <w:pPr>
              <w:ind w:left="80"/>
              <w:spacing w:after="0" w:line="99" w:lineRule="exact"/>
              <w:rPr>
                <w:sz w:val="20"/>
                <w:szCs w:val="20"/>
                <w:color w:val="auto"/>
              </w:rPr>
            </w:pPr>
            <w:r>
              <w:rPr>
                <w:rFonts w:ascii="Arial" w:cs="Arial" w:eastAsia="Arial" w:hAnsi="Arial"/>
                <w:sz w:val="10"/>
                <w:szCs w:val="10"/>
                <w:b w:val="1"/>
                <w:bCs w:val="1"/>
                <w:color w:val="FFFFFF"/>
              </w:rPr>
              <w:t>Dollars in</w:t>
            </w:r>
          </w:p>
        </w:tc>
        <w:tc>
          <w:tcPr>
            <w:tcW w:w="460" w:type="dxa"/>
            <w:vAlign w:val="bottom"/>
            <w:shd w:val="clear" w:color="auto" w:fill="009AD9"/>
          </w:tcPr>
          <w:p>
            <w:pPr>
              <w:jc w:val="right"/>
              <w:ind w:right="35"/>
              <w:spacing w:after="0" w:line="99" w:lineRule="exact"/>
              <w:rPr>
                <w:sz w:val="20"/>
                <w:szCs w:val="20"/>
                <w:color w:val="auto"/>
              </w:rPr>
            </w:pPr>
            <w:r>
              <w:rPr>
                <w:rFonts w:ascii="Arial" w:cs="Arial" w:eastAsia="Arial" w:hAnsi="Arial"/>
                <w:sz w:val="10"/>
                <w:szCs w:val="10"/>
                <w:b w:val="1"/>
                <w:bCs w:val="1"/>
                <w:color w:val="FFFFFF"/>
              </w:rPr>
              <w:t>Diluted</w:t>
            </w:r>
          </w:p>
        </w:tc>
      </w:tr>
      <w:tr>
        <w:trPr>
          <w:trHeight w:val="156"/>
        </w:trPr>
        <w:tc>
          <w:tcPr>
            <w:tcW w:w="1780" w:type="dxa"/>
            <w:vAlign w:val="bottom"/>
            <w:shd w:val="clear" w:color="auto" w:fill="009AD9"/>
          </w:tcPr>
          <w:p>
            <w:pPr>
              <w:spacing w:after="0"/>
              <w:rPr>
                <w:sz w:val="13"/>
                <w:szCs w:val="13"/>
                <w:color w:val="auto"/>
              </w:rPr>
            </w:pPr>
          </w:p>
        </w:tc>
        <w:tc>
          <w:tcPr>
            <w:tcW w:w="620" w:type="dxa"/>
            <w:vAlign w:val="bottom"/>
            <w:gridSpan w:val="2"/>
            <w:shd w:val="clear" w:color="auto" w:fill="009AD9"/>
          </w:tcPr>
          <w:p>
            <w:pPr>
              <w:ind w:left="120"/>
              <w:spacing w:after="0"/>
              <w:rPr>
                <w:sz w:val="20"/>
                <w:szCs w:val="20"/>
                <w:color w:val="auto"/>
              </w:rPr>
            </w:pPr>
            <w:r>
              <w:rPr>
                <w:rFonts w:ascii="Arial" w:cs="Arial" w:eastAsia="Arial" w:hAnsi="Arial"/>
                <w:sz w:val="10"/>
                <w:szCs w:val="10"/>
                <w:b w:val="1"/>
                <w:bCs w:val="1"/>
                <w:color w:val="FFFFFF"/>
              </w:rPr>
              <w:t>millions</w:t>
            </w:r>
          </w:p>
        </w:tc>
        <w:tc>
          <w:tcPr>
            <w:tcW w:w="480" w:type="dxa"/>
            <w:vAlign w:val="bottom"/>
            <w:shd w:val="clear" w:color="auto" w:fill="009AD9"/>
          </w:tcPr>
          <w:p>
            <w:pPr>
              <w:jc w:val="right"/>
              <w:ind w:right="55"/>
              <w:spacing w:after="0" w:line="156" w:lineRule="exact"/>
              <w:rPr>
                <w:sz w:val="20"/>
                <w:szCs w:val="20"/>
                <w:color w:val="auto"/>
              </w:rPr>
            </w:pPr>
            <w:r>
              <w:rPr>
                <w:rFonts w:ascii="Arial" w:cs="Arial" w:eastAsia="Arial" w:hAnsi="Arial"/>
                <w:sz w:val="18"/>
                <w:szCs w:val="18"/>
                <w:b w:val="1"/>
                <w:bCs w:val="1"/>
                <w:color w:val="FFFFFF"/>
                <w:vertAlign w:val="subscript"/>
              </w:rPr>
              <w:t>EPS</w:t>
            </w:r>
            <w:r>
              <w:rPr>
                <w:rFonts w:ascii="Arial" w:cs="Arial" w:eastAsia="Arial" w:hAnsi="Arial"/>
                <w:sz w:val="7"/>
                <w:szCs w:val="7"/>
                <w:b w:val="1"/>
                <w:bCs w:val="1"/>
                <w:color w:val="FFFFFF"/>
              </w:rPr>
              <w:t>(3)</w:t>
            </w:r>
          </w:p>
        </w:tc>
        <w:tc>
          <w:tcPr>
            <w:tcW w:w="140" w:type="dxa"/>
            <w:vAlign w:val="bottom"/>
            <w:shd w:val="clear" w:color="auto" w:fill="009AD9"/>
          </w:tcPr>
          <w:p>
            <w:pPr>
              <w:spacing w:after="0"/>
              <w:rPr>
                <w:sz w:val="13"/>
                <w:szCs w:val="13"/>
                <w:color w:val="auto"/>
              </w:rPr>
            </w:pPr>
          </w:p>
        </w:tc>
        <w:tc>
          <w:tcPr>
            <w:tcW w:w="580" w:type="dxa"/>
            <w:vAlign w:val="bottom"/>
            <w:shd w:val="clear" w:color="auto" w:fill="009AD9"/>
          </w:tcPr>
          <w:p>
            <w:pPr>
              <w:jc w:val="right"/>
              <w:ind w:right="132"/>
              <w:spacing w:after="0"/>
              <w:rPr>
                <w:sz w:val="20"/>
                <w:szCs w:val="20"/>
                <w:color w:val="auto"/>
              </w:rPr>
            </w:pPr>
            <w:r>
              <w:rPr>
                <w:rFonts w:ascii="Arial" w:cs="Arial" w:eastAsia="Arial" w:hAnsi="Arial"/>
                <w:sz w:val="10"/>
                <w:szCs w:val="10"/>
                <w:b w:val="1"/>
                <w:bCs w:val="1"/>
                <w:color w:val="FFFFFF"/>
              </w:rPr>
              <w:t>millions</w:t>
            </w:r>
          </w:p>
        </w:tc>
        <w:tc>
          <w:tcPr>
            <w:tcW w:w="120" w:type="dxa"/>
            <w:vAlign w:val="bottom"/>
            <w:shd w:val="clear" w:color="auto" w:fill="009AD9"/>
          </w:tcPr>
          <w:p>
            <w:pPr>
              <w:spacing w:after="0"/>
              <w:rPr>
                <w:sz w:val="13"/>
                <w:szCs w:val="13"/>
                <w:color w:val="auto"/>
              </w:rPr>
            </w:pPr>
          </w:p>
        </w:tc>
        <w:tc>
          <w:tcPr>
            <w:tcW w:w="480" w:type="dxa"/>
            <w:vAlign w:val="bottom"/>
            <w:shd w:val="clear" w:color="auto" w:fill="009AD9"/>
          </w:tcPr>
          <w:p>
            <w:pPr>
              <w:jc w:val="right"/>
              <w:ind w:right="135"/>
              <w:spacing w:after="0" w:line="156" w:lineRule="exact"/>
              <w:rPr>
                <w:sz w:val="20"/>
                <w:szCs w:val="20"/>
                <w:color w:val="auto"/>
              </w:rPr>
            </w:pPr>
            <w:r>
              <w:rPr>
                <w:rFonts w:ascii="Arial" w:cs="Arial" w:eastAsia="Arial" w:hAnsi="Arial"/>
                <w:sz w:val="18"/>
                <w:szCs w:val="18"/>
                <w:b w:val="1"/>
                <w:bCs w:val="1"/>
                <w:color w:val="FFFFFF"/>
                <w:w w:val="85"/>
                <w:vertAlign w:val="subscript"/>
              </w:rPr>
              <w:t>EPS</w:t>
            </w:r>
            <w:r>
              <w:rPr>
                <w:rFonts w:ascii="Arial" w:cs="Arial" w:eastAsia="Arial" w:hAnsi="Arial"/>
                <w:sz w:val="7"/>
                <w:szCs w:val="7"/>
                <w:b w:val="1"/>
                <w:bCs w:val="1"/>
                <w:color w:val="FFFFFF"/>
                <w:w w:val="85"/>
              </w:rPr>
              <w:t>(3)</w:t>
            </w:r>
          </w:p>
        </w:tc>
        <w:tc>
          <w:tcPr>
            <w:tcW w:w="600" w:type="dxa"/>
            <w:vAlign w:val="bottom"/>
            <w:gridSpan w:val="2"/>
            <w:shd w:val="clear" w:color="auto" w:fill="009AD9"/>
          </w:tcPr>
          <w:p>
            <w:pPr>
              <w:ind w:left="100"/>
              <w:spacing w:after="0"/>
              <w:rPr>
                <w:sz w:val="20"/>
                <w:szCs w:val="20"/>
                <w:color w:val="auto"/>
              </w:rPr>
            </w:pPr>
            <w:r>
              <w:rPr>
                <w:rFonts w:ascii="Arial" w:cs="Arial" w:eastAsia="Arial" w:hAnsi="Arial"/>
                <w:sz w:val="10"/>
                <w:szCs w:val="10"/>
                <w:b w:val="1"/>
                <w:bCs w:val="1"/>
                <w:color w:val="FFFFFF"/>
              </w:rPr>
              <w:t>millions</w:t>
            </w:r>
          </w:p>
        </w:tc>
        <w:tc>
          <w:tcPr>
            <w:tcW w:w="480" w:type="dxa"/>
            <w:vAlign w:val="bottom"/>
            <w:shd w:val="clear" w:color="auto" w:fill="009AD9"/>
          </w:tcPr>
          <w:p>
            <w:pPr>
              <w:jc w:val="right"/>
              <w:ind w:right="75"/>
              <w:spacing w:after="0" w:line="156" w:lineRule="exact"/>
              <w:rPr>
                <w:sz w:val="20"/>
                <w:szCs w:val="20"/>
                <w:color w:val="auto"/>
              </w:rPr>
            </w:pPr>
            <w:r>
              <w:rPr>
                <w:rFonts w:ascii="Arial" w:cs="Arial" w:eastAsia="Arial" w:hAnsi="Arial"/>
                <w:sz w:val="18"/>
                <w:szCs w:val="18"/>
                <w:b w:val="1"/>
                <w:bCs w:val="1"/>
                <w:color w:val="FFFFFF"/>
                <w:vertAlign w:val="subscript"/>
              </w:rPr>
              <w:t>EPS</w:t>
            </w:r>
            <w:r>
              <w:rPr>
                <w:rFonts w:ascii="Arial" w:cs="Arial" w:eastAsia="Arial" w:hAnsi="Arial"/>
                <w:sz w:val="7"/>
                <w:szCs w:val="7"/>
                <w:b w:val="1"/>
                <w:bCs w:val="1"/>
                <w:color w:val="FFFFFF"/>
              </w:rPr>
              <w:t>(3)</w:t>
            </w:r>
          </w:p>
        </w:tc>
        <w:tc>
          <w:tcPr>
            <w:tcW w:w="580" w:type="dxa"/>
            <w:vAlign w:val="bottom"/>
            <w:gridSpan w:val="3"/>
            <w:shd w:val="clear" w:color="auto" w:fill="009AD9"/>
          </w:tcPr>
          <w:p>
            <w:pPr>
              <w:ind w:left="100"/>
              <w:spacing w:after="0"/>
              <w:rPr>
                <w:sz w:val="20"/>
                <w:szCs w:val="20"/>
                <w:color w:val="auto"/>
              </w:rPr>
            </w:pPr>
            <w:r>
              <w:rPr>
                <w:rFonts w:ascii="Arial" w:cs="Arial" w:eastAsia="Arial" w:hAnsi="Arial"/>
                <w:sz w:val="10"/>
                <w:szCs w:val="10"/>
                <w:b w:val="1"/>
                <w:bCs w:val="1"/>
                <w:color w:val="FFFFFF"/>
              </w:rPr>
              <w:t>millions</w:t>
            </w:r>
          </w:p>
        </w:tc>
        <w:tc>
          <w:tcPr>
            <w:tcW w:w="500" w:type="dxa"/>
            <w:vAlign w:val="bottom"/>
            <w:shd w:val="clear" w:color="auto" w:fill="009AD9"/>
          </w:tcPr>
          <w:p>
            <w:pPr>
              <w:jc w:val="right"/>
              <w:ind w:right="55"/>
              <w:spacing w:after="0" w:line="156" w:lineRule="exact"/>
              <w:rPr>
                <w:sz w:val="20"/>
                <w:szCs w:val="20"/>
                <w:color w:val="auto"/>
              </w:rPr>
            </w:pPr>
            <w:r>
              <w:rPr>
                <w:rFonts w:ascii="Arial" w:cs="Arial" w:eastAsia="Arial" w:hAnsi="Arial"/>
                <w:sz w:val="18"/>
                <w:szCs w:val="18"/>
                <w:b w:val="1"/>
                <w:bCs w:val="1"/>
                <w:color w:val="FFFFFF"/>
                <w:vertAlign w:val="subscript"/>
              </w:rPr>
              <w:t>EPS</w:t>
            </w:r>
            <w:r>
              <w:rPr>
                <w:rFonts w:ascii="Arial" w:cs="Arial" w:eastAsia="Arial" w:hAnsi="Arial"/>
                <w:sz w:val="7"/>
                <w:szCs w:val="7"/>
                <w:b w:val="1"/>
                <w:bCs w:val="1"/>
                <w:color w:val="FFFFFF"/>
              </w:rPr>
              <w:t>(3)</w:t>
            </w:r>
          </w:p>
        </w:tc>
        <w:tc>
          <w:tcPr>
            <w:tcW w:w="600" w:type="dxa"/>
            <w:vAlign w:val="bottom"/>
            <w:gridSpan w:val="2"/>
            <w:shd w:val="clear" w:color="auto" w:fill="009AD9"/>
          </w:tcPr>
          <w:p>
            <w:pPr>
              <w:ind w:left="120"/>
              <w:spacing w:after="0"/>
              <w:rPr>
                <w:sz w:val="20"/>
                <w:szCs w:val="20"/>
                <w:color w:val="auto"/>
              </w:rPr>
            </w:pPr>
            <w:r>
              <w:rPr>
                <w:rFonts w:ascii="Arial" w:cs="Arial" w:eastAsia="Arial" w:hAnsi="Arial"/>
                <w:sz w:val="10"/>
                <w:szCs w:val="10"/>
                <w:b w:val="1"/>
                <w:bCs w:val="1"/>
                <w:color w:val="FFFFFF"/>
              </w:rPr>
              <w:t>millions</w:t>
            </w:r>
          </w:p>
        </w:tc>
        <w:tc>
          <w:tcPr>
            <w:tcW w:w="460" w:type="dxa"/>
            <w:vAlign w:val="bottom"/>
            <w:shd w:val="clear" w:color="auto" w:fill="009AD9"/>
          </w:tcPr>
          <w:p>
            <w:pPr>
              <w:jc w:val="right"/>
              <w:ind w:right="55"/>
              <w:spacing w:after="0" w:line="156" w:lineRule="exact"/>
              <w:rPr>
                <w:sz w:val="20"/>
                <w:szCs w:val="20"/>
                <w:color w:val="auto"/>
              </w:rPr>
            </w:pPr>
            <w:r>
              <w:rPr>
                <w:rFonts w:ascii="Arial" w:cs="Arial" w:eastAsia="Arial" w:hAnsi="Arial"/>
                <w:sz w:val="18"/>
                <w:szCs w:val="18"/>
                <w:b w:val="1"/>
                <w:bCs w:val="1"/>
                <w:color w:val="FFFFFF"/>
                <w:vertAlign w:val="subscript"/>
              </w:rPr>
              <w:t>EPS</w:t>
            </w:r>
            <w:r>
              <w:rPr>
                <w:rFonts w:ascii="Arial" w:cs="Arial" w:eastAsia="Arial" w:hAnsi="Arial"/>
                <w:sz w:val="7"/>
                <w:szCs w:val="7"/>
                <w:b w:val="1"/>
                <w:bCs w:val="1"/>
                <w:color w:val="FFFFFF"/>
              </w:rPr>
              <w:t>(3)</w:t>
            </w:r>
          </w:p>
        </w:tc>
      </w:tr>
      <w:tr>
        <w:trPr>
          <w:trHeight w:val="137"/>
        </w:trPr>
        <w:tc>
          <w:tcPr>
            <w:tcW w:w="1780" w:type="dxa"/>
            <w:vAlign w:val="bottom"/>
            <w:shd w:val="clear" w:color="auto" w:fill="D8EFF9"/>
          </w:tcPr>
          <w:p>
            <w:pPr>
              <w:ind w:left="40"/>
              <w:spacing w:after="0"/>
              <w:rPr>
                <w:sz w:val="20"/>
                <w:szCs w:val="20"/>
                <w:color w:val="auto"/>
              </w:rPr>
            </w:pPr>
            <w:r>
              <w:rPr>
                <w:rFonts w:ascii="Arial" w:cs="Arial" w:eastAsia="Arial" w:hAnsi="Arial"/>
                <w:sz w:val="10"/>
                <w:szCs w:val="10"/>
                <w:b w:val="1"/>
                <w:bCs w:val="1"/>
                <w:color w:val="auto"/>
                <w:w w:val="97"/>
              </w:rPr>
              <w:t>Consolidated income (loss) available</w:t>
            </w:r>
          </w:p>
        </w:tc>
        <w:tc>
          <w:tcPr>
            <w:tcW w:w="140" w:type="dxa"/>
            <w:vAlign w:val="bottom"/>
            <w:shd w:val="clear" w:color="auto" w:fill="D8EFF9"/>
          </w:tcPr>
          <w:p>
            <w:pPr>
              <w:spacing w:after="0"/>
              <w:rPr>
                <w:sz w:val="11"/>
                <w:szCs w:val="11"/>
                <w:color w:val="auto"/>
              </w:rPr>
            </w:pPr>
          </w:p>
        </w:tc>
        <w:tc>
          <w:tcPr>
            <w:tcW w:w="480" w:type="dxa"/>
            <w:vAlign w:val="bottom"/>
            <w:shd w:val="clear" w:color="auto" w:fill="D8EFF9"/>
          </w:tcPr>
          <w:p>
            <w:pPr>
              <w:spacing w:after="0"/>
              <w:rPr>
                <w:sz w:val="11"/>
                <w:szCs w:val="11"/>
                <w:color w:val="auto"/>
              </w:rPr>
            </w:pPr>
          </w:p>
        </w:tc>
        <w:tc>
          <w:tcPr>
            <w:tcW w:w="480" w:type="dxa"/>
            <w:vAlign w:val="bottom"/>
            <w:shd w:val="clear" w:color="auto" w:fill="D8EFF9"/>
          </w:tcPr>
          <w:p>
            <w:pPr>
              <w:spacing w:after="0"/>
              <w:rPr>
                <w:sz w:val="11"/>
                <w:szCs w:val="11"/>
                <w:color w:val="auto"/>
              </w:rPr>
            </w:pPr>
          </w:p>
        </w:tc>
        <w:tc>
          <w:tcPr>
            <w:tcW w:w="140" w:type="dxa"/>
            <w:vAlign w:val="bottom"/>
            <w:shd w:val="clear" w:color="auto" w:fill="D8EFF9"/>
          </w:tcPr>
          <w:p>
            <w:pPr>
              <w:spacing w:after="0"/>
              <w:rPr>
                <w:sz w:val="11"/>
                <w:szCs w:val="11"/>
                <w:color w:val="auto"/>
              </w:rPr>
            </w:pPr>
          </w:p>
        </w:tc>
        <w:tc>
          <w:tcPr>
            <w:tcW w:w="580" w:type="dxa"/>
            <w:vAlign w:val="bottom"/>
            <w:shd w:val="clear" w:color="auto" w:fill="D8EFF9"/>
          </w:tcPr>
          <w:p>
            <w:pPr>
              <w:spacing w:after="0"/>
              <w:rPr>
                <w:sz w:val="11"/>
                <w:szCs w:val="11"/>
                <w:color w:val="auto"/>
              </w:rPr>
            </w:pPr>
          </w:p>
        </w:tc>
        <w:tc>
          <w:tcPr>
            <w:tcW w:w="120" w:type="dxa"/>
            <w:vAlign w:val="bottom"/>
            <w:shd w:val="clear" w:color="auto" w:fill="D8EFF9"/>
          </w:tcPr>
          <w:p>
            <w:pPr>
              <w:spacing w:after="0"/>
              <w:rPr>
                <w:sz w:val="11"/>
                <w:szCs w:val="11"/>
                <w:color w:val="auto"/>
              </w:rPr>
            </w:pPr>
          </w:p>
        </w:tc>
        <w:tc>
          <w:tcPr>
            <w:tcW w:w="48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440" w:type="dxa"/>
            <w:vAlign w:val="bottom"/>
            <w:shd w:val="clear" w:color="auto" w:fill="D8EFF9"/>
          </w:tcPr>
          <w:p>
            <w:pPr>
              <w:spacing w:after="0"/>
              <w:rPr>
                <w:sz w:val="11"/>
                <w:szCs w:val="11"/>
                <w:color w:val="auto"/>
              </w:rPr>
            </w:pPr>
          </w:p>
        </w:tc>
        <w:tc>
          <w:tcPr>
            <w:tcW w:w="48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34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500" w:type="dxa"/>
            <w:vAlign w:val="bottom"/>
            <w:shd w:val="clear" w:color="auto" w:fill="D8EFF9"/>
          </w:tcPr>
          <w:p>
            <w:pPr>
              <w:spacing w:after="0"/>
              <w:rPr>
                <w:sz w:val="11"/>
                <w:szCs w:val="11"/>
                <w:color w:val="auto"/>
              </w:rPr>
            </w:pPr>
          </w:p>
        </w:tc>
        <w:tc>
          <w:tcPr>
            <w:tcW w:w="180" w:type="dxa"/>
            <w:vAlign w:val="bottom"/>
            <w:shd w:val="clear" w:color="auto" w:fill="D8EFF9"/>
          </w:tcPr>
          <w:p>
            <w:pPr>
              <w:spacing w:after="0"/>
              <w:rPr>
                <w:sz w:val="11"/>
                <w:szCs w:val="11"/>
                <w:color w:val="auto"/>
              </w:rPr>
            </w:pPr>
          </w:p>
        </w:tc>
        <w:tc>
          <w:tcPr>
            <w:tcW w:w="420" w:type="dxa"/>
            <w:vAlign w:val="bottom"/>
            <w:shd w:val="clear" w:color="auto" w:fill="D8EFF9"/>
          </w:tcPr>
          <w:p>
            <w:pPr>
              <w:spacing w:after="0"/>
              <w:rPr>
                <w:sz w:val="11"/>
                <w:szCs w:val="11"/>
                <w:color w:val="auto"/>
              </w:rPr>
            </w:pPr>
          </w:p>
        </w:tc>
        <w:tc>
          <w:tcPr>
            <w:tcW w:w="460" w:type="dxa"/>
            <w:vAlign w:val="bottom"/>
            <w:shd w:val="clear" w:color="auto" w:fill="D8EFF9"/>
          </w:tcPr>
          <w:p>
            <w:pPr>
              <w:spacing w:after="0"/>
              <w:rPr>
                <w:sz w:val="11"/>
                <w:szCs w:val="11"/>
                <w:color w:val="auto"/>
              </w:rPr>
            </w:pPr>
          </w:p>
        </w:tc>
      </w:tr>
      <w:tr>
        <w:trPr>
          <w:trHeight w:val="108"/>
        </w:trPr>
        <w:tc>
          <w:tcPr>
            <w:tcW w:w="1780" w:type="dxa"/>
            <w:vAlign w:val="bottom"/>
            <w:shd w:val="clear" w:color="auto" w:fill="D8EFF9"/>
          </w:tcPr>
          <w:p>
            <w:pPr>
              <w:ind w:left="40"/>
              <w:spacing w:after="0" w:line="108" w:lineRule="exact"/>
              <w:rPr>
                <w:sz w:val="20"/>
                <w:szCs w:val="20"/>
                <w:color w:val="auto"/>
              </w:rPr>
            </w:pPr>
            <w:r>
              <w:rPr>
                <w:rFonts w:ascii="Arial" w:cs="Arial" w:eastAsia="Arial" w:hAnsi="Arial"/>
                <w:sz w:val="10"/>
                <w:szCs w:val="10"/>
                <w:b w:val="1"/>
                <w:bCs w:val="1"/>
                <w:color w:val="auto"/>
                <w:w w:val="97"/>
              </w:rPr>
              <w:t>to common shareholders and diluted</w:t>
            </w:r>
          </w:p>
        </w:tc>
        <w:tc>
          <w:tcPr>
            <w:tcW w:w="140" w:type="dxa"/>
            <w:vAlign w:val="bottom"/>
            <w:shd w:val="clear" w:color="auto" w:fill="D8EFF9"/>
          </w:tcPr>
          <w:p>
            <w:pPr>
              <w:spacing w:after="0"/>
              <w:rPr>
                <w:sz w:val="9"/>
                <w:szCs w:val="9"/>
                <w:color w:val="auto"/>
              </w:rPr>
            </w:pPr>
          </w:p>
        </w:tc>
        <w:tc>
          <w:tcPr>
            <w:tcW w:w="480" w:type="dxa"/>
            <w:vAlign w:val="bottom"/>
            <w:shd w:val="clear" w:color="auto" w:fill="D8EFF9"/>
          </w:tcPr>
          <w:p>
            <w:pPr>
              <w:spacing w:after="0"/>
              <w:rPr>
                <w:sz w:val="9"/>
                <w:szCs w:val="9"/>
                <w:color w:val="auto"/>
              </w:rPr>
            </w:pPr>
          </w:p>
        </w:tc>
        <w:tc>
          <w:tcPr>
            <w:tcW w:w="480" w:type="dxa"/>
            <w:vAlign w:val="bottom"/>
            <w:shd w:val="clear" w:color="auto" w:fill="D8EFF9"/>
          </w:tcPr>
          <w:p>
            <w:pPr>
              <w:spacing w:after="0"/>
              <w:rPr>
                <w:sz w:val="9"/>
                <w:szCs w:val="9"/>
                <w:color w:val="auto"/>
              </w:rPr>
            </w:pPr>
          </w:p>
        </w:tc>
        <w:tc>
          <w:tcPr>
            <w:tcW w:w="140" w:type="dxa"/>
            <w:vAlign w:val="bottom"/>
            <w:shd w:val="clear" w:color="auto" w:fill="D8EFF9"/>
          </w:tcPr>
          <w:p>
            <w:pPr>
              <w:spacing w:after="0"/>
              <w:rPr>
                <w:sz w:val="9"/>
                <w:szCs w:val="9"/>
                <w:color w:val="auto"/>
              </w:rPr>
            </w:pPr>
          </w:p>
        </w:tc>
        <w:tc>
          <w:tcPr>
            <w:tcW w:w="580" w:type="dxa"/>
            <w:vAlign w:val="bottom"/>
            <w:shd w:val="clear" w:color="auto" w:fill="D8EFF9"/>
          </w:tcPr>
          <w:p>
            <w:pPr>
              <w:spacing w:after="0"/>
              <w:rPr>
                <w:sz w:val="9"/>
                <w:szCs w:val="9"/>
                <w:color w:val="auto"/>
              </w:rPr>
            </w:pPr>
          </w:p>
        </w:tc>
        <w:tc>
          <w:tcPr>
            <w:tcW w:w="120" w:type="dxa"/>
            <w:vAlign w:val="bottom"/>
            <w:shd w:val="clear" w:color="auto" w:fill="D8EFF9"/>
          </w:tcPr>
          <w:p>
            <w:pPr>
              <w:spacing w:after="0"/>
              <w:rPr>
                <w:sz w:val="9"/>
                <w:szCs w:val="9"/>
                <w:color w:val="auto"/>
              </w:rPr>
            </w:pPr>
          </w:p>
        </w:tc>
        <w:tc>
          <w:tcPr>
            <w:tcW w:w="48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440" w:type="dxa"/>
            <w:vAlign w:val="bottom"/>
            <w:shd w:val="clear" w:color="auto" w:fill="D8EFF9"/>
          </w:tcPr>
          <w:p>
            <w:pPr>
              <w:spacing w:after="0"/>
              <w:rPr>
                <w:sz w:val="9"/>
                <w:szCs w:val="9"/>
                <w:color w:val="auto"/>
              </w:rPr>
            </w:pPr>
          </w:p>
        </w:tc>
        <w:tc>
          <w:tcPr>
            <w:tcW w:w="48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34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500" w:type="dxa"/>
            <w:vAlign w:val="bottom"/>
            <w:shd w:val="clear" w:color="auto" w:fill="D8EFF9"/>
          </w:tcPr>
          <w:p>
            <w:pPr>
              <w:spacing w:after="0"/>
              <w:rPr>
                <w:sz w:val="9"/>
                <w:szCs w:val="9"/>
                <w:color w:val="auto"/>
              </w:rPr>
            </w:pPr>
          </w:p>
        </w:tc>
        <w:tc>
          <w:tcPr>
            <w:tcW w:w="180" w:type="dxa"/>
            <w:vAlign w:val="bottom"/>
            <w:shd w:val="clear" w:color="auto" w:fill="D8EFF9"/>
          </w:tcPr>
          <w:p>
            <w:pPr>
              <w:spacing w:after="0"/>
              <w:rPr>
                <w:sz w:val="9"/>
                <w:szCs w:val="9"/>
                <w:color w:val="auto"/>
              </w:rPr>
            </w:pPr>
          </w:p>
        </w:tc>
        <w:tc>
          <w:tcPr>
            <w:tcW w:w="420" w:type="dxa"/>
            <w:vAlign w:val="bottom"/>
            <w:shd w:val="clear" w:color="auto" w:fill="D8EFF9"/>
          </w:tcPr>
          <w:p>
            <w:pPr>
              <w:spacing w:after="0"/>
              <w:rPr>
                <w:sz w:val="9"/>
                <w:szCs w:val="9"/>
                <w:color w:val="auto"/>
              </w:rPr>
            </w:pPr>
          </w:p>
        </w:tc>
        <w:tc>
          <w:tcPr>
            <w:tcW w:w="460" w:type="dxa"/>
            <w:vAlign w:val="bottom"/>
            <w:shd w:val="clear" w:color="auto" w:fill="D8EFF9"/>
          </w:tcPr>
          <w:p>
            <w:pPr>
              <w:spacing w:after="0"/>
              <w:rPr>
                <w:sz w:val="9"/>
                <w:szCs w:val="9"/>
                <w:color w:val="auto"/>
              </w:rPr>
            </w:pPr>
          </w:p>
        </w:tc>
      </w:tr>
      <w:tr>
        <w:trPr>
          <w:trHeight w:val="156"/>
        </w:trPr>
        <w:tc>
          <w:tcPr>
            <w:tcW w:w="1780" w:type="dxa"/>
            <w:vAlign w:val="bottom"/>
            <w:shd w:val="clear" w:color="auto" w:fill="D8EFF9"/>
          </w:tcPr>
          <w:p>
            <w:pPr>
              <w:ind w:left="40"/>
              <w:spacing w:after="0" w:line="156" w:lineRule="exact"/>
              <w:rPr>
                <w:sz w:val="20"/>
                <w:szCs w:val="20"/>
                <w:color w:val="auto"/>
              </w:rPr>
            </w:pPr>
            <w:r>
              <w:rPr>
                <w:rFonts w:ascii="Arial" w:cs="Arial" w:eastAsia="Arial" w:hAnsi="Arial"/>
                <w:sz w:val="10"/>
                <w:szCs w:val="10"/>
                <w:b w:val="1"/>
                <w:bCs w:val="1"/>
                <w:color w:val="auto"/>
              </w:rPr>
              <w:t>EPS</w:t>
            </w:r>
            <w:r>
              <w:rPr>
                <w:rFonts w:ascii="Arial" w:cs="Arial" w:eastAsia="Arial" w:hAnsi="Arial"/>
                <w:sz w:val="14"/>
                <w:szCs w:val="14"/>
                <w:b w:val="1"/>
                <w:bCs w:val="1"/>
                <w:color w:val="auto"/>
                <w:vertAlign w:val="superscript"/>
              </w:rPr>
              <w:t>(3)</w:t>
            </w:r>
          </w:p>
        </w:tc>
        <w:tc>
          <w:tcPr>
            <w:tcW w:w="140" w:type="dxa"/>
            <w:vAlign w:val="bottom"/>
            <w:shd w:val="clear" w:color="auto" w:fill="D8EFF9"/>
          </w:tcPr>
          <w:p>
            <w:pPr>
              <w:ind w:left="8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508</w:t>
            </w:r>
          </w:p>
        </w:tc>
        <w:tc>
          <w:tcPr>
            <w:tcW w:w="480" w:type="dxa"/>
            <w:vAlign w:val="bottom"/>
            <w:shd w:val="clear" w:color="auto" w:fill="D8EFF9"/>
          </w:tcPr>
          <w:p>
            <w:pPr>
              <w:jc w:val="right"/>
              <w:ind w:right="35"/>
              <w:spacing w:after="0"/>
              <w:rPr>
                <w:sz w:val="20"/>
                <w:szCs w:val="20"/>
                <w:color w:val="auto"/>
              </w:rPr>
            </w:pPr>
            <w:r>
              <w:rPr>
                <w:rFonts w:ascii="Arial" w:cs="Arial" w:eastAsia="Arial" w:hAnsi="Arial"/>
                <w:sz w:val="10"/>
                <w:szCs w:val="10"/>
                <w:color w:val="auto"/>
              </w:rPr>
              <w:t>$  0.95</w:t>
            </w:r>
          </w:p>
        </w:tc>
        <w:tc>
          <w:tcPr>
            <w:tcW w:w="14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(1,074)</w:t>
            </w:r>
          </w:p>
        </w:tc>
        <w:tc>
          <w:tcPr>
            <w:tcW w:w="1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D8EFF9"/>
          </w:tcPr>
          <w:p>
            <w:pPr>
              <w:jc w:val="right"/>
              <w:ind w:right="15"/>
              <w:spacing w:after="0"/>
              <w:rPr>
                <w:sz w:val="20"/>
                <w:szCs w:val="20"/>
                <w:color w:val="auto"/>
              </w:rPr>
            </w:pPr>
            <w:r>
              <w:rPr>
                <w:rFonts w:ascii="Arial" w:cs="Arial" w:eastAsia="Arial" w:hAnsi="Arial"/>
                <w:sz w:val="10"/>
                <w:szCs w:val="10"/>
                <w:color w:val="auto"/>
              </w:rPr>
              <w:t>(2.02)</w:t>
            </w:r>
          </w:p>
        </w:tc>
        <w:tc>
          <w:tcPr>
            <w:tcW w:w="160" w:type="dxa"/>
            <w:vAlign w:val="bottom"/>
            <w:shd w:val="clear" w:color="auto" w:fill="D8EFF9"/>
          </w:tcPr>
          <w:p>
            <w:pPr>
              <w:ind w:left="60"/>
              <w:spacing w:after="0"/>
              <w:rPr>
                <w:sz w:val="20"/>
                <w:szCs w:val="20"/>
                <w:color w:val="auto"/>
              </w:rPr>
            </w:pPr>
            <w:r>
              <w:rPr>
                <w:rFonts w:ascii="Arial" w:cs="Arial" w:eastAsia="Arial" w:hAnsi="Arial"/>
                <w:sz w:val="10"/>
                <w:szCs w:val="10"/>
                <w:color w:val="auto"/>
              </w:rPr>
              <w:t>$</w:t>
            </w:r>
          </w:p>
        </w:tc>
        <w:tc>
          <w:tcPr>
            <w:tcW w:w="440" w:type="dxa"/>
            <w:vAlign w:val="bottom"/>
            <w:shd w:val="clear" w:color="auto" w:fill="D8EFF9"/>
          </w:tcPr>
          <w:p>
            <w:pPr>
              <w:jc w:val="right"/>
              <w:ind w:right="12"/>
              <w:spacing w:after="0"/>
              <w:rPr>
                <w:sz w:val="20"/>
                <w:szCs w:val="20"/>
                <w:color w:val="auto"/>
              </w:rPr>
            </w:pPr>
            <w:r>
              <w:rPr>
                <w:rFonts w:ascii="Arial" w:cs="Arial" w:eastAsia="Arial" w:hAnsi="Arial"/>
                <w:sz w:val="10"/>
                <w:szCs w:val="10"/>
                <w:color w:val="auto"/>
              </w:rPr>
              <w:t>(201)</w:t>
            </w:r>
          </w:p>
        </w:tc>
        <w:tc>
          <w:tcPr>
            <w:tcW w:w="480" w:type="dxa"/>
            <w:vAlign w:val="bottom"/>
            <w:shd w:val="clear" w:color="auto" w:fill="D8EFF9"/>
          </w:tcPr>
          <w:p>
            <w:pPr>
              <w:jc w:val="right"/>
              <w:ind w:right="15"/>
              <w:spacing w:after="0"/>
              <w:rPr>
                <w:sz w:val="20"/>
                <w:szCs w:val="20"/>
                <w:color w:val="auto"/>
              </w:rPr>
            </w:pPr>
            <w:r>
              <w:rPr>
                <w:rFonts w:ascii="Arial" w:cs="Arial" w:eastAsia="Arial" w:hAnsi="Arial"/>
                <w:sz w:val="10"/>
                <w:szCs w:val="10"/>
                <w:color w:val="auto"/>
              </w:rPr>
              <w:t>$ (0.38)</w:t>
            </w:r>
          </w:p>
        </w:tc>
        <w:tc>
          <w:tcPr>
            <w:tcW w:w="160" w:type="dxa"/>
            <w:vAlign w:val="bottom"/>
            <w:shd w:val="clear" w:color="auto" w:fill="D8EFF9"/>
          </w:tcPr>
          <w:p>
            <w:pPr>
              <w:ind w:left="60"/>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D8EFF9"/>
          </w:tcPr>
          <w:p>
            <w:pPr>
              <w:jc w:val="right"/>
              <w:ind w:right="40"/>
              <w:spacing w:after="0"/>
              <w:rPr>
                <w:sz w:val="20"/>
                <w:szCs w:val="20"/>
                <w:color w:val="auto"/>
              </w:rPr>
            </w:pPr>
            <w:r>
              <w:rPr>
                <w:rFonts w:ascii="Arial" w:cs="Arial" w:eastAsia="Arial" w:hAnsi="Arial"/>
                <w:sz w:val="10"/>
                <w:szCs w:val="10"/>
                <w:color w:val="auto"/>
              </w:rPr>
              <w:t>(182)</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 (0.34)</w:t>
            </w:r>
          </w:p>
        </w:tc>
        <w:tc>
          <w:tcPr>
            <w:tcW w:w="180" w:type="dxa"/>
            <w:vAlign w:val="bottom"/>
            <w:shd w:val="clear" w:color="auto" w:fill="D8EFF9"/>
          </w:tcPr>
          <w:p>
            <w:pPr>
              <w:ind w:left="80"/>
              <w:spacing w:after="0"/>
              <w:rPr>
                <w:sz w:val="20"/>
                <w:szCs w:val="20"/>
                <w:color w:val="auto"/>
              </w:rPr>
            </w:pPr>
            <w:r>
              <w:rPr>
                <w:rFonts w:ascii="Arial" w:cs="Arial" w:eastAsia="Arial" w:hAnsi="Arial"/>
                <w:sz w:val="10"/>
                <w:szCs w:val="10"/>
                <w:color w:val="auto"/>
              </w:rPr>
              <w:t>$</w:t>
            </w:r>
          </w:p>
        </w:tc>
        <w:tc>
          <w:tcPr>
            <w:tcW w:w="4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(949)</w:t>
            </w: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 (1.79)</w:t>
            </w:r>
          </w:p>
        </w:tc>
      </w:tr>
      <w:tr>
        <w:trPr>
          <w:trHeight w:val="182"/>
        </w:trPr>
        <w:tc>
          <w:tcPr>
            <w:tcW w:w="1780" w:type="dxa"/>
            <w:vAlign w:val="bottom"/>
          </w:tcPr>
          <w:p>
            <w:pPr>
              <w:ind w:left="40"/>
              <w:spacing w:after="0"/>
              <w:rPr>
                <w:sz w:val="20"/>
                <w:szCs w:val="20"/>
                <w:color w:val="auto"/>
              </w:rPr>
            </w:pPr>
            <w:r>
              <w:rPr>
                <w:rFonts w:ascii="Arial" w:cs="Arial" w:eastAsia="Arial" w:hAnsi="Arial"/>
                <w:sz w:val="10"/>
                <w:szCs w:val="10"/>
                <w:b w:val="1"/>
                <w:bCs w:val="1"/>
                <w:color w:val="auto"/>
              </w:rPr>
              <w:t>Timing effects impacting CES</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3"/>
        </w:trPr>
        <w:tc>
          <w:tcPr>
            <w:tcW w:w="1780" w:type="dxa"/>
            <w:vAlign w:val="bottom"/>
            <w:shd w:val="clear" w:color="auto" w:fill="D8EFF9"/>
          </w:tcPr>
          <w:p>
            <w:pPr>
              <w:ind w:left="40"/>
              <w:spacing w:after="0"/>
              <w:rPr>
                <w:sz w:val="20"/>
                <w:szCs w:val="20"/>
                <w:color w:val="auto"/>
              </w:rPr>
            </w:pPr>
            <w:r>
              <w:rPr>
                <w:rFonts w:ascii="Arial" w:cs="Arial" w:eastAsia="Arial" w:hAnsi="Arial"/>
                <w:sz w:val="10"/>
                <w:szCs w:val="10"/>
                <w:color w:val="auto"/>
              </w:rPr>
              <w:t>Mark-to-market (gains) losses (net of</w:t>
            </w:r>
          </w:p>
        </w:tc>
        <w:tc>
          <w:tcPr>
            <w:tcW w:w="140" w:type="dxa"/>
            <w:vAlign w:val="bottom"/>
            <w:shd w:val="clear" w:color="auto" w:fill="D8EFF9"/>
          </w:tcPr>
          <w:p>
            <w:pPr>
              <w:spacing w:after="0"/>
              <w:rPr>
                <w:sz w:val="12"/>
                <w:szCs w:val="12"/>
                <w:color w:val="auto"/>
              </w:rPr>
            </w:pPr>
          </w:p>
        </w:tc>
        <w:tc>
          <w:tcPr>
            <w:tcW w:w="480" w:type="dxa"/>
            <w:vAlign w:val="bottom"/>
            <w:shd w:val="clear" w:color="auto" w:fill="D8EFF9"/>
          </w:tcPr>
          <w:p>
            <w:pPr>
              <w:spacing w:after="0"/>
              <w:rPr>
                <w:sz w:val="12"/>
                <w:szCs w:val="12"/>
                <w:color w:val="auto"/>
              </w:rPr>
            </w:pPr>
          </w:p>
        </w:tc>
        <w:tc>
          <w:tcPr>
            <w:tcW w:w="480" w:type="dxa"/>
            <w:vAlign w:val="bottom"/>
            <w:shd w:val="clear" w:color="auto" w:fill="D8EFF9"/>
          </w:tcPr>
          <w:p>
            <w:pPr>
              <w:spacing w:after="0"/>
              <w:rPr>
                <w:sz w:val="12"/>
                <w:szCs w:val="12"/>
                <w:color w:val="auto"/>
              </w:rPr>
            </w:pPr>
          </w:p>
        </w:tc>
        <w:tc>
          <w:tcPr>
            <w:tcW w:w="140" w:type="dxa"/>
            <w:vAlign w:val="bottom"/>
            <w:shd w:val="clear" w:color="auto" w:fill="D8EFF9"/>
          </w:tcPr>
          <w:p>
            <w:pPr>
              <w:spacing w:after="0"/>
              <w:rPr>
                <w:sz w:val="12"/>
                <w:szCs w:val="12"/>
                <w:color w:val="auto"/>
              </w:rPr>
            </w:pPr>
          </w:p>
        </w:tc>
        <w:tc>
          <w:tcPr>
            <w:tcW w:w="580" w:type="dxa"/>
            <w:vAlign w:val="bottom"/>
            <w:shd w:val="clear" w:color="auto" w:fill="D8EFF9"/>
          </w:tcPr>
          <w:p>
            <w:pPr>
              <w:spacing w:after="0"/>
              <w:rPr>
                <w:sz w:val="12"/>
                <w:szCs w:val="12"/>
                <w:color w:val="auto"/>
              </w:rPr>
            </w:pPr>
          </w:p>
        </w:tc>
        <w:tc>
          <w:tcPr>
            <w:tcW w:w="120" w:type="dxa"/>
            <w:vAlign w:val="bottom"/>
            <w:shd w:val="clear" w:color="auto" w:fill="D8EFF9"/>
          </w:tcPr>
          <w:p>
            <w:pPr>
              <w:spacing w:after="0"/>
              <w:rPr>
                <w:sz w:val="12"/>
                <w:szCs w:val="12"/>
                <w:color w:val="auto"/>
              </w:rPr>
            </w:pPr>
          </w:p>
        </w:tc>
        <w:tc>
          <w:tcPr>
            <w:tcW w:w="48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440" w:type="dxa"/>
            <w:vAlign w:val="bottom"/>
            <w:shd w:val="clear" w:color="auto" w:fill="D8EFF9"/>
          </w:tcPr>
          <w:p>
            <w:pPr>
              <w:spacing w:after="0"/>
              <w:rPr>
                <w:sz w:val="12"/>
                <w:szCs w:val="12"/>
                <w:color w:val="auto"/>
              </w:rPr>
            </w:pPr>
          </w:p>
        </w:tc>
        <w:tc>
          <w:tcPr>
            <w:tcW w:w="48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34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500" w:type="dxa"/>
            <w:vAlign w:val="bottom"/>
            <w:shd w:val="clear" w:color="auto" w:fill="D8EFF9"/>
          </w:tcPr>
          <w:p>
            <w:pPr>
              <w:spacing w:after="0"/>
              <w:rPr>
                <w:sz w:val="12"/>
                <w:szCs w:val="12"/>
                <w:color w:val="auto"/>
              </w:rPr>
            </w:pPr>
          </w:p>
        </w:tc>
        <w:tc>
          <w:tcPr>
            <w:tcW w:w="180" w:type="dxa"/>
            <w:vAlign w:val="bottom"/>
            <w:shd w:val="clear" w:color="auto" w:fill="D8EFF9"/>
          </w:tcPr>
          <w:p>
            <w:pPr>
              <w:spacing w:after="0"/>
              <w:rPr>
                <w:sz w:val="12"/>
                <w:szCs w:val="12"/>
                <w:color w:val="auto"/>
              </w:rPr>
            </w:pPr>
          </w:p>
        </w:tc>
        <w:tc>
          <w:tcPr>
            <w:tcW w:w="420" w:type="dxa"/>
            <w:vAlign w:val="bottom"/>
            <w:shd w:val="clear" w:color="auto" w:fill="D8EFF9"/>
          </w:tcPr>
          <w:p>
            <w:pPr>
              <w:spacing w:after="0"/>
              <w:rPr>
                <w:sz w:val="12"/>
                <w:szCs w:val="12"/>
                <w:color w:val="auto"/>
              </w:rPr>
            </w:pPr>
          </w:p>
        </w:tc>
        <w:tc>
          <w:tcPr>
            <w:tcW w:w="460" w:type="dxa"/>
            <w:vAlign w:val="bottom"/>
            <w:shd w:val="clear" w:color="auto" w:fill="D8EFF9"/>
          </w:tcPr>
          <w:p>
            <w:pPr>
              <w:spacing w:after="0"/>
              <w:rPr>
                <w:sz w:val="12"/>
                <w:szCs w:val="12"/>
                <w:color w:val="auto"/>
              </w:rPr>
            </w:pPr>
          </w:p>
        </w:tc>
      </w:tr>
      <w:tr>
        <w:trPr>
          <w:trHeight w:val="148"/>
        </w:trPr>
        <w:tc>
          <w:tcPr>
            <w:tcW w:w="1780" w:type="dxa"/>
            <w:vAlign w:val="bottom"/>
            <w:shd w:val="clear" w:color="auto" w:fill="D8EFF9"/>
          </w:tcPr>
          <w:p>
            <w:pPr>
              <w:ind w:left="40"/>
              <w:spacing w:after="0" w:line="148" w:lineRule="exact"/>
              <w:rPr>
                <w:sz w:val="20"/>
                <w:szCs w:val="20"/>
                <w:color w:val="auto"/>
              </w:rPr>
            </w:pPr>
            <w:r>
              <w:rPr>
                <w:rFonts w:ascii="Arial" w:cs="Arial" w:eastAsia="Arial" w:hAnsi="Arial"/>
                <w:sz w:val="10"/>
                <w:szCs w:val="10"/>
                <w:color w:val="auto"/>
              </w:rPr>
              <w:t>taxes of $3)</w:t>
            </w:r>
            <w:r>
              <w:rPr>
                <w:rFonts w:ascii="Arial" w:cs="Arial" w:eastAsia="Arial" w:hAnsi="Arial"/>
                <w:sz w:val="14"/>
                <w:szCs w:val="14"/>
                <w:color w:val="auto"/>
                <w:vertAlign w:val="superscript"/>
              </w:rPr>
              <w:t>(4)</w:t>
            </w:r>
          </w:p>
        </w:tc>
        <w:tc>
          <w:tcPr>
            <w:tcW w:w="140" w:type="dxa"/>
            <w:vAlign w:val="bottom"/>
            <w:shd w:val="clear" w:color="auto" w:fill="D8EFF9"/>
          </w:tcPr>
          <w:p>
            <w:pPr>
              <w:spacing w:after="0"/>
              <w:rPr>
                <w:sz w:val="12"/>
                <w:szCs w:val="12"/>
                <w:color w:val="auto"/>
              </w:rPr>
            </w:pPr>
          </w:p>
        </w:tc>
        <w:tc>
          <w:tcPr>
            <w:tcW w:w="48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w:t>
            </w:r>
          </w:p>
        </w:tc>
        <w:tc>
          <w:tcPr>
            <w:tcW w:w="480" w:type="dxa"/>
            <w:vAlign w:val="bottom"/>
            <w:shd w:val="clear" w:color="auto" w:fill="D8EFF9"/>
          </w:tcPr>
          <w:p>
            <w:pPr>
              <w:jc w:val="right"/>
              <w:ind w:right="35"/>
              <w:spacing w:after="0"/>
              <w:rPr>
                <w:sz w:val="20"/>
                <w:szCs w:val="20"/>
                <w:color w:val="auto"/>
              </w:rPr>
            </w:pPr>
            <w:r>
              <w:rPr>
                <w:rFonts w:ascii="Arial" w:cs="Arial" w:eastAsia="Arial" w:hAnsi="Arial"/>
                <w:sz w:val="10"/>
                <w:szCs w:val="10"/>
                <w:color w:val="auto"/>
              </w:rPr>
              <w:t>—</w:t>
            </w:r>
          </w:p>
        </w:tc>
        <w:tc>
          <w:tcPr>
            <w:tcW w:w="140" w:type="dxa"/>
            <w:vAlign w:val="bottom"/>
            <w:shd w:val="clear" w:color="auto" w:fill="D8EFF9"/>
          </w:tcPr>
          <w:p>
            <w:pPr>
              <w:spacing w:after="0"/>
              <w:rPr>
                <w:sz w:val="12"/>
                <w:szCs w:val="12"/>
                <w:color w:val="auto"/>
              </w:rPr>
            </w:pPr>
          </w:p>
        </w:tc>
        <w:tc>
          <w:tcPr>
            <w:tcW w:w="580" w:type="dxa"/>
            <w:vAlign w:val="bottom"/>
            <w:shd w:val="clear" w:color="auto" w:fill="D8EFF9"/>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D8EFF9"/>
          </w:tcPr>
          <w:p>
            <w:pPr>
              <w:spacing w:after="0"/>
              <w:rPr>
                <w:sz w:val="12"/>
                <w:szCs w:val="12"/>
                <w:color w:val="auto"/>
              </w:rPr>
            </w:pPr>
          </w:p>
        </w:tc>
        <w:tc>
          <w:tcPr>
            <w:tcW w:w="480" w:type="dxa"/>
            <w:vAlign w:val="bottom"/>
            <w:shd w:val="clear" w:color="auto" w:fill="D8EFF9"/>
          </w:tcPr>
          <w:p>
            <w:pPr>
              <w:jc w:val="right"/>
              <w:ind w:right="55"/>
              <w:spacing w:after="0"/>
              <w:rPr>
                <w:sz w:val="20"/>
                <w:szCs w:val="20"/>
                <w:color w:val="auto"/>
              </w:rPr>
            </w:pPr>
            <w:r>
              <w:rPr>
                <w:rFonts w:ascii="Arial" w:cs="Arial" w:eastAsia="Arial" w:hAnsi="Arial"/>
                <w:sz w:val="10"/>
                <w:szCs w:val="10"/>
                <w:color w:val="auto"/>
              </w:rPr>
              <w:t>—</w:t>
            </w:r>
          </w:p>
        </w:tc>
        <w:tc>
          <w:tcPr>
            <w:tcW w:w="160" w:type="dxa"/>
            <w:vAlign w:val="bottom"/>
            <w:shd w:val="clear" w:color="auto" w:fill="D8EFF9"/>
          </w:tcPr>
          <w:p>
            <w:pPr>
              <w:spacing w:after="0"/>
              <w:rPr>
                <w:sz w:val="12"/>
                <w:szCs w:val="12"/>
                <w:color w:val="auto"/>
              </w:rPr>
            </w:pPr>
          </w:p>
        </w:tc>
        <w:tc>
          <w:tcPr>
            <w:tcW w:w="440" w:type="dxa"/>
            <w:vAlign w:val="bottom"/>
            <w:shd w:val="clear" w:color="auto" w:fill="D8EFF9"/>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shd w:val="clear" w:color="auto" w:fill="D8EFF9"/>
          </w:tcPr>
          <w:p>
            <w:pPr>
              <w:jc w:val="right"/>
              <w:ind w:right="35"/>
              <w:spacing w:after="0"/>
              <w:rPr>
                <w:sz w:val="20"/>
                <w:szCs w:val="20"/>
                <w:color w:val="auto"/>
              </w:rPr>
            </w:pPr>
            <w:r>
              <w:rPr>
                <w:rFonts w:ascii="Arial" w:cs="Arial" w:eastAsia="Arial" w:hAnsi="Arial"/>
                <w:sz w:val="10"/>
                <w:szCs w:val="10"/>
                <w:color w:val="auto"/>
              </w:rPr>
              <w:t>—</w:t>
            </w:r>
          </w:p>
        </w:tc>
        <w:tc>
          <w:tcPr>
            <w:tcW w:w="160" w:type="dxa"/>
            <w:vAlign w:val="bottom"/>
            <w:shd w:val="clear" w:color="auto" w:fill="D8EFF9"/>
          </w:tcPr>
          <w:p>
            <w:pPr>
              <w:spacing w:after="0"/>
              <w:rPr>
                <w:sz w:val="12"/>
                <w:szCs w:val="12"/>
                <w:color w:val="auto"/>
              </w:rPr>
            </w:pPr>
          </w:p>
        </w:tc>
        <w:tc>
          <w:tcPr>
            <w:tcW w:w="420" w:type="dxa"/>
            <w:vAlign w:val="bottom"/>
            <w:gridSpan w:val="2"/>
            <w:shd w:val="clear" w:color="auto" w:fill="D8EFF9"/>
          </w:tcPr>
          <w:p>
            <w:pPr>
              <w:jc w:val="right"/>
              <w:ind w:right="40"/>
              <w:spacing w:after="0"/>
              <w:rPr>
                <w:sz w:val="20"/>
                <w:szCs w:val="20"/>
                <w:color w:val="auto"/>
              </w:rPr>
            </w:pPr>
            <w:r>
              <w:rPr>
                <w:rFonts w:ascii="Arial" w:cs="Arial" w:eastAsia="Arial" w:hAnsi="Arial"/>
                <w:sz w:val="10"/>
                <w:szCs w:val="10"/>
                <w:color w:val="auto"/>
              </w:rPr>
              <w:t>(10)</w:t>
            </w:r>
          </w:p>
        </w:tc>
        <w:tc>
          <w:tcPr>
            <w:tcW w:w="50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(0.02)</w:t>
            </w:r>
          </w:p>
        </w:tc>
        <w:tc>
          <w:tcPr>
            <w:tcW w:w="180" w:type="dxa"/>
            <w:vAlign w:val="bottom"/>
            <w:shd w:val="clear" w:color="auto" w:fill="D8EFF9"/>
          </w:tcPr>
          <w:p>
            <w:pPr>
              <w:spacing w:after="0"/>
              <w:rPr>
                <w:sz w:val="12"/>
                <w:szCs w:val="12"/>
                <w:color w:val="auto"/>
              </w:rPr>
            </w:pPr>
          </w:p>
        </w:tc>
        <w:tc>
          <w:tcPr>
            <w:tcW w:w="420" w:type="dxa"/>
            <w:vAlign w:val="bottom"/>
            <w:shd w:val="clear" w:color="auto" w:fill="D8EFF9"/>
          </w:tcPr>
          <w:p>
            <w:pPr>
              <w:jc w:val="right"/>
              <w:spacing w:after="0"/>
              <w:rPr>
                <w:sz w:val="20"/>
                <w:szCs w:val="20"/>
                <w:color w:val="auto"/>
              </w:rPr>
            </w:pPr>
            <w:r>
              <w:rPr>
                <w:rFonts w:ascii="Arial" w:cs="Arial" w:eastAsia="Arial" w:hAnsi="Arial"/>
                <w:sz w:val="10"/>
                <w:szCs w:val="10"/>
                <w:color w:val="auto"/>
              </w:rPr>
              <w:t>(10)</w:t>
            </w:r>
          </w:p>
        </w:tc>
        <w:tc>
          <w:tcPr>
            <w:tcW w:w="460" w:type="dxa"/>
            <w:vAlign w:val="bottom"/>
            <w:shd w:val="clear" w:color="auto" w:fill="D8EFF9"/>
          </w:tcPr>
          <w:p>
            <w:pPr>
              <w:jc w:val="right"/>
              <w:spacing w:after="0"/>
              <w:rPr>
                <w:sz w:val="20"/>
                <w:szCs w:val="20"/>
                <w:color w:val="auto"/>
              </w:rPr>
            </w:pPr>
            <w:r>
              <w:rPr>
                <w:rFonts w:ascii="Arial" w:cs="Arial" w:eastAsia="Arial" w:hAnsi="Arial"/>
                <w:sz w:val="10"/>
                <w:szCs w:val="10"/>
                <w:color w:val="auto"/>
              </w:rPr>
              <w:t>(0.02)</w:t>
            </w:r>
          </w:p>
        </w:tc>
      </w:tr>
    </w:tbl>
    <w:p>
      <w:pPr>
        <w:spacing w:after="0" w:line="28"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ZENS-related mark-to-market (gains)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17145</wp:posOffset>
            </wp:positionV>
            <wp:extent cx="1131570" cy="1676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131570" cy="167640"/>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p>
      <w:pPr>
        <w:spacing w:after="0" w:line="21" w:lineRule="exact"/>
        <w:rPr>
          <w:sz w:val="20"/>
          <w:szCs w:val="20"/>
          <w:color w:val="auto"/>
        </w:rPr>
      </w:pPr>
    </w:p>
    <w:p>
      <w:pPr>
        <w:ind w:left="1980"/>
        <w:spacing w:after="0"/>
        <w:rPr>
          <w:sz w:val="20"/>
          <w:szCs w:val="20"/>
          <w:color w:val="auto"/>
        </w:rPr>
      </w:pPr>
      <w:r>
        <w:rPr>
          <w:rFonts w:ascii="Arial" w:cs="Arial" w:eastAsia="Arial" w:hAnsi="Arial"/>
          <w:sz w:val="9"/>
          <w:szCs w:val="9"/>
          <w:color w:val="auto"/>
        </w:rPr>
        <w:t>Equity securities (net of taxes of $11)</w:t>
      </w:r>
      <w:r>
        <w:rPr>
          <w:rFonts w:ascii="Arial" w:cs="Arial" w:eastAsia="Arial" w:hAnsi="Arial"/>
          <w:sz w:val="13"/>
          <w:szCs w:val="13"/>
          <w:color w:val="auto"/>
          <w:vertAlign w:val="superscript"/>
        </w:rPr>
        <w:t>(4)</w:t>
      </w:r>
    </w:p>
    <w:p>
      <w:pPr>
        <w:ind w:left="1980"/>
        <w:spacing w:after="0"/>
        <w:rPr>
          <w:sz w:val="20"/>
          <w:szCs w:val="20"/>
          <w:color w:val="auto"/>
        </w:rPr>
      </w:pPr>
      <w:r>
        <w:rPr>
          <w:rFonts w:ascii="Arial" w:cs="Arial" w:eastAsia="Arial" w:hAnsi="Arial"/>
          <w:sz w:val="7"/>
          <w:szCs w:val="7"/>
          <w:color w:val="auto"/>
        </w:rPr>
        <w:t>(5)</w:t>
      </w:r>
    </w:p>
    <w:p>
      <w:pPr>
        <w:spacing w:after="0" w:line="6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Indexed debt securities (net of taxes of</w:t>
      </w:r>
    </w:p>
    <w:p>
      <w:pPr>
        <w:ind w:left="1980"/>
        <w:spacing w:after="0"/>
        <w:rPr>
          <w:sz w:val="20"/>
          <w:szCs w:val="20"/>
          <w:color w:val="auto"/>
        </w:rPr>
      </w:pPr>
      <w:r>
        <w:rPr>
          <w:rFonts w:ascii="Arial" w:cs="Arial" w:eastAsia="Arial" w:hAnsi="Arial"/>
          <w:sz w:val="10"/>
          <w:szCs w:val="10"/>
          <w:color w:val="auto"/>
        </w:rPr>
        <w:t>$13)</w:t>
      </w:r>
      <w:r>
        <w:rPr>
          <w:rFonts w:ascii="Arial" w:cs="Arial" w:eastAsia="Arial" w:hAnsi="Arial"/>
          <w:sz w:val="14"/>
          <w:szCs w:val="1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1131570" cy="1847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131570" cy="18478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b w:val="1"/>
          <w:bCs w:val="1"/>
          <w:color w:val="auto"/>
        </w:rPr>
        <w:t>Impacts associated with the Vectren</w:t>
      </w:r>
    </w:p>
    <w:p>
      <w:pPr>
        <w:ind w:left="1980"/>
        <w:spacing w:after="0"/>
        <w:rPr>
          <w:sz w:val="20"/>
          <w:szCs w:val="20"/>
          <w:color w:val="auto"/>
        </w:rPr>
      </w:pPr>
      <w:r>
        <w:rPr>
          <w:rFonts w:ascii="Arial" w:cs="Arial" w:eastAsia="Arial" w:hAnsi="Arial"/>
          <w:sz w:val="10"/>
          <w:szCs w:val="10"/>
          <w:b w:val="1"/>
          <w:bCs w:val="1"/>
          <w:color w:val="auto"/>
        </w:rPr>
        <w:t>merger (net of taxes of $1, $3)</w:t>
      </w:r>
      <w:r>
        <w:rPr>
          <w:rFonts w:ascii="Arial" w:cs="Arial" w:eastAsia="Arial" w:hAnsi="Arial"/>
          <w:sz w:val="14"/>
          <w:szCs w:val="14"/>
          <w:b w:val="1"/>
          <w:bCs w:val="1"/>
          <w:color w:val="auto"/>
          <w:vertAlign w:val="superscript"/>
        </w:rPr>
        <w:t>(4)</w:t>
      </w:r>
    </w:p>
    <w:p>
      <w:pPr>
        <w:spacing w:after="0" w:line="20"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Impacts associated with BREC</w:t>
      </w:r>
    </w:p>
    <w:p>
      <w:pPr>
        <w:ind w:left="1980"/>
        <w:spacing w:after="0"/>
        <w:rPr>
          <w:sz w:val="20"/>
          <w:szCs w:val="20"/>
          <w:color w:val="auto"/>
        </w:rPr>
      </w:pPr>
      <w:r>
        <w:rPr>
          <w:rFonts w:ascii="Arial" w:cs="Arial" w:eastAsia="Arial" w:hAnsi="Arial"/>
          <w:sz w:val="8"/>
          <w:szCs w:val="8"/>
          <w:b w:val="1"/>
          <w:bCs w:val="1"/>
          <w:color w:val="auto"/>
        </w:rPr>
        <w:t>activities and Severance costs (net of</w:t>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taxes of $4, $0)</w:t>
      </w:r>
      <w:r>
        <w:rPr>
          <w:rFonts w:ascii="Arial" w:cs="Arial" w:eastAsia="Arial" w:hAnsi="Arial"/>
          <w:sz w:val="14"/>
          <w:szCs w:val="14"/>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1131570" cy="2368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131570" cy="23685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b w:val="1"/>
          <w:bCs w:val="1"/>
          <w:color w:val="auto"/>
        </w:rPr>
        <w:t>Impacts associated with the sales of</w:t>
      </w:r>
    </w:p>
    <w:p>
      <w:pPr>
        <w:ind w:left="1980"/>
        <w:spacing w:after="0" w:line="189" w:lineRule="auto"/>
        <w:rPr>
          <w:sz w:val="20"/>
          <w:szCs w:val="20"/>
          <w:color w:val="auto"/>
        </w:rPr>
      </w:pPr>
      <w:r>
        <w:rPr>
          <w:rFonts w:ascii="Arial" w:cs="Arial" w:eastAsia="Arial" w:hAnsi="Arial"/>
          <w:sz w:val="8"/>
          <w:szCs w:val="8"/>
          <w:b w:val="1"/>
          <w:bCs w:val="1"/>
          <w:color w:val="auto"/>
        </w:rPr>
        <w:t>CES</w:t>
      </w:r>
      <w:r>
        <w:rPr>
          <w:rFonts w:ascii="Arial" w:cs="Arial" w:eastAsia="Arial" w:hAnsi="Arial"/>
          <w:sz w:val="12"/>
          <w:szCs w:val="12"/>
          <w:b w:val="1"/>
          <w:bCs w:val="1"/>
          <w:color w:val="auto"/>
          <w:vertAlign w:val="superscript"/>
        </w:rPr>
        <w:t>(1)</w:t>
      </w:r>
      <w:r>
        <w:rPr>
          <w:rFonts w:ascii="Arial" w:cs="Arial" w:eastAsia="Arial" w:hAnsi="Arial"/>
          <w:sz w:val="8"/>
          <w:szCs w:val="8"/>
          <w:b w:val="1"/>
          <w:bCs w:val="1"/>
          <w:color w:val="auto"/>
        </w:rPr>
        <w:t xml:space="preserve"> and CIS</w:t>
      </w:r>
      <w:r>
        <w:rPr>
          <w:rFonts w:ascii="Arial" w:cs="Arial" w:eastAsia="Arial" w:hAnsi="Arial"/>
          <w:sz w:val="12"/>
          <w:szCs w:val="12"/>
          <w:b w:val="1"/>
          <w:bCs w:val="1"/>
          <w:color w:val="auto"/>
          <w:vertAlign w:val="superscript"/>
        </w:rPr>
        <w:t>(2)</w:t>
      </w:r>
      <w:r>
        <w:rPr>
          <w:rFonts w:ascii="Arial" w:cs="Arial" w:eastAsia="Arial" w:hAnsi="Arial"/>
          <w:sz w:val="8"/>
          <w:szCs w:val="8"/>
          <w:b w:val="1"/>
          <w:bCs w:val="1"/>
          <w:color w:val="auto"/>
        </w:rPr>
        <w:t xml:space="preserve"> (net of taxes of $10)</w:t>
      </w:r>
    </w:p>
    <w:p>
      <w:pPr>
        <w:ind w:left="1980"/>
        <w:spacing w:after="0"/>
        <w:rPr>
          <w:sz w:val="20"/>
          <w:szCs w:val="20"/>
          <w:color w:val="auto"/>
        </w:rPr>
      </w:pPr>
      <w:r>
        <w:rPr>
          <w:rFonts w:ascii="Arial" w:cs="Arial" w:eastAsia="Arial" w:hAnsi="Arial"/>
          <w:sz w:val="7"/>
          <w:szCs w:val="7"/>
          <w:b w:val="1"/>
          <w:bCs w:val="1"/>
          <w:color w:val="auto"/>
        </w:rPr>
        <w:t>(4)</w:t>
      </w:r>
    </w:p>
    <w:p>
      <w:pPr>
        <w:spacing w:after="0" w:line="67"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Impacts associated with Series C</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preferred 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8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8EFF9"/>
            </w:tcBorders>
            <w:shd w:val="clear" w:color="auto" w:fill="D8EFF9"/>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72"/>
              <w:spacing w:after="0"/>
              <w:rPr>
                <w:sz w:val="20"/>
                <w:szCs w:val="20"/>
                <w:color w:val="auto"/>
              </w:rPr>
            </w:pPr>
            <w:r>
              <w:rPr>
                <w:rFonts w:ascii="Arial" w:cs="Arial" w:eastAsia="Arial" w:hAnsi="Arial"/>
                <w:sz w:val="10"/>
                <w:szCs w:val="10"/>
                <w:color w:val="auto"/>
              </w:rPr>
              <w:t>(38)</w:t>
            </w:r>
          </w:p>
        </w:tc>
        <w:tc>
          <w:tcPr>
            <w:tcW w:w="580" w:type="dxa"/>
            <w:vAlign w:val="bottom"/>
            <w:tcBorders>
              <w:bottom w:val="single" w:sz="8" w:color="D8EFF9"/>
            </w:tcBorders>
            <w:shd w:val="clear" w:color="auto" w:fill="D8EFF9"/>
          </w:tcPr>
          <w:p>
            <w:pPr>
              <w:jc w:val="right"/>
              <w:ind w:right="172"/>
              <w:spacing w:after="0"/>
              <w:rPr>
                <w:sz w:val="20"/>
                <w:szCs w:val="20"/>
                <w:color w:val="auto"/>
              </w:rPr>
            </w:pPr>
            <w:r>
              <w:rPr>
                <w:rFonts w:ascii="Arial" w:cs="Arial" w:eastAsia="Arial" w:hAnsi="Arial"/>
                <w:sz w:val="10"/>
                <w:szCs w:val="10"/>
                <w:color w:val="auto"/>
              </w:rPr>
              <w:t>(0.07)</w:t>
            </w:r>
          </w:p>
        </w:tc>
        <w:tc>
          <w:tcPr>
            <w:tcW w:w="50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8EFF9"/>
            </w:tcBorders>
            <w:shd w:val="clear" w:color="auto" w:fill="D8EFF9"/>
          </w:tcPr>
          <w:p>
            <w:pPr>
              <w:jc w:val="right"/>
              <w:ind w:right="17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52"/>
              <w:spacing w:after="0"/>
              <w:rPr>
                <w:sz w:val="20"/>
                <w:szCs w:val="20"/>
                <w:color w:val="auto"/>
              </w:rPr>
            </w:pPr>
            <w:r>
              <w:rPr>
                <w:rFonts w:ascii="Arial" w:cs="Arial" w:eastAsia="Arial" w:hAnsi="Arial"/>
                <w:sz w:val="10"/>
                <w:szCs w:val="10"/>
                <w:color w:val="auto"/>
              </w:rPr>
              <w:t>(38)</w:t>
            </w:r>
          </w:p>
        </w:tc>
        <w:tc>
          <w:tcPr>
            <w:tcW w:w="4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(0.07)</w:t>
            </w:r>
          </w:p>
        </w:tc>
      </w:tr>
      <w:tr>
        <w:trPr>
          <w:trHeight w:val="264"/>
        </w:trPr>
        <w:tc>
          <w:tcPr>
            <w:tcW w:w="6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47</w:t>
            </w:r>
          </w:p>
        </w:tc>
        <w:tc>
          <w:tcPr>
            <w:tcW w:w="580" w:type="dxa"/>
            <w:vAlign w:val="bottom"/>
          </w:tcPr>
          <w:p>
            <w:pPr>
              <w:jc w:val="right"/>
              <w:ind w:right="192"/>
              <w:spacing w:after="0"/>
              <w:rPr>
                <w:sz w:val="20"/>
                <w:szCs w:val="20"/>
                <w:color w:val="auto"/>
              </w:rPr>
            </w:pPr>
            <w:r>
              <w:rPr>
                <w:rFonts w:ascii="Arial" w:cs="Arial" w:eastAsia="Arial" w:hAnsi="Arial"/>
                <w:sz w:val="10"/>
                <w:szCs w:val="10"/>
                <w:color w:val="auto"/>
              </w:rPr>
              <w:t>0.09</w:t>
            </w: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47</w:t>
            </w: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0.09</w:t>
            </w:r>
          </w:p>
        </w:tc>
      </w:tr>
      <w:tr>
        <w:trPr>
          <w:trHeight w:val="27"/>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1"/>
        </w:trPr>
        <w:tc>
          <w:tcPr>
            <w:tcW w:w="68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3</w:t>
            </w:r>
          </w:p>
        </w:tc>
        <w:tc>
          <w:tcPr>
            <w:tcW w:w="640" w:type="dxa"/>
            <w:vAlign w:val="bottom"/>
            <w:tcBorders>
              <w:bottom w:val="single" w:sz="8" w:color="D8EFF9"/>
            </w:tcBorders>
            <w:shd w:val="clear" w:color="auto" w:fill="D8EFF9"/>
          </w:tcPr>
          <w:p>
            <w:pPr>
              <w:jc w:val="right"/>
              <w:ind w:right="252"/>
              <w:spacing w:after="0"/>
              <w:rPr>
                <w:sz w:val="20"/>
                <w:szCs w:val="20"/>
                <w:color w:val="auto"/>
              </w:rPr>
            </w:pPr>
            <w:r>
              <w:rPr>
                <w:rFonts w:ascii="Arial" w:cs="Arial" w:eastAsia="Arial" w:hAnsi="Arial"/>
                <w:sz w:val="10"/>
                <w:szCs w:val="10"/>
                <w:color w:val="auto"/>
              </w:rPr>
              <w:t>0.01</w:t>
            </w:r>
          </w:p>
        </w:tc>
        <w:tc>
          <w:tcPr>
            <w:tcW w:w="660" w:type="dxa"/>
            <w:vAlign w:val="bottom"/>
            <w:tcBorders>
              <w:bottom w:val="single" w:sz="8" w:color="D8EFF9"/>
            </w:tcBorders>
            <w:shd w:val="clear" w:color="auto" w:fill="D8EFF9"/>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112"/>
              <w:spacing w:after="0"/>
              <w:rPr>
                <w:sz w:val="20"/>
                <w:szCs w:val="20"/>
                <w:color w:val="auto"/>
              </w:rPr>
            </w:pPr>
            <w:r>
              <w:rPr>
                <w:rFonts w:ascii="Arial" w:cs="Arial" w:eastAsia="Arial" w:hAnsi="Arial"/>
                <w:sz w:val="10"/>
                <w:szCs w:val="10"/>
                <w:color w:val="auto"/>
              </w:rPr>
              <w:t>12</w:t>
            </w:r>
          </w:p>
        </w:tc>
        <w:tc>
          <w:tcPr>
            <w:tcW w:w="580" w:type="dxa"/>
            <w:vAlign w:val="bottom"/>
            <w:tcBorders>
              <w:bottom w:val="single" w:sz="8" w:color="D8EFF9"/>
            </w:tcBorders>
            <w:shd w:val="clear" w:color="auto" w:fill="D8EFF9"/>
          </w:tcPr>
          <w:p>
            <w:pPr>
              <w:jc w:val="right"/>
              <w:ind w:right="192"/>
              <w:spacing w:after="0"/>
              <w:rPr>
                <w:sz w:val="20"/>
                <w:szCs w:val="20"/>
                <w:color w:val="auto"/>
              </w:rPr>
            </w:pPr>
            <w:r>
              <w:rPr>
                <w:rFonts w:ascii="Arial" w:cs="Arial" w:eastAsia="Arial" w:hAnsi="Arial"/>
                <w:sz w:val="10"/>
                <w:szCs w:val="10"/>
                <w:color w:val="auto"/>
              </w:rPr>
              <w:t>0.02</w:t>
            </w:r>
          </w:p>
        </w:tc>
        <w:tc>
          <w:tcPr>
            <w:tcW w:w="50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8EFF9"/>
            </w:tcBorders>
            <w:shd w:val="clear" w:color="auto" w:fill="D8EFF9"/>
          </w:tcPr>
          <w:p>
            <w:pPr>
              <w:jc w:val="right"/>
              <w:ind w:right="17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shd w:val="clear" w:color="auto" w:fill="D8EFF9"/>
          </w:tcPr>
          <w:p>
            <w:pPr>
              <w:jc w:val="right"/>
              <w:ind w:right="92"/>
              <w:spacing w:after="0"/>
              <w:rPr>
                <w:sz w:val="20"/>
                <w:szCs w:val="20"/>
                <w:color w:val="auto"/>
              </w:rPr>
            </w:pPr>
            <w:r>
              <w:rPr>
                <w:rFonts w:ascii="Arial" w:cs="Arial" w:eastAsia="Arial" w:hAnsi="Arial"/>
                <w:sz w:val="10"/>
                <w:szCs w:val="10"/>
                <w:color w:val="auto"/>
              </w:rPr>
              <w:t>15</w:t>
            </w:r>
          </w:p>
        </w:tc>
        <w:tc>
          <w:tcPr>
            <w:tcW w:w="400" w:type="dxa"/>
            <w:vAlign w:val="bottom"/>
            <w:tcBorders>
              <w:bottom w:val="single" w:sz="8" w:color="D8EFF9"/>
            </w:tcBorders>
            <w:shd w:val="clear" w:color="auto" w:fill="D8EFF9"/>
          </w:tcPr>
          <w:p>
            <w:pPr>
              <w:jc w:val="right"/>
              <w:ind w:right="32"/>
              <w:spacing w:after="0"/>
              <w:rPr>
                <w:sz w:val="20"/>
                <w:szCs w:val="20"/>
                <w:color w:val="auto"/>
              </w:rPr>
            </w:pPr>
            <w:r>
              <w:rPr>
                <w:rFonts w:ascii="Arial" w:cs="Arial" w:eastAsia="Arial" w:hAnsi="Arial"/>
                <w:sz w:val="10"/>
                <w:szCs w:val="10"/>
                <w:color w:val="auto"/>
              </w:rPr>
              <w:t>0.03</w:t>
            </w:r>
          </w:p>
        </w:tc>
      </w:tr>
      <w:tr>
        <w:trPr>
          <w:trHeight w:val="374"/>
        </w:trPr>
        <w:tc>
          <w:tcPr>
            <w:tcW w:w="680" w:type="dxa"/>
            <w:vAlign w:val="bottom"/>
          </w:tcPr>
          <w:p>
            <w:pPr>
              <w:jc w:val="right"/>
              <w:ind w:right="92"/>
              <w:spacing w:after="0"/>
              <w:rPr>
                <w:sz w:val="20"/>
                <w:szCs w:val="20"/>
                <w:color w:val="auto"/>
              </w:rPr>
            </w:pPr>
            <w:r>
              <w:rPr>
                <w:rFonts w:ascii="Arial" w:cs="Arial" w:eastAsia="Arial" w:hAnsi="Arial"/>
                <w:sz w:val="10"/>
                <w:szCs w:val="10"/>
                <w:color w:val="auto"/>
              </w:rPr>
              <w:t>14</w:t>
            </w:r>
          </w:p>
        </w:tc>
        <w:tc>
          <w:tcPr>
            <w:tcW w:w="640" w:type="dxa"/>
            <w:vAlign w:val="bottom"/>
          </w:tcPr>
          <w:p>
            <w:pPr>
              <w:jc w:val="right"/>
              <w:ind w:right="252"/>
              <w:spacing w:after="0"/>
              <w:rPr>
                <w:sz w:val="20"/>
                <w:szCs w:val="20"/>
                <w:color w:val="auto"/>
              </w:rPr>
            </w:pPr>
            <w:r>
              <w:rPr>
                <w:rFonts w:ascii="Arial" w:cs="Arial" w:eastAsia="Arial" w:hAnsi="Arial"/>
                <w:sz w:val="10"/>
                <w:szCs w:val="10"/>
                <w:color w:val="auto"/>
              </w:rPr>
              <w:t>0.03</w:t>
            </w:r>
          </w:p>
        </w:tc>
        <w:tc>
          <w:tcPr>
            <w:tcW w:w="660" w:type="dxa"/>
            <w:vAlign w:val="bottom"/>
          </w:tcPr>
          <w:p>
            <w:pPr>
              <w:ind w:left="300"/>
              <w:spacing w:after="0"/>
              <w:rPr>
                <w:sz w:val="20"/>
                <w:szCs w:val="20"/>
                <w:color w:val="auto"/>
              </w:rPr>
            </w:pPr>
            <w:r>
              <w:rPr>
                <w:rFonts w:ascii="Arial" w:cs="Arial" w:eastAsia="Arial" w:hAnsi="Arial"/>
                <w:sz w:val="10"/>
                <w:szCs w:val="10"/>
                <w:color w:val="auto"/>
              </w:rPr>
              <w:t>—</w:t>
            </w:r>
          </w:p>
        </w:tc>
        <w:tc>
          <w:tcPr>
            <w:tcW w:w="580" w:type="dxa"/>
            <w:vAlign w:val="bottom"/>
          </w:tcPr>
          <w:p>
            <w:pPr>
              <w:ind w:left="24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3</w:t>
            </w:r>
          </w:p>
        </w:tc>
        <w:tc>
          <w:tcPr>
            <w:tcW w:w="5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92"/>
              <w:spacing w:after="0"/>
              <w:rPr>
                <w:sz w:val="20"/>
                <w:szCs w:val="20"/>
                <w:color w:val="auto"/>
              </w:rPr>
            </w:pPr>
            <w:r>
              <w:rPr>
                <w:rFonts w:ascii="Arial" w:cs="Arial" w:eastAsia="Arial" w:hAnsi="Arial"/>
                <w:sz w:val="10"/>
                <w:szCs w:val="10"/>
                <w:color w:val="auto"/>
              </w:rPr>
              <w:t>17</w:t>
            </w: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0.03</w:t>
            </w:r>
          </w:p>
        </w:tc>
      </w:tr>
      <w:tr>
        <w:trPr>
          <w:trHeight w:val="27"/>
        </w:trPr>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346"/>
        </w:trPr>
        <w:tc>
          <w:tcPr>
            <w:tcW w:w="680" w:type="dxa"/>
            <w:vAlign w:val="bottom"/>
            <w:shd w:val="clear" w:color="auto" w:fill="D8EFF9"/>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shd w:val="clear" w:color="auto" w:fill="D8EFF9"/>
          </w:tcPr>
          <w:p>
            <w:pPr>
              <w:jc w:val="right"/>
              <w:ind w:right="252"/>
              <w:spacing w:after="0"/>
              <w:rPr>
                <w:sz w:val="20"/>
                <w:szCs w:val="20"/>
                <w:color w:val="auto"/>
              </w:rPr>
            </w:pPr>
            <w:r>
              <w:rPr>
                <w:rFonts w:ascii="Arial" w:cs="Arial" w:eastAsia="Arial" w:hAnsi="Arial"/>
                <w:sz w:val="10"/>
                <w:szCs w:val="10"/>
                <w:color w:val="auto"/>
              </w:rPr>
              <w:t>—</w:t>
            </w:r>
          </w:p>
        </w:tc>
        <w:tc>
          <w:tcPr>
            <w:tcW w:w="660" w:type="dxa"/>
            <w:vAlign w:val="bottom"/>
            <w:shd w:val="clear" w:color="auto" w:fill="D8EFF9"/>
          </w:tcPr>
          <w:p>
            <w:pPr>
              <w:ind w:left="300"/>
              <w:spacing w:after="0"/>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ind w:left="240"/>
              <w:spacing w:after="0"/>
              <w:rPr>
                <w:sz w:val="20"/>
                <w:szCs w:val="20"/>
                <w:color w:val="auto"/>
              </w:rPr>
            </w:pPr>
            <w:r>
              <w:rPr>
                <w:rFonts w:ascii="Arial" w:cs="Arial" w:eastAsia="Arial" w:hAnsi="Arial"/>
                <w:sz w:val="10"/>
                <w:szCs w:val="10"/>
                <w:color w:val="auto"/>
              </w:rPr>
              <w:t>—</w:t>
            </w:r>
          </w:p>
        </w:tc>
        <w:tc>
          <w:tcPr>
            <w:tcW w:w="520" w:type="dxa"/>
            <w:vAlign w:val="bottom"/>
            <w:shd w:val="clear" w:color="auto" w:fill="D8EFF9"/>
          </w:tcPr>
          <w:p>
            <w:pPr>
              <w:jc w:val="right"/>
              <w:ind w:right="112"/>
              <w:spacing w:after="0"/>
              <w:rPr>
                <w:sz w:val="20"/>
                <w:szCs w:val="20"/>
                <w:color w:val="auto"/>
              </w:rPr>
            </w:pPr>
            <w:r>
              <w:rPr>
                <w:rFonts w:ascii="Arial" w:cs="Arial" w:eastAsia="Arial" w:hAnsi="Arial"/>
                <w:sz w:val="10"/>
                <w:szCs w:val="10"/>
                <w:color w:val="auto"/>
              </w:rPr>
              <w:t>—</w:t>
            </w:r>
          </w:p>
        </w:tc>
        <w:tc>
          <w:tcPr>
            <w:tcW w:w="580" w:type="dxa"/>
            <w:vAlign w:val="bottom"/>
            <w:shd w:val="clear" w:color="auto" w:fill="D8EFF9"/>
          </w:tcPr>
          <w:p>
            <w:pPr>
              <w:jc w:val="right"/>
              <w:ind w:right="192"/>
              <w:spacing w:after="0"/>
              <w:rPr>
                <w:sz w:val="20"/>
                <w:szCs w:val="20"/>
                <w:color w:val="auto"/>
              </w:rPr>
            </w:pPr>
            <w:r>
              <w:rPr>
                <w:rFonts w:ascii="Arial" w:cs="Arial" w:eastAsia="Arial" w:hAnsi="Arial"/>
                <w:sz w:val="10"/>
                <w:szCs w:val="10"/>
                <w:color w:val="auto"/>
              </w:rPr>
              <w:t>—</w:t>
            </w:r>
          </w:p>
        </w:tc>
        <w:tc>
          <w:tcPr>
            <w:tcW w:w="500" w:type="dxa"/>
            <w:vAlign w:val="bottom"/>
            <w:shd w:val="clear" w:color="auto" w:fill="D8EFF9"/>
          </w:tcPr>
          <w:p>
            <w:pPr>
              <w:jc w:val="right"/>
              <w:ind w:right="92"/>
              <w:spacing w:after="0"/>
              <w:rPr>
                <w:sz w:val="20"/>
                <w:szCs w:val="20"/>
                <w:color w:val="auto"/>
              </w:rPr>
            </w:pPr>
            <w:r>
              <w:rPr>
                <w:rFonts w:ascii="Arial" w:cs="Arial" w:eastAsia="Arial" w:hAnsi="Arial"/>
                <w:sz w:val="10"/>
                <w:szCs w:val="10"/>
                <w:color w:val="auto"/>
              </w:rPr>
              <w:t>217</w:t>
            </w:r>
          </w:p>
        </w:tc>
        <w:tc>
          <w:tcPr>
            <w:tcW w:w="560" w:type="dxa"/>
            <w:vAlign w:val="bottom"/>
            <w:shd w:val="clear" w:color="auto" w:fill="D8EFF9"/>
          </w:tcPr>
          <w:p>
            <w:pPr>
              <w:jc w:val="right"/>
              <w:ind w:right="172"/>
              <w:spacing w:after="0"/>
              <w:rPr>
                <w:sz w:val="20"/>
                <w:szCs w:val="20"/>
                <w:color w:val="auto"/>
              </w:rPr>
            </w:pPr>
            <w:r>
              <w:rPr>
                <w:rFonts w:ascii="Arial" w:cs="Arial" w:eastAsia="Arial" w:hAnsi="Arial"/>
                <w:sz w:val="10"/>
                <w:szCs w:val="10"/>
                <w:color w:val="auto"/>
              </w:rPr>
              <w:t>0.41</w:t>
            </w:r>
          </w:p>
        </w:tc>
        <w:tc>
          <w:tcPr>
            <w:tcW w:w="520" w:type="dxa"/>
            <w:vAlign w:val="bottom"/>
            <w:shd w:val="clear" w:color="auto" w:fill="D8EFF9"/>
          </w:tcPr>
          <w:p>
            <w:pPr>
              <w:jc w:val="right"/>
              <w:ind w:right="92"/>
              <w:spacing w:after="0"/>
              <w:rPr>
                <w:sz w:val="20"/>
                <w:szCs w:val="20"/>
                <w:color w:val="auto"/>
              </w:rPr>
            </w:pPr>
            <w:r>
              <w:rPr>
                <w:rFonts w:ascii="Arial" w:cs="Arial" w:eastAsia="Arial" w:hAnsi="Arial"/>
                <w:sz w:val="10"/>
                <w:szCs w:val="10"/>
                <w:color w:val="auto"/>
              </w:rPr>
              <w:t>217</w:t>
            </w:r>
          </w:p>
        </w:tc>
        <w:tc>
          <w:tcPr>
            <w:tcW w:w="400" w:type="dxa"/>
            <w:vAlign w:val="bottom"/>
            <w:shd w:val="clear" w:color="auto" w:fill="D8EFF9"/>
          </w:tcPr>
          <w:p>
            <w:pPr>
              <w:jc w:val="right"/>
              <w:ind w:right="32"/>
              <w:spacing w:after="0"/>
              <w:rPr>
                <w:sz w:val="20"/>
                <w:szCs w:val="20"/>
                <w:color w:val="auto"/>
              </w:rPr>
            </w:pPr>
            <w:r>
              <w:rPr>
                <w:rFonts w:ascii="Arial" w:cs="Arial" w:eastAsia="Arial" w:hAnsi="Arial"/>
                <w:sz w:val="10"/>
                <w:szCs w:val="10"/>
                <w:color w:val="auto"/>
              </w:rPr>
              <w:t>0.41</w:t>
            </w:r>
          </w:p>
        </w:tc>
      </w:tr>
      <w:tr>
        <w:trPr>
          <w:trHeight w:val="27"/>
        </w:trPr>
        <w:tc>
          <w:tcPr>
            <w:tcW w:w="680" w:type="dxa"/>
            <w:vAlign w:val="bottom"/>
            <w:shd w:val="clear" w:color="auto" w:fill="D8EFF9"/>
          </w:tcPr>
          <w:p>
            <w:pPr>
              <w:spacing w:after="0"/>
              <w:rPr>
                <w:sz w:val="2"/>
                <w:szCs w:val="2"/>
                <w:color w:val="auto"/>
              </w:rPr>
            </w:pPr>
          </w:p>
        </w:tc>
        <w:tc>
          <w:tcPr>
            <w:tcW w:w="640" w:type="dxa"/>
            <w:vAlign w:val="bottom"/>
            <w:shd w:val="clear" w:color="auto" w:fill="D8EFF9"/>
          </w:tcPr>
          <w:p>
            <w:pPr>
              <w:spacing w:after="0"/>
              <w:rPr>
                <w:sz w:val="2"/>
                <w:szCs w:val="2"/>
                <w:color w:val="auto"/>
              </w:rPr>
            </w:pPr>
          </w:p>
        </w:tc>
        <w:tc>
          <w:tcPr>
            <w:tcW w:w="660" w:type="dxa"/>
            <w:vAlign w:val="bottom"/>
            <w:shd w:val="clear" w:color="auto" w:fill="D8EFF9"/>
          </w:tcPr>
          <w:p>
            <w:pPr>
              <w:spacing w:after="0"/>
              <w:rPr>
                <w:sz w:val="2"/>
                <w:szCs w:val="2"/>
                <w:color w:val="auto"/>
              </w:rPr>
            </w:pPr>
          </w:p>
        </w:tc>
        <w:tc>
          <w:tcPr>
            <w:tcW w:w="580" w:type="dxa"/>
            <w:vAlign w:val="bottom"/>
            <w:shd w:val="clear" w:color="auto" w:fill="D8EFF9"/>
          </w:tcPr>
          <w:p>
            <w:pPr>
              <w:spacing w:after="0"/>
              <w:rPr>
                <w:sz w:val="2"/>
                <w:szCs w:val="2"/>
                <w:color w:val="auto"/>
              </w:rPr>
            </w:pPr>
          </w:p>
        </w:tc>
        <w:tc>
          <w:tcPr>
            <w:tcW w:w="520" w:type="dxa"/>
            <w:vAlign w:val="bottom"/>
            <w:shd w:val="clear" w:color="auto" w:fill="D8EFF9"/>
          </w:tcPr>
          <w:p>
            <w:pPr>
              <w:spacing w:after="0"/>
              <w:rPr>
                <w:sz w:val="2"/>
                <w:szCs w:val="2"/>
                <w:color w:val="auto"/>
              </w:rPr>
            </w:pPr>
          </w:p>
        </w:tc>
        <w:tc>
          <w:tcPr>
            <w:tcW w:w="580" w:type="dxa"/>
            <w:vAlign w:val="bottom"/>
            <w:shd w:val="clear" w:color="auto" w:fill="D8EFF9"/>
          </w:tcPr>
          <w:p>
            <w:pPr>
              <w:spacing w:after="0"/>
              <w:rPr>
                <w:sz w:val="2"/>
                <w:szCs w:val="2"/>
                <w:color w:val="auto"/>
              </w:rPr>
            </w:pPr>
          </w:p>
        </w:tc>
        <w:tc>
          <w:tcPr>
            <w:tcW w:w="500" w:type="dxa"/>
            <w:vAlign w:val="bottom"/>
            <w:shd w:val="clear" w:color="auto" w:fill="D8EFF9"/>
          </w:tcPr>
          <w:p>
            <w:pPr>
              <w:spacing w:after="0"/>
              <w:rPr>
                <w:sz w:val="2"/>
                <w:szCs w:val="2"/>
                <w:color w:val="auto"/>
              </w:rPr>
            </w:pPr>
          </w:p>
        </w:tc>
        <w:tc>
          <w:tcPr>
            <w:tcW w:w="560" w:type="dxa"/>
            <w:vAlign w:val="bottom"/>
            <w:shd w:val="clear" w:color="auto" w:fill="D8EFF9"/>
          </w:tcPr>
          <w:p>
            <w:pPr>
              <w:spacing w:after="0"/>
              <w:rPr>
                <w:sz w:val="2"/>
                <w:szCs w:val="2"/>
                <w:color w:val="auto"/>
              </w:rPr>
            </w:pPr>
          </w:p>
        </w:tc>
        <w:tc>
          <w:tcPr>
            <w:tcW w:w="520" w:type="dxa"/>
            <w:vAlign w:val="bottom"/>
            <w:shd w:val="clear" w:color="auto" w:fill="D8EFF9"/>
          </w:tcPr>
          <w:p>
            <w:pPr>
              <w:spacing w:after="0"/>
              <w:rPr>
                <w:sz w:val="2"/>
                <w:szCs w:val="2"/>
                <w:color w:val="auto"/>
              </w:rPr>
            </w:pPr>
          </w:p>
        </w:tc>
        <w:tc>
          <w:tcPr>
            <w:tcW w:w="400" w:type="dxa"/>
            <w:vAlign w:val="bottom"/>
            <w:shd w:val="clear" w:color="auto" w:fill="D8EFF9"/>
          </w:tcPr>
          <w:p>
            <w:pPr>
              <w:spacing w:after="0"/>
              <w:rPr>
                <w:sz w:val="2"/>
                <w:szCs w:val="2"/>
                <w:color w:val="auto"/>
              </w:rPr>
            </w:pPr>
          </w:p>
        </w:tc>
      </w:tr>
    </w:tbl>
    <w:p>
      <w:pPr>
        <w:spacing w:after="0" w:line="290" w:lineRule="exact"/>
        <w:rPr>
          <w:sz w:val="20"/>
          <w:szCs w:val="20"/>
          <w:color w:val="auto"/>
        </w:rPr>
      </w:pPr>
    </w:p>
    <w:p>
      <w:pPr>
        <w:sectPr>
          <w:pgSz w:w="11900" w:h="16838" w:orient="portrait"/>
          <w:cols w:equalWidth="0" w:num="2">
            <w:col w:w="3720" w:space="0"/>
            <w:col w:w="6439"/>
          </w:cols>
          <w:pgMar w:left="300" w:top="373" w:right="1440" w:bottom="1440" w:gutter="0" w:footer="0" w:header="0"/>
          <w:type w:val="continuous"/>
        </w:sectPr>
      </w:pPr>
    </w:p>
    <w:tbl>
      <w:tblPr>
        <w:tblLayout w:type="fixed"/>
        <w:tblInd w:w="1940" w:type="dxa"/>
        <w:tblCellMar>
          <w:top w:w="0" w:type="dxa"/>
          <w:left w:w="0" w:type="dxa"/>
          <w:bottom w:w="0" w:type="dxa"/>
          <w:right w:w="0" w:type="dxa"/>
        </w:tblCellMar>
      </w:tblPr>
      <w:tr>
        <w:trPr>
          <w:trHeight w:val="149"/>
        </w:trPr>
        <w:tc>
          <w:tcPr>
            <w:tcW w:w="1780" w:type="dxa"/>
            <w:vAlign w:val="bottom"/>
            <w:shd w:val="clear" w:color="auto" w:fill="D8EFF9"/>
          </w:tcPr>
          <w:p>
            <w:pPr>
              <w:ind w:left="40"/>
              <w:spacing w:after="0"/>
              <w:rPr>
                <w:sz w:val="20"/>
                <w:szCs w:val="20"/>
                <w:color w:val="auto"/>
              </w:rPr>
            </w:pPr>
            <w:r>
              <w:rPr>
                <w:rFonts w:ascii="Arial" w:cs="Arial" w:eastAsia="Arial" w:hAnsi="Arial"/>
                <w:sz w:val="10"/>
                <w:szCs w:val="10"/>
                <w:color w:val="auto"/>
              </w:rPr>
              <w:t>Preferred stock dividend requirement</w:t>
            </w:r>
          </w:p>
        </w:tc>
        <w:tc>
          <w:tcPr>
            <w:tcW w:w="100" w:type="dxa"/>
            <w:vAlign w:val="bottom"/>
            <w:tcBorders>
              <w:right w:val="single" w:sz="8" w:color="D8EFF9"/>
            </w:tcBorders>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28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32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60" w:type="dxa"/>
            <w:vAlign w:val="bottom"/>
            <w:shd w:val="clear" w:color="auto" w:fill="D8EFF9"/>
          </w:tcPr>
          <w:p>
            <w:pPr>
              <w:spacing w:after="0"/>
              <w:rPr>
                <w:sz w:val="12"/>
                <w:szCs w:val="12"/>
                <w:color w:val="auto"/>
              </w:rPr>
            </w:pPr>
          </w:p>
        </w:tc>
        <w:tc>
          <w:tcPr>
            <w:tcW w:w="180" w:type="dxa"/>
            <w:vAlign w:val="bottom"/>
            <w:shd w:val="clear" w:color="auto" w:fill="D8EFF9"/>
          </w:tcPr>
          <w:p>
            <w:pPr>
              <w:spacing w:after="0"/>
              <w:rPr>
                <w:sz w:val="12"/>
                <w:szCs w:val="12"/>
                <w:color w:val="auto"/>
              </w:rPr>
            </w:pPr>
          </w:p>
        </w:tc>
        <w:tc>
          <w:tcPr>
            <w:tcW w:w="36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120" w:type="dxa"/>
            <w:vAlign w:val="bottom"/>
            <w:shd w:val="clear" w:color="auto" w:fill="D8EFF9"/>
          </w:tcPr>
          <w:p>
            <w:pPr>
              <w:spacing w:after="0"/>
              <w:rPr>
                <w:sz w:val="12"/>
                <w:szCs w:val="12"/>
                <w:color w:val="auto"/>
              </w:rPr>
            </w:pPr>
          </w:p>
        </w:tc>
        <w:tc>
          <w:tcPr>
            <w:tcW w:w="30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6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28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100" w:type="dxa"/>
            <w:vAlign w:val="bottom"/>
            <w:shd w:val="clear" w:color="auto" w:fill="D8EFF9"/>
          </w:tcPr>
          <w:p>
            <w:pPr>
              <w:spacing w:after="0"/>
              <w:rPr>
                <w:sz w:val="12"/>
                <w:szCs w:val="12"/>
                <w:color w:val="auto"/>
              </w:rPr>
            </w:pPr>
          </w:p>
        </w:tc>
        <w:tc>
          <w:tcPr>
            <w:tcW w:w="24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280" w:type="dxa"/>
            <w:vAlign w:val="bottom"/>
            <w:shd w:val="clear" w:color="auto" w:fill="D8EFF9"/>
          </w:tcPr>
          <w:p>
            <w:pPr>
              <w:spacing w:after="0"/>
              <w:rPr>
                <w:sz w:val="12"/>
                <w:szCs w:val="12"/>
                <w:color w:val="auto"/>
              </w:rPr>
            </w:pPr>
          </w:p>
        </w:tc>
        <w:tc>
          <w:tcPr>
            <w:tcW w:w="16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260" w:type="dxa"/>
            <w:vAlign w:val="bottom"/>
            <w:shd w:val="clear" w:color="auto" w:fill="D8EFF9"/>
          </w:tcPr>
          <w:p>
            <w:pPr>
              <w:spacing w:after="0"/>
              <w:rPr>
                <w:sz w:val="12"/>
                <w:szCs w:val="12"/>
                <w:color w:val="auto"/>
              </w:rPr>
            </w:pPr>
          </w:p>
        </w:tc>
        <w:tc>
          <w:tcPr>
            <w:tcW w:w="140" w:type="dxa"/>
            <w:vAlign w:val="bottom"/>
            <w:shd w:val="clear" w:color="auto" w:fill="D8EFF9"/>
          </w:tcPr>
          <w:p>
            <w:pPr>
              <w:spacing w:after="0"/>
              <w:rPr>
                <w:sz w:val="12"/>
                <w:szCs w:val="12"/>
                <w:color w:val="auto"/>
              </w:rPr>
            </w:pPr>
          </w:p>
        </w:tc>
        <w:tc>
          <w:tcPr>
            <w:tcW w:w="120" w:type="dxa"/>
            <w:vAlign w:val="bottom"/>
            <w:shd w:val="clear" w:color="auto" w:fill="D8EFF9"/>
          </w:tcPr>
          <w:p>
            <w:pPr>
              <w:spacing w:after="0"/>
              <w:rPr>
                <w:sz w:val="12"/>
                <w:szCs w:val="12"/>
                <w:color w:val="auto"/>
              </w:rPr>
            </w:pPr>
          </w:p>
        </w:tc>
        <w:tc>
          <w:tcPr>
            <w:tcW w:w="340" w:type="dxa"/>
            <w:vAlign w:val="bottom"/>
            <w:shd w:val="clear" w:color="auto" w:fill="D8EFF9"/>
          </w:tcPr>
          <w:p>
            <w:pPr>
              <w:spacing w:after="0"/>
              <w:rPr>
                <w:sz w:val="12"/>
                <w:szCs w:val="12"/>
                <w:color w:val="auto"/>
              </w:rPr>
            </w:pPr>
          </w:p>
        </w:tc>
        <w:tc>
          <w:tcPr>
            <w:tcW w:w="60" w:type="dxa"/>
            <w:vAlign w:val="bottom"/>
            <w:shd w:val="clear" w:color="auto" w:fill="D8EFF9"/>
          </w:tcPr>
          <w:p>
            <w:pPr>
              <w:spacing w:after="0"/>
              <w:rPr>
                <w:sz w:val="12"/>
                <w:szCs w:val="12"/>
                <w:color w:val="auto"/>
              </w:rPr>
            </w:pPr>
          </w:p>
        </w:tc>
        <w:tc>
          <w:tcPr>
            <w:tcW w:w="40" w:type="dxa"/>
            <w:vAlign w:val="bottom"/>
            <w:shd w:val="clear" w:color="auto" w:fill="D8EFF9"/>
          </w:tcPr>
          <w:p>
            <w:pPr>
              <w:spacing w:after="0"/>
              <w:rPr>
                <w:sz w:val="12"/>
                <w:szCs w:val="12"/>
                <w:color w:val="auto"/>
              </w:rPr>
            </w:pPr>
          </w:p>
        </w:tc>
        <w:tc>
          <w:tcPr>
            <w:tcW w:w="340" w:type="dxa"/>
            <w:vAlign w:val="bottom"/>
            <w:shd w:val="clear" w:color="auto" w:fill="D8EFF9"/>
          </w:tcPr>
          <w:p>
            <w:pPr>
              <w:spacing w:after="0"/>
              <w:rPr>
                <w:sz w:val="12"/>
                <w:szCs w:val="12"/>
                <w:color w:val="auto"/>
              </w:rPr>
            </w:pPr>
          </w:p>
        </w:tc>
        <w:tc>
          <w:tcPr>
            <w:tcW w:w="80" w:type="dxa"/>
            <w:vAlign w:val="bottom"/>
            <w:shd w:val="clear" w:color="auto" w:fill="D8EFF9"/>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780" w:type="dxa"/>
            <w:vAlign w:val="bottom"/>
            <w:shd w:val="clear" w:color="auto" w:fill="D8EFF9"/>
          </w:tcPr>
          <w:p>
            <w:pPr>
              <w:ind w:left="40"/>
              <w:spacing w:after="0" w:line="109" w:lineRule="exact"/>
              <w:rPr>
                <w:sz w:val="20"/>
                <w:szCs w:val="20"/>
                <w:color w:val="auto"/>
              </w:rPr>
            </w:pPr>
            <w:r>
              <w:rPr>
                <w:rFonts w:ascii="Arial" w:cs="Arial" w:eastAsia="Arial" w:hAnsi="Arial"/>
                <w:sz w:val="10"/>
                <w:szCs w:val="10"/>
                <w:color w:val="auto"/>
              </w:rPr>
              <w:t>and amortization of beneficial</w:t>
            </w:r>
          </w:p>
        </w:tc>
        <w:tc>
          <w:tcPr>
            <w:tcW w:w="100" w:type="dxa"/>
            <w:vAlign w:val="bottom"/>
            <w:tcBorders>
              <w:right w:val="single" w:sz="8" w:color="D8EFF9"/>
            </w:tcBorders>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28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320" w:type="dxa"/>
            <w:vAlign w:val="bottom"/>
            <w:shd w:val="clear" w:color="auto" w:fill="D8EFF9"/>
          </w:tcPr>
          <w:p>
            <w:pPr>
              <w:spacing w:after="0"/>
              <w:rPr>
                <w:sz w:val="9"/>
                <w:szCs w:val="9"/>
                <w:color w:val="auto"/>
              </w:rPr>
            </w:pPr>
          </w:p>
        </w:tc>
        <w:tc>
          <w:tcPr>
            <w:tcW w:w="100" w:type="dxa"/>
            <w:vAlign w:val="bottom"/>
            <w:shd w:val="clear" w:color="auto" w:fill="D8EFF9"/>
          </w:tcPr>
          <w:p>
            <w:pPr>
              <w:spacing w:after="0"/>
              <w:rPr>
                <w:sz w:val="9"/>
                <w:szCs w:val="9"/>
                <w:color w:val="auto"/>
              </w:rPr>
            </w:pPr>
          </w:p>
        </w:tc>
        <w:tc>
          <w:tcPr>
            <w:tcW w:w="60" w:type="dxa"/>
            <w:vAlign w:val="bottom"/>
            <w:shd w:val="clear" w:color="auto" w:fill="D8EFF9"/>
          </w:tcPr>
          <w:p>
            <w:pPr>
              <w:spacing w:after="0"/>
              <w:rPr>
                <w:sz w:val="9"/>
                <w:szCs w:val="9"/>
                <w:color w:val="auto"/>
              </w:rPr>
            </w:pPr>
          </w:p>
        </w:tc>
        <w:tc>
          <w:tcPr>
            <w:tcW w:w="180" w:type="dxa"/>
            <w:vAlign w:val="bottom"/>
            <w:shd w:val="clear" w:color="auto" w:fill="D8EFF9"/>
          </w:tcPr>
          <w:p>
            <w:pPr>
              <w:spacing w:after="0"/>
              <w:rPr>
                <w:sz w:val="9"/>
                <w:szCs w:val="9"/>
                <w:color w:val="auto"/>
              </w:rPr>
            </w:pPr>
          </w:p>
        </w:tc>
        <w:tc>
          <w:tcPr>
            <w:tcW w:w="360" w:type="dxa"/>
            <w:vAlign w:val="bottom"/>
            <w:shd w:val="clear" w:color="auto" w:fill="D8EFF9"/>
          </w:tcPr>
          <w:p>
            <w:pPr>
              <w:spacing w:after="0"/>
              <w:rPr>
                <w:sz w:val="9"/>
                <w:szCs w:val="9"/>
                <w:color w:val="auto"/>
              </w:rPr>
            </w:pPr>
          </w:p>
        </w:tc>
        <w:tc>
          <w:tcPr>
            <w:tcW w:w="10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120" w:type="dxa"/>
            <w:vAlign w:val="bottom"/>
            <w:shd w:val="clear" w:color="auto" w:fill="D8EFF9"/>
          </w:tcPr>
          <w:p>
            <w:pPr>
              <w:spacing w:after="0"/>
              <w:rPr>
                <w:sz w:val="9"/>
                <w:szCs w:val="9"/>
                <w:color w:val="auto"/>
              </w:rPr>
            </w:pPr>
          </w:p>
        </w:tc>
        <w:tc>
          <w:tcPr>
            <w:tcW w:w="300" w:type="dxa"/>
            <w:vAlign w:val="bottom"/>
            <w:shd w:val="clear" w:color="auto" w:fill="D8EFF9"/>
          </w:tcPr>
          <w:p>
            <w:pPr>
              <w:spacing w:after="0"/>
              <w:rPr>
                <w:sz w:val="9"/>
                <w:szCs w:val="9"/>
                <w:color w:val="auto"/>
              </w:rPr>
            </w:pPr>
          </w:p>
        </w:tc>
        <w:tc>
          <w:tcPr>
            <w:tcW w:w="100" w:type="dxa"/>
            <w:vAlign w:val="bottom"/>
            <w:shd w:val="clear" w:color="auto" w:fill="D8EFF9"/>
          </w:tcPr>
          <w:p>
            <w:pPr>
              <w:spacing w:after="0"/>
              <w:rPr>
                <w:sz w:val="9"/>
                <w:szCs w:val="9"/>
                <w:color w:val="auto"/>
              </w:rPr>
            </w:pPr>
          </w:p>
        </w:tc>
        <w:tc>
          <w:tcPr>
            <w:tcW w:w="6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28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100" w:type="dxa"/>
            <w:vAlign w:val="bottom"/>
            <w:shd w:val="clear" w:color="auto" w:fill="D8EFF9"/>
          </w:tcPr>
          <w:p>
            <w:pPr>
              <w:spacing w:after="0"/>
              <w:rPr>
                <w:sz w:val="9"/>
                <w:szCs w:val="9"/>
                <w:color w:val="auto"/>
              </w:rPr>
            </w:pPr>
          </w:p>
        </w:tc>
        <w:tc>
          <w:tcPr>
            <w:tcW w:w="24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280" w:type="dxa"/>
            <w:vAlign w:val="bottom"/>
            <w:shd w:val="clear" w:color="auto" w:fill="D8EFF9"/>
          </w:tcPr>
          <w:p>
            <w:pPr>
              <w:spacing w:after="0"/>
              <w:rPr>
                <w:sz w:val="9"/>
                <w:szCs w:val="9"/>
                <w:color w:val="auto"/>
              </w:rPr>
            </w:pPr>
          </w:p>
        </w:tc>
        <w:tc>
          <w:tcPr>
            <w:tcW w:w="16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260" w:type="dxa"/>
            <w:vAlign w:val="bottom"/>
            <w:shd w:val="clear" w:color="auto" w:fill="D8EFF9"/>
          </w:tcPr>
          <w:p>
            <w:pPr>
              <w:spacing w:after="0"/>
              <w:rPr>
                <w:sz w:val="9"/>
                <w:szCs w:val="9"/>
                <w:color w:val="auto"/>
              </w:rPr>
            </w:pPr>
          </w:p>
        </w:tc>
        <w:tc>
          <w:tcPr>
            <w:tcW w:w="140" w:type="dxa"/>
            <w:vAlign w:val="bottom"/>
            <w:shd w:val="clear" w:color="auto" w:fill="D8EFF9"/>
          </w:tcPr>
          <w:p>
            <w:pPr>
              <w:spacing w:after="0"/>
              <w:rPr>
                <w:sz w:val="9"/>
                <w:szCs w:val="9"/>
                <w:color w:val="auto"/>
              </w:rPr>
            </w:pPr>
          </w:p>
        </w:tc>
        <w:tc>
          <w:tcPr>
            <w:tcW w:w="120" w:type="dxa"/>
            <w:vAlign w:val="bottom"/>
            <w:shd w:val="clear" w:color="auto" w:fill="D8EFF9"/>
          </w:tcPr>
          <w:p>
            <w:pPr>
              <w:spacing w:after="0"/>
              <w:rPr>
                <w:sz w:val="9"/>
                <w:szCs w:val="9"/>
                <w:color w:val="auto"/>
              </w:rPr>
            </w:pPr>
          </w:p>
        </w:tc>
        <w:tc>
          <w:tcPr>
            <w:tcW w:w="340" w:type="dxa"/>
            <w:vAlign w:val="bottom"/>
            <w:shd w:val="clear" w:color="auto" w:fill="D8EFF9"/>
          </w:tcPr>
          <w:p>
            <w:pPr>
              <w:spacing w:after="0"/>
              <w:rPr>
                <w:sz w:val="9"/>
                <w:szCs w:val="9"/>
                <w:color w:val="auto"/>
              </w:rPr>
            </w:pPr>
          </w:p>
        </w:tc>
        <w:tc>
          <w:tcPr>
            <w:tcW w:w="60" w:type="dxa"/>
            <w:vAlign w:val="bottom"/>
            <w:shd w:val="clear" w:color="auto" w:fill="D8EFF9"/>
          </w:tcPr>
          <w:p>
            <w:pPr>
              <w:spacing w:after="0"/>
              <w:rPr>
                <w:sz w:val="9"/>
                <w:szCs w:val="9"/>
                <w:color w:val="auto"/>
              </w:rPr>
            </w:pPr>
          </w:p>
        </w:tc>
        <w:tc>
          <w:tcPr>
            <w:tcW w:w="40" w:type="dxa"/>
            <w:vAlign w:val="bottom"/>
            <w:shd w:val="clear" w:color="auto" w:fill="D8EFF9"/>
          </w:tcPr>
          <w:p>
            <w:pPr>
              <w:spacing w:after="0"/>
              <w:rPr>
                <w:sz w:val="9"/>
                <w:szCs w:val="9"/>
                <w:color w:val="auto"/>
              </w:rPr>
            </w:pPr>
          </w:p>
        </w:tc>
        <w:tc>
          <w:tcPr>
            <w:tcW w:w="340" w:type="dxa"/>
            <w:vAlign w:val="bottom"/>
            <w:shd w:val="clear" w:color="auto" w:fill="D8EFF9"/>
          </w:tcPr>
          <w:p>
            <w:pPr>
              <w:spacing w:after="0"/>
              <w:rPr>
                <w:sz w:val="9"/>
                <w:szCs w:val="9"/>
                <w:color w:val="auto"/>
              </w:rPr>
            </w:pPr>
          </w:p>
        </w:tc>
        <w:tc>
          <w:tcPr>
            <w:tcW w:w="80" w:type="dxa"/>
            <w:vAlign w:val="bottom"/>
            <w:shd w:val="clear" w:color="auto" w:fill="D8EFF9"/>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conversion feature</w:t>
            </w:r>
          </w:p>
        </w:tc>
        <w:tc>
          <w:tcPr>
            <w:tcW w:w="100" w:type="dxa"/>
            <w:vAlign w:val="bottom"/>
            <w:tcBorders>
              <w:bottom w:val="single" w:sz="8" w:color="D8EFF9"/>
              <w:right w:val="single" w:sz="8" w:color="D8EFF9"/>
            </w:tcBorders>
            <w:shd w:val="clear" w:color="auto" w:fill="D8EFF9"/>
          </w:tcPr>
          <w:p>
            <w:pPr>
              <w:spacing w:after="0"/>
              <w:rPr>
                <w:sz w:val="10"/>
                <w:szCs w:val="10"/>
                <w:color w:val="auto"/>
              </w:rPr>
            </w:pPr>
          </w:p>
        </w:tc>
        <w:tc>
          <w:tcPr>
            <w:tcW w:w="160" w:type="dxa"/>
            <w:vAlign w:val="bottom"/>
            <w:tcBorders>
              <w:bottom w:val="single" w:sz="8" w:color="D8EFF9"/>
            </w:tcBorders>
            <w:shd w:val="clear" w:color="auto" w:fill="D8EFF9"/>
          </w:tcPr>
          <w:p>
            <w:pPr>
              <w:spacing w:after="0"/>
              <w:rPr>
                <w:sz w:val="10"/>
                <w:szCs w:val="10"/>
                <w:color w:val="auto"/>
              </w:rPr>
            </w:pPr>
          </w:p>
        </w:tc>
        <w:tc>
          <w:tcPr>
            <w:tcW w:w="36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0"/>
                <w:szCs w:val="10"/>
                <w:color w:val="auto"/>
              </w:rPr>
            </w:pPr>
          </w:p>
        </w:tc>
        <w:tc>
          <w:tcPr>
            <w:tcW w:w="42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D8EFF9"/>
            </w:tcBorders>
            <w:shd w:val="clear" w:color="auto" w:fill="D8EFF9"/>
          </w:tcPr>
          <w:p>
            <w:pPr>
              <w:spacing w:after="0"/>
              <w:rPr>
                <w:sz w:val="10"/>
                <w:szCs w:val="10"/>
                <w:color w:val="auto"/>
              </w:rPr>
            </w:pPr>
          </w:p>
        </w:tc>
        <w:tc>
          <w:tcPr>
            <w:tcW w:w="180" w:type="dxa"/>
            <w:vAlign w:val="bottom"/>
            <w:tcBorders>
              <w:bottom w:val="single" w:sz="8" w:color="D8EFF9"/>
            </w:tcBorders>
            <w:shd w:val="clear" w:color="auto" w:fill="D8EFF9"/>
          </w:tcPr>
          <w:p>
            <w:pPr>
              <w:spacing w:after="0"/>
              <w:rPr>
                <w:sz w:val="10"/>
                <w:szCs w:val="10"/>
                <w:color w:val="auto"/>
              </w:rPr>
            </w:pPr>
          </w:p>
        </w:tc>
        <w:tc>
          <w:tcPr>
            <w:tcW w:w="46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0"/>
                <w:szCs w:val="10"/>
                <w:color w:val="auto"/>
              </w:rPr>
            </w:pPr>
          </w:p>
        </w:tc>
        <w:tc>
          <w:tcPr>
            <w:tcW w:w="120" w:type="dxa"/>
            <w:vAlign w:val="bottom"/>
            <w:tcBorders>
              <w:bottom w:val="single" w:sz="8" w:color="D8EFF9"/>
            </w:tcBorders>
            <w:shd w:val="clear" w:color="auto" w:fill="D8EFF9"/>
          </w:tcPr>
          <w:p>
            <w:pPr>
              <w:spacing w:after="0"/>
              <w:rPr>
                <w:sz w:val="10"/>
                <w:szCs w:val="10"/>
                <w:color w:val="auto"/>
              </w:rPr>
            </w:pPr>
          </w:p>
        </w:tc>
        <w:tc>
          <w:tcPr>
            <w:tcW w:w="40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D8EFF9"/>
            </w:tcBorders>
            <w:shd w:val="clear" w:color="auto" w:fill="D8EFF9"/>
          </w:tcPr>
          <w:p>
            <w:pPr>
              <w:spacing w:after="0"/>
              <w:rPr>
                <w:sz w:val="10"/>
                <w:szCs w:val="10"/>
                <w:color w:val="auto"/>
              </w:rPr>
            </w:pPr>
          </w:p>
        </w:tc>
        <w:tc>
          <w:tcPr>
            <w:tcW w:w="160" w:type="dxa"/>
            <w:vAlign w:val="bottom"/>
            <w:tcBorders>
              <w:bottom w:val="single" w:sz="8" w:color="D8EFF9"/>
            </w:tcBorders>
            <w:shd w:val="clear" w:color="auto" w:fill="D8EFF9"/>
          </w:tcPr>
          <w:p>
            <w:pPr>
              <w:spacing w:after="0"/>
              <w:rPr>
                <w:sz w:val="10"/>
                <w:szCs w:val="10"/>
                <w:color w:val="auto"/>
              </w:rPr>
            </w:pPr>
          </w:p>
        </w:tc>
        <w:tc>
          <w:tcPr>
            <w:tcW w:w="2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58</w:t>
            </w:r>
          </w:p>
        </w:tc>
        <w:tc>
          <w:tcPr>
            <w:tcW w:w="160" w:type="dxa"/>
            <w:vAlign w:val="bottom"/>
            <w:tcBorders>
              <w:bottom w:val="single" w:sz="8" w:color="D8EFF9"/>
            </w:tcBorders>
            <w:shd w:val="clear" w:color="auto" w:fill="D8EFF9"/>
          </w:tcPr>
          <w:p>
            <w:pPr>
              <w:spacing w:after="0"/>
              <w:rPr>
                <w:sz w:val="10"/>
                <w:szCs w:val="10"/>
                <w:color w:val="auto"/>
              </w:rPr>
            </w:pPr>
          </w:p>
        </w:tc>
        <w:tc>
          <w:tcPr>
            <w:tcW w:w="100" w:type="dxa"/>
            <w:vAlign w:val="bottom"/>
            <w:tcBorders>
              <w:bottom w:val="single" w:sz="8" w:color="D8EFF9"/>
            </w:tcBorders>
            <w:shd w:val="clear" w:color="auto" w:fill="D8EFF9"/>
          </w:tcPr>
          <w:p>
            <w:pPr>
              <w:spacing w:after="0"/>
              <w:rPr>
                <w:sz w:val="10"/>
                <w:szCs w:val="10"/>
                <w:color w:val="auto"/>
              </w:rPr>
            </w:pPr>
          </w:p>
        </w:tc>
        <w:tc>
          <w:tcPr>
            <w:tcW w:w="2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0.11</w:t>
            </w:r>
          </w:p>
        </w:tc>
        <w:tc>
          <w:tcPr>
            <w:tcW w:w="160" w:type="dxa"/>
            <w:vAlign w:val="bottom"/>
            <w:tcBorders>
              <w:bottom w:val="single" w:sz="8" w:color="D8EFF9"/>
            </w:tcBorders>
            <w:shd w:val="clear" w:color="auto" w:fill="D8EFF9"/>
          </w:tcPr>
          <w:p>
            <w:pPr>
              <w:spacing w:after="0"/>
              <w:rPr>
                <w:sz w:val="10"/>
                <w:szCs w:val="10"/>
                <w:color w:val="auto"/>
              </w:rPr>
            </w:pPr>
          </w:p>
        </w:tc>
        <w:tc>
          <w:tcPr>
            <w:tcW w:w="160" w:type="dxa"/>
            <w:vAlign w:val="bottom"/>
            <w:tcBorders>
              <w:bottom w:val="single" w:sz="8" w:color="D8EFF9"/>
            </w:tcBorders>
            <w:shd w:val="clear" w:color="auto" w:fill="D8EFF9"/>
          </w:tcPr>
          <w:p>
            <w:pPr>
              <w:spacing w:after="0"/>
              <w:rPr>
                <w:sz w:val="10"/>
                <w:szCs w:val="10"/>
                <w:color w:val="auto"/>
              </w:rPr>
            </w:pPr>
          </w:p>
        </w:tc>
        <w:tc>
          <w:tcPr>
            <w:tcW w:w="520" w:type="dxa"/>
            <w:vAlign w:val="bottom"/>
            <w:tcBorders>
              <w:bottom w:val="single" w:sz="8" w:color="D8EFF9"/>
            </w:tcBorders>
            <w:gridSpan w:val="3"/>
            <w:shd w:val="clear" w:color="auto" w:fill="D8EFF9"/>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gridSpan w:val="3"/>
            <w:shd w:val="clear" w:color="auto" w:fill="D8EFF9"/>
          </w:tcPr>
          <w:p>
            <w:pPr>
              <w:jc w:val="right"/>
              <w:ind w:right="28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58</w:t>
            </w:r>
          </w:p>
        </w:tc>
        <w:tc>
          <w:tcPr>
            <w:tcW w:w="60" w:type="dxa"/>
            <w:vAlign w:val="bottom"/>
            <w:tcBorders>
              <w:bottom w:val="single" w:sz="8" w:color="D8EFF9"/>
            </w:tcBorders>
            <w:shd w:val="clear" w:color="auto" w:fill="D8EFF9"/>
          </w:tcPr>
          <w:p>
            <w:pPr>
              <w:spacing w:after="0"/>
              <w:rPr>
                <w:sz w:val="10"/>
                <w:szCs w:val="10"/>
                <w:color w:val="auto"/>
              </w:rPr>
            </w:pPr>
          </w:p>
        </w:tc>
        <w:tc>
          <w:tcPr>
            <w:tcW w:w="38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0.11</w:t>
            </w:r>
          </w:p>
        </w:tc>
        <w:tc>
          <w:tcPr>
            <w:tcW w:w="80" w:type="dxa"/>
            <w:vAlign w:val="bottom"/>
            <w:tcBorders>
              <w:bottom w:val="single" w:sz="8" w:color="D8EFF9"/>
            </w:tcBorders>
            <w:shd w:val="clear" w:color="auto" w:fill="D8EFF9"/>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40"/>
              <w:spacing w:after="0"/>
              <w:rPr>
                <w:sz w:val="20"/>
                <w:szCs w:val="20"/>
                <w:color w:val="auto"/>
              </w:rPr>
            </w:pPr>
            <w:r>
              <w:rPr>
                <w:rFonts w:ascii="Arial" w:cs="Arial" w:eastAsia="Arial" w:hAnsi="Arial"/>
                <w:sz w:val="10"/>
                <w:szCs w:val="10"/>
                <w:color w:val="auto"/>
              </w:rPr>
              <w:t>Impact of increased share count 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780" w:type="dxa"/>
            <w:vAlign w:val="bottom"/>
          </w:tcPr>
          <w:p>
            <w:pPr>
              <w:ind w:left="40"/>
              <w:spacing w:after="0"/>
              <w:rPr>
                <w:sz w:val="20"/>
                <w:szCs w:val="20"/>
                <w:color w:val="auto"/>
              </w:rPr>
            </w:pPr>
            <w:r>
              <w:rPr>
                <w:rFonts w:ascii="Arial" w:cs="Arial" w:eastAsia="Arial" w:hAnsi="Arial"/>
                <w:sz w:val="10"/>
                <w:szCs w:val="10"/>
                <w:color w:val="auto"/>
              </w:rPr>
              <w:t>EPS if issued as common stock</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0"/>
                <w:szCs w:val="10"/>
                <w:color w:val="auto"/>
              </w:rPr>
              <w:t>(0.06)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0.12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240" w:type="dxa"/>
            <w:vAlign w:val="bottom"/>
          </w:tcPr>
          <w:p>
            <w:pPr>
              <w:jc w:val="right"/>
              <w:spacing w:after="0"/>
              <w:rPr>
                <w:sz w:val="20"/>
                <w:szCs w:val="20"/>
                <w:color w:val="auto"/>
              </w:rPr>
            </w:pPr>
            <w:r>
              <w:rPr>
                <w:rFonts w:ascii="Arial" w:cs="Arial" w:eastAsia="Arial" w:hAnsi="Arial"/>
                <w:sz w:val="10"/>
                <w:szCs w:val="10"/>
                <w:color w:val="auto"/>
              </w:rPr>
              <w:t>0.01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gridSpan w:val="3"/>
          </w:tcPr>
          <w:p>
            <w:pPr>
              <w:jc w:val="right"/>
              <w:ind w:right="280"/>
              <w:spacing w:after="0"/>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0.07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7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color w:val="auto"/>
              </w:rPr>
              <w:t>Total Series C impacts</w:t>
            </w:r>
          </w:p>
        </w:tc>
        <w:tc>
          <w:tcPr>
            <w:tcW w:w="100" w:type="dxa"/>
            <w:vAlign w:val="bottom"/>
            <w:tcBorders>
              <w:bottom w:val="single" w:sz="8" w:color="D8EFF9"/>
              <w:right w:val="single" w:sz="8" w:color="D8EFF9"/>
            </w:tcBorders>
            <w:shd w:val="clear" w:color="auto" w:fill="D8EFF9"/>
          </w:tcPr>
          <w:p>
            <w:pPr>
              <w:spacing w:after="0"/>
              <w:rPr>
                <w:sz w:val="13"/>
                <w:szCs w:val="13"/>
                <w:color w:val="auto"/>
              </w:rPr>
            </w:pPr>
          </w:p>
        </w:tc>
        <w:tc>
          <w:tcPr>
            <w:tcW w:w="160" w:type="dxa"/>
            <w:vAlign w:val="bottom"/>
            <w:tcBorders>
              <w:bottom w:val="single" w:sz="8" w:color="D8EFF9"/>
            </w:tcBorders>
            <w:shd w:val="clear" w:color="auto" w:fill="D8EFF9"/>
          </w:tcPr>
          <w:p>
            <w:pPr>
              <w:spacing w:after="0"/>
              <w:rPr>
                <w:sz w:val="13"/>
                <w:szCs w:val="13"/>
                <w:color w:val="auto"/>
              </w:rPr>
            </w:pPr>
          </w:p>
        </w:tc>
        <w:tc>
          <w:tcPr>
            <w:tcW w:w="36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D8EFF9"/>
            </w:tcBorders>
            <w:gridSpan w:val="3"/>
            <w:shd w:val="clear" w:color="auto" w:fill="D8EFF9"/>
          </w:tcPr>
          <w:p>
            <w:pPr>
              <w:jc w:val="right"/>
              <w:ind w:right="60"/>
              <w:spacing w:after="0"/>
              <w:rPr>
                <w:sz w:val="20"/>
                <w:szCs w:val="20"/>
                <w:color w:val="auto"/>
              </w:rPr>
            </w:pPr>
            <w:r>
              <w:rPr>
                <w:rFonts w:ascii="Arial" w:cs="Arial" w:eastAsia="Arial" w:hAnsi="Arial"/>
                <w:sz w:val="10"/>
                <w:szCs w:val="10"/>
                <w:color w:val="auto"/>
              </w:rPr>
              <w:t>(0.06)</w:t>
            </w:r>
          </w:p>
        </w:tc>
        <w:tc>
          <w:tcPr>
            <w:tcW w:w="60" w:type="dxa"/>
            <w:vAlign w:val="bottom"/>
            <w:tcBorders>
              <w:bottom w:val="single" w:sz="8" w:color="D8EFF9"/>
            </w:tcBorders>
            <w:shd w:val="clear" w:color="auto" w:fill="D8EFF9"/>
          </w:tcPr>
          <w:p>
            <w:pPr>
              <w:spacing w:after="0"/>
              <w:rPr>
                <w:sz w:val="13"/>
                <w:szCs w:val="13"/>
                <w:color w:val="auto"/>
              </w:rPr>
            </w:pPr>
          </w:p>
        </w:tc>
        <w:tc>
          <w:tcPr>
            <w:tcW w:w="180" w:type="dxa"/>
            <w:vAlign w:val="bottom"/>
            <w:tcBorders>
              <w:bottom w:val="single" w:sz="8" w:color="D8EFF9"/>
            </w:tcBorders>
            <w:shd w:val="clear" w:color="auto" w:fill="D8EFF9"/>
          </w:tcPr>
          <w:p>
            <w:pPr>
              <w:spacing w:after="0"/>
              <w:rPr>
                <w:sz w:val="13"/>
                <w:szCs w:val="13"/>
                <w:color w:val="auto"/>
              </w:rPr>
            </w:pPr>
          </w:p>
        </w:tc>
        <w:tc>
          <w:tcPr>
            <w:tcW w:w="460" w:type="dxa"/>
            <w:vAlign w:val="bottom"/>
            <w:tcBorders>
              <w:bottom w:val="single" w:sz="8" w:color="D8EFF9"/>
            </w:tcBorders>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3"/>
                <w:szCs w:val="13"/>
                <w:color w:val="auto"/>
              </w:rPr>
            </w:pPr>
          </w:p>
        </w:tc>
        <w:tc>
          <w:tcPr>
            <w:tcW w:w="120" w:type="dxa"/>
            <w:vAlign w:val="bottom"/>
            <w:tcBorders>
              <w:bottom w:val="single" w:sz="8" w:color="D8EFF9"/>
            </w:tcBorders>
            <w:shd w:val="clear" w:color="auto" w:fill="D8EFF9"/>
          </w:tcPr>
          <w:p>
            <w:pPr>
              <w:spacing w:after="0"/>
              <w:rPr>
                <w:sz w:val="13"/>
                <w:szCs w:val="13"/>
                <w:color w:val="auto"/>
              </w:rPr>
            </w:pPr>
          </w:p>
        </w:tc>
        <w:tc>
          <w:tcPr>
            <w:tcW w:w="30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0.12</w:t>
            </w:r>
          </w:p>
        </w:tc>
        <w:tc>
          <w:tcPr>
            <w:tcW w:w="100" w:type="dxa"/>
            <w:vAlign w:val="bottom"/>
            <w:tcBorders>
              <w:bottom w:val="single" w:sz="8" w:color="D8EFF9"/>
            </w:tcBorders>
            <w:shd w:val="clear" w:color="auto" w:fill="D8EFF9"/>
          </w:tcPr>
          <w:p>
            <w:pPr>
              <w:spacing w:after="0"/>
              <w:rPr>
                <w:sz w:val="13"/>
                <w:szCs w:val="13"/>
                <w:color w:val="auto"/>
              </w:rPr>
            </w:pPr>
          </w:p>
        </w:tc>
        <w:tc>
          <w:tcPr>
            <w:tcW w:w="60" w:type="dxa"/>
            <w:vAlign w:val="bottom"/>
            <w:tcBorders>
              <w:bottom w:val="single" w:sz="8" w:color="D8EFF9"/>
            </w:tcBorders>
            <w:shd w:val="clear" w:color="auto" w:fill="D8EFF9"/>
          </w:tcPr>
          <w:p>
            <w:pPr>
              <w:spacing w:after="0"/>
              <w:rPr>
                <w:sz w:val="13"/>
                <w:szCs w:val="13"/>
                <w:color w:val="auto"/>
              </w:rPr>
            </w:pPr>
          </w:p>
        </w:tc>
        <w:tc>
          <w:tcPr>
            <w:tcW w:w="160" w:type="dxa"/>
            <w:vAlign w:val="bottom"/>
            <w:tcBorders>
              <w:bottom w:val="single" w:sz="8" w:color="D8EFF9"/>
            </w:tcBorders>
            <w:shd w:val="clear" w:color="auto" w:fill="D8EFF9"/>
          </w:tcPr>
          <w:p>
            <w:pPr>
              <w:spacing w:after="0"/>
              <w:rPr>
                <w:sz w:val="13"/>
                <w:szCs w:val="13"/>
                <w:color w:val="auto"/>
              </w:rPr>
            </w:pPr>
          </w:p>
        </w:tc>
        <w:tc>
          <w:tcPr>
            <w:tcW w:w="2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58</w:t>
            </w:r>
          </w:p>
        </w:tc>
        <w:tc>
          <w:tcPr>
            <w:tcW w:w="160" w:type="dxa"/>
            <w:vAlign w:val="bottom"/>
            <w:tcBorders>
              <w:bottom w:val="single" w:sz="8" w:color="D8EFF9"/>
            </w:tcBorders>
            <w:shd w:val="clear" w:color="auto" w:fill="D8EFF9"/>
          </w:tcPr>
          <w:p>
            <w:pPr>
              <w:spacing w:after="0"/>
              <w:rPr>
                <w:sz w:val="13"/>
                <w:szCs w:val="13"/>
                <w:color w:val="auto"/>
              </w:rPr>
            </w:pPr>
          </w:p>
        </w:tc>
        <w:tc>
          <w:tcPr>
            <w:tcW w:w="100" w:type="dxa"/>
            <w:vAlign w:val="bottom"/>
            <w:tcBorders>
              <w:bottom w:val="single" w:sz="8" w:color="D8EFF9"/>
            </w:tcBorders>
            <w:shd w:val="clear" w:color="auto" w:fill="D8EFF9"/>
          </w:tcPr>
          <w:p>
            <w:pPr>
              <w:spacing w:after="0"/>
              <w:rPr>
                <w:sz w:val="13"/>
                <w:szCs w:val="13"/>
                <w:color w:val="auto"/>
              </w:rPr>
            </w:pPr>
          </w:p>
        </w:tc>
        <w:tc>
          <w:tcPr>
            <w:tcW w:w="2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0.12</w:t>
            </w:r>
          </w:p>
        </w:tc>
        <w:tc>
          <w:tcPr>
            <w:tcW w:w="160" w:type="dxa"/>
            <w:vAlign w:val="bottom"/>
            <w:tcBorders>
              <w:bottom w:val="single" w:sz="8" w:color="D8EFF9"/>
            </w:tcBorders>
            <w:shd w:val="clear" w:color="auto" w:fill="D8EFF9"/>
          </w:tcPr>
          <w:p>
            <w:pPr>
              <w:spacing w:after="0"/>
              <w:rPr>
                <w:sz w:val="13"/>
                <w:szCs w:val="13"/>
                <w:color w:val="auto"/>
              </w:rPr>
            </w:pPr>
          </w:p>
        </w:tc>
        <w:tc>
          <w:tcPr>
            <w:tcW w:w="160" w:type="dxa"/>
            <w:vAlign w:val="bottom"/>
            <w:tcBorders>
              <w:bottom w:val="single" w:sz="8" w:color="D8EFF9"/>
            </w:tcBorders>
            <w:shd w:val="clear" w:color="auto" w:fill="D8EFF9"/>
          </w:tcPr>
          <w:p>
            <w:pPr>
              <w:spacing w:after="0"/>
              <w:rPr>
                <w:sz w:val="13"/>
                <w:szCs w:val="13"/>
                <w:color w:val="auto"/>
              </w:rPr>
            </w:pPr>
          </w:p>
        </w:tc>
        <w:tc>
          <w:tcPr>
            <w:tcW w:w="520" w:type="dxa"/>
            <w:vAlign w:val="bottom"/>
            <w:tcBorders>
              <w:bottom w:val="single" w:sz="8" w:color="D8EFF9"/>
            </w:tcBorders>
            <w:gridSpan w:val="3"/>
            <w:shd w:val="clear" w:color="auto" w:fill="D8EFF9"/>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8EFF9"/>
            </w:tcBorders>
            <w:gridSpan w:val="3"/>
            <w:shd w:val="clear" w:color="auto" w:fill="D8EFF9"/>
          </w:tcPr>
          <w:p>
            <w:pPr>
              <w:jc w:val="right"/>
              <w:ind w:right="28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58</w:t>
            </w:r>
          </w:p>
        </w:tc>
        <w:tc>
          <w:tcPr>
            <w:tcW w:w="60" w:type="dxa"/>
            <w:vAlign w:val="bottom"/>
            <w:tcBorders>
              <w:bottom w:val="single" w:sz="8" w:color="D8EFF9"/>
            </w:tcBorders>
            <w:shd w:val="clear" w:color="auto" w:fill="D8EFF9"/>
          </w:tcPr>
          <w:p>
            <w:pPr>
              <w:spacing w:after="0"/>
              <w:rPr>
                <w:sz w:val="13"/>
                <w:szCs w:val="13"/>
                <w:color w:val="auto"/>
              </w:rPr>
            </w:pPr>
          </w:p>
        </w:tc>
        <w:tc>
          <w:tcPr>
            <w:tcW w:w="38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0.18</w:t>
            </w:r>
          </w:p>
        </w:tc>
        <w:tc>
          <w:tcPr>
            <w:tcW w:w="80" w:type="dxa"/>
            <w:vAlign w:val="bottom"/>
            <w:tcBorders>
              <w:bottom w:val="single" w:sz="8" w:color="D8EFF9"/>
            </w:tcBorders>
            <w:shd w:val="clear" w:color="auto" w:fill="D8EFF9"/>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rPr>
                <w:sz w:val="20"/>
                <w:szCs w:val="20"/>
                <w:color w:val="auto"/>
              </w:rPr>
            </w:pPr>
            <w:r>
              <w:rPr>
                <w:rFonts w:ascii="Arial" w:cs="Arial" w:eastAsia="Arial" w:hAnsi="Arial"/>
                <w:sz w:val="10"/>
                <w:szCs w:val="10"/>
                <w:b w:val="1"/>
                <w:bCs w:val="1"/>
                <w:color w:val="auto"/>
              </w:rPr>
              <w:t>Losses on impairment (net of taxes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80" w:type="dxa"/>
            <w:vAlign w:val="bottom"/>
          </w:tcPr>
          <w:p>
            <w:pPr>
              <w:ind w:left="40"/>
              <w:spacing w:after="0" w:line="156" w:lineRule="exact"/>
              <w:rPr>
                <w:sz w:val="20"/>
                <w:szCs w:val="20"/>
                <w:color w:val="auto"/>
              </w:rPr>
            </w:pPr>
            <w:r>
              <w:rPr>
                <w:rFonts w:ascii="Arial" w:cs="Arial" w:eastAsia="Arial" w:hAnsi="Arial"/>
                <w:sz w:val="10"/>
                <w:szCs w:val="10"/>
                <w:b w:val="1"/>
                <w:bCs w:val="1"/>
                <w:color w:val="auto"/>
              </w:rPr>
              <w:t>of $0, $408)</w:t>
            </w:r>
            <w:r>
              <w:rPr>
                <w:rFonts w:ascii="Arial" w:cs="Arial" w:eastAsia="Arial" w:hAnsi="Arial"/>
                <w:sz w:val="14"/>
                <w:szCs w:val="14"/>
                <w:b w:val="1"/>
                <w:bCs w:val="1"/>
                <w:color w:val="auto"/>
                <w:vertAlign w:val="superscript"/>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185</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0.33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1,269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2.25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52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520" w:type="dxa"/>
            <w:vAlign w:val="bottom"/>
            <w:gridSpan w:val="3"/>
          </w:tcPr>
          <w:p>
            <w:pPr>
              <w:jc w:val="right"/>
              <w:ind w:right="280"/>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1,454</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2.58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Borders>
              <w:bottom w:val="single" w:sz="8" w:color="D8EFF9"/>
            </w:tcBorders>
            <w:shd w:val="clear" w:color="auto" w:fill="D8EFF9"/>
          </w:tcPr>
          <w:p>
            <w:pPr>
              <w:ind w:left="40"/>
              <w:spacing w:after="0"/>
              <w:rPr>
                <w:sz w:val="20"/>
                <w:szCs w:val="20"/>
                <w:color w:val="auto"/>
              </w:rPr>
            </w:pPr>
            <w:r>
              <w:rPr>
                <w:rFonts w:ascii="Arial" w:cs="Arial" w:eastAsia="Arial" w:hAnsi="Arial"/>
                <w:sz w:val="10"/>
                <w:szCs w:val="10"/>
                <w:b w:val="1"/>
                <w:bCs w:val="1"/>
                <w:color w:val="auto"/>
              </w:rPr>
              <w:t>Corporate and Other Allocation</w:t>
            </w:r>
          </w:p>
        </w:tc>
        <w:tc>
          <w:tcPr>
            <w:tcW w:w="100" w:type="dxa"/>
            <w:vAlign w:val="bottom"/>
            <w:tcBorders>
              <w:bottom w:val="single" w:sz="8" w:color="D8EFF9"/>
              <w:right w:val="single" w:sz="8" w:color="D8EFF9"/>
            </w:tcBorders>
            <w:shd w:val="clear" w:color="auto" w:fill="D8EFF9"/>
          </w:tcPr>
          <w:p>
            <w:pPr>
              <w:spacing w:after="0"/>
              <w:rPr>
                <w:sz w:val="14"/>
                <w:szCs w:val="14"/>
                <w:color w:val="auto"/>
              </w:rPr>
            </w:pPr>
          </w:p>
        </w:tc>
        <w:tc>
          <w:tcPr>
            <w:tcW w:w="160" w:type="dxa"/>
            <w:vAlign w:val="bottom"/>
            <w:tcBorders>
              <w:bottom w:val="single" w:sz="8" w:color="D8EFF9"/>
            </w:tcBorders>
            <w:shd w:val="clear" w:color="auto" w:fill="D8EFF9"/>
          </w:tcPr>
          <w:p>
            <w:pPr>
              <w:spacing w:after="0"/>
              <w:rPr>
                <w:sz w:val="14"/>
                <w:szCs w:val="14"/>
                <w:color w:val="auto"/>
              </w:rPr>
            </w:pPr>
          </w:p>
        </w:tc>
        <w:tc>
          <w:tcPr>
            <w:tcW w:w="360" w:type="dxa"/>
            <w:vAlign w:val="bottom"/>
            <w:tcBorders>
              <w:bottom w:val="single" w:sz="8" w:color="D8EFF9"/>
            </w:tcBorders>
            <w:gridSpan w:val="2"/>
            <w:shd w:val="clear" w:color="auto" w:fill="D8EFF9"/>
          </w:tcPr>
          <w:p>
            <w:pPr>
              <w:jc w:val="right"/>
              <w:ind w:right="60"/>
              <w:spacing w:after="0"/>
              <w:rPr>
                <w:sz w:val="20"/>
                <w:szCs w:val="20"/>
                <w:color w:val="auto"/>
              </w:rPr>
            </w:pPr>
            <w:r>
              <w:rPr>
                <w:rFonts w:ascii="Arial" w:cs="Arial" w:eastAsia="Arial" w:hAnsi="Arial"/>
                <w:sz w:val="10"/>
                <w:szCs w:val="10"/>
                <w:color w:val="auto"/>
              </w:rPr>
              <w:t>(48)</w:t>
            </w:r>
          </w:p>
        </w:tc>
        <w:tc>
          <w:tcPr>
            <w:tcW w:w="500" w:type="dxa"/>
            <w:vAlign w:val="bottom"/>
            <w:tcBorders>
              <w:bottom w:val="single" w:sz="8" w:color="D8EFF9"/>
            </w:tcBorders>
            <w:gridSpan w:val="3"/>
            <w:shd w:val="clear" w:color="auto" w:fill="D8EFF9"/>
          </w:tcPr>
          <w:p>
            <w:pPr>
              <w:jc w:val="right"/>
              <w:ind w:right="60"/>
              <w:spacing w:after="0"/>
              <w:rPr>
                <w:sz w:val="20"/>
                <w:szCs w:val="20"/>
                <w:color w:val="auto"/>
              </w:rPr>
            </w:pPr>
            <w:r>
              <w:rPr>
                <w:rFonts w:ascii="Arial" w:cs="Arial" w:eastAsia="Arial" w:hAnsi="Arial"/>
                <w:sz w:val="10"/>
                <w:szCs w:val="10"/>
                <w:color w:val="auto"/>
              </w:rPr>
              <w:t>(0.09)</w:t>
            </w:r>
          </w:p>
        </w:tc>
        <w:tc>
          <w:tcPr>
            <w:tcW w:w="60" w:type="dxa"/>
            <w:vAlign w:val="bottom"/>
            <w:tcBorders>
              <w:bottom w:val="single" w:sz="8" w:color="D8EFF9"/>
            </w:tcBorders>
            <w:shd w:val="clear" w:color="auto" w:fill="D8EFF9"/>
          </w:tcPr>
          <w:p>
            <w:pPr>
              <w:spacing w:after="0"/>
              <w:rPr>
                <w:sz w:val="14"/>
                <w:szCs w:val="14"/>
                <w:color w:val="auto"/>
              </w:rPr>
            </w:pPr>
          </w:p>
        </w:tc>
        <w:tc>
          <w:tcPr>
            <w:tcW w:w="180" w:type="dxa"/>
            <w:vAlign w:val="bottom"/>
            <w:tcBorders>
              <w:bottom w:val="single" w:sz="8" w:color="D8EFF9"/>
            </w:tcBorders>
            <w:shd w:val="clear" w:color="auto" w:fill="D8EFF9"/>
          </w:tcPr>
          <w:p>
            <w:pPr>
              <w:spacing w:after="0"/>
              <w:rPr>
                <w:sz w:val="14"/>
                <w:szCs w:val="14"/>
                <w:color w:val="auto"/>
              </w:rPr>
            </w:pPr>
          </w:p>
        </w:tc>
        <w:tc>
          <w:tcPr>
            <w:tcW w:w="460" w:type="dxa"/>
            <w:vAlign w:val="bottom"/>
            <w:tcBorders>
              <w:bottom w:val="single" w:sz="8" w:color="D8EFF9"/>
            </w:tcBorders>
            <w:gridSpan w:val="2"/>
            <w:shd w:val="clear" w:color="auto" w:fill="D8EFF9"/>
          </w:tcPr>
          <w:p>
            <w:pPr>
              <w:jc w:val="right"/>
              <w:ind w:right="60"/>
              <w:spacing w:after="0"/>
              <w:rPr>
                <w:sz w:val="20"/>
                <w:szCs w:val="20"/>
                <w:color w:val="auto"/>
              </w:rPr>
            </w:pPr>
            <w:r>
              <w:rPr>
                <w:rFonts w:ascii="Arial" w:cs="Arial" w:eastAsia="Arial" w:hAnsi="Arial"/>
                <w:sz w:val="10"/>
                <w:szCs w:val="10"/>
                <w:color w:val="auto"/>
              </w:rPr>
              <w:t>(64)</w:t>
            </w:r>
          </w:p>
        </w:tc>
        <w:tc>
          <w:tcPr>
            <w:tcW w:w="80" w:type="dxa"/>
            <w:vAlign w:val="bottom"/>
            <w:tcBorders>
              <w:bottom w:val="single" w:sz="8" w:color="D8EFF9"/>
            </w:tcBorders>
            <w:shd w:val="clear" w:color="auto" w:fill="D8EFF9"/>
          </w:tcPr>
          <w:p>
            <w:pPr>
              <w:spacing w:after="0"/>
              <w:rPr>
                <w:sz w:val="14"/>
                <w:szCs w:val="14"/>
                <w:color w:val="auto"/>
              </w:rPr>
            </w:pPr>
          </w:p>
        </w:tc>
        <w:tc>
          <w:tcPr>
            <w:tcW w:w="120" w:type="dxa"/>
            <w:vAlign w:val="bottom"/>
            <w:tcBorders>
              <w:bottom w:val="single" w:sz="8" w:color="D8EFF9"/>
            </w:tcBorders>
            <w:shd w:val="clear" w:color="auto" w:fill="D8EFF9"/>
          </w:tcPr>
          <w:p>
            <w:pPr>
              <w:spacing w:after="0"/>
              <w:rPr>
                <w:sz w:val="14"/>
                <w:szCs w:val="14"/>
                <w:color w:val="auto"/>
              </w:rPr>
            </w:pPr>
          </w:p>
        </w:tc>
        <w:tc>
          <w:tcPr>
            <w:tcW w:w="400" w:type="dxa"/>
            <w:vAlign w:val="bottom"/>
            <w:tcBorders>
              <w:bottom w:val="single" w:sz="8" w:color="D8EFF9"/>
            </w:tcBorders>
            <w:gridSpan w:val="2"/>
            <w:shd w:val="clear" w:color="auto" w:fill="D8EFF9"/>
          </w:tcPr>
          <w:p>
            <w:pPr>
              <w:jc w:val="right"/>
              <w:ind w:right="60"/>
              <w:spacing w:after="0"/>
              <w:rPr>
                <w:sz w:val="20"/>
                <w:szCs w:val="20"/>
                <w:color w:val="auto"/>
              </w:rPr>
            </w:pPr>
            <w:r>
              <w:rPr>
                <w:rFonts w:ascii="Arial" w:cs="Arial" w:eastAsia="Arial" w:hAnsi="Arial"/>
                <w:sz w:val="10"/>
                <w:szCs w:val="10"/>
                <w:color w:val="auto"/>
              </w:rPr>
              <w:t>(0.12)</w:t>
            </w:r>
          </w:p>
        </w:tc>
        <w:tc>
          <w:tcPr>
            <w:tcW w:w="60" w:type="dxa"/>
            <w:vAlign w:val="bottom"/>
            <w:tcBorders>
              <w:bottom w:val="single" w:sz="8" w:color="D8EFF9"/>
            </w:tcBorders>
            <w:shd w:val="clear" w:color="auto" w:fill="D8EFF9"/>
          </w:tcPr>
          <w:p>
            <w:pPr>
              <w:spacing w:after="0"/>
              <w:rPr>
                <w:sz w:val="14"/>
                <w:szCs w:val="14"/>
                <w:color w:val="auto"/>
              </w:rPr>
            </w:pPr>
          </w:p>
        </w:tc>
        <w:tc>
          <w:tcPr>
            <w:tcW w:w="160" w:type="dxa"/>
            <w:vAlign w:val="bottom"/>
            <w:tcBorders>
              <w:bottom w:val="single" w:sz="8" w:color="D8EFF9"/>
            </w:tcBorders>
            <w:shd w:val="clear" w:color="auto" w:fill="D8EFF9"/>
          </w:tcPr>
          <w:p>
            <w:pPr>
              <w:spacing w:after="0"/>
              <w:rPr>
                <w:sz w:val="14"/>
                <w:szCs w:val="14"/>
                <w:color w:val="auto"/>
              </w:rPr>
            </w:pPr>
          </w:p>
        </w:tc>
        <w:tc>
          <w:tcPr>
            <w:tcW w:w="28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119</w:t>
            </w:r>
          </w:p>
        </w:tc>
        <w:tc>
          <w:tcPr>
            <w:tcW w:w="160" w:type="dxa"/>
            <w:vAlign w:val="bottom"/>
            <w:tcBorders>
              <w:bottom w:val="single" w:sz="8" w:color="D8EFF9"/>
            </w:tcBorders>
            <w:shd w:val="clear" w:color="auto" w:fill="D8EFF9"/>
          </w:tcPr>
          <w:p>
            <w:pPr>
              <w:spacing w:after="0"/>
              <w:rPr>
                <w:sz w:val="14"/>
                <w:szCs w:val="14"/>
                <w:color w:val="auto"/>
              </w:rPr>
            </w:pPr>
          </w:p>
        </w:tc>
        <w:tc>
          <w:tcPr>
            <w:tcW w:w="100" w:type="dxa"/>
            <w:vAlign w:val="bottom"/>
            <w:tcBorders>
              <w:bottom w:val="single" w:sz="8" w:color="D8EFF9"/>
            </w:tcBorders>
            <w:shd w:val="clear" w:color="auto" w:fill="D8EFF9"/>
          </w:tcPr>
          <w:p>
            <w:pPr>
              <w:spacing w:after="0"/>
              <w:rPr>
                <w:sz w:val="14"/>
                <w:szCs w:val="14"/>
                <w:color w:val="auto"/>
              </w:rPr>
            </w:pPr>
          </w:p>
        </w:tc>
        <w:tc>
          <w:tcPr>
            <w:tcW w:w="24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0.22</w:t>
            </w:r>
          </w:p>
        </w:tc>
        <w:tc>
          <w:tcPr>
            <w:tcW w:w="160" w:type="dxa"/>
            <w:vAlign w:val="bottom"/>
            <w:tcBorders>
              <w:bottom w:val="single" w:sz="8" w:color="D8EFF9"/>
            </w:tcBorders>
            <w:shd w:val="clear" w:color="auto" w:fill="D8EFF9"/>
          </w:tcPr>
          <w:p>
            <w:pPr>
              <w:spacing w:after="0"/>
              <w:rPr>
                <w:sz w:val="14"/>
                <w:szCs w:val="14"/>
                <w:color w:val="auto"/>
              </w:rPr>
            </w:pPr>
          </w:p>
        </w:tc>
        <w:tc>
          <w:tcPr>
            <w:tcW w:w="160" w:type="dxa"/>
            <w:vAlign w:val="bottom"/>
            <w:tcBorders>
              <w:bottom w:val="single" w:sz="8" w:color="D8EFF9"/>
            </w:tcBorders>
            <w:shd w:val="clear" w:color="auto" w:fill="D8EFF9"/>
          </w:tcPr>
          <w:p>
            <w:pPr>
              <w:spacing w:after="0"/>
              <w:rPr>
                <w:sz w:val="14"/>
                <w:szCs w:val="14"/>
                <w:color w:val="auto"/>
              </w:rPr>
            </w:pPr>
          </w:p>
        </w:tc>
        <w:tc>
          <w:tcPr>
            <w:tcW w:w="440" w:type="dxa"/>
            <w:vAlign w:val="bottom"/>
            <w:tcBorders>
              <w:bottom w:val="single" w:sz="8" w:color="D8EFF9"/>
            </w:tcBorders>
            <w:gridSpan w:val="2"/>
            <w:shd w:val="clear" w:color="auto" w:fill="D8EFF9"/>
          </w:tcPr>
          <w:p>
            <w:pPr>
              <w:jc w:val="right"/>
              <w:ind w:right="140"/>
              <w:spacing w:after="0"/>
              <w:rPr>
                <w:sz w:val="20"/>
                <w:szCs w:val="20"/>
                <w:color w:val="auto"/>
              </w:rPr>
            </w:pPr>
            <w:r>
              <w:rPr>
                <w:rFonts w:ascii="Arial" w:cs="Arial" w:eastAsia="Arial" w:hAnsi="Arial"/>
                <w:sz w:val="10"/>
                <w:szCs w:val="10"/>
                <w:color w:val="auto"/>
              </w:rPr>
              <w:t>(7)</w:t>
            </w:r>
          </w:p>
        </w:tc>
        <w:tc>
          <w:tcPr>
            <w:tcW w:w="80" w:type="dxa"/>
            <w:vAlign w:val="bottom"/>
            <w:tcBorders>
              <w:bottom w:val="single" w:sz="8" w:color="D8EFF9"/>
            </w:tcBorders>
            <w:shd w:val="clear" w:color="auto" w:fill="D8EFF9"/>
          </w:tcPr>
          <w:p>
            <w:pPr>
              <w:spacing w:after="0"/>
              <w:rPr>
                <w:sz w:val="14"/>
                <w:szCs w:val="14"/>
                <w:color w:val="auto"/>
              </w:rPr>
            </w:pPr>
          </w:p>
        </w:tc>
        <w:tc>
          <w:tcPr>
            <w:tcW w:w="400" w:type="dxa"/>
            <w:vAlign w:val="bottom"/>
            <w:tcBorders>
              <w:bottom w:val="single" w:sz="8" w:color="D8EFF9"/>
            </w:tcBorders>
            <w:gridSpan w:val="2"/>
            <w:shd w:val="clear" w:color="auto" w:fill="D8EFF9"/>
          </w:tcPr>
          <w:p>
            <w:pPr>
              <w:jc w:val="right"/>
              <w:ind w:right="120"/>
              <w:spacing w:after="0"/>
              <w:rPr>
                <w:sz w:val="20"/>
                <w:szCs w:val="20"/>
                <w:color w:val="auto"/>
              </w:rPr>
            </w:pPr>
            <w:r>
              <w:rPr>
                <w:rFonts w:ascii="Arial" w:cs="Arial" w:eastAsia="Arial" w:hAnsi="Arial"/>
                <w:sz w:val="10"/>
                <w:szCs w:val="10"/>
                <w:color w:val="auto"/>
                <w:w w:val="99"/>
              </w:rPr>
              <w:t>(0.01)</w:t>
            </w:r>
          </w:p>
        </w:tc>
        <w:tc>
          <w:tcPr>
            <w:tcW w:w="120" w:type="dxa"/>
            <w:vAlign w:val="bottom"/>
            <w:tcBorders>
              <w:bottom w:val="single" w:sz="8" w:color="D8EFF9"/>
            </w:tcBorders>
            <w:shd w:val="clear" w:color="auto" w:fill="D8EFF9"/>
          </w:tcPr>
          <w:p>
            <w:pPr>
              <w:spacing w:after="0"/>
              <w:rPr>
                <w:sz w:val="14"/>
                <w:szCs w:val="14"/>
                <w:color w:val="auto"/>
              </w:rPr>
            </w:pPr>
          </w:p>
        </w:tc>
        <w:tc>
          <w:tcPr>
            <w:tcW w:w="40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Consolidated on a non-GAAP basis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662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0.23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320"/>
              <w:spacing w:after="0"/>
              <w:rPr>
                <w:sz w:val="20"/>
                <w:szCs w:val="20"/>
                <w:color w:val="auto"/>
              </w:rPr>
            </w:pPr>
            <w:r>
              <w:rPr>
                <w:rFonts w:ascii="Arial" w:cs="Arial" w:eastAsia="Arial" w:hAnsi="Arial"/>
                <w:sz w:val="10"/>
                <w:szCs w:val="10"/>
                <w:color w:val="auto"/>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0.04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811</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shd w:val="clear" w:color="auto" w:fill="D8EFF9"/>
          </w:tcPr>
          <w:p>
            <w:pPr>
              <w:ind w:left="40"/>
              <w:spacing w:after="0" w:line="135" w:lineRule="exact"/>
              <w:rPr>
                <w:sz w:val="20"/>
                <w:szCs w:val="20"/>
                <w:color w:val="auto"/>
              </w:rPr>
            </w:pPr>
            <w:r>
              <w:rPr>
                <w:rFonts w:ascii="Arial" w:cs="Arial" w:eastAsia="Arial" w:hAnsi="Arial"/>
                <w:sz w:val="10"/>
                <w:szCs w:val="10"/>
                <w:b w:val="1"/>
                <w:bCs w:val="1"/>
                <w:color w:val="auto"/>
              </w:rPr>
              <w:t>Exclusion of CES</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 xml:space="preserve"> and CIS</w:t>
            </w:r>
            <w:r>
              <w:rPr>
                <w:rFonts w:ascii="Arial" w:cs="Arial" w:eastAsia="Arial" w:hAnsi="Arial"/>
                <w:sz w:val="14"/>
                <w:szCs w:val="14"/>
                <w:b w:val="1"/>
                <w:bCs w:val="1"/>
                <w:color w:val="auto"/>
                <w:vertAlign w:val="superscript"/>
              </w:rPr>
              <w:t>(2)</w:t>
            </w:r>
          </w:p>
        </w:tc>
        <w:tc>
          <w:tcPr>
            <w:tcW w:w="100" w:type="dxa"/>
            <w:vAlign w:val="bottom"/>
            <w:tcBorders>
              <w:right w:val="single" w:sz="8" w:color="D8EFF9"/>
            </w:tcBorders>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28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320" w:type="dxa"/>
            <w:vAlign w:val="bottom"/>
            <w:shd w:val="clear" w:color="auto" w:fill="D8EFF9"/>
          </w:tcPr>
          <w:p>
            <w:pPr>
              <w:spacing w:after="0"/>
              <w:rPr>
                <w:sz w:val="11"/>
                <w:szCs w:val="11"/>
                <w:color w:val="auto"/>
              </w:rPr>
            </w:pPr>
          </w:p>
        </w:tc>
        <w:tc>
          <w:tcPr>
            <w:tcW w:w="100" w:type="dxa"/>
            <w:vAlign w:val="bottom"/>
            <w:shd w:val="clear" w:color="auto" w:fill="D8EFF9"/>
          </w:tcPr>
          <w:p>
            <w:pPr>
              <w:spacing w:after="0"/>
              <w:rPr>
                <w:sz w:val="11"/>
                <w:szCs w:val="11"/>
                <w:color w:val="auto"/>
              </w:rPr>
            </w:pPr>
          </w:p>
        </w:tc>
        <w:tc>
          <w:tcPr>
            <w:tcW w:w="60" w:type="dxa"/>
            <w:vAlign w:val="bottom"/>
            <w:shd w:val="clear" w:color="auto" w:fill="D8EFF9"/>
          </w:tcPr>
          <w:p>
            <w:pPr>
              <w:spacing w:after="0"/>
              <w:rPr>
                <w:sz w:val="11"/>
                <w:szCs w:val="11"/>
                <w:color w:val="auto"/>
              </w:rPr>
            </w:pPr>
          </w:p>
        </w:tc>
        <w:tc>
          <w:tcPr>
            <w:tcW w:w="180" w:type="dxa"/>
            <w:vAlign w:val="bottom"/>
            <w:shd w:val="clear" w:color="auto" w:fill="D8EFF9"/>
          </w:tcPr>
          <w:p>
            <w:pPr>
              <w:spacing w:after="0"/>
              <w:rPr>
                <w:sz w:val="11"/>
                <w:szCs w:val="11"/>
                <w:color w:val="auto"/>
              </w:rPr>
            </w:pPr>
          </w:p>
        </w:tc>
        <w:tc>
          <w:tcPr>
            <w:tcW w:w="360" w:type="dxa"/>
            <w:vAlign w:val="bottom"/>
            <w:shd w:val="clear" w:color="auto" w:fill="D8EFF9"/>
          </w:tcPr>
          <w:p>
            <w:pPr>
              <w:spacing w:after="0"/>
              <w:rPr>
                <w:sz w:val="11"/>
                <w:szCs w:val="11"/>
                <w:color w:val="auto"/>
              </w:rPr>
            </w:pPr>
          </w:p>
        </w:tc>
        <w:tc>
          <w:tcPr>
            <w:tcW w:w="10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120" w:type="dxa"/>
            <w:vAlign w:val="bottom"/>
            <w:shd w:val="clear" w:color="auto" w:fill="D8EFF9"/>
          </w:tcPr>
          <w:p>
            <w:pPr>
              <w:spacing w:after="0"/>
              <w:rPr>
                <w:sz w:val="11"/>
                <w:szCs w:val="11"/>
                <w:color w:val="auto"/>
              </w:rPr>
            </w:pPr>
          </w:p>
        </w:tc>
        <w:tc>
          <w:tcPr>
            <w:tcW w:w="300" w:type="dxa"/>
            <w:vAlign w:val="bottom"/>
            <w:shd w:val="clear" w:color="auto" w:fill="D8EFF9"/>
          </w:tcPr>
          <w:p>
            <w:pPr>
              <w:spacing w:after="0"/>
              <w:rPr>
                <w:sz w:val="11"/>
                <w:szCs w:val="11"/>
                <w:color w:val="auto"/>
              </w:rPr>
            </w:pPr>
          </w:p>
        </w:tc>
        <w:tc>
          <w:tcPr>
            <w:tcW w:w="100" w:type="dxa"/>
            <w:vAlign w:val="bottom"/>
            <w:shd w:val="clear" w:color="auto" w:fill="D8EFF9"/>
          </w:tcPr>
          <w:p>
            <w:pPr>
              <w:spacing w:after="0"/>
              <w:rPr>
                <w:sz w:val="11"/>
                <w:szCs w:val="11"/>
                <w:color w:val="auto"/>
              </w:rPr>
            </w:pPr>
          </w:p>
        </w:tc>
        <w:tc>
          <w:tcPr>
            <w:tcW w:w="6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28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100" w:type="dxa"/>
            <w:vAlign w:val="bottom"/>
            <w:shd w:val="clear" w:color="auto" w:fill="D8EFF9"/>
          </w:tcPr>
          <w:p>
            <w:pPr>
              <w:spacing w:after="0"/>
              <w:rPr>
                <w:sz w:val="11"/>
                <w:szCs w:val="11"/>
                <w:color w:val="auto"/>
              </w:rPr>
            </w:pPr>
          </w:p>
        </w:tc>
        <w:tc>
          <w:tcPr>
            <w:tcW w:w="24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280" w:type="dxa"/>
            <w:vAlign w:val="bottom"/>
            <w:shd w:val="clear" w:color="auto" w:fill="D8EFF9"/>
          </w:tcPr>
          <w:p>
            <w:pPr>
              <w:spacing w:after="0"/>
              <w:rPr>
                <w:sz w:val="11"/>
                <w:szCs w:val="11"/>
                <w:color w:val="auto"/>
              </w:rPr>
            </w:pPr>
          </w:p>
        </w:tc>
        <w:tc>
          <w:tcPr>
            <w:tcW w:w="16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260" w:type="dxa"/>
            <w:vAlign w:val="bottom"/>
            <w:shd w:val="clear" w:color="auto" w:fill="D8EFF9"/>
          </w:tcPr>
          <w:p>
            <w:pPr>
              <w:spacing w:after="0"/>
              <w:rPr>
                <w:sz w:val="11"/>
                <w:szCs w:val="11"/>
                <w:color w:val="auto"/>
              </w:rPr>
            </w:pPr>
          </w:p>
        </w:tc>
        <w:tc>
          <w:tcPr>
            <w:tcW w:w="140" w:type="dxa"/>
            <w:vAlign w:val="bottom"/>
            <w:shd w:val="clear" w:color="auto" w:fill="D8EFF9"/>
          </w:tcPr>
          <w:p>
            <w:pPr>
              <w:spacing w:after="0"/>
              <w:rPr>
                <w:sz w:val="11"/>
                <w:szCs w:val="11"/>
                <w:color w:val="auto"/>
              </w:rPr>
            </w:pPr>
          </w:p>
        </w:tc>
        <w:tc>
          <w:tcPr>
            <w:tcW w:w="120" w:type="dxa"/>
            <w:vAlign w:val="bottom"/>
            <w:shd w:val="clear" w:color="auto" w:fill="D8EFF9"/>
          </w:tcPr>
          <w:p>
            <w:pPr>
              <w:spacing w:after="0"/>
              <w:rPr>
                <w:sz w:val="11"/>
                <w:szCs w:val="11"/>
                <w:color w:val="auto"/>
              </w:rPr>
            </w:pPr>
          </w:p>
        </w:tc>
        <w:tc>
          <w:tcPr>
            <w:tcW w:w="340" w:type="dxa"/>
            <w:vAlign w:val="bottom"/>
            <w:shd w:val="clear" w:color="auto" w:fill="D8EFF9"/>
          </w:tcPr>
          <w:p>
            <w:pPr>
              <w:spacing w:after="0"/>
              <w:rPr>
                <w:sz w:val="11"/>
                <w:szCs w:val="11"/>
                <w:color w:val="auto"/>
              </w:rPr>
            </w:pPr>
          </w:p>
        </w:tc>
        <w:tc>
          <w:tcPr>
            <w:tcW w:w="60" w:type="dxa"/>
            <w:vAlign w:val="bottom"/>
            <w:shd w:val="clear" w:color="auto" w:fill="D8EFF9"/>
          </w:tcPr>
          <w:p>
            <w:pPr>
              <w:spacing w:after="0"/>
              <w:rPr>
                <w:sz w:val="11"/>
                <w:szCs w:val="11"/>
                <w:color w:val="auto"/>
              </w:rPr>
            </w:pPr>
          </w:p>
        </w:tc>
        <w:tc>
          <w:tcPr>
            <w:tcW w:w="40" w:type="dxa"/>
            <w:vAlign w:val="bottom"/>
            <w:shd w:val="clear" w:color="auto" w:fill="D8EFF9"/>
          </w:tcPr>
          <w:p>
            <w:pPr>
              <w:spacing w:after="0"/>
              <w:rPr>
                <w:sz w:val="11"/>
                <w:szCs w:val="11"/>
                <w:color w:val="auto"/>
              </w:rPr>
            </w:pPr>
          </w:p>
        </w:tc>
        <w:tc>
          <w:tcPr>
            <w:tcW w:w="340" w:type="dxa"/>
            <w:vAlign w:val="bottom"/>
            <w:shd w:val="clear" w:color="auto" w:fill="D8EFF9"/>
          </w:tcPr>
          <w:p>
            <w:pPr>
              <w:spacing w:after="0"/>
              <w:rPr>
                <w:sz w:val="11"/>
                <w:szCs w:val="11"/>
                <w:color w:val="auto"/>
              </w:rPr>
            </w:pPr>
          </w:p>
        </w:tc>
        <w:tc>
          <w:tcPr>
            <w:tcW w:w="80" w:type="dxa"/>
            <w:vAlign w:val="bottom"/>
            <w:shd w:val="clear" w:color="auto" w:fill="D8EFF9"/>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D8EFF9"/>
          </w:tcPr>
          <w:p>
            <w:pPr>
              <w:ind w:left="40"/>
              <w:spacing w:after="0" w:line="156" w:lineRule="exact"/>
              <w:rPr>
                <w:sz w:val="20"/>
                <w:szCs w:val="20"/>
                <w:color w:val="auto"/>
              </w:rPr>
            </w:pPr>
            <w:r>
              <w:rPr>
                <w:rFonts w:ascii="Arial" w:cs="Arial" w:eastAsia="Arial" w:hAnsi="Arial"/>
                <w:sz w:val="10"/>
                <w:szCs w:val="10"/>
                <w:b w:val="1"/>
                <w:bCs w:val="1"/>
                <w:color w:val="auto"/>
              </w:rPr>
              <w:t>Discontinued Operations</w:t>
            </w:r>
            <w:r>
              <w:rPr>
                <w:rFonts w:ascii="Arial" w:cs="Arial" w:eastAsia="Arial" w:hAnsi="Arial"/>
                <w:sz w:val="14"/>
                <w:szCs w:val="14"/>
                <w:b w:val="1"/>
                <w:bCs w:val="1"/>
                <w:color w:val="auto"/>
                <w:vertAlign w:val="superscript"/>
              </w:rPr>
              <w:t>(7)</w:t>
            </w:r>
          </w:p>
        </w:tc>
        <w:tc>
          <w:tcPr>
            <w:tcW w:w="100" w:type="dxa"/>
            <w:vAlign w:val="bottom"/>
            <w:tcBorders>
              <w:right w:val="single" w:sz="8" w:color="D8EFF9"/>
            </w:tcBorders>
            <w:shd w:val="clear" w:color="auto" w:fill="D8EFF9"/>
          </w:tcPr>
          <w:p>
            <w:pPr>
              <w:spacing w:after="0"/>
              <w:rPr>
                <w:sz w:val="13"/>
                <w:szCs w:val="13"/>
                <w:color w:val="auto"/>
              </w:rPr>
            </w:pPr>
          </w:p>
        </w:tc>
        <w:tc>
          <w:tcPr>
            <w:tcW w:w="160" w:type="dxa"/>
            <w:vAlign w:val="bottom"/>
            <w:shd w:val="clear" w:color="auto" w:fill="D8EFF9"/>
          </w:tcPr>
          <w:p>
            <w:pPr>
              <w:spacing w:after="0"/>
              <w:rPr>
                <w:sz w:val="13"/>
                <w:szCs w:val="13"/>
                <w:color w:val="auto"/>
              </w:rPr>
            </w:pPr>
          </w:p>
        </w:tc>
        <w:tc>
          <w:tcPr>
            <w:tcW w:w="360" w:type="dxa"/>
            <w:vAlign w:val="bottom"/>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D8EFF9"/>
          </w:tcPr>
          <w:p>
            <w:pPr>
              <w:spacing w:after="0"/>
              <w:rPr>
                <w:sz w:val="13"/>
                <w:szCs w:val="13"/>
                <w:color w:val="auto"/>
              </w:rPr>
            </w:pPr>
          </w:p>
        </w:tc>
        <w:tc>
          <w:tcPr>
            <w:tcW w:w="42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3"/>
                <w:szCs w:val="13"/>
                <w:color w:val="auto"/>
              </w:rPr>
            </w:pPr>
          </w:p>
        </w:tc>
        <w:tc>
          <w:tcPr>
            <w:tcW w:w="180" w:type="dxa"/>
            <w:vAlign w:val="bottom"/>
            <w:shd w:val="clear" w:color="auto" w:fill="D8EFF9"/>
          </w:tcPr>
          <w:p>
            <w:pPr>
              <w:spacing w:after="0"/>
              <w:rPr>
                <w:sz w:val="13"/>
                <w:szCs w:val="13"/>
                <w:color w:val="auto"/>
              </w:rPr>
            </w:pPr>
          </w:p>
        </w:tc>
        <w:tc>
          <w:tcPr>
            <w:tcW w:w="46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D8EFF9"/>
          </w:tcPr>
          <w:p>
            <w:pPr>
              <w:spacing w:after="0"/>
              <w:rPr>
                <w:sz w:val="13"/>
                <w:szCs w:val="13"/>
                <w:color w:val="auto"/>
              </w:rPr>
            </w:pPr>
          </w:p>
        </w:tc>
        <w:tc>
          <w:tcPr>
            <w:tcW w:w="120" w:type="dxa"/>
            <w:vAlign w:val="bottom"/>
            <w:shd w:val="clear" w:color="auto" w:fill="D8EFF9"/>
          </w:tcPr>
          <w:p>
            <w:pPr>
              <w:spacing w:after="0"/>
              <w:rPr>
                <w:sz w:val="13"/>
                <w:szCs w:val="13"/>
                <w:color w:val="auto"/>
              </w:rPr>
            </w:pPr>
          </w:p>
        </w:tc>
        <w:tc>
          <w:tcPr>
            <w:tcW w:w="400" w:type="dxa"/>
            <w:vAlign w:val="bottom"/>
            <w:gridSpan w:val="2"/>
            <w:shd w:val="clear" w:color="auto" w:fill="D8EFF9"/>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D8EFF9"/>
          </w:tcPr>
          <w:p>
            <w:pPr>
              <w:spacing w:after="0"/>
              <w:rPr>
                <w:sz w:val="13"/>
                <w:szCs w:val="13"/>
                <w:color w:val="auto"/>
              </w:rPr>
            </w:pPr>
          </w:p>
        </w:tc>
        <w:tc>
          <w:tcPr>
            <w:tcW w:w="160" w:type="dxa"/>
            <w:vAlign w:val="bottom"/>
            <w:shd w:val="clear" w:color="auto" w:fill="D8EFF9"/>
          </w:tcPr>
          <w:p>
            <w:pPr>
              <w:spacing w:after="0"/>
              <w:rPr>
                <w:sz w:val="13"/>
                <w:szCs w:val="13"/>
                <w:color w:val="auto"/>
              </w:rPr>
            </w:pPr>
          </w:p>
        </w:tc>
        <w:tc>
          <w:tcPr>
            <w:tcW w:w="540" w:type="dxa"/>
            <w:vAlign w:val="bottom"/>
            <w:gridSpan w:val="3"/>
            <w:shd w:val="clear" w:color="auto" w:fill="D8EFF9"/>
          </w:tcPr>
          <w:p>
            <w:pPr>
              <w:jc w:val="right"/>
              <w:ind w:right="260"/>
              <w:spacing w:after="0"/>
              <w:rPr>
                <w:sz w:val="20"/>
                <w:szCs w:val="20"/>
                <w:color w:val="auto"/>
              </w:rPr>
            </w:pPr>
            <w:r>
              <w:rPr>
                <w:rFonts w:ascii="Arial" w:cs="Arial" w:eastAsia="Arial" w:hAnsi="Arial"/>
                <w:sz w:val="10"/>
                <w:szCs w:val="10"/>
                <w:color w:val="auto"/>
              </w:rPr>
              <w:t>—</w:t>
            </w:r>
          </w:p>
        </w:tc>
        <w:tc>
          <w:tcPr>
            <w:tcW w:w="560" w:type="dxa"/>
            <w:vAlign w:val="bottom"/>
            <w:gridSpan w:val="3"/>
            <w:shd w:val="clear" w:color="auto" w:fill="D8EFF9"/>
          </w:tcPr>
          <w:p>
            <w:pPr>
              <w:jc w:val="right"/>
              <w:ind w:right="32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D8EFF9"/>
          </w:tcPr>
          <w:p>
            <w:pPr>
              <w:jc w:val="right"/>
              <w:ind w:right="140"/>
              <w:spacing w:after="0"/>
              <w:rPr>
                <w:sz w:val="20"/>
                <w:szCs w:val="20"/>
                <w:color w:val="auto"/>
              </w:rPr>
            </w:pPr>
            <w:r>
              <w:rPr>
                <w:rFonts w:ascii="Arial" w:cs="Arial" w:eastAsia="Arial" w:hAnsi="Arial"/>
                <w:sz w:val="10"/>
                <w:szCs w:val="10"/>
                <w:color w:val="auto"/>
              </w:rPr>
              <w:t>(18)</w:t>
            </w:r>
          </w:p>
        </w:tc>
        <w:tc>
          <w:tcPr>
            <w:tcW w:w="80" w:type="dxa"/>
            <w:vAlign w:val="bottom"/>
            <w:shd w:val="clear" w:color="auto" w:fill="D8EFF9"/>
          </w:tcPr>
          <w:p>
            <w:pPr>
              <w:spacing w:after="0"/>
              <w:rPr>
                <w:sz w:val="13"/>
                <w:szCs w:val="13"/>
                <w:color w:val="auto"/>
              </w:rPr>
            </w:pPr>
          </w:p>
        </w:tc>
        <w:tc>
          <w:tcPr>
            <w:tcW w:w="400" w:type="dxa"/>
            <w:vAlign w:val="bottom"/>
            <w:gridSpan w:val="2"/>
            <w:shd w:val="clear" w:color="auto" w:fill="D8EFF9"/>
          </w:tcPr>
          <w:p>
            <w:pPr>
              <w:jc w:val="right"/>
              <w:ind w:right="120"/>
              <w:spacing w:after="0"/>
              <w:rPr>
                <w:sz w:val="20"/>
                <w:szCs w:val="20"/>
                <w:color w:val="auto"/>
              </w:rPr>
            </w:pPr>
            <w:r>
              <w:rPr>
                <w:rFonts w:ascii="Arial" w:cs="Arial" w:eastAsia="Arial" w:hAnsi="Arial"/>
                <w:sz w:val="10"/>
                <w:szCs w:val="10"/>
                <w:color w:val="auto"/>
                <w:w w:val="99"/>
              </w:rPr>
              <w:t>(0.04)</w:t>
            </w:r>
          </w:p>
        </w:tc>
        <w:tc>
          <w:tcPr>
            <w:tcW w:w="120" w:type="dxa"/>
            <w:vAlign w:val="bottom"/>
            <w:shd w:val="clear" w:color="auto" w:fill="D8EFF9"/>
          </w:tcPr>
          <w:p>
            <w:pPr>
              <w:spacing w:after="0"/>
              <w:rPr>
                <w:sz w:val="13"/>
                <w:szCs w:val="13"/>
                <w:color w:val="auto"/>
              </w:rPr>
            </w:pPr>
          </w:p>
        </w:tc>
        <w:tc>
          <w:tcPr>
            <w:tcW w:w="400" w:type="dxa"/>
            <w:vAlign w:val="bottom"/>
            <w:gridSpan w:val="2"/>
            <w:shd w:val="clear" w:color="auto" w:fill="D8EFF9"/>
          </w:tcPr>
          <w:p>
            <w:pPr>
              <w:jc w:val="right"/>
              <w:ind w:right="40"/>
              <w:spacing w:after="0"/>
              <w:rPr>
                <w:sz w:val="20"/>
                <w:szCs w:val="20"/>
                <w:color w:val="auto"/>
              </w:rPr>
            </w:pPr>
            <w:r>
              <w:rPr>
                <w:rFonts w:ascii="Arial" w:cs="Arial" w:eastAsia="Arial" w:hAnsi="Arial"/>
                <w:sz w:val="10"/>
                <w:szCs w:val="10"/>
                <w:color w:val="auto"/>
              </w:rPr>
              <w:t>(18)</w:t>
            </w:r>
          </w:p>
        </w:tc>
        <w:tc>
          <w:tcPr>
            <w:tcW w:w="460" w:type="dxa"/>
            <w:vAlign w:val="bottom"/>
            <w:gridSpan w:val="3"/>
            <w:shd w:val="clear" w:color="auto" w:fill="D8EFF9"/>
          </w:tcPr>
          <w:p>
            <w:pPr>
              <w:jc w:val="right"/>
              <w:ind w:right="40"/>
              <w:spacing w:after="0"/>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33"/>
        </w:trPr>
        <w:tc>
          <w:tcPr>
            <w:tcW w:w="1780" w:type="dxa"/>
            <w:vAlign w:val="bottom"/>
          </w:tcPr>
          <w:p>
            <w:pPr>
              <w:ind w:left="40"/>
              <w:spacing w:after="0"/>
              <w:rPr>
                <w:sz w:val="20"/>
                <w:szCs w:val="20"/>
                <w:color w:val="auto"/>
              </w:rPr>
            </w:pPr>
            <w:r>
              <w:rPr>
                <w:rFonts w:ascii="Arial" w:cs="Arial" w:eastAsia="Arial" w:hAnsi="Arial"/>
                <w:sz w:val="10"/>
                <w:szCs w:val="10"/>
                <w:b w:val="1"/>
                <w:bCs w:val="1"/>
                <w:color w:val="auto"/>
              </w:rPr>
              <w:t>Consolidated on a non-GAAP basis,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80" w:type="dxa"/>
            <w:vAlign w:val="bottom"/>
          </w:tcPr>
          <w:p>
            <w:pPr>
              <w:ind w:left="40"/>
              <w:spacing w:after="0" w:line="156" w:lineRule="exact"/>
              <w:rPr>
                <w:sz w:val="20"/>
                <w:szCs w:val="20"/>
                <w:color w:val="auto"/>
              </w:rPr>
            </w:pPr>
            <w:r>
              <w:rPr>
                <w:rFonts w:ascii="Arial" w:cs="Arial" w:eastAsia="Arial" w:hAnsi="Arial"/>
                <w:sz w:val="10"/>
                <w:szCs w:val="10"/>
                <w:b w:val="1"/>
                <w:bCs w:val="1"/>
                <w:color w:val="auto"/>
              </w:rPr>
              <w:t>excluding CES</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 xml:space="preserve"> and CIS</w:t>
            </w:r>
            <w:r>
              <w:rPr>
                <w:rFonts w:ascii="Arial" w:cs="Arial" w:eastAsia="Arial" w:hAnsi="Arial"/>
                <w:sz w:val="14"/>
                <w:szCs w:val="14"/>
                <w:b w:val="1"/>
                <w:bCs w:val="1"/>
                <w:color w:val="auto"/>
                <w:vertAlign w:val="superscript"/>
              </w:rPr>
              <w:t>(2)</w:t>
            </w:r>
          </w:p>
        </w:tc>
        <w:tc>
          <w:tcPr>
            <w:tcW w:w="100" w:type="dxa"/>
            <w:vAlign w:val="bottom"/>
          </w:tcPr>
          <w:p>
            <w:pPr>
              <w:spacing w:after="0"/>
              <w:rPr>
                <w:sz w:val="13"/>
                <w:szCs w:val="13"/>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10"/>
                <w:szCs w:val="10"/>
                <w:color w:val="auto"/>
              </w:rPr>
              <w:t>662</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  1.17</w:t>
            </w:r>
          </w:p>
        </w:tc>
        <w:tc>
          <w:tcPr>
            <w:tcW w:w="10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131</w:t>
            </w:r>
          </w:p>
        </w:tc>
        <w:tc>
          <w:tcPr>
            <w:tcW w:w="100" w:type="dxa"/>
            <w:vAlign w:val="bottom"/>
          </w:tcPr>
          <w:p>
            <w:pPr>
              <w:spacing w:after="0"/>
              <w:rPr>
                <w:sz w:val="13"/>
                <w:szCs w:val="1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0.23</w:t>
            </w:r>
          </w:p>
        </w:tc>
        <w:tc>
          <w:tcPr>
            <w:tcW w:w="10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40" w:type="dxa"/>
            <w:vAlign w:val="bottom"/>
            <w:gridSpan w:val="3"/>
          </w:tcPr>
          <w:p>
            <w:pPr>
              <w:ind w:left="180"/>
              <w:spacing w:after="0"/>
              <w:rPr>
                <w:sz w:val="20"/>
                <w:szCs w:val="20"/>
                <w:color w:val="auto"/>
              </w:rPr>
            </w:pPr>
            <w:r>
              <w:rPr>
                <w:rFonts w:ascii="Arial" w:cs="Arial" w:eastAsia="Arial" w:hAnsi="Arial"/>
                <w:sz w:val="10"/>
                <w:szCs w:val="10"/>
                <w:color w:val="auto"/>
              </w:rPr>
              <w:t>—   $</w:t>
            </w:r>
          </w:p>
        </w:tc>
        <w:tc>
          <w:tcPr>
            <w:tcW w:w="560" w:type="dxa"/>
            <w:vAlign w:val="bottom"/>
            <w:gridSpan w:val="3"/>
          </w:tcPr>
          <w:p>
            <w:pPr>
              <w:ind w:left="140"/>
              <w:spacing w:after="0"/>
              <w:rPr>
                <w:sz w:val="20"/>
                <w:szCs w:val="20"/>
                <w:color w:val="auto"/>
              </w:rPr>
            </w:pPr>
            <w:r>
              <w:rPr>
                <w:rFonts w:ascii="Arial" w:cs="Arial" w:eastAsia="Arial" w:hAnsi="Arial"/>
                <w:sz w:val="10"/>
                <w:szCs w:val="10"/>
                <w:color w:val="auto"/>
              </w:rPr>
              <w:t>—   $</w:t>
            </w:r>
          </w:p>
        </w:tc>
        <w:tc>
          <w:tcPr>
            <w:tcW w:w="520" w:type="dxa"/>
            <w:vAlign w:val="bottom"/>
            <w:gridSpan w:val="3"/>
          </w:tcPr>
          <w:p>
            <w:pPr>
              <w:ind w:left="180"/>
              <w:spacing w:after="0"/>
              <w:rPr>
                <w:sz w:val="20"/>
                <w:szCs w:val="20"/>
                <w:color w:val="auto"/>
              </w:rPr>
            </w:pPr>
            <w:r>
              <w:rPr>
                <w:rFonts w:ascii="Arial" w:cs="Arial" w:eastAsia="Arial" w:hAnsi="Arial"/>
                <w:sz w:val="10"/>
                <w:szCs w:val="10"/>
                <w:color w:val="auto"/>
              </w:rPr>
              <w:t>—   $</w:t>
            </w:r>
          </w:p>
        </w:tc>
        <w:tc>
          <w:tcPr>
            <w:tcW w:w="520" w:type="dxa"/>
            <w:vAlign w:val="bottom"/>
            <w:gridSpan w:val="3"/>
          </w:tcPr>
          <w:p>
            <w:pPr>
              <w:ind w:left="140"/>
              <w:spacing w:after="0"/>
              <w:rPr>
                <w:sz w:val="20"/>
                <w:szCs w:val="20"/>
                <w:color w:val="auto"/>
              </w:rPr>
            </w:pPr>
            <w:r>
              <w:rPr>
                <w:rFonts w:ascii="Arial" w:cs="Arial" w:eastAsia="Arial" w:hAnsi="Arial"/>
                <w:sz w:val="10"/>
                <w:szCs w:val="10"/>
                <w:color w:val="auto"/>
              </w:rPr>
              <w:t>—   $</w:t>
            </w:r>
          </w:p>
        </w:tc>
        <w:tc>
          <w:tcPr>
            <w:tcW w:w="340" w:type="dxa"/>
            <w:vAlign w:val="bottom"/>
          </w:tcPr>
          <w:p>
            <w:pPr>
              <w:jc w:val="right"/>
              <w:spacing w:after="0"/>
              <w:rPr>
                <w:sz w:val="20"/>
                <w:szCs w:val="20"/>
                <w:color w:val="auto"/>
              </w:rPr>
            </w:pPr>
            <w:r>
              <w:rPr>
                <w:rFonts w:ascii="Arial" w:cs="Arial" w:eastAsia="Arial" w:hAnsi="Arial"/>
                <w:sz w:val="10"/>
                <w:szCs w:val="10"/>
                <w:color w:val="auto"/>
              </w:rPr>
              <w:t>793</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  1.40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160" w:hanging="226"/>
        <w:spacing w:after="0"/>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Energy Services segment</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Infrastructure Services segment</w:t>
      </w:r>
    </w:p>
    <w:p>
      <w:pPr>
        <w:spacing w:after="0" w:line="39" w:lineRule="exact"/>
        <w:rPr>
          <w:rFonts w:ascii="Arial" w:cs="Arial" w:eastAsia="Arial" w:hAnsi="Arial"/>
          <w:sz w:val="10"/>
          <w:szCs w:val="10"/>
          <w:color w:val="auto"/>
        </w:rPr>
      </w:pPr>
    </w:p>
    <w:p>
      <w:pPr>
        <w:jc w:val="both"/>
        <w:ind w:left="2160" w:right="799" w:hanging="226"/>
        <w:spacing w:after="0" w:line="232" w:lineRule="auto"/>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Taxes are computed based on the impact removing such item would have on tax expense</w:t>
      </w:r>
    </w:p>
    <w:p>
      <w:pPr>
        <w:spacing w:after="0" w:line="39" w:lineRule="exact"/>
        <w:rPr>
          <w:rFonts w:ascii="Arial" w:cs="Arial" w:eastAsia="Arial" w:hAnsi="Arial"/>
          <w:sz w:val="10"/>
          <w:szCs w:val="10"/>
          <w:color w:val="auto"/>
        </w:rPr>
      </w:pPr>
    </w:p>
    <w:p>
      <w:pPr>
        <w:ind w:left="2160" w:hanging="226"/>
        <w:spacing w:after="0"/>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Comprised of common stock of AT&amp;T Inc. and Charter Communications, Inc.</w:t>
      </w:r>
    </w:p>
    <w:p>
      <w:pPr>
        <w:spacing w:after="0" w:line="39" w:lineRule="exact"/>
        <w:rPr>
          <w:rFonts w:ascii="Arial" w:cs="Arial" w:eastAsia="Arial" w:hAnsi="Arial"/>
          <w:sz w:val="10"/>
          <w:szCs w:val="10"/>
          <w:color w:val="auto"/>
        </w:rPr>
      </w:pPr>
    </w:p>
    <w:p>
      <w:pPr>
        <w:ind w:left="2160" w:right="799" w:hanging="226"/>
        <w:spacing w:after="0" w:line="234" w:lineRule="auto"/>
        <w:tabs>
          <w:tab w:leader="none" w:pos="2160" w:val="left"/>
        </w:tabs>
        <w:numPr>
          <w:ilvl w:val="0"/>
          <w:numId w:val="154"/>
        </w:numPr>
        <w:rPr>
          <w:rFonts w:ascii="Arial" w:cs="Arial" w:eastAsia="Arial" w:hAnsi="Arial"/>
          <w:sz w:val="10"/>
          <w:szCs w:val="10"/>
          <w:color w:val="auto"/>
        </w:rPr>
      </w:pPr>
      <w:r>
        <w:rPr>
          <w:rFonts w:ascii="Arial" w:cs="Arial" w:eastAsia="Arial" w:hAnsi="Arial"/>
          <w:sz w:val="10"/>
          <w:szCs w:val="10"/>
          <w:color w:val="auto"/>
        </w:rPr>
        <w:t>The Corporate and Other allocation includes after tax Corporate and Other operating income, earnings from the Midstream preferred distributions net of an associated amount of debt, and an allocation of corporate overhead based upon Utility’s and Midstream’s relative</w:t>
      </w:r>
    </w:p>
    <w:p>
      <w:pPr>
        <w:spacing w:after="0" w:line="159" w:lineRule="exact"/>
        <w:rPr>
          <w:sz w:val="20"/>
          <w:szCs w:val="20"/>
          <w:color w:val="auto"/>
        </w:rPr>
      </w:pPr>
    </w:p>
    <w:p>
      <w:pPr>
        <w:ind w:left="8000"/>
        <w:spacing w:after="0"/>
        <w:tabs>
          <w:tab w:leader="none" w:pos="9040" w:val="left"/>
        </w:tabs>
        <w:rPr>
          <w:sz w:val="20"/>
          <w:szCs w:val="20"/>
          <w:color w:val="auto"/>
        </w:rPr>
      </w:pPr>
      <w:r>
        <w:rPr>
          <w:rFonts w:ascii="Arial" w:cs="Arial" w:eastAsia="Arial" w:hAnsi="Arial"/>
          <w:sz w:val="13"/>
          <w:szCs w:val="13"/>
          <w:color w:val="auto"/>
        </w:rPr>
        <w:t>Always There</w:t>
      </w:r>
      <w:r>
        <w:rPr>
          <w:rFonts w:ascii="Arial" w:cs="Arial" w:eastAsia="Arial" w:hAnsi="Arial"/>
          <w:sz w:val="20"/>
          <w:szCs w:val="20"/>
          <w:color w:val="auto"/>
          <w:vertAlign w:val="superscript"/>
        </w:rPr>
        <w:t>®</w:t>
      </w:r>
      <w:r>
        <w:rPr>
          <w:sz w:val="20"/>
          <w:szCs w:val="20"/>
          <w:color w:val="auto"/>
        </w:rPr>
        <w:tab/>
      </w:r>
      <w:r>
        <w:rPr>
          <w:rFonts w:ascii="Arial" w:cs="Arial" w:eastAsia="Arial" w:hAnsi="Arial"/>
          <w:sz w:val="14"/>
          <w:szCs w:val="14"/>
          <w:b w:val="1"/>
          <w:bCs w:val="1"/>
          <w:color w:val="009AD9"/>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-137160</wp:posOffset>
            </wp:positionV>
            <wp:extent cx="471170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139700</wp:posOffset>
            </wp:positionV>
            <wp:extent cx="4711700" cy="14986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711700" cy="149860"/>
                    </a:xfrm>
                    <a:prstGeom prst="rect">
                      <a:avLst/>
                    </a:prstGeom>
                    <a:noFill/>
                  </pic:spPr>
                </pic:pic>
              </a:graphicData>
            </a:graphic>
          </wp:anchor>
        </w:drawing>
      </w:r>
    </w:p>
    <w:p>
      <w:pPr>
        <w:spacing w:after="0" w:line="227" w:lineRule="exact"/>
        <w:rPr>
          <w:sz w:val="20"/>
          <w:szCs w:val="20"/>
          <w:color w:val="auto"/>
        </w:rPr>
      </w:pPr>
    </w:p>
    <w:p>
      <w:pPr>
        <w:ind w:left="2180"/>
        <w:spacing w:after="0"/>
        <w:rPr>
          <w:sz w:val="20"/>
          <w:szCs w:val="20"/>
          <w:color w:val="auto"/>
        </w:rPr>
      </w:pPr>
      <w:r>
        <w:rPr>
          <w:rFonts w:ascii="Arial" w:cs="Arial" w:eastAsia="Arial" w:hAnsi="Arial"/>
          <w:sz w:val="12"/>
          <w:szCs w:val="12"/>
          <w:color w:val="FFFFFF"/>
        </w:rPr>
        <w:t>2023 Proxy Statement</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0"/>
          <w:szCs w:val="10"/>
          <w:i w:val="1"/>
          <w:iCs w:val="1"/>
          <w:color w:val="auto"/>
        </w:rPr>
        <w:t>Appendix A (continued)</w:t>
      </w:r>
    </w:p>
    <w:p>
      <w:pPr>
        <w:spacing w:after="0" w:line="104" w:lineRule="exact"/>
        <w:rPr>
          <w:sz w:val="20"/>
          <w:szCs w:val="20"/>
          <w:color w:val="auto"/>
        </w:rPr>
      </w:pPr>
    </w:p>
    <w:p>
      <w:pPr>
        <w:ind w:left="2160" w:right="819"/>
        <w:spacing w:after="0" w:line="234" w:lineRule="auto"/>
        <w:rPr>
          <w:sz w:val="20"/>
          <w:szCs w:val="20"/>
          <w:color w:val="auto"/>
        </w:rPr>
      </w:pPr>
      <w:r>
        <w:rPr>
          <w:rFonts w:ascii="Arial" w:cs="Arial" w:eastAsia="Arial" w:hAnsi="Arial"/>
          <w:sz w:val="10"/>
          <w:szCs w:val="10"/>
          <w:color w:val="auto"/>
        </w:rPr>
        <w:t>earnings contribution. Corporate overhead consists primarily of interest expense, preferred stock dividend requirements, and other items directly attributable to the parent along with the associated income taxes.</w:t>
      </w:r>
    </w:p>
    <w:p>
      <w:pPr>
        <w:spacing w:after="0" w:line="39" w:lineRule="exact"/>
        <w:rPr>
          <w:sz w:val="20"/>
          <w:szCs w:val="20"/>
          <w:color w:val="auto"/>
        </w:rPr>
      </w:pPr>
    </w:p>
    <w:p>
      <w:pPr>
        <w:ind w:left="2160" w:hanging="226"/>
        <w:spacing w:after="0"/>
        <w:tabs>
          <w:tab w:leader="none" w:pos="2160" w:val="left"/>
        </w:tabs>
        <w:numPr>
          <w:ilvl w:val="0"/>
          <w:numId w:val="155"/>
        </w:numPr>
        <w:rPr>
          <w:rFonts w:ascii="Arial" w:cs="Arial" w:eastAsia="Arial" w:hAnsi="Arial"/>
          <w:sz w:val="10"/>
          <w:szCs w:val="10"/>
          <w:color w:val="auto"/>
        </w:rPr>
      </w:pPr>
      <w:r>
        <w:rPr>
          <w:rFonts w:ascii="Arial" w:cs="Arial" w:eastAsia="Arial" w:hAnsi="Arial"/>
          <w:sz w:val="10"/>
          <w:szCs w:val="10"/>
          <w:color w:val="auto"/>
        </w:rPr>
        <w:t>Results related to Energy Services and Infrastructure Services discontinued operations are excluded from the company’s non-GAAP results</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2"/>
          <w:szCs w:val="12"/>
          <w:i w:val="1"/>
          <w:iCs w:val="1"/>
          <w:color w:val="auto"/>
        </w:rPr>
        <w:t>Reconciliation of Cumulative Net Income to Nearest GAAP Metric</w:t>
      </w:r>
    </w:p>
    <w:p>
      <w:pPr>
        <w:spacing w:after="0" w:line="83"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Reported cumulative net income pursuant to GAAP is adjusted for the following:</w:t>
      </w:r>
    </w:p>
    <w:p>
      <w:pPr>
        <w:spacing w:after="0" w:line="80" w:lineRule="exact"/>
        <w:rPr>
          <w:sz w:val="20"/>
          <w:szCs w:val="20"/>
          <w:color w:val="auto"/>
        </w:rPr>
      </w:pPr>
    </w:p>
    <w:p>
      <w:pPr>
        <w:ind w:left="2520" w:hanging="295"/>
        <w:spacing w:after="0"/>
        <w:tabs>
          <w:tab w:leader="none" w:pos="2520" w:val="left"/>
        </w:tabs>
        <w:numPr>
          <w:ilvl w:val="0"/>
          <w:numId w:val="156"/>
        </w:numPr>
        <w:rPr>
          <w:rFonts w:ascii="Arial" w:cs="Arial" w:eastAsia="Arial" w:hAnsi="Arial"/>
          <w:sz w:val="12"/>
          <w:szCs w:val="12"/>
          <w:color w:val="009AD9"/>
        </w:rPr>
      </w:pPr>
      <w:r>
        <w:rPr>
          <w:rFonts w:ascii="Arial" w:cs="Arial" w:eastAsia="Arial" w:hAnsi="Arial"/>
          <w:sz w:val="12"/>
          <w:szCs w:val="12"/>
          <w:color w:val="auto"/>
        </w:rPr>
        <w:t>net income from midstream investments business;</w:t>
      </w:r>
    </w:p>
    <w:p>
      <w:pPr>
        <w:spacing w:after="0" w:line="80" w:lineRule="exact"/>
        <w:rPr>
          <w:rFonts w:ascii="Arial" w:cs="Arial" w:eastAsia="Arial" w:hAnsi="Arial"/>
          <w:sz w:val="12"/>
          <w:szCs w:val="12"/>
          <w:color w:val="009AD9"/>
        </w:rPr>
      </w:pPr>
    </w:p>
    <w:p>
      <w:pPr>
        <w:ind w:left="2520" w:right="819" w:hanging="295"/>
        <w:spacing w:after="0" w:line="250" w:lineRule="auto"/>
        <w:tabs>
          <w:tab w:leader="none" w:pos="2520" w:val="left"/>
        </w:tabs>
        <w:numPr>
          <w:ilvl w:val="0"/>
          <w:numId w:val="156"/>
        </w:numPr>
        <w:rPr>
          <w:rFonts w:ascii="Arial" w:cs="Arial" w:eastAsia="Arial" w:hAnsi="Arial"/>
          <w:sz w:val="12"/>
          <w:szCs w:val="12"/>
          <w:color w:val="009AD9"/>
        </w:rPr>
      </w:pPr>
      <w:r>
        <w:rPr>
          <w:rFonts w:ascii="Arial" w:cs="Arial" w:eastAsia="Arial" w:hAnsi="Arial"/>
          <w:sz w:val="12"/>
          <w:szCs w:val="12"/>
          <w:color w:val="auto"/>
        </w:rPr>
        <w:t>the financial impacts of any changes in accounting standards, the unplanned change in application of accounting standards, and impairments of goodwill;</w:t>
      </w:r>
    </w:p>
    <w:p>
      <w:pPr>
        <w:spacing w:after="0" w:line="67" w:lineRule="exact"/>
        <w:rPr>
          <w:rFonts w:ascii="Arial" w:cs="Arial" w:eastAsia="Arial" w:hAnsi="Arial"/>
          <w:sz w:val="12"/>
          <w:szCs w:val="12"/>
          <w:color w:val="009AD9"/>
        </w:rPr>
      </w:pPr>
    </w:p>
    <w:p>
      <w:pPr>
        <w:ind w:left="2520" w:right="799" w:hanging="295"/>
        <w:spacing w:after="0" w:line="250" w:lineRule="auto"/>
        <w:tabs>
          <w:tab w:leader="none" w:pos="2520" w:val="left"/>
        </w:tabs>
        <w:numPr>
          <w:ilvl w:val="0"/>
          <w:numId w:val="156"/>
        </w:numPr>
        <w:rPr>
          <w:rFonts w:ascii="Arial" w:cs="Arial" w:eastAsia="Arial" w:hAnsi="Arial"/>
          <w:sz w:val="12"/>
          <w:szCs w:val="12"/>
          <w:color w:val="009AD9"/>
        </w:rPr>
      </w:pPr>
      <w:r>
        <w:rPr>
          <w:rFonts w:ascii="Arial" w:cs="Arial" w:eastAsia="Arial" w:hAnsi="Arial"/>
          <w:sz w:val="12"/>
          <w:szCs w:val="12"/>
          <w:color w:val="auto"/>
        </w:rPr>
        <w:t>any impact to income from the change in the value of the ZENS-related securities and the effects of mergers, acquisitions and divestitures on those securities;</w:t>
      </w:r>
    </w:p>
    <w:p>
      <w:pPr>
        <w:spacing w:after="0" w:line="67" w:lineRule="exact"/>
        <w:rPr>
          <w:rFonts w:ascii="Arial" w:cs="Arial" w:eastAsia="Arial" w:hAnsi="Arial"/>
          <w:sz w:val="12"/>
          <w:szCs w:val="12"/>
          <w:color w:val="009AD9"/>
        </w:rPr>
      </w:pPr>
    </w:p>
    <w:p>
      <w:pPr>
        <w:ind w:left="2520" w:hanging="295"/>
        <w:spacing w:after="0"/>
        <w:tabs>
          <w:tab w:leader="none" w:pos="2520" w:val="left"/>
        </w:tabs>
        <w:numPr>
          <w:ilvl w:val="0"/>
          <w:numId w:val="156"/>
        </w:numPr>
        <w:rPr>
          <w:rFonts w:ascii="Arial" w:cs="Arial" w:eastAsia="Arial" w:hAnsi="Arial"/>
          <w:sz w:val="12"/>
          <w:szCs w:val="12"/>
          <w:color w:val="009AD9"/>
        </w:rPr>
      </w:pPr>
      <w:r>
        <w:rPr>
          <w:rFonts w:ascii="Arial" w:cs="Arial" w:eastAsia="Arial" w:hAnsi="Arial"/>
          <w:sz w:val="12"/>
          <w:szCs w:val="12"/>
          <w:color w:val="auto"/>
        </w:rPr>
        <w:t>any mark-to-market accounting entries and net natural gas inventory adjustments not reflected in the plan; and</w:t>
      </w:r>
    </w:p>
    <w:p>
      <w:pPr>
        <w:spacing w:after="0" w:line="80" w:lineRule="exact"/>
        <w:rPr>
          <w:rFonts w:ascii="Arial" w:cs="Arial" w:eastAsia="Arial" w:hAnsi="Arial"/>
          <w:sz w:val="12"/>
          <w:szCs w:val="12"/>
          <w:color w:val="009AD9"/>
        </w:rPr>
      </w:pPr>
    </w:p>
    <w:p>
      <w:pPr>
        <w:jc w:val="both"/>
        <w:ind w:left="2520" w:right="799" w:hanging="295"/>
        <w:spacing w:after="0" w:line="239" w:lineRule="auto"/>
        <w:tabs>
          <w:tab w:leader="none" w:pos="2520" w:val="left"/>
        </w:tabs>
        <w:numPr>
          <w:ilvl w:val="0"/>
          <w:numId w:val="156"/>
        </w:numPr>
        <w:rPr>
          <w:rFonts w:ascii="Arial" w:cs="Arial" w:eastAsia="Arial" w:hAnsi="Arial"/>
          <w:sz w:val="12"/>
          <w:szCs w:val="12"/>
          <w:color w:val="009AD9"/>
        </w:rPr>
      </w:pPr>
      <w:r>
        <w:rPr>
          <w:rFonts w:ascii="Arial" w:cs="Arial" w:eastAsia="Arial" w:hAnsi="Arial"/>
          <w:sz w:val="12"/>
          <w:szCs w:val="12"/>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amortization of intangibles or other purchase accounting impacts attributable to Vectren merger; benefit retirement plan settlement expenses triggered by lump sum distribution; costs associated with the early retirement of long-term debt; adoption of the FASB-issued ASU No. 2017-07 Compensation – Retirement Benefits; gains/losses or expenses required by GAAP for mergers and acquisitions; or other unplanned items that receive written approval from the Chief Executive Officer or Executive Committee.</w:t>
      </w:r>
    </w:p>
    <w:p>
      <w:pPr>
        <w:spacing w:after="0" w:line="19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Reconciliation of Income available to common shareholders (GAAP) to non-GAAP net income</w:t>
      </w:r>
    </w:p>
    <w:p>
      <w:pPr>
        <w:spacing w:after="0" w:line="177"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5440" w:type="dxa"/>
            <w:vAlign w:val="bottom"/>
            <w:tcBorders>
              <w:bottom w:val="single" w:sz="8" w:color="009AD9"/>
            </w:tcBorders>
            <w:shd w:val="clear" w:color="auto" w:fill="009AD9"/>
          </w:tcPr>
          <w:p>
            <w:pPr>
              <w:jc w:val="right"/>
              <w:ind w:right="4712"/>
              <w:spacing w:after="0"/>
              <w:rPr>
                <w:sz w:val="20"/>
                <w:szCs w:val="20"/>
                <w:color w:val="auto"/>
              </w:rPr>
            </w:pPr>
            <w:r>
              <w:rPr>
                <w:rFonts w:ascii="Arial" w:cs="Arial" w:eastAsia="Arial" w:hAnsi="Arial"/>
                <w:sz w:val="10"/>
                <w:szCs w:val="10"/>
                <w:b w:val="1"/>
                <w:bCs w:val="1"/>
                <w:color w:val="FFFFFF"/>
              </w:rPr>
              <w:t>($ in millions)</w:t>
            </w:r>
          </w:p>
        </w:tc>
        <w:tc>
          <w:tcPr>
            <w:tcW w:w="460" w:type="dxa"/>
            <w:vAlign w:val="bottom"/>
            <w:tcBorders>
              <w:bottom w:val="single" w:sz="8" w:color="009AD9"/>
            </w:tcBorders>
            <w:gridSpan w:val="3"/>
            <w:shd w:val="clear" w:color="auto" w:fill="009AD9"/>
          </w:tcPr>
          <w:p>
            <w:pPr>
              <w:jc w:val="right"/>
              <w:ind w:right="12"/>
              <w:spacing w:after="0"/>
              <w:rPr>
                <w:sz w:val="20"/>
                <w:szCs w:val="20"/>
                <w:color w:val="auto"/>
              </w:rPr>
            </w:pPr>
            <w:r>
              <w:rPr>
                <w:rFonts w:ascii="Arial" w:cs="Arial" w:eastAsia="Arial" w:hAnsi="Arial"/>
                <w:sz w:val="10"/>
                <w:szCs w:val="10"/>
                <w:b w:val="1"/>
                <w:bCs w:val="1"/>
                <w:color w:val="FFFFFF"/>
              </w:rPr>
              <w:t>2020</w:t>
            </w:r>
          </w:p>
        </w:tc>
        <w:tc>
          <w:tcPr>
            <w:tcW w:w="100" w:type="dxa"/>
            <w:vAlign w:val="bottom"/>
            <w:tcBorders>
              <w:bottom w:val="single" w:sz="8" w:color="009AD9"/>
            </w:tcBorders>
            <w:shd w:val="clear" w:color="auto" w:fill="009AD9"/>
          </w:tcPr>
          <w:p>
            <w:pPr>
              <w:spacing w:after="0"/>
              <w:rPr>
                <w:sz w:val="14"/>
                <w:szCs w:val="14"/>
                <w:color w:val="auto"/>
              </w:rPr>
            </w:pPr>
          </w:p>
        </w:tc>
        <w:tc>
          <w:tcPr>
            <w:tcW w:w="400" w:type="dxa"/>
            <w:vAlign w:val="bottom"/>
            <w:tcBorders>
              <w:bottom w:val="single" w:sz="8" w:color="009AD9"/>
            </w:tcBorders>
            <w:gridSpan w:val="2"/>
            <w:shd w:val="clear" w:color="auto" w:fill="009AD9"/>
          </w:tcPr>
          <w:p>
            <w:pPr>
              <w:jc w:val="right"/>
              <w:spacing w:after="0"/>
              <w:rPr>
                <w:sz w:val="20"/>
                <w:szCs w:val="20"/>
                <w:color w:val="auto"/>
              </w:rPr>
            </w:pPr>
            <w:r>
              <w:rPr>
                <w:rFonts w:ascii="Arial" w:cs="Arial" w:eastAsia="Arial" w:hAnsi="Arial"/>
                <w:sz w:val="10"/>
                <w:szCs w:val="10"/>
                <w:b w:val="1"/>
                <w:bCs w:val="1"/>
                <w:color w:val="FFFFFF"/>
              </w:rPr>
              <w:t>2021</w:t>
            </w:r>
          </w:p>
        </w:tc>
        <w:tc>
          <w:tcPr>
            <w:tcW w:w="120" w:type="dxa"/>
            <w:vAlign w:val="bottom"/>
            <w:tcBorders>
              <w:bottom w:val="single" w:sz="8" w:color="009AD9"/>
            </w:tcBorders>
            <w:shd w:val="clear" w:color="auto" w:fill="009AD9"/>
          </w:tcPr>
          <w:p>
            <w:pPr>
              <w:spacing w:after="0"/>
              <w:rPr>
                <w:sz w:val="14"/>
                <w:szCs w:val="14"/>
                <w:color w:val="auto"/>
              </w:rPr>
            </w:pPr>
          </w:p>
        </w:tc>
        <w:tc>
          <w:tcPr>
            <w:tcW w:w="380" w:type="dxa"/>
            <w:vAlign w:val="bottom"/>
            <w:tcBorders>
              <w:bottom w:val="single" w:sz="8" w:color="009AD9"/>
            </w:tcBorders>
            <w:gridSpan w:val="2"/>
            <w:shd w:val="clear" w:color="auto" w:fill="009AD9"/>
          </w:tcPr>
          <w:p>
            <w:pPr>
              <w:jc w:val="right"/>
              <w:spacing w:after="0"/>
              <w:rPr>
                <w:sz w:val="20"/>
                <w:szCs w:val="20"/>
                <w:color w:val="auto"/>
              </w:rPr>
            </w:pPr>
            <w:r>
              <w:rPr>
                <w:rFonts w:ascii="Arial" w:cs="Arial" w:eastAsia="Arial" w:hAnsi="Arial"/>
                <w:sz w:val="10"/>
                <w:szCs w:val="10"/>
                <w:b w:val="1"/>
                <w:bCs w:val="1"/>
                <w:color w:val="FFFFFF"/>
              </w:rPr>
              <w:t>2022</w:t>
            </w:r>
          </w:p>
        </w:tc>
        <w:tc>
          <w:tcPr>
            <w:tcW w:w="80" w:type="dxa"/>
            <w:vAlign w:val="bottom"/>
            <w:tcBorders>
              <w:bottom w:val="single" w:sz="8" w:color="009AD9"/>
            </w:tcBorders>
            <w:shd w:val="clear" w:color="auto" w:fill="009AD9"/>
          </w:tcPr>
          <w:p>
            <w:pPr>
              <w:spacing w:after="0"/>
              <w:rPr>
                <w:sz w:val="14"/>
                <w:szCs w:val="14"/>
                <w:color w:val="auto"/>
              </w:rPr>
            </w:pPr>
          </w:p>
        </w:tc>
        <w:tc>
          <w:tcPr>
            <w:tcW w:w="60" w:type="dxa"/>
            <w:vAlign w:val="bottom"/>
            <w:tcBorders>
              <w:bottom w:val="single" w:sz="8" w:color="009AD9"/>
            </w:tcBorders>
            <w:shd w:val="clear" w:color="auto" w:fill="009AD9"/>
          </w:tcPr>
          <w:p>
            <w:pPr>
              <w:spacing w:after="0"/>
              <w:rPr>
                <w:sz w:val="14"/>
                <w:szCs w:val="14"/>
                <w:color w:val="auto"/>
              </w:rPr>
            </w:pPr>
          </w:p>
        </w:tc>
        <w:tc>
          <w:tcPr>
            <w:tcW w:w="380" w:type="dxa"/>
            <w:vAlign w:val="bottom"/>
            <w:tcBorders>
              <w:bottom w:val="single" w:sz="8" w:color="009AD9"/>
            </w:tcBorders>
            <w:gridSpan w:val="2"/>
            <w:shd w:val="clear" w:color="auto" w:fill="009AD9"/>
          </w:tcPr>
          <w:p>
            <w:pPr>
              <w:jc w:val="right"/>
              <w:ind w:right="120"/>
              <w:spacing w:after="0"/>
              <w:rPr>
                <w:sz w:val="20"/>
                <w:szCs w:val="20"/>
                <w:color w:val="auto"/>
              </w:rPr>
            </w:pPr>
            <w:r>
              <w:rPr>
                <w:rFonts w:ascii="Arial" w:cs="Arial" w:eastAsia="Arial" w:hAnsi="Arial"/>
                <w:sz w:val="10"/>
                <w:szCs w:val="10"/>
                <w:b w:val="1"/>
                <w:bCs w:val="1"/>
                <w:color w:val="FFFFFF"/>
              </w:rPr>
              <w:t>Total</w:t>
            </w:r>
          </w:p>
        </w:tc>
      </w:tr>
      <w:tr>
        <w:trPr>
          <w:trHeight w:val="162"/>
        </w:trPr>
        <w:tc>
          <w:tcPr>
            <w:tcW w:w="54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b w:val="1"/>
                <w:bCs w:val="1"/>
                <w:color w:val="auto"/>
              </w:rPr>
              <w:t>Income available to common shareholders</w:t>
            </w:r>
          </w:p>
        </w:tc>
        <w:tc>
          <w:tcPr>
            <w:tcW w:w="2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(949)</w:t>
            </w:r>
          </w:p>
        </w:tc>
        <w:tc>
          <w:tcPr>
            <w:tcW w:w="40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$1,391</w:t>
            </w:r>
          </w:p>
        </w:tc>
        <w:tc>
          <w:tcPr>
            <w:tcW w:w="120" w:type="dxa"/>
            <w:vAlign w:val="bottom"/>
            <w:tcBorders>
              <w:bottom w:val="single" w:sz="8" w:color="D8EFF9"/>
            </w:tcBorders>
            <w:shd w:val="clear" w:color="auto" w:fill="D8EFF9"/>
          </w:tcPr>
          <w:p>
            <w:pPr>
              <w:spacing w:after="0"/>
              <w:rPr>
                <w:sz w:val="14"/>
                <w:szCs w:val="14"/>
                <w:color w:val="auto"/>
              </w:rPr>
            </w:pPr>
          </w:p>
        </w:tc>
        <w:tc>
          <w:tcPr>
            <w:tcW w:w="38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$1,008</w:t>
            </w:r>
          </w:p>
        </w:tc>
        <w:tc>
          <w:tcPr>
            <w:tcW w:w="80" w:type="dxa"/>
            <w:vAlign w:val="bottom"/>
            <w:tcBorders>
              <w:bottom w:val="single" w:sz="8" w:color="D8EFF9"/>
            </w:tcBorders>
            <w:shd w:val="clear" w:color="auto" w:fill="D8EFF9"/>
          </w:tcPr>
          <w:p>
            <w:pPr>
              <w:spacing w:after="0"/>
              <w:rPr>
                <w:sz w:val="14"/>
                <w:szCs w:val="14"/>
                <w:color w:val="auto"/>
              </w:rPr>
            </w:pPr>
          </w:p>
        </w:tc>
        <w:tc>
          <w:tcPr>
            <w:tcW w:w="36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$1,451</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55"/>
        </w:trPr>
        <w:tc>
          <w:tcPr>
            <w:tcW w:w="5440" w:type="dxa"/>
            <w:vAlign w:val="bottom"/>
          </w:tcPr>
          <w:p>
            <w:pPr>
              <w:ind w:left="240"/>
              <w:spacing w:after="0"/>
              <w:rPr>
                <w:sz w:val="20"/>
                <w:szCs w:val="20"/>
                <w:color w:val="auto"/>
              </w:rPr>
            </w:pPr>
            <w:r>
              <w:rPr>
                <w:rFonts w:ascii="Arial" w:cs="Arial" w:eastAsia="Arial" w:hAnsi="Arial"/>
                <w:sz w:val="10"/>
                <w:szCs w:val="10"/>
                <w:color w:val="auto"/>
              </w:rPr>
              <w:t>Net income and gain / loss from Midstream Investments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w w:val="87"/>
              </w:rPr>
              <w:t>1,076</w:t>
            </w:r>
          </w:p>
        </w:tc>
        <w:tc>
          <w:tcPr>
            <w:tcW w:w="10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0"/>
                <w:szCs w:val="10"/>
                <w:color w:val="auto"/>
              </w:rPr>
              <w:t>(722)</w:t>
            </w:r>
          </w:p>
        </w:tc>
        <w:tc>
          <w:tcPr>
            <w:tcW w:w="460" w:type="dxa"/>
            <w:vAlign w:val="bottom"/>
            <w:gridSpan w:val="3"/>
          </w:tcPr>
          <w:p>
            <w:pPr>
              <w:jc w:val="right"/>
              <w:ind w:right="40"/>
              <w:spacing w:after="0"/>
              <w:rPr>
                <w:sz w:val="20"/>
                <w:szCs w:val="20"/>
                <w:color w:val="auto"/>
              </w:rPr>
            </w:pPr>
            <w:r>
              <w:rPr>
                <w:rFonts w:ascii="Arial" w:cs="Arial" w:eastAsia="Arial" w:hAnsi="Arial"/>
                <w:sz w:val="10"/>
                <w:szCs w:val="10"/>
                <w:color w:val="auto"/>
              </w:rPr>
              <w:t>(79)</w:t>
            </w: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275</w:t>
            </w:r>
          </w:p>
        </w:tc>
        <w:tc>
          <w:tcPr>
            <w:tcW w:w="80" w:type="dxa"/>
            <w:vAlign w:val="bottom"/>
          </w:tcPr>
          <w:p>
            <w:pPr>
              <w:spacing w:after="0"/>
              <w:rPr>
                <w:sz w:val="13"/>
                <w:szCs w:val="13"/>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54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Impairments of Goodwill</w:t>
            </w:r>
          </w:p>
        </w:tc>
        <w:tc>
          <w:tcPr>
            <w:tcW w:w="160" w:type="dxa"/>
            <w:vAlign w:val="bottom"/>
            <w:tcBorders>
              <w:bottom w:val="single" w:sz="8" w:color="D8EFF9"/>
            </w:tcBorders>
            <w:shd w:val="clear" w:color="auto" w:fill="D8EFF9"/>
          </w:tcPr>
          <w:p>
            <w:pPr>
              <w:spacing w:after="0"/>
              <w:rPr>
                <w:sz w:val="14"/>
                <w:szCs w:val="14"/>
                <w:color w:val="auto"/>
              </w:rPr>
            </w:pPr>
          </w:p>
        </w:tc>
        <w:tc>
          <w:tcPr>
            <w:tcW w:w="40" w:type="dxa"/>
            <w:vAlign w:val="bottom"/>
            <w:tcBorders>
              <w:bottom w:val="single" w:sz="8" w:color="D8EFF9"/>
            </w:tcBorders>
            <w:shd w:val="clear" w:color="auto" w:fill="D8EFF9"/>
          </w:tcPr>
          <w:p>
            <w:pPr>
              <w:spacing w:after="0"/>
              <w:rPr>
                <w:sz w:val="14"/>
                <w:szCs w:val="14"/>
                <w:color w:val="auto"/>
              </w:rPr>
            </w:pP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185</w:t>
            </w:r>
          </w:p>
        </w:tc>
        <w:tc>
          <w:tcPr>
            <w:tcW w:w="100" w:type="dxa"/>
            <w:vAlign w:val="bottom"/>
            <w:tcBorders>
              <w:bottom w:val="single" w:sz="8" w:color="D8EFF9"/>
            </w:tcBorders>
            <w:shd w:val="clear" w:color="auto" w:fill="D8EFF9"/>
          </w:tcPr>
          <w:p>
            <w:pPr>
              <w:spacing w:after="0"/>
              <w:rPr>
                <w:sz w:val="14"/>
                <w:szCs w:val="14"/>
                <w:color w:val="auto"/>
              </w:rPr>
            </w:pPr>
          </w:p>
        </w:tc>
        <w:tc>
          <w:tcPr>
            <w:tcW w:w="10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gridSpan w:val="2"/>
            <w:shd w:val="clear" w:color="auto" w:fill="D8EFF9"/>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4"/>
                <w:szCs w:val="14"/>
                <w:color w:val="auto"/>
              </w:rPr>
            </w:pPr>
          </w:p>
        </w:tc>
        <w:tc>
          <w:tcPr>
            <w:tcW w:w="38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185</w:t>
            </w:r>
          </w:p>
        </w:tc>
        <w:tc>
          <w:tcPr>
            <w:tcW w:w="80" w:type="dxa"/>
            <w:vAlign w:val="bottom"/>
            <w:tcBorders>
              <w:bottom w:val="single" w:sz="8" w:color="D8EFF9"/>
            </w:tcBorders>
            <w:shd w:val="clear" w:color="auto" w:fill="D8EFF9"/>
          </w:tcPr>
          <w:p>
            <w:pPr>
              <w:spacing w:after="0"/>
              <w:rPr>
                <w:sz w:val="14"/>
                <w:szCs w:val="14"/>
                <w:color w:val="auto"/>
              </w:rPr>
            </w:pPr>
          </w:p>
        </w:tc>
      </w:tr>
      <w:tr>
        <w:trPr>
          <w:trHeight w:val="149"/>
        </w:trPr>
        <w:tc>
          <w:tcPr>
            <w:tcW w:w="5440" w:type="dxa"/>
            <w:vAlign w:val="bottom"/>
          </w:tcPr>
          <w:p>
            <w:pPr>
              <w:ind w:left="240"/>
              <w:spacing w:after="0"/>
              <w:rPr>
                <w:sz w:val="20"/>
                <w:szCs w:val="20"/>
                <w:color w:val="auto"/>
              </w:rPr>
            </w:pPr>
            <w:r>
              <w:rPr>
                <w:rFonts w:ascii="Arial" w:cs="Arial" w:eastAsia="Arial" w:hAnsi="Arial"/>
                <w:sz w:val="10"/>
                <w:szCs w:val="10"/>
                <w:color w:val="auto"/>
                <w:w w:val="99"/>
              </w:rPr>
              <w:t>Any impact to income from the change in value of ZENS related securities and the effects of mergers, acquisitions and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5440" w:type="dxa"/>
            <w:vAlign w:val="bottom"/>
          </w:tcPr>
          <w:p>
            <w:pPr>
              <w:ind w:left="240"/>
              <w:spacing w:after="0"/>
              <w:rPr>
                <w:sz w:val="20"/>
                <w:szCs w:val="20"/>
                <w:color w:val="auto"/>
              </w:rPr>
            </w:pPr>
            <w:r>
              <w:rPr>
                <w:rFonts w:ascii="Arial" w:cs="Arial" w:eastAsia="Arial" w:hAnsi="Arial"/>
                <w:sz w:val="10"/>
                <w:szCs w:val="10"/>
                <w:color w:val="auto"/>
              </w:rPr>
              <w:t>divestitures on those securities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0"/>
                <w:szCs w:val="10"/>
                <w:color w:val="auto"/>
              </w:rPr>
              <w:t>(9)</w:t>
            </w: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0</w:t>
            </w:r>
          </w:p>
        </w:tc>
        <w:tc>
          <w:tcPr>
            <w:tcW w:w="80" w:type="dxa"/>
            <w:vAlign w:val="bottom"/>
          </w:tcPr>
          <w:p>
            <w:pPr>
              <w:spacing w:after="0"/>
              <w:rPr>
                <w:sz w:val="10"/>
                <w:szCs w:val="10"/>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54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Any mark-to-market accounting entries and net natural gas inventory adjustments not reflected in the plan</w:t>
            </w:r>
          </w:p>
        </w:tc>
        <w:tc>
          <w:tcPr>
            <w:tcW w:w="160" w:type="dxa"/>
            <w:vAlign w:val="bottom"/>
            <w:tcBorders>
              <w:bottom w:val="single" w:sz="8" w:color="D8EFF9"/>
            </w:tcBorders>
            <w:shd w:val="clear" w:color="auto" w:fill="D8EFF9"/>
          </w:tcPr>
          <w:p>
            <w:pPr>
              <w:spacing w:after="0"/>
              <w:rPr>
                <w:sz w:val="14"/>
                <w:szCs w:val="14"/>
                <w:color w:val="auto"/>
              </w:rPr>
            </w:pPr>
          </w:p>
        </w:tc>
        <w:tc>
          <w:tcPr>
            <w:tcW w:w="40" w:type="dxa"/>
            <w:vAlign w:val="bottom"/>
            <w:tcBorders>
              <w:bottom w:val="single" w:sz="8" w:color="D8EFF9"/>
            </w:tcBorders>
            <w:shd w:val="clear" w:color="auto" w:fill="D8EFF9"/>
          </w:tcPr>
          <w:p>
            <w:pPr>
              <w:spacing w:after="0"/>
              <w:rPr>
                <w:sz w:val="14"/>
                <w:szCs w:val="14"/>
                <w:color w:val="auto"/>
              </w:rPr>
            </w:pPr>
          </w:p>
        </w:tc>
        <w:tc>
          <w:tcPr>
            <w:tcW w:w="36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(11)</w:t>
            </w:r>
          </w:p>
        </w:tc>
        <w:tc>
          <w:tcPr>
            <w:tcW w:w="100" w:type="dxa"/>
            <w:vAlign w:val="bottom"/>
            <w:tcBorders>
              <w:bottom w:val="single" w:sz="8" w:color="D8EFF9"/>
            </w:tcBorders>
            <w:shd w:val="clear" w:color="auto" w:fill="D8EFF9"/>
          </w:tcPr>
          <w:p>
            <w:pPr>
              <w:spacing w:after="0"/>
              <w:rPr>
                <w:sz w:val="14"/>
                <w:szCs w:val="14"/>
                <w:color w:val="auto"/>
              </w:rPr>
            </w:pPr>
          </w:p>
        </w:tc>
        <w:tc>
          <w:tcPr>
            <w:tcW w:w="420" w:type="dxa"/>
            <w:vAlign w:val="bottom"/>
            <w:tcBorders>
              <w:bottom w:val="single" w:sz="8" w:color="D8EFF9"/>
            </w:tcBorders>
            <w:gridSpan w:val="2"/>
            <w:shd w:val="clear" w:color="auto" w:fill="D8EFF9"/>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4"/>
                <w:szCs w:val="14"/>
                <w:color w:val="auto"/>
              </w:rPr>
            </w:pPr>
          </w:p>
        </w:tc>
        <w:tc>
          <w:tcPr>
            <w:tcW w:w="38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8EFF9"/>
            </w:tcBorders>
            <w:gridSpan w:val="3"/>
            <w:shd w:val="clear" w:color="auto" w:fill="D8EFF9"/>
          </w:tcPr>
          <w:p>
            <w:pPr>
              <w:jc w:val="right"/>
              <w:ind w:right="40"/>
              <w:spacing w:after="0"/>
              <w:rPr>
                <w:sz w:val="20"/>
                <w:szCs w:val="20"/>
                <w:color w:val="auto"/>
              </w:rPr>
            </w:pPr>
            <w:r>
              <w:rPr>
                <w:rFonts w:ascii="Arial" w:cs="Arial" w:eastAsia="Arial" w:hAnsi="Arial"/>
                <w:sz w:val="10"/>
                <w:szCs w:val="10"/>
                <w:color w:val="auto"/>
              </w:rPr>
              <w:t>(11)</w:t>
            </w:r>
          </w:p>
        </w:tc>
      </w:tr>
      <w:tr>
        <w:trPr>
          <w:trHeight w:val="182"/>
        </w:trPr>
        <w:tc>
          <w:tcPr>
            <w:tcW w:w="5440" w:type="dxa"/>
            <w:vAlign w:val="bottom"/>
          </w:tcPr>
          <w:p>
            <w:pPr>
              <w:ind w:left="240"/>
              <w:spacing w:after="0"/>
              <w:rPr>
                <w:sz w:val="20"/>
                <w:szCs w:val="20"/>
                <w:color w:val="auto"/>
              </w:rPr>
            </w:pPr>
            <w:r>
              <w:rPr>
                <w:rFonts w:ascii="Arial" w:cs="Arial" w:eastAsia="Arial" w:hAnsi="Arial"/>
                <w:sz w:val="10"/>
                <w:szCs w:val="10"/>
                <w:color w:val="auto"/>
                <w:w w:val="98"/>
              </w:rPr>
              <w:t xml:space="preserve">Significant (&gt;$1 million pre-tax per category) differences between the plan and actual financial impact of other items </w:t>
            </w:r>
            <w:r>
              <w:rPr>
                <w:rFonts w:ascii="Arial" w:cs="Arial" w:eastAsia="Arial" w:hAnsi="Arial"/>
                <w:sz w:val="14"/>
                <w:szCs w:val="14"/>
                <w:color w:val="auto"/>
                <w:w w:val="98"/>
                <w:vertAlign w:val="superscript"/>
              </w:rPr>
              <w:t>(1)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223</w:t>
            </w:r>
          </w:p>
        </w:tc>
        <w:tc>
          <w:tcPr>
            <w:tcW w:w="1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0"/>
                <w:szCs w:val="10"/>
                <w:color w:val="auto"/>
              </w:rPr>
              <w:t>(22)</w:t>
            </w: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251</w:t>
            </w:r>
          </w:p>
        </w:tc>
        <w:tc>
          <w:tcPr>
            <w:tcW w:w="80" w:type="dxa"/>
            <w:vAlign w:val="bottom"/>
          </w:tcPr>
          <w:p>
            <w:pPr>
              <w:spacing w:after="0"/>
              <w:rPr>
                <w:sz w:val="15"/>
                <w:szCs w:val="15"/>
                <w:color w:val="auto"/>
              </w:rPr>
            </w:pPr>
          </w:p>
        </w:tc>
      </w:tr>
      <w:tr>
        <w:trPr>
          <w:trHeight w:val="182"/>
        </w:trPr>
        <w:tc>
          <w:tcPr>
            <w:tcW w:w="5440" w:type="dxa"/>
            <w:vAlign w:val="bottom"/>
            <w:tcBorders>
              <w:bottom w:val="single" w:sz="8" w:color="D8EFF9"/>
            </w:tcBorders>
            <w:shd w:val="clear" w:color="auto" w:fill="D8EFF9"/>
          </w:tcPr>
          <w:p>
            <w:pPr>
              <w:ind w:left="240"/>
              <w:spacing w:after="0"/>
              <w:rPr>
                <w:sz w:val="20"/>
                <w:szCs w:val="20"/>
                <w:color w:val="auto"/>
              </w:rPr>
            </w:pPr>
            <w:r>
              <w:rPr>
                <w:rFonts w:ascii="Arial" w:cs="Arial" w:eastAsia="Arial" w:hAnsi="Arial"/>
                <w:sz w:val="10"/>
                <w:szCs w:val="10"/>
                <w:color w:val="auto"/>
              </w:rPr>
              <w:t>Impacts of Series C preferred stock</w:t>
            </w:r>
          </w:p>
        </w:tc>
        <w:tc>
          <w:tcPr>
            <w:tcW w:w="160" w:type="dxa"/>
            <w:vAlign w:val="bottom"/>
            <w:tcBorders>
              <w:bottom w:val="single" w:sz="8" w:color="D8EFF9"/>
            </w:tcBorders>
            <w:shd w:val="clear" w:color="auto" w:fill="D8EFF9"/>
          </w:tcPr>
          <w:p>
            <w:pPr>
              <w:spacing w:after="0"/>
              <w:rPr>
                <w:sz w:val="15"/>
                <w:szCs w:val="15"/>
                <w:color w:val="auto"/>
              </w:rPr>
            </w:pPr>
          </w:p>
        </w:tc>
        <w:tc>
          <w:tcPr>
            <w:tcW w:w="40" w:type="dxa"/>
            <w:vAlign w:val="bottom"/>
            <w:tcBorders>
              <w:bottom w:val="single" w:sz="8" w:color="D8EFF9"/>
            </w:tcBorders>
            <w:shd w:val="clear" w:color="auto" w:fill="D8EFF9"/>
          </w:tcPr>
          <w:p>
            <w:pPr>
              <w:spacing w:after="0"/>
              <w:rPr>
                <w:sz w:val="15"/>
                <w:szCs w:val="15"/>
                <w:color w:val="auto"/>
              </w:rPr>
            </w:pPr>
          </w:p>
        </w:tc>
        <w:tc>
          <w:tcPr>
            <w:tcW w:w="260" w:type="dxa"/>
            <w:vAlign w:val="bottom"/>
            <w:tcBorders>
              <w:bottom w:val="single" w:sz="8" w:color="D8EFF9"/>
            </w:tcBorders>
            <w:shd w:val="clear" w:color="auto" w:fill="D8EFF9"/>
          </w:tcPr>
          <w:p>
            <w:pPr>
              <w:jc w:val="right"/>
              <w:spacing w:after="0"/>
              <w:rPr>
                <w:sz w:val="20"/>
                <w:szCs w:val="20"/>
                <w:color w:val="auto"/>
              </w:rPr>
            </w:pPr>
            <w:r>
              <w:rPr>
                <w:rFonts w:ascii="Arial" w:cs="Arial" w:eastAsia="Arial" w:hAnsi="Arial"/>
                <w:sz w:val="10"/>
                <w:szCs w:val="10"/>
                <w:color w:val="auto"/>
              </w:rPr>
              <w:t>59</w:t>
            </w:r>
          </w:p>
        </w:tc>
        <w:tc>
          <w:tcPr>
            <w:tcW w:w="100" w:type="dxa"/>
            <w:vAlign w:val="bottom"/>
            <w:tcBorders>
              <w:bottom w:val="single" w:sz="8" w:color="D8EFF9"/>
            </w:tcBorders>
            <w:shd w:val="clear" w:color="auto" w:fill="D8EFF9"/>
          </w:tcPr>
          <w:p>
            <w:pPr>
              <w:spacing w:after="0"/>
              <w:rPr>
                <w:sz w:val="15"/>
                <w:szCs w:val="15"/>
                <w:color w:val="auto"/>
              </w:rPr>
            </w:pPr>
          </w:p>
        </w:tc>
        <w:tc>
          <w:tcPr>
            <w:tcW w:w="100" w:type="dxa"/>
            <w:vAlign w:val="bottom"/>
            <w:tcBorders>
              <w:bottom w:val="single" w:sz="8" w:color="D8EFF9"/>
            </w:tcBorders>
            <w:shd w:val="clear" w:color="auto" w:fill="D8EFF9"/>
          </w:tcPr>
          <w:p>
            <w:pPr>
              <w:spacing w:after="0"/>
              <w:rPr>
                <w:sz w:val="15"/>
                <w:szCs w:val="15"/>
                <w:color w:val="auto"/>
              </w:rPr>
            </w:pPr>
          </w:p>
        </w:tc>
        <w:tc>
          <w:tcPr>
            <w:tcW w:w="420" w:type="dxa"/>
            <w:vAlign w:val="bottom"/>
            <w:tcBorders>
              <w:bottom w:val="single" w:sz="8" w:color="D8EFF9"/>
            </w:tcBorders>
            <w:gridSpan w:val="2"/>
            <w:shd w:val="clear" w:color="auto" w:fill="D8EFF9"/>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D8EFF9"/>
            </w:tcBorders>
            <w:shd w:val="clear" w:color="auto" w:fill="D8EFF9"/>
          </w:tcPr>
          <w:p>
            <w:pPr>
              <w:spacing w:after="0"/>
              <w:rPr>
                <w:sz w:val="15"/>
                <w:szCs w:val="15"/>
                <w:color w:val="auto"/>
              </w:rPr>
            </w:pPr>
          </w:p>
        </w:tc>
        <w:tc>
          <w:tcPr>
            <w:tcW w:w="380" w:type="dxa"/>
            <w:vAlign w:val="bottom"/>
            <w:tcBorders>
              <w:bottom w:val="single" w:sz="8" w:color="D8EFF9"/>
            </w:tcBorders>
            <w:gridSpan w:val="2"/>
            <w:shd w:val="clear" w:color="auto" w:fill="D8EFF9"/>
          </w:tcPr>
          <w:p>
            <w:pPr>
              <w:jc w:val="right"/>
              <w:ind w:right="8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8EFF9"/>
            </w:tcBorders>
            <w:gridSpan w:val="2"/>
            <w:shd w:val="clear" w:color="auto" w:fill="D8EFF9"/>
          </w:tcPr>
          <w:p>
            <w:pPr>
              <w:jc w:val="right"/>
              <w:spacing w:after="0"/>
              <w:rPr>
                <w:sz w:val="20"/>
                <w:szCs w:val="20"/>
                <w:color w:val="auto"/>
              </w:rPr>
            </w:pPr>
            <w:r>
              <w:rPr>
                <w:rFonts w:ascii="Arial" w:cs="Arial" w:eastAsia="Arial" w:hAnsi="Arial"/>
                <w:sz w:val="10"/>
                <w:szCs w:val="10"/>
                <w:color w:val="auto"/>
              </w:rPr>
              <w:t>59</w:t>
            </w:r>
          </w:p>
        </w:tc>
        <w:tc>
          <w:tcPr>
            <w:tcW w:w="80" w:type="dxa"/>
            <w:vAlign w:val="bottom"/>
            <w:tcBorders>
              <w:bottom w:val="single" w:sz="8" w:color="D8EFF9"/>
            </w:tcBorders>
            <w:shd w:val="clear" w:color="auto" w:fill="D8EFF9"/>
          </w:tcPr>
          <w:p>
            <w:pPr>
              <w:spacing w:after="0"/>
              <w:rPr>
                <w:sz w:val="15"/>
                <w:szCs w:val="15"/>
                <w:color w:val="auto"/>
              </w:rPr>
            </w:pPr>
          </w:p>
        </w:tc>
      </w:tr>
      <w:tr>
        <w:trPr>
          <w:trHeight w:val="153"/>
        </w:trPr>
        <w:tc>
          <w:tcPr>
            <w:tcW w:w="5440" w:type="dxa"/>
            <w:vAlign w:val="bottom"/>
          </w:tcPr>
          <w:p>
            <w:pPr>
              <w:jc w:val="right"/>
              <w:ind w:right="4712"/>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898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2,210</w:t>
            </w:r>
          </w:p>
        </w:tc>
        <w:tc>
          <w:tcPr>
            <w:tcW w:w="80" w:type="dxa"/>
            <w:vAlign w:val="bottom"/>
          </w:tcPr>
          <w:p>
            <w:pPr>
              <w:spacing w:after="0"/>
              <w:rPr>
                <w:sz w:val="13"/>
                <w:szCs w:val="13"/>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5"/>
        </w:trPr>
        <w:tc>
          <w:tcPr>
            <w:tcW w:w="5440" w:type="dxa"/>
            <w:vAlign w:val="bottom"/>
            <w:shd w:val="clear" w:color="auto" w:fill="D8EFF9"/>
          </w:tcPr>
          <w:p>
            <w:pPr>
              <w:ind w:left="740"/>
              <w:spacing w:after="0"/>
              <w:rPr>
                <w:sz w:val="20"/>
                <w:szCs w:val="20"/>
                <w:color w:val="auto"/>
              </w:rPr>
            </w:pPr>
            <w:r>
              <w:rPr>
                <w:rFonts w:ascii="Arial" w:cs="Arial" w:eastAsia="Arial" w:hAnsi="Arial"/>
                <w:sz w:val="10"/>
                <w:szCs w:val="10"/>
                <w:b w:val="1"/>
                <w:bCs w:val="1"/>
                <w:color w:val="auto"/>
              </w:rPr>
              <w:t>Cumulative Net Income</w:t>
            </w:r>
          </w:p>
        </w:tc>
        <w:tc>
          <w:tcPr>
            <w:tcW w:w="160" w:type="dxa"/>
            <w:vAlign w:val="bottom"/>
            <w:shd w:val="clear" w:color="auto" w:fill="D8EFF9"/>
          </w:tcPr>
          <w:p>
            <w:pPr>
              <w:spacing w:after="0"/>
              <w:rPr>
                <w:sz w:val="13"/>
                <w:szCs w:val="13"/>
                <w:color w:val="auto"/>
              </w:rPr>
            </w:pPr>
          </w:p>
        </w:tc>
        <w:tc>
          <w:tcPr>
            <w:tcW w:w="40" w:type="dxa"/>
            <w:vAlign w:val="bottom"/>
            <w:shd w:val="clear" w:color="auto" w:fill="D8EFF9"/>
          </w:tcPr>
          <w:p>
            <w:pPr>
              <w:spacing w:after="0"/>
              <w:rPr>
                <w:sz w:val="13"/>
                <w:szCs w:val="13"/>
                <w:color w:val="auto"/>
              </w:rPr>
            </w:pPr>
          </w:p>
        </w:tc>
        <w:tc>
          <w:tcPr>
            <w:tcW w:w="26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100" w:type="dxa"/>
            <w:vAlign w:val="bottom"/>
            <w:shd w:val="clear" w:color="auto" w:fill="D8EFF9"/>
          </w:tcPr>
          <w:p>
            <w:pPr>
              <w:spacing w:after="0"/>
              <w:rPr>
                <w:sz w:val="13"/>
                <w:szCs w:val="13"/>
                <w:color w:val="auto"/>
              </w:rPr>
            </w:pPr>
          </w:p>
        </w:tc>
        <w:tc>
          <w:tcPr>
            <w:tcW w:w="300" w:type="dxa"/>
            <w:vAlign w:val="bottom"/>
            <w:shd w:val="clear" w:color="auto" w:fill="D8EFF9"/>
          </w:tcPr>
          <w:p>
            <w:pPr>
              <w:spacing w:after="0"/>
              <w:rPr>
                <w:sz w:val="13"/>
                <w:szCs w:val="13"/>
                <w:color w:val="auto"/>
              </w:rPr>
            </w:pPr>
          </w:p>
        </w:tc>
        <w:tc>
          <w:tcPr>
            <w:tcW w:w="12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300" w:type="dxa"/>
            <w:vAlign w:val="bottom"/>
            <w:shd w:val="clear" w:color="auto" w:fill="D8EFF9"/>
          </w:tcPr>
          <w:p>
            <w:pPr>
              <w:spacing w:after="0"/>
              <w:rPr>
                <w:sz w:val="13"/>
                <w:szCs w:val="13"/>
                <w:color w:val="auto"/>
              </w:rPr>
            </w:pPr>
          </w:p>
        </w:tc>
        <w:tc>
          <w:tcPr>
            <w:tcW w:w="80" w:type="dxa"/>
            <w:vAlign w:val="bottom"/>
            <w:shd w:val="clear" w:color="auto" w:fill="D8EFF9"/>
          </w:tcPr>
          <w:p>
            <w:pPr>
              <w:spacing w:after="0"/>
              <w:rPr>
                <w:sz w:val="13"/>
                <w:szCs w:val="13"/>
                <w:color w:val="auto"/>
              </w:rPr>
            </w:pPr>
          </w:p>
        </w:tc>
        <w:tc>
          <w:tcPr>
            <w:tcW w:w="360" w:type="dxa"/>
            <w:vAlign w:val="bottom"/>
            <w:gridSpan w:val="2"/>
            <w:shd w:val="clear" w:color="auto" w:fill="D8EFF9"/>
          </w:tcPr>
          <w:p>
            <w:pPr>
              <w:jc w:val="right"/>
              <w:spacing w:after="0"/>
              <w:rPr>
                <w:sz w:val="20"/>
                <w:szCs w:val="20"/>
                <w:color w:val="auto"/>
              </w:rPr>
            </w:pPr>
            <w:r>
              <w:rPr>
                <w:rFonts w:ascii="Arial" w:cs="Arial" w:eastAsia="Arial" w:hAnsi="Arial"/>
                <w:sz w:val="10"/>
                <w:szCs w:val="10"/>
                <w:b w:val="1"/>
                <w:bCs w:val="1"/>
                <w:color w:val="auto"/>
              </w:rPr>
              <w:t>$2,210</w:t>
            </w:r>
          </w:p>
        </w:tc>
        <w:tc>
          <w:tcPr>
            <w:tcW w:w="80" w:type="dxa"/>
            <w:vAlign w:val="bottom"/>
            <w:shd w:val="clear" w:color="auto" w:fill="D8EFF9"/>
          </w:tcPr>
          <w:p>
            <w:pPr>
              <w:spacing w:after="0"/>
              <w:rPr>
                <w:sz w:val="13"/>
                <w:szCs w:val="13"/>
                <w:color w:val="auto"/>
              </w:rPr>
            </w:pPr>
          </w:p>
        </w:tc>
      </w:tr>
      <w:tr>
        <w:trPr>
          <w:trHeight w:val="27"/>
        </w:trPr>
        <w:tc>
          <w:tcPr>
            <w:tcW w:w="5440" w:type="dxa"/>
            <w:vAlign w:val="bottom"/>
            <w:shd w:val="clear" w:color="auto" w:fill="D8EFF9"/>
          </w:tcPr>
          <w:p>
            <w:pPr>
              <w:spacing w:after="0"/>
              <w:rPr>
                <w:sz w:val="2"/>
                <w:szCs w:val="2"/>
                <w:color w:val="auto"/>
              </w:rPr>
            </w:pPr>
          </w:p>
        </w:tc>
        <w:tc>
          <w:tcPr>
            <w:tcW w:w="160" w:type="dxa"/>
            <w:vAlign w:val="bottom"/>
            <w:shd w:val="clear" w:color="auto" w:fill="D8EFF9"/>
          </w:tcPr>
          <w:p>
            <w:pPr>
              <w:spacing w:after="0"/>
              <w:rPr>
                <w:sz w:val="2"/>
                <w:szCs w:val="2"/>
                <w:color w:val="auto"/>
              </w:rPr>
            </w:pPr>
          </w:p>
        </w:tc>
        <w:tc>
          <w:tcPr>
            <w:tcW w:w="40" w:type="dxa"/>
            <w:vAlign w:val="bottom"/>
            <w:shd w:val="clear" w:color="auto" w:fill="D8EFF9"/>
          </w:tcPr>
          <w:p>
            <w:pPr>
              <w:spacing w:after="0"/>
              <w:rPr>
                <w:sz w:val="2"/>
                <w:szCs w:val="2"/>
                <w:color w:val="auto"/>
              </w:rPr>
            </w:pPr>
          </w:p>
        </w:tc>
        <w:tc>
          <w:tcPr>
            <w:tcW w:w="260" w:type="dxa"/>
            <w:vAlign w:val="bottom"/>
            <w:shd w:val="clear" w:color="auto" w:fill="D8EFF9"/>
          </w:tcPr>
          <w:p>
            <w:pPr>
              <w:spacing w:after="0"/>
              <w:rPr>
                <w:sz w:val="2"/>
                <w:szCs w:val="2"/>
                <w:color w:val="auto"/>
              </w:rPr>
            </w:pPr>
          </w:p>
        </w:tc>
        <w:tc>
          <w:tcPr>
            <w:tcW w:w="100" w:type="dxa"/>
            <w:vAlign w:val="bottom"/>
            <w:shd w:val="clear" w:color="auto" w:fill="D8EFF9"/>
          </w:tcPr>
          <w:p>
            <w:pPr>
              <w:spacing w:after="0"/>
              <w:rPr>
                <w:sz w:val="2"/>
                <w:szCs w:val="2"/>
                <w:color w:val="auto"/>
              </w:rPr>
            </w:pPr>
          </w:p>
        </w:tc>
        <w:tc>
          <w:tcPr>
            <w:tcW w:w="100" w:type="dxa"/>
            <w:vAlign w:val="bottom"/>
            <w:shd w:val="clear" w:color="auto" w:fill="D8EFF9"/>
          </w:tcPr>
          <w:p>
            <w:pPr>
              <w:spacing w:after="0"/>
              <w:rPr>
                <w:sz w:val="2"/>
                <w:szCs w:val="2"/>
                <w:color w:val="auto"/>
              </w:rPr>
            </w:pPr>
          </w:p>
        </w:tc>
        <w:tc>
          <w:tcPr>
            <w:tcW w:w="300" w:type="dxa"/>
            <w:vAlign w:val="bottom"/>
            <w:shd w:val="clear" w:color="auto" w:fill="D8EFF9"/>
          </w:tcPr>
          <w:p>
            <w:pPr>
              <w:spacing w:after="0"/>
              <w:rPr>
                <w:sz w:val="2"/>
                <w:szCs w:val="2"/>
                <w:color w:val="auto"/>
              </w:rPr>
            </w:pPr>
          </w:p>
        </w:tc>
        <w:tc>
          <w:tcPr>
            <w:tcW w:w="120" w:type="dxa"/>
            <w:vAlign w:val="bottom"/>
            <w:shd w:val="clear" w:color="auto" w:fill="D8EFF9"/>
          </w:tcPr>
          <w:p>
            <w:pPr>
              <w:spacing w:after="0"/>
              <w:rPr>
                <w:sz w:val="2"/>
                <w:szCs w:val="2"/>
                <w:color w:val="auto"/>
              </w:rPr>
            </w:pPr>
          </w:p>
        </w:tc>
        <w:tc>
          <w:tcPr>
            <w:tcW w:w="80" w:type="dxa"/>
            <w:vAlign w:val="bottom"/>
            <w:shd w:val="clear" w:color="auto" w:fill="D8EFF9"/>
          </w:tcPr>
          <w:p>
            <w:pPr>
              <w:spacing w:after="0"/>
              <w:rPr>
                <w:sz w:val="2"/>
                <w:szCs w:val="2"/>
                <w:color w:val="auto"/>
              </w:rPr>
            </w:pPr>
          </w:p>
        </w:tc>
        <w:tc>
          <w:tcPr>
            <w:tcW w:w="300" w:type="dxa"/>
            <w:vAlign w:val="bottom"/>
            <w:shd w:val="clear" w:color="auto" w:fill="D8EFF9"/>
          </w:tcPr>
          <w:p>
            <w:pPr>
              <w:spacing w:after="0"/>
              <w:rPr>
                <w:sz w:val="2"/>
                <w:szCs w:val="2"/>
                <w:color w:val="auto"/>
              </w:rPr>
            </w:pPr>
          </w:p>
        </w:tc>
        <w:tc>
          <w:tcPr>
            <w:tcW w:w="80" w:type="dxa"/>
            <w:vAlign w:val="bottom"/>
            <w:shd w:val="clear" w:color="auto" w:fill="D8EFF9"/>
          </w:tcPr>
          <w:p>
            <w:pPr>
              <w:spacing w:after="0"/>
              <w:rPr>
                <w:sz w:val="2"/>
                <w:szCs w:val="2"/>
                <w:color w:val="auto"/>
              </w:rPr>
            </w:pPr>
          </w:p>
        </w:tc>
        <w:tc>
          <w:tcPr>
            <w:tcW w:w="60" w:type="dxa"/>
            <w:vAlign w:val="bottom"/>
            <w:shd w:val="clear" w:color="auto" w:fill="D8EFF9"/>
          </w:tcPr>
          <w:p>
            <w:pPr>
              <w:spacing w:after="0"/>
              <w:rPr>
                <w:sz w:val="2"/>
                <w:szCs w:val="2"/>
                <w:color w:val="auto"/>
              </w:rPr>
            </w:pPr>
          </w:p>
        </w:tc>
        <w:tc>
          <w:tcPr>
            <w:tcW w:w="300" w:type="dxa"/>
            <w:vAlign w:val="bottom"/>
            <w:shd w:val="clear" w:color="auto" w:fill="D8EFF9"/>
          </w:tcPr>
          <w:p>
            <w:pPr>
              <w:spacing w:after="0"/>
              <w:rPr>
                <w:sz w:val="2"/>
                <w:szCs w:val="2"/>
                <w:color w:val="auto"/>
              </w:rPr>
            </w:pPr>
          </w:p>
        </w:tc>
        <w:tc>
          <w:tcPr>
            <w:tcW w:w="80" w:type="dxa"/>
            <w:vAlign w:val="bottom"/>
            <w:shd w:val="clear" w:color="auto" w:fill="D8EFF9"/>
          </w:tcPr>
          <w:p>
            <w:pPr>
              <w:spacing w:after="0"/>
              <w:rPr>
                <w:sz w:val="2"/>
                <w:szCs w:val="2"/>
                <w:color w:val="auto"/>
              </w:rPr>
            </w:pPr>
          </w:p>
        </w:tc>
      </w:tr>
    </w:tbl>
    <w:p>
      <w:pPr>
        <w:spacing w:after="0" w:line="85" w:lineRule="exact"/>
        <w:rPr>
          <w:sz w:val="20"/>
          <w:szCs w:val="20"/>
          <w:color w:val="auto"/>
        </w:rPr>
      </w:pPr>
    </w:p>
    <w:p>
      <w:pPr>
        <w:ind w:left="1940"/>
        <w:spacing w:after="0"/>
        <w:tabs>
          <w:tab w:leader="none" w:pos="214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Primarily impacts related to acquisitions, mergers and divestitures.</w:t>
      </w:r>
    </w:p>
    <w:p>
      <w:pPr>
        <w:spacing w:after="0" w:line="123" w:lineRule="exact"/>
        <w:rPr>
          <w:sz w:val="20"/>
          <w:szCs w:val="20"/>
          <w:color w:val="auto"/>
        </w:rPr>
      </w:pPr>
    </w:p>
    <w:p>
      <w:pPr>
        <w:ind w:left="2000"/>
        <w:spacing w:after="0"/>
        <w:rPr>
          <w:sz w:val="20"/>
          <w:szCs w:val="20"/>
          <w:color w:val="auto"/>
        </w:rPr>
      </w:pPr>
      <w:r>
        <w:rPr>
          <w:rFonts w:ascii="Arial" w:cs="Arial" w:eastAsia="Arial" w:hAnsi="Arial"/>
          <w:sz w:val="15"/>
          <w:szCs w:val="15"/>
          <w:b w:val="1"/>
          <w:bCs w:val="1"/>
          <w:color w:val="009AD9"/>
        </w:rPr>
        <w:t xml:space="preserve">A-4 </w:t>
      </w:r>
      <w:r>
        <w:rPr>
          <w:rFonts w:ascii="Arial" w:cs="Arial" w:eastAsia="Arial" w:hAnsi="Arial"/>
          <w:sz w:val="13"/>
          <w:szCs w:val="13"/>
          <w:color w:val="000000"/>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-100330</wp:posOffset>
            </wp:positionV>
            <wp:extent cx="471170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711700" cy="5715"/>
                    </a:xfrm>
                    <a:prstGeom prst="rect">
                      <a:avLst/>
                    </a:prstGeom>
                    <a:noFill/>
                  </pic:spPr>
                </pic:pic>
              </a:graphicData>
            </a:graphic>
          </wp:anchor>
        </w:drawing>
      </w:r>
    </w:p>
    <w:p>
      <w:pPr>
        <w:sectPr>
          <w:pgSz w:w="11900" w:h="16838" w:orient="portrait"/>
          <w:cols w:equalWidth="0" w:num="1">
            <w:col w:w="10159"/>
          </w:cols>
          <w:pgMar w:left="300" w:top="373" w:right="1440" w:bottom="1440" w:gutter="0" w:footer="0" w:header="0"/>
        </w:sectPr>
      </w:pPr>
    </w:p>
    <w:bookmarkStart w:id="123" w:name="page124"/>
    <w:bookmarkEnd w:id="123"/>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177165</wp:posOffset>
            </wp:positionV>
            <wp:extent cx="1310640" cy="3232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10640" cy="3232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20"/>
        <w:spacing w:after="0"/>
        <w:rPr>
          <w:sz w:val="20"/>
          <w:szCs w:val="20"/>
          <w:color w:val="auto"/>
        </w:rPr>
      </w:pPr>
      <w:r>
        <w:rPr>
          <w:rFonts w:ascii="Arial" w:cs="Arial" w:eastAsia="Arial" w:hAnsi="Arial"/>
          <w:sz w:val="10"/>
          <w:szCs w:val="10"/>
          <w:i w:val="1"/>
          <w:iCs w:val="1"/>
          <w:color w:val="auto"/>
        </w:rPr>
        <w:t>BROADRIDGE CORPORATE ISSUER SOLUTIONS</w:t>
      </w:r>
    </w:p>
    <w:p>
      <w:pPr>
        <w:ind w:left="2220"/>
        <w:spacing w:after="0" w:line="208" w:lineRule="auto"/>
        <w:rPr>
          <w:sz w:val="20"/>
          <w:szCs w:val="20"/>
          <w:color w:val="auto"/>
        </w:rPr>
      </w:pPr>
      <w:r>
        <w:rPr>
          <w:rFonts w:ascii="Arial" w:cs="Arial" w:eastAsia="Arial" w:hAnsi="Arial"/>
          <w:sz w:val="10"/>
          <w:szCs w:val="10"/>
          <w:i w:val="1"/>
          <w:iCs w:val="1"/>
          <w:color w:val="auto"/>
        </w:rPr>
        <w:t>P.O. BOX 1342</w:t>
      </w:r>
    </w:p>
    <w:p>
      <w:pPr>
        <w:ind w:left="2220"/>
        <w:spacing w:after="0"/>
        <w:rPr>
          <w:sz w:val="20"/>
          <w:szCs w:val="20"/>
          <w:color w:val="auto"/>
        </w:rPr>
      </w:pPr>
      <w:r>
        <w:rPr>
          <w:rFonts w:ascii="Arial" w:cs="Arial" w:eastAsia="Arial" w:hAnsi="Arial"/>
          <w:sz w:val="10"/>
          <w:szCs w:val="10"/>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40"/>
        <w:spacing w:after="0"/>
        <w:rPr>
          <w:sz w:val="20"/>
          <w:szCs w:val="20"/>
          <w:color w:val="auto"/>
        </w:rPr>
      </w:pPr>
      <w:r>
        <w:rPr>
          <w:rFonts w:ascii="Arial" w:cs="Arial" w:eastAsia="Arial" w:hAnsi="Arial"/>
          <w:sz w:val="8"/>
          <w:szCs w:val="8"/>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979"/>
        <w:spacing w:after="0" w:line="216" w:lineRule="auto"/>
        <w:rPr>
          <w:sz w:val="20"/>
          <w:szCs w:val="20"/>
          <w:color w:val="auto"/>
        </w:rPr>
      </w:pPr>
      <w:r>
        <w:rPr>
          <w:rFonts w:ascii="Arial" w:cs="Arial" w:eastAsia="Arial" w:hAnsi="Arial"/>
          <w:sz w:val="10"/>
          <w:szCs w:val="10"/>
          <w:b w:val="1"/>
          <w:bCs w:val="1"/>
          <w:color w:val="auto"/>
        </w:rPr>
        <w:t xml:space="preserve">VOTE BY INTERNET - </w:t>
      </w:r>
      <w:r>
        <w:rPr>
          <w:rFonts w:ascii="Arial" w:cs="Arial" w:eastAsia="Arial" w:hAnsi="Arial"/>
          <w:sz w:val="10"/>
          <w:szCs w:val="10"/>
          <w:b w:val="1"/>
          <w:bCs w:val="1"/>
          <w:u w:val="single" w:color="auto"/>
          <w:color w:val="auto"/>
        </w:rPr>
        <w:t>www.proxyvote.com</w:t>
      </w:r>
      <w:r>
        <w:rPr>
          <w:rFonts w:ascii="Arial" w:cs="Arial" w:eastAsia="Arial" w:hAnsi="Arial"/>
          <w:sz w:val="10"/>
          <w:szCs w:val="10"/>
          <w:b w:val="1"/>
          <w:bCs w:val="1"/>
          <w:color w:val="auto"/>
        </w:rPr>
        <w:t xml:space="preserve"> or scan the QR Barcode above </w:t>
      </w:r>
      <w:r>
        <w:rPr>
          <w:rFonts w:ascii="Arial" w:cs="Arial" w:eastAsia="Arial" w:hAnsi="Arial"/>
          <w:sz w:val="10"/>
          <w:szCs w:val="10"/>
          <w:color w:val="auto"/>
        </w:rPr>
        <w:t>Use the Internet to transmit your voting instructions and for electronic delivery of information. Vote by 11:59 p.m. Eastern Time on April 20, 2023 for shares of common stock held directly and by 11:59 p.m. Eastern Time on April 18, 2023 for shares of common stock held in a Plan. Have your proxy card in hand when you access the website and follow the instructions to obtain your records and to create an electronic voting instruction form.</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ELECTRONIC DELIVERY OF FUTURE PROXY MATERIALS</w:t>
      </w:r>
    </w:p>
    <w:p>
      <w:pPr>
        <w:ind w:right="959"/>
        <w:spacing w:after="0" w:line="275" w:lineRule="auto"/>
        <w:rPr>
          <w:sz w:val="20"/>
          <w:szCs w:val="20"/>
          <w:color w:val="auto"/>
        </w:rPr>
      </w:pPr>
      <w:r>
        <w:rPr>
          <w:rFonts w:ascii="Arial" w:cs="Arial" w:eastAsia="Arial" w:hAnsi="Arial"/>
          <w:sz w:val="8"/>
          <w:szCs w:val="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PHONE - 1-800-690-6903</w:t>
      </w:r>
    </w:p>
    <w:p>
      <w:pPr>
        <w:ind w:right="919"/>
        <w:spacing w:after="0" w:line="216" w:lineRule="auto"/>
        <w:rPr>
          <w:sz w:val="20"/>
          <w:szCs w:val="20"/>
          <w:color w:val="auto"/>
        </w:rPr>
      </w:pPr>
      <w:r>
        <w:rPr>
          <w:rFonts w:ascii="Arial" w:cs="Arial" w:eastAsia="Arial" w:hAnsi="Arial"/>
          <w:sz w:val="10"/>
          <w:szCs w:val="10"/>
          <w:color w:val="auto"/>
        </w:rPr>
        <w:t>Use any touch-tone telephone to transmit your voting instructions. Vote by 11:59 p.m. Eastern Time on April 20, 2023 for shares held directly and by 11:59 p.m. Eastern Time on April 18, 2023 for shares held in a Plan. Have your proxy card in hand when you call and then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MAIL</w:t>
      </w:r>
    </w:p>
    <w:p>
      <w:pPr>
        <w:jc w:val="both"/>
        <w:ind w:right="1059"/>
        <w:spacing w:after="0" w:line="218"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305" w:lineRule="exact"/>
        <w:rPr>
          <w:sz w:val="20"/>
          <w:szCs w:val="20"/>
          <w:color w:val="auto"/>
        </w:rPr>
      </w:pPr>
    </w:p>
    <w:p>
      <w:pPr>
        <w:jc w:val="right"/>
        <w:ind w:right="799"/>
        <w:spacing w:after="0"/>
        <w:tabs>
          <w:tab w:leader="none" w:pos="1880" w:val="left"/>
        </w:tabs>
        <w:rPr>
          <w:sz w:val="20"/>
          <w:szCs w:val="20"/>
          <w:color w:val="auto"/>
        </w:rPr>
      </w:pPr>
      <w:r>
        <w:rPr>
          <w:rFonts w:ascii="Arial" w:cs="Arial" w:eastAsia="Arial" w:hAnsi="Arial"/>
          <w:sz w:val="10"/>
          <w:szCs w:val="10"/>
          <w:color w:val="auto"/>
        </w:rPr>
        <w:t>D99335-P85789</w:t>
      </w:r>
      <w:r>
        <w:rPr>
          <w:sz w:val="20"/>
          <w:szCs w:val="20"/>
          <w:color w:val="auto"/>
        </w:rPr>
        <w:tab/>
      </w:r>
      <w:r>
        <w:rPr>
          <w:rFonts w:ascii="Arial" w:cs="Arial" w:eastAsia="Arial" w:hAnsi="Arial"/>
          <w:sz w:val="8"/>
          <w:szCs w:val="8"/>
          <w:color w:val="auto"/>
        </w:rPr>
        <w:t>KEEP THIS PORTION FOR YOUR RECORDS</w:t>
      </w:r>
    </w:p>
    <w:p>
      <w:pPr>
        <w:spacing w:after="0" w:line="1" w:lineRule="exact"/>
        <w:rPr>
          <w:sz w:val="20"/>
          <w:szCs w:val="20"/>
          <w:color w:val="auto"/>
        </w:rPr>
      </w:pPr>
    </w:p>
    <w:p>
      <w:pPr>
        <w:sectPr>
          <w:pgSz w:w="11900" w:h="16838" w:orient="portrait"/>
          <w:cols w:equalWidth="0" w:num="2">
            <w:col w:w="5220" w:space="500"/>
            <w:col w:w="4439"/>
          </w:cols>
          <w:pgMar w:left="300" w:top="372" w:right="1440" w:bottom="1440" w:gutter="0" w:footer="0" w:header="0"/>
          <w:type w:val="continuous"/>
        </w:sectPr>
      </w:pPr>
    </w:p>
    <w:p>
      <w:pPr>
        <w:ind w:left="1940"/>
        <w:spacing w:after="0"/>
        <w:rPr>
          <w:sz w:val="20"/>
          <w:szCs w:val="20"/>
          <w:color w:val="auto"/>
        </w:rPr>
      </w:pPr>
      <w:r>
        <w:rPr>
          <w:rFonts w:ascii="Arial" w:cs="Arial" w:eastAsia="Arial" w:hAnsi="Arial"/>
          <w:sz w:val="11"/>
          <w:szCs w:val="11"/>
          <w:color w:val="auto"/>
        </w:rPr>
        <w:t>— — — — — — — — — — — — — — — — — — — — — — — — — — — — — — — — — — — — — — — — — — — — — — — — — —</w:t>
      </w:r>
    </w:p>
    <w:p>
      <w:pPr>
        <w:spacing w:after="0" w:line="13" w:lineRule="exact"/>
        <w:rPr>
          <w:sz w:val="20"/>
          <w:szCs w:val="20"/>
          <w:color w:val="auto"/>
        </w:rPr>
      </w:pPr>
    </w:p>
    <w:tbl>
      <w:tblPr>
        <w:tblLayout w:type="fixed"/>
        <w:tblInd w:w="3920" w:type="dxa"/>
        <w:tblCellMar>
          <w:top w:w="0" w:type="dxa"/>
          <w:left w:w="0" w:type="dxa"/>
          <w:bottom w:w="0" w:type="dxa"/>
          <w:right w:w="0" w:type="dxa"/>
        </w:tblCellMar>
      </w:tblPr>
      <w:tr>
        <w:trPr>
          <w:trHeight w:val="122"/>
        </w:trPr>
        <w:tc>
          <w:tcPr>
            <w:tcW w:w="3220" w:type="dxa"/>
            <w:vAlign w:val="bottom"/>
            <w:vMerge w:val="restart"/>
          </w:tcPr>
          <w:p>
            <w:pPr>
              <w:spacing w:after="0"/>
              <w:rPr>
                <w:sz w:val="20"/>
                <w:szCs w:val="20"/>
                <w:color w:val="auto"/>
              </w:rPr>
            </w:pPr>
            <w:r>
              <w:rPr>
                <w:rFonts w:ascii="Arial" w:cs="Arial" w:eastAsia="Arial" w:hAnsi="Arial"/>
                <w:sz w:val="10"/>
                <w:szCs w:val="10"/>
                <w:b w:val="1"/>
                <w:bCs w:val="1"/>
                <w:color w:val="auto"/>
              </w:rPr>
              <w:t>THIS PROXY CARD IS VALID ONLY WHEN SIGNED AND DATED.</w:t>
            </w:r>
          </w:p>
        </w:tc>
        <w:tc>
          <w:tcPr>
            <w:tcW w:w="2220" w:type="dxa"/>
            <w:vAlign w:val="bottom"/>
          </w:tcPr>
          <w:p>
            <w:pPr>
              <w:ind w:left="220"/>
              <w:spacing w:after="0"/>
              <w:rPr>
                <w:sz w:val="20"/>
                <w:szCs w:val="20"/>
                <w:color w:val="auto"/>
              </w:rPr>
            </w:pPr>
            <w:r>
              <w:rPr>
                <w:rFonts w:ascii="Arial" w:cs="Arial" w:eastAsia="Arial" w:hAnsi="Arial"/>
                <w:sz w:val="10"/>
                <w:szCs w:val="10"/>
                <w:color w:val="auto"/>
                <w:w w:val="92"/>
              </w:rPr>
              <w:t>DETACH AND RETURN THIS PORTION ONLY</w:t>
            </w:r>
          </w:p>
        </w:tc>
        <w:tc>
          <w:tcPr>
            <w:tcW w:w="0" w:type="dxa"/>
            <w:vAlign w:val="bottom"/>
          </w:tcPr>
          <w:p>
            <w:pPr>
              <w:spacing w:after="0"/>
              <w:rPr>
                <w:sz w:val="1"/>
                <w:szCs w:val="1"/>
                <w:color w:val="auto"/>
              </w:rPr>
            </w:pPr>
          </w:p>
        </w:tc>
      </w:tr>
      <w:tr>
        <w:trPr>
          <w:trHeight w:val="28"/>
        </w:trPr>
        <w:tc>
          <w:tcPr>
            <w:tcW w:w="3220" w:type="dxa"/>
            <w:vAlign w:val="bottom"/>
            <w:vMerge w:val="continue"/>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21590</wp:posOffset>
            </wp:positionV>
            <wp:extent cx="4725670" cy="26409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725670" cy="2640965"/>
                    </a:xfrm>
                    <a:prstGeom prst="rect">
                      <a:avLst/>
                    </a:prstGeom>
                    <a:noFill/>
                  </pic:spPr>
                </pic:pic>
              </a:graphicData>
            </a:graphic>
          </wp:anchor>
        </w:drawing>
      </w:r>
    </w:p>
    <w:p>
      <w:pPr>
        <w:spacing w:after="0" w:line="65" w:lineRule="exact"/>
        <w:rPr>
          <w:sz w:val="20"/>
          <w:szCs w:val="20"/>
          <w:color w:val="auto"/>
        </w:rPr>
      </w:pPr>
    </w:p>
    <w:p>
      <w:pPr>
        <w:ind w:left="2040"/>
        <w:spacing w:after="0"/>
        <w:rPr>
          <w:sz w:val="20"/>
          <w:szCs w:val="20"/>
          <w:color w:val="auto"/>
        </w:rPr>
      </w:pPr>
      <w:r>
        <w:rPr>
          <w:rFonts w:ascii="Arial" w:cs="Arial" w:eastAsia="Arial" w:hAnsi="Arial"/>
          <w:sz w:val="10"/>
          <w:szCs w:val="10"/>
          <w:b w:val="1"/>
          <w:bCs w:val="1"/>
          <w:color w:val="auto"/>
        </w:rPr>
        <w:t>CENTERPOINT ENERGY, INC.</w:t>
      </w:r>
    </w:p>
    <w:p>
      <w:pPr>
        <w:sectPr>
          <w:pgSz w:w="11900" w:h="16838" w:orient="portrait"/>
          <w:cols w:equalWidth="0" w:num="1">
            <w:col w:w="10159"/>
          </w:cols>
          <w:pgMar w:left="300" w:top="372" w:right="1440" w:bottom="1440" w:gutter="0" w:footer="0" w:header="0"/>
          <w:type w:val="continuous"/>
        </w:sectPr>
      </w:pPr>
    </w:p>
    <w:p>
      <w:pPr>
        <w:spacing w:after="0" w:line="253" w:lineRule="exact"/>
        <w:rPr>
          <w:sz w:val="20"/>
          <w:szCs w:val="20"/>
          <w:color w:val="auto"/>
        </w:rPr>
      </w:pPr>
    </w:p>
    <w:p>
      <w:pPr>
        <w:ind w:left="2160"/>
        <w:spacing w:after="0"/>
        <w:rPr>
          <w:sz w:val="20"/>
          <w:szCs w:val="20"/>
          <w:color w:val="auto"/>
        </w:rPr>
      </w:pPr>
      <w:r>
        <w:rPr>
          <w:rFonts w:ascii="Arial" w:cs="Arial" w:eastAsia="Arial" w:hAnsi="Arial"/>
          <w:sz w:val="10"/>
          <w:szCs w:val="10"/>
          <w:b w:val="1"/>
          <w:bCs w:val="1"/>
          <w:color w:val="auto"/>
        </w:rPr>
        <w:t>The Board of Directors recommends you vote</w:t>
      </w:r>
    </w:p>
    <w:p>
      <w:pPr>
        <w:ind w:left="2160"/>
        <w:spacing w:after="0"/>
        <w:rPr>
          <w:sz w:val="20"/>
          <w:szCs w:val="20"/>
          <w:color w:val="auto"/>
        </w:rPr>
      </w:pPr>
      <w:r>
        <w:rPr>
          <w:rFonts w:ascii="Arial" w:cs="Arial" w:eastAsia="Arial" w:hAnsi="Arial"/>
          <w:sz w:val="10"/>
          <w:szCs w:val="10"/>
          <w:b w:val="1"/>
          <w:bCs w:val="1"/>
          <w:color w:val="auto"/>
        </w:rPr>
        <w:t>FOR the following:</w:t>
      </w:r>
    </w:p>
    <w:p>
      <w:pPr>
        <w:spacing w:after="0" w:line="59" w:lineRule="exact"/>
        <w:rPr>
          <w:sz w:val="20"/>
          <w:szCs w:val="20"/>
          <w:color w:val="auto"/>
        </w:rPr>
      </w:pPr>
    </w:p>
    <w:p>
      <w:pPr>
        <w:ind w:left="2380" w:hanging="231"/>
        <w:spacing w:after="0"/>
        <w:tabs>
          <w:tab w:leader="none" w:pos="2380" w:val="left"/>
        </w:tabs>
        <w:numPr>
          <w:ilvl w:val="0"/>
          <w:numId w:val="157"/>
        </w:numPr>
        <w:rPr>
          <w:rFonts w:ascii="Arial" w:cs="Arial" w:eastAsia="Arial" w:hAnsi="Arial"/>
          <w:sz w:val="10"/>
          <w:szCs w:val="10"/>
          <w:color w:val="auto"/>
        </w:rPr>
      </w:pPr>
      <w:r>
        <w:rPr>
          <w:rFonts w:ascii="Arial" w:cs="Arial" w:eastAsia="Arial" w:hAnsi="Arial"/>
          <w:sz w:val="10"/>
          <w:szCs w:val="10"/>
          <w:color w:val="auto"/>
        </w:rPr>
        <w:t>Election of Directors</w:t>
      </w:r>
    </w:p>
    <w:p>
      <w:pPr>
        <w:spacing w:after="0" w:line="65" w:lineRule="exact"/>
        <w:rPr>
          <w:sz w:val="20"/>
          <w:szCs w:val="20"/>
          <w:color w:val="auto"/>
        </w:rPr>
      </w:pPr>
    </w:p>
    <w:tbl>
      <w:tblPr>
        <w:tblLayout w:type="fixed"/>
        <w:tblInd w:w="2400" w:type="dxa"/>
        <w:tblCellMar>
          <w:top w:w="0" w:type="dxa"/>
          <w:left w:w="0" w:type="dxa"/>
          <w:bottom w:w="0" w:type="dxa"/>
          <w:right w:w="0" w:type="dxa"/>
        </w:tblCellMar>
      </w:tblPr>
      <w:tr>
        <w:trPr>
          <w:trHeight w:val="124"/>
        </w:trPr>
        <w:tc>
          <w:tcPr>
            <w:tcW w:w="1620" w:type="dxa"/>
            <w:vAlign w:val="bottom"/>
            <w:gridSpan w:val="2"/>
          </w:tcPr>
          <w:p>
            <w:pPr>
              <w:spacing w:after="0"/>
              <w:rPr>
                <w:sz w:val="20"/>
                <w:szCs w:val="20"/>
                <w:color w:val="auto"/>
              </w:rPr>
            </w:pPr>
            <w:r>
              <w:rPr>
                <w:rFonts w:ascii="Arial" w:cs="Arial" w:eastAsia="Arial" w:hAnsi="Arial"/>
                <w:sz w:val="10"/>
                <w:szCs w:val="10"/>
                <w:b w:val="1"/>
                <w:bCs w:val="1"/>
                <w:color w:val="auto"/>
              </w:rPr>
              <w:t>Nominees:</w:t>
            </w:r>
          </w:p>
        </w:tc>
        <w:tc>
          <w:tcPr>
            <w:tcW w:w="600" w:type="dxa"/>
            <w:vAlign w:val="bottom"/>
          </w:tcPr>
          <w:p>
            <w:pPr>
              <w:ind w:left="380"/>
              <w:spacing w:after="0"/>
              <w:rPr>
                <w:sz w:val="20"/>
                <w:szCs w:val="20"/>
                <w:color w:val="auto"/>
              </w:rPr>
            </w:pPr>
            <w:r>
              <w:rPr>
                <w:rFonts w:ascii="Arial" w:cs="Arial" w:eastAsia="Arial" w:hAnsi="Arial"/>
                <w:sz w:val="10"/>
                <w:szCs w:val="10"/>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7"/>
              </w:rPr>
              <w:t>Against</w:t>
            </w:r>
          </w:p>
        </w:tc>
        <w:tc>
          <w:tcPr>
            <w:tcW w:w="400" w:type="dxa"/>
            <w:vAlign w:val="bottom"/>
          </w:tcPr>
          <w:p>
            <w:pPr>
              <w:jc w:val="center"/>
              <w:ind w:left="21"/>
              <w:spacing w:after="0"/>
              <w:rPr>
                <w:sz w:val="20"/>
                <w:szCs w:val="20"/>
                <w:color w:val="auto"/>
              </w:rPr>
            </w:pPr>
            <w:r>
              <w:rPr>
                <w:rFonts w:ascii="Arial" w:cs="Arial" w:eastAsia="Arial" w:hAnsi="Arial"/>
                <w:sz w:val="10"/>
                <w:szCs w:val="10"/>
                <w:b w:val="1"/>
                <w:bCs w:val="1"/>
                <w:color w:val="auto"/>
                <w:w w:val="87"/>
              </w:rPr>
              <w:t>Abstain</w:t>
            </w:r>
          </w:p>
        </w:tc>
      </w:tr>
      <w:tr>
        <w:trPr>
          <w:trHeight w:val="240"/>
        </w:trPr>
        <w:tc>
          <w:tcPr>
            <w:tcW w:w="180" w:type="dxa"/>
            <w:vAlign w:val="bottom"/>
          </w:tcPr>
          <w:p>
            <w:pPr>
              <w:spacing w:after="0"/>
              <w:rPr>
                <w:sz w:val="20"/>
                <w:szCs w:val="20"/>
                <w:color w:val="auto"/>
              </w:rPr>
            </w:pPr>
            <w:r>
              <w:rPr>
                <w:rFonts w:ascii="Arial" w:cs="Arial" w:eastAsia="Arial" w:hAnsi="Arial"/>
                <w:sz w:val="10"/>
                <w:szCs w:val="10"/>
                <w:color w:val="auto"/>
              </w:rPr>
              <w:t>1a.</w:t>
            </w:r>
          </w:p>
        </w:tc>
        <w:tc>
          <w:tcPr>
            <w:tcW w:w="1440" w:type="dxa"/>
            <w:vAlign w:val="bottom"/>
          </w:tcPr>
          <w:p>
            <w:pPr>
              <w:ind w:left="80"/>
              <w:spacing w:after="0"/>
              <w:rPr>
                <w:sz w:val="20"/>
                <w:szCs w:val="20"/>
                <w:color w:val="auto"/>
              </w:rPr>
            </w:pPr>
            <w:r>
              <w:rPr>
                <w:rFonts w:ascii="Arial" w:cs="Arial" w:eastAsia="Arial" w:hAnsi="Arial"/>
                <w:sz w:val="10"/>
                <w:szCs w:val="10"/>
                <w:color w:val="auto"/>
              </w:rPr>
              <w:t>Wendy Montoya Cloonan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1b.</w:t>
            </w:r>
          </w:p>
        </w:tc>
        <w:tc>
          <w:tcPr>
            <w:tcW w:w="1440" w:type="dxa"/>
            <w:vAlign w:val="bottom"/>
          </w:tcPr>
          <w:p>
            <w:pPr>
              <w:ind w:left="80"/>
              <w:spacing w:after="0"/>
              <w:rPr>
                <w:sz w:val="20"/>
                <w:szCs w:val="20"/>
                <w:color w:val="auto"/>
              </w:rPr>
            </w:pPr>
            <w:r>
              <w:rPr>
                <w:rFonts w:ascii="Arial" w:cs="Arial" w:eastAsia="Arial" w:hAnsi="Arial"/>
                <w:sz w:val="10"/>
                <w:szCs w:val="10"/>
                <w:color w:val="auto"/>
              </w:rPr>
              <w:t>Earl M. Cummings</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1c.</w:t>
            </w:r>
          </w:p>
        </w:tc>
        <w:tc>
          <w:tcPr>
            <w:tcW w:w="1440" w:type="dxa"/>
            <w:vAlign w:val="bottom"/>
          </w:tcPr>
          <w:p>
            <w:pPr>
              <w:ind w:left="80"/>
              <w:spacing w:after="0"/>
              <w:rPr>
                <w:sz w:val="20"/>
                <w:szCs w:val="20"/>
                <w:color w:val="auto"/>
              </w:rPr>
            </w:pPr>
            <w:r>
              <w:rPr>
                <w:rFonts w:ascii="Arial" w:cs="Arial" w:eastAsia="Arial" w:hAnsi="Arial"/>
                <w:sz w:val="10"/>
                <w:szCs w:val="10"/>
                <w:color w:val="auto"/>
              </w:rPr>
              <w:t>Christopher H. Franklin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1d.</w:t>
            </w:r>
          </w:p>
        </w:tc>
        <w:tc>
          <w:tcPr>
            <w:tcW w:w="1440" w:type="dxa"/>
            <w:vAlign w:val="bottom"/>
          </w:tcPr>
          <w:p>
            <w:pPr>
              <w:ind w:left="80"/>
              <w:spacing w:after="0"/>
              <w:rPr>
                <w:sz w:val="20"/>
                <w:szCs w:val="20"/>
                <w:color w:val="auto"/>
              </w:rPr>
            </w:pPr>
            <w:r>
              <w:rPr>
                <w:rFonts w:ascii="Arial" w:cs="Arial" w:eastAsia="Arial" w:hAnsi="Arial"/>
                <w:sz w:val="10"/>
                <w:szCs w:val="10"/>
                <w:color w:val="auto"/>
              </w:rPr>
              <w:t>David J. Lesar</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1e.</w:t>
            </w:r>
          </w:p>
        </w:tc>
        <w:tc>
          <w:tcPr>
            <w:tcW w:w="1440" w:type="dxa"/>
            <w:vAlign w:val="bottom"/>
          </w:tcPr>
          <w:p>
            <w:pPr>
              <w:ind w:left="80"/>
              <w:spacing w:after="0"/>
              <w:rPr>
                <w:sz w:val="20"/>
                <w:szCs w:val="20"/>
                <w:color w:val="auto"/>
              </w:rPr>
            </w:pPr>
            <w:r>
              <w:rPr>
                <w:rFonts w:ascii="Arial" w:cs="Arial" w:eastAsia="Arial" w:hAnsi="Arial"/>
                <w:sz w:val="10"/>
                <w:szCs w:val="10"/>
                <w:color w:val="auto"/>
              </w:rPr>
              <w:t>Raquelle W. Lewis</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1f.</w:t>
            </w:r>
          </w:p>
        </w:tc>
        <w:tc>
          <w:tcPr>
            <w:tcW w:w="1440" w:type="dxa"/>
            <w:vAlign w:val="bottom"/>
          </w:tcPr>
          <w:p>
            <w:pPr>
              <w:ind w:left="80"/>
              <w:spacing w:after="0"/>
              <w:rPr>
                <w:sz w:val="20"/>
                <w:szCs w:val="20"/>
                <w:color w:val="auto"/>
              </w:rPr>
            </w:pPr>
            <w:r>
              <w:rPr>
                <w:rFonts w:ascii="Arial" w:cs="Arial" w:eastAsia="Arial" w:hAnsi="Arial"/>
                <w:sz w:val="10"/>
                <w:szCs w:val="10"/>
                <w:color w:val="auto"/>
              </w:rPr>
              <w:t>Martin H. Nesbitt</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1g.</w:t>
            </w:r>
          </w:p>
        </w:tc>
        <w:tc>
          <w:tcPr>
            <w:tcW w:w="1440" w:type="dxa"/>
            <w:vAlign w:val="bottom"/>
          </w:tcPr>
          <w:p>
            <w:pPr>
              <w:ind w:left="80"/>
              <w:spacing w:after="0"/>
              <w:rPr>
                <w:sz w:val="20"/>
                <w:szCs w:val="20"/>
                <w:color w:val="auto"/>
              </w:rPr>
            </w:pPr>
            <w:r>
              <w:rPr>
                <w:rFonts w:ascii="Arial" w:cs="Arial" w:eastAsia="Arial" w:hAnsi="Arial"/>
                <w:sz w:val="10"/>
                <w:szCs w:val="10"/>
                <w:color w:val="auto"/>
              </w:rPr>
              <w:t>Theodore F. Pound</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1h.</w:t>
            </w:r>
          </w:p>
        </w:tc>
        <w:tc>
          <w:tcPr>
            <w:tcW w:w="1440" w:type="dxa"/>
            <w:vAlign w:val="bottom"/>
          </w:tcPr>
          <w:p>
            <w:pPr>
              <w:ind w:left="80"/>
              <w:spacing w:after="0"/>
              <w:rPr>
                <w:sz w:val="20"/>
                <w:szCs w:val="20"/>
                <w:color w:val="auto"/>
              </w:rPr>
            </w:pPr>
            <w:r>
              <w:rPr>
                <w:rFonts w:ascii="Arial" w:cs="Arial" w:eastAsia="Arial" w:hAnsi="Arial"/>
                <w:sz w:val="10"/>
                <w:szCs w:val="10"/>
                <w:color w:val="auto"/>
              </w:rPr>
              <w:t>Phillip R. Smith</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1i.</w:t>
            </w:r>
          </w:p>
        </w:tc>
        <w:tc>
          <w:tcPr>
            <w:tcW w:w="1440" w:type="dxa"/>
            <w:vAlign w:val="bottom"/>
          </w:tcPr>
          <w:p>
            <w:pPr>
              <w:ind w:left="80"/>
              <w:spacing w:after="0"/>
              <w:rPr>
                <w:sz w:val="20"/>
                <w:szCs w:val="20"/>
                <w:color w:val="auto"/>
              </w:rPr>
            </w:pPr>
            <w:r>
              <w:rPr>
                <w:rFonts w:ascii="Arial" w:cs="Arial" w:eastAsia="Arial" w:hAnsi="Arial"/>
                <w:sz w:val="10"/>
                <w:szCs w:val="10"/>
                <w:color w:val="auto"/>
              </w:rPr>
              <w:t>Barry T. Smitherman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380" w:type="dxa"/>
            <w:vAlign w:val="bottom"/>
            <w:gridSpan w:val="3"/>
          </w:tcPr>
          <w:p>
            <w:pPr>
              <w:spacing w:after="0"/>
              <w:rPr>
                <w:sz w:val="20"/>
                <w:szCs w:val="20"/>
                <w:color w:val="auto"/>
              </w:rPr>
            </w:pPr>
            <w:r>
              <w:rPr>
                <w:rFonts w:ascii="Arial" w:cs="Arial" w:eastAsia="Arial" w:hAnsi="Arial"/>
                <w:sz w:val="10"/>
                <w:szCs w:val="10"/>
                <w:b w:val="1"/>
                <w:bCs w:val="1"/>
                <w:color w:val="auto"/>
                <w:w w:val="91"/>
              </w:rPr>
              <w:t>The Board of Directors recommends you vote FOR the</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9"/>
              </w:rPr>
              <w:t>For</w:t>
            </w: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w w:val="98"/>
              </w:rPr>
              <w:t>Against</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following proposals:</w:t>
            </w:r>
          </w:p>
        </w:tc>
        <w:tc>
          <w:tcPr>
            <w:tcW w:w="380" w:type="dxa"/>
            <w:vAlign w:val="bottom"/>
          </w:tcPr>
          <w:p>
            <w:pPr>
              <w:spacing w:after="0"/>
              <w:rPr>
                <w:sz w:val="10"/>
                <w:szCs w:val="10"/>
                <w:color w:val="auto"/>
              </w:rPr>
            </w:pP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2.</w:t>
            </w:r>
          </w:p>
        </w:tc>
        <w:tc>
          <w:tcPr>
            <w:tcW w:w="2260" w:type="dxa"/>
            <w:vAlign w:val="bottom"/>
            <w:gridSpan w:val="2"/>
          </w:tcPr>
          <w:p>
            <w:pPr>
              <w:ind w:left="60"/>
              <w:spacing w:after="0"/>
              <w:rPr>
                <w:sz w:val="20"/>
                <w:szCs w:val="20"/>
                <w:color w:val="auto"/>
              </w:rPr>
            </w:pPr>
            <w:r>
              <w:rPr>
                <w:rFonts w:ascii="Arial" w:cs="Arial" w:eastAsia="Arial" w:hAnsi="Arial"/>
                <w:sz w:val="10"/>
                <w:szCs w:val="10"/>
                <w:color w:val="auto"/>
                <w:w w:val="95"/>
              </w:rPr>
              <w:t>Ratify the appointment of Deloitte &amp; Touche LLP as</w:t>
            </w: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260" w:type="dxa"/>
            <w:vAlign w:val="bottom"/>
            <w:gridSpan w:val="2"/>
          </w:tcPr>
          <w:p>
            <w:pPr>
              <w:ind w:left="60"/>
              <w:spacing w:after="0" w:line="92" w:lineRule="exact"/>
              <w:rPr>
                <w:sz w:val="20"/>
                <w:szCs w:val="20"/>
                <w:color w:val="auto"/>
              </w:rPr>
            </w:pPr>
            <w:r>
              <w:rPr>
                <w:rFonts w:ascii="Arial" w:cs="Arial" w:eastAsia="Arial" w:hAnsi="Arial"/>
                <w:sz w:val="10"/>
                <w:szCs w:val="10"/>
                <w:color w:val="auto"/>
                <w:w w:val="93"/>
              </w:rPr>
              <w:t>the independent registered public accounting firm for</w:t>
            </w: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2023.</w:t>
            </w:r>
          </w:p>
        </w:tc>
        <w:tc>
          <w:tcPr>
            <w:tcW w:w="380" w:type="dxa"/>
            <w:vAlign w:val="bottom"/>
          </w:tcPr>
          <w:p>
            <w:pPr>
              <w:spacing w:after="0"/>
              <w:rPr>
                <w:sz w:val="10"/>
                <w:szCs w:val="10"/>
                <w:color w:val="auto"/>
              </w:rPr>
            </w:pP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3.</w:t>
            </w:r>
          </w:p>
        </w:tc>
        <w:tc>
          <w:tcPr>
            <w:tcW w:w="1880" w:type="dxa"/>
            <w:vAlign w:val="bottom"/>
          </w:tcPr>
          <w:p>
            <w:pPr>
              <w:ind w:left="60"/>
              <w:spacing w:after="0"/>
              <w:rPr>
                <w:sz w:val="20"/>
                <w:szCs w:val="20"/>
                <w:color w:val="auto"/>
              </w:rPr>
            </w:pPr>
            <w:r>
              <w:rPr>
                <w:rFonts w:ascii="Arial" w:cs="Arial" w:eastAsia="Arial" w:hAnsi="Arial"/>
                <w:sz w:val="10"/>
                <w:szCs w:val="10"/>
                <w:color w:val="auto"/>
                <w:w w:val="90"/>
              </w:rPr>
              <w:t>Approve the advisory resolution on executive</w:t>
            </w:r>
          </w:p>
        </w:tc>
        <w:tc>
          <w:tcPr>
            <w:tcW w:w="3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w w:val="91"/>
              </w:rPr>
              <w:t>The Board of Directors recommends you vote</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6"/>
              </w:rPr>
              <w:t>1 Year</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4"/>
              </w:rPr>
              <w:t>2 Years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4"/>
              </w:rPr>
              <w:t>3 Years</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FOR “1 Year” on the following proposal:</w:t>
            </w:r>
          </w:p>
        </w:tc>
        <w:tc>
          <w:tcPr>
            <w:tcW w:w="3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4.</w:t>
            </w:r>
          </w:p>
        </w:tc>
        <w:tc>
          <w:tcPr>
            <w:tcW w:w="1880" w:type="dxa"/>
            <w:vAlign w:val="bottom"/>
          </w:tcPr>
          <w:p>
            <w:pPr>
              <w:ind w:left="60"/>
              <w:spacing w:after="0"/>
              <w:rPr>
                <w:sz w:val="20"/>
                <w:szCs w:val="20"/>
                <w:color w:val="auto"/>
              </w:rPr>
            </w:pPr>
            <w:r>
              <w:rPr>
                <w:rFonts w:ascii="Arial" w:cs="Arial" w:eastAsia="Arial" w:hAnsi="Arial"/>
                <w:sz w:val="10"/>
                <w:szCs w:val="10"/>
                <w:color w:val="auto"/>
              </w:rPr>
              <w:t>Advisory vote on the frequency of future</w:t>
            </w:r>
          </w:p>
        </w:tc>
        <w:tc>
          <w:tcPr>
            <w:tcW w:w="3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1880" w:type="dxa"/>
            <w:vAlign w:val="bottom"/>
          </w:tcPr>
          <w:p>
            <w:pPr>
              <w:ind w:left="60"/>
              <w:spacing w:after="0" w:line="92" w:lineRule="exact"/>
              <w:rPr>
                <w:sz w:val="20"/>
                <w:szCs w:val="20"/>
                <w:color w:val="auto"/>
              </w:rPr>
            </w:pPr>
            <w:r>
              <w:rPr>
                <w:rFonts w:ascii="Arial" w:cs="Arial" w:eastAsia="Arial" w:hAnsi="Arial"/>
                <w:sz w:val="10"/>
                <w:szCs w:val="10"/>
                <w:color w:val="auto"/>
              </w:rPr>
              <w:t>advisory shareholder votes on executive</w:t>
            </w: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380" w:type="dxa"/>
            <w:vAlign w:val="bottom"/>
            <w:gridSpan w:val="3"/>
          </w:tcPr>
          <w:p>
            <w:pPr>
              <w:spacing w:after="0" w:line="112" w:lineRule="exact"/>
              <w:rPr>
                <w:sz w:val="20"/>
                <w:szCs w:val="20"/>
                <w:color w:val="auto"/>
              </w:rPr>
            </w:pPr>
            <w:r>
              <w:rPr>
                <w:rFonts w:ascii="Arial" w:cs="Arial" w:eastAsia="Arial" w:hAnsi="Arial"/>
                <w:sz w:val="10"/>
                <w:szCs w:val="10"/>
                <w:b w:val="1"/>
                <w:bCs w:val="1"/>
                <w:color w:val="auto"/>
                <w:w w:val="89"/>
              </w:rPr>
              <w:t>The Board of Directors recommends you vote AGAINST</w:t>
            </w:r>
          </w:p>
        </w:tc>
        <w:tc>
          <w:tcPr>
            <w:tcW w:w="3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9"/>
              </w:rPr>
              <w:t>For</w:t>
            </w:r>
          </w:p>
        </w:tc>
        <w:tc>
          <w:tcPr>
            <w:tcW w:w="42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7"/>
              </w:rPr>
              <w:t>Against</w:t>
            </w:r>
          </w:p>
        </w:tc>
        <w:tc>
          <w:tcPr>
            <w:tcW w:w="3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the following proposal:</w:t>
            </w:r>
          </w:p>
        </w:tc>
        <w:tc>
          <w:tcPr>
            <w:tcW w:w="380" w:type="dxa"/>
            <w:vAlign w:val="bottom"/>
          </w:tcPr>
          <w:p>
            <w:pPr>
              <w:spacing w:after="0"/>
              <w:rPr>
                <w:sz w:val="10"/>
                <w:szCs w:val="10"/>
                <w:color w:val="auto"/>
              </w:rPr>
            </w:pP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5.</w:t>
            </w:r>
          </w:p>
        </w:tc>
        <w:tc>
          <w:tcPr>
            <w:tcW w:w="2260" w:type="dxa"/>
            <w:vAlign w:val="bottom"/>
            <w:gridSpan w:val="2"/>
          </w:tcPr>
          <w:p>
            <w:pPr>
              <w:ind w:left="60"/>
              <w:spacing w:after="0"/>
              <w:rPr>
                <w:sz w:val="20"/>
                <w:szCs w:val="20"/>
                <w:color w:val="auto"/>
              </w:rPr>
            </w:pPr>
            <w:r>
              <w:rPr>
                <w:rFonts w:ascii="Arial" w:cs="Arial" w:eastAsia="Arial" w:hAnsi="Arial"/>
                <w:sz w:val="10"/>
                <w:szCs w:val="10"/>
                <w:color w:val="auto"/>
                <w:w w:val="99"/>
              </w:rPr>
              <w:t>Shareholder proposal relating to our disclosure of</w:t>
            </w: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260" w:type="dxa"/>
            <w:vAlign w:val="bottom"/>
            <w:gridSpan w:val="2"/>
          </w:tcPr>
          <w:p>
            <w:pPr>
              <w:ind w:left="60"/>
              <w:spacing w:after="0" w:line="92" w:lineRule="exact"/>
              <w:rPr>
                <w:sz w:val="20"/>
                <w:szCs w:val="20"/>
                <w:color w:val="auto"/>
              </w:rPr>
            </w:pPr>
            <w:r>
              <w:rPr>
                <w:rFonts w:ascii="Arial" w:cs="Arial" w:eastAsia="Arial" w:hAnsi="Arial"/>
                <w:sz w:val="10"/>
                <w:szCs w:val="10"/>
                <w:color w:val="auto"/>
                <w:w w:val="98"/>
              </w:rPr>
              <w:t>Scope 3 emissions and setting Scope 3 emissions</w:t>
            </w: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targets.</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78"/>
              </w:rPr>
              <w:t>Yes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No</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000" w:type="dxa"/>
            <w:vAlign w:val="bottom"/>
            <w:gridSpan w:val="2"/>
          </w:tcPr>
          <w:p>
            <w:pPr>
              <w:spacing w:after="0"/>
              <w:rPr>
                <w:sz w:val="20"/>
                <w:szCs w:val="20"/>
                <w:color w:val="auto"/>
              </w:rPr>
            </w:pPr>
            <w:r>
              <w:rPr>
                <w:rFonts w:ascii="Arial" w:cs="Arial" w:eastAsia="Arial" w:hAnsi="Arial"/>
                <w:sz w:val="10"/>
                <w:szCs w:val="10"/>
                <w:color w:val="auto"/>
                <w:w w:val="91"/>
              </w:rPr>
              <w:t>Please indicate if you plan to attend this meeting.</w:t>
            </w:r>
          </w:p>
        </w:tc>
        <w:tc>
          <w:tcPr>
            <w:tcW w:w="380" w:type="dxa"/>
            <w:vAlign w:val="bottom"/>
          </w:tcPr>
          <w:p>
            <w:pPr>
              <w:spacing w:after="0"/>
              <w:rPr>
                <w:sz w:val="23"/>
                <w:szCs w:val="23"/>
                <w:color w:val="auto"/>
              </w:rPr>
            </w:pPr>
          </w:p>
        </w:tc>
        <w:tc>
          <w:tcPr>
            <w:tcW w:w="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00" w:space="220"/>
            <w:col w:w="4439"/>
          </w:cols>
          <w:pgMar w:left="300" w:top="372" w:right="1440" w:bottom="1440" w:gutter="0" w:footer="0" w:header="0"/>
          <w:type w:val="continuous"/>
        </w:sectPr>
      </w:pPr>
    </w:p>
    <w:p>
      <w:pPr>
        <w:spacing w:after="0" w:line="65" w:lineRule="exact"/>
        <w:rPr>
          <w:sz w:val="20"/>
          <w:szCs w:val="20"/>
          <w:color w:val="auto"/>
        </w:rPr>
      </w:pPr>
    </w:p>
    <w:p>
      <w:pPr>
        <w:ind w:left="2180" w:right="1159"/>
        <w:spacing w:after="0" w:line="340" w:lineRule="auto"/>
        <w:rPr>
          <w:sz w:val="20"/>
          <w:szCs w:val="20"/>
          <w:color w:val="auto"/>
        </w:rPr>
      </w:pPr>
      <w:r>
        <w:rPr>
          <w:rFonts w:ascii="Arial" w:cs="Arial" w:eastAsia="Arial" w:hAnsi="Arial"/>
          <w:sz w:val="8"/>
          <w:szCs w:val="8"/>
          <w:color w:val="auto"/>
        </w:rPr>
        <w:t>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67" w:lineRule="exact"/>
        <w:rPr>
          <w:sz w:val="20"/>
          <w:szCs w:val="20"/>
          <w:color w:val="auto"/>
        </w:rPr>
      </w:pPr>
    </w:p>
    <w:p>
      <w:pPr>
        <w:ind w:left="2140"/>
        <w:spacing w:after="0"/>
        <w:tabs>
          <w:tab w:leader="none" w:pos="4220" w:val="left"/>
          <w:tab w:leader="none" w:pos="5700" w:val="left"/>
          <w:tab w:leader="none" w:pos="7620" w:val="left"/>
        </w:tabs>
        <w:rPr>
          <w:sz w:val="20"/>
          <w:szCs w:val="20"/>
          <w:color w:val="auto"/>
        </w:rPr>
      </w:pPr>
      <w:r>
        <w:rPr>
          <w:rFonts w:ascii="Arial" w:cs="Arial" w:eastAsia="Arial" w:hAnsi="Arial"/>
          <w:sz w:val="10"/>
          <w:szCs w:val="10"/>
          <w:color w:val="auto"/>
        </w:rPr>
        <w:t>Signature [PLEASE SIGN WITHIN BOX]</w:t>
      </w:r>
      <w:r>
        <w:rPr>
          <w:sz w:val="20"/>
          <w:szCs w:val="20"/>
          <w:color w:val="auto"/>
        </w:rPr>
        <w:tab/>
      </w:r>
      <w:r>
        <w:rPr>
          <w:rFonts w:ascii="Arial" w:cs="Arial" w:eastAsia="Arial" w:hAnsi="Arial"/>
          <w:sz w:val="10"/>
          <w:szCs w:val="10"/>
          <w:color w:val="auto"/>
        </w:rPr>
        <w:t>Date</w:t>
      </w:r>
      <w:r>
        <w:rPr>
          <w:sz w:val="20"/>
          <w:szCs w:val="20"/>
          <w:color w:val="auto"/>
        </w:rPr>
        <w:tab/>
      </w:r>
      <w:r>
        <w:rPr>
          <w:rFonts w:ascii="Arial" w:cs="Arial" w:eastAsia="Arial" w:hAnsi="Arial"/>
          <w:sz w:val="10"/>
          <w:szCs w:val="10"/>
          <w:color w:val="auto"/>
        </w:rPr>
        <w:t>Signature (Joint Owners)</w:t>
      </w:r>
      <w:r>
        <w:rPr>
          <w:sz w:val="20"/>
          <w:szCs w:val="20"/>
          <w:color w:val="auto"/>
        </w:rPr>
        <w:tab/>
      </w:r>
      <w:r>
        <w:rPr>
          <w:rFonts w:ascii="Arial" w:cs="Arial" w:eastAsia="Arial" w:hAnsi="Arial"/>
          <w:sz w:val="8"/>
          <w:szCs w:val="8"/>
          <w:color w:val="auto"/>
        </w:rPr>
        <w:t>Date</w:t>
      </w:r>
    </w:p>
    <w:p>
      <w:pPr>
        <w:sectPr>
          <w:pgSz w:w="11900" w:h="16838" w:orient="portrait"/>
          <w:cols w:equalWidth="0" w:num="1">
            <w:col w:w="10159"/>
          </w:cols>
          <w:pgMar w:left="300" w:top="372" w:right="1440"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162560</wp:posOffset>
            </wp:positionV>
            <wp:extent cx="1685925" cy="16973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685925" cy="1697355"/>
                    </a:xfrm>
                    <a:prstGeom prst="rect">
                      <a:avLst/>
                    </a:prstGeom>
                    <a:noFill/>
                  </pic:spPr>
                </pic:pic>
              </a:graphicData>
            </a:graphic>
          </wp:anchor>
        </w:drawing>
      </w:r>
    </w:p>
    <w:p>
      <w:pPr>
        <w:spacing w:after="0" w:line="387" w:lineRule="exact"/>
        <w:rPr>
          <w:sz w:val="20"/>
          <w:szCs w:val="20"/>
          <w:color w:val="auto"/>
        </w:rPr>
      </w:pPr>
    </w:p>
    <w:p>
      <w:pPr>
        <w:ind w:left="3120"/>
        <w:spacing w:after="0"/>
        <w:rPr>
          <w:sz w:val="20"/>
          <w:szCs w:val="20"/>
          <w:color w:val="auto"/>
        </w:rPr>
      </w:pPr>
      <w:r>
        <w:rPr>
          <w:rFonts w:ascii="Arial" w:cs="Arial" w:eastAsia="Arial" w:hAnsi="Arial"/>
          <w:sz w:val="12"/>
          <w:szCs w:val="12"/>
          <w:b w:val="1"/>
          <w:bCs w:val="1"/>
          <w:color w:val="auto"/>
        </w:rPr>
        <w:t>ADMISSION TICKET</w:t>
      </w:r>
    </w:p>
    <w:p>
      <w:pPr>
        <w:spacing w:after="0" w:line="84"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CENTERPOINT ENERGY, INC.</w:t>
      </w:r>
    </w:p>
    <w:p>
      <w:pPr>
        <w:spacing w:after="0" w:line="16" w:lineRule="exact"/>
        <w:rPr>
          <w:sz w:val="20"/>
          <w:szCs w:val="20"/>
          <w:color w:val="auto"/>
        </w:rPr>
      </w:pPr>
    </w:p>
    <w:p>
      <w:pPr>
        <w:jc w:val="center"/>
        <w:ind w:right="3920"/>
        <w:spacing w:after="0"/>
        <w:rPr>
          <w:sz w:val="20"/>
          <w:szCs w:val="20"/>
          <w:color w:val="auto"/>
        </w:rPr>
      </w:pPr>
      <w:r>
        <w:rPr>
          <w:rFonts w:ascii="Arial" w:cs="Arial" w:eastAsia="Arial" w:hAnsi="Arial"/>
          <w:sz w:val="12"/>
          <w:szCs w:val="12"/>
          <w:color w:val="auto"/>
        </w:rPr>
        <w:t>2023 ANNUAL MEETING OF SHAREHOLDERS</w:t>
      </w:r>
    </w:p>
    <w:p>
      <w:pPr>
        <w:spacing w:after="0" w:line="7" w:lineRule="exact"/>
        <w:rPr>
          <w:sz w:val="20"/>
          <w:szCs w:val="20"/>
          <w:color w:val="auto"/>
        </w:rPr>
      </w:pPr>
    </w:p>
    <w:p>
      <w:pPr>
        <w:ind w:left="3180"/>
        <w:spacing w:after="0"/>
        <w:rPr>
          <w:sz w:val="20"/>
          <w:szCs w:val="20"/>
          <w:color w:val="auto"/>
        </w:rPr>
      </w:pPr>
      <w:r>
        <w:rPr>
          <w:rFonts w:ascii="Arial" w:cs="Arial" w:eastAsia="Arial" w:hAnsi="Arial"/>
          <w:sz w:val="12"/>
          <w:szCs w:val="12"/>
          <w:color w:val="auto"/>
        </w:rPr>
        <w:t>Friday, April 21, 2023</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9:00 a.m. Central Time</w:t>
      </w:r>
    </w:p>
    <w:p>
      <w:pPr>
        <w:spacing w:after="0" w:line="117" w:lineRule="exact"/>
        <w:rPr>
          <w:sz w:val="20"/>
          <w:szCs w:val="20"/>
          <w:color w:val="auto"/>
        </w:rPr>
      </w:pPr>
    </w:p>
    <w:p>
      <w:pPr>
        <w:jc w:val="center"/>
        <w:ind w:right="3920"/>
        <w:spacing w:after="0"/>
        <w:rPr>
          <w:sz w:val="20"/>
          <w:szCs w:val="20"/>
          <w:color w:val="auto"/>
        </w:rPr>
      </w:pPr>
      <w:r>
        <w:rPr>
          <w:rFonts w:ascii="Arial" w:cs="Arial" w:eastAsia="Arial" w:hAnsi="Arial"/>
          <w:sz w:val="12"/>
          <w:szCs w:val="12"/>
          <w:color w:val="auto"/>
        </w:rPr>
        <w:t>Auditorium</w:t>
      </w:r>
    </w:p>
    <w:p>
      <w:pPr>
        <w:spacing w:after="0" w:line="16" w:lineRule="exact"/>
        <w:rPr>
          <w:sz w:val="20"/>
          <w:szCs w:val="20"/>
          <w:color w:val="auto"/>
        </w:rPr>
      </w:pPr>
    </w:p>
    <w:p>
      <w:pPr>
        <w:jc w:val="center"/>
        <w:ind w:right="3920"/>
        <w:spacing w:after="0"/>
        <w:rPr>
          <w:sz w:val="20"/>
          <w:szCs w:val="20"/>
          <w:color w:val="auto"/>
        </w:rPr>
      </w:pPr>
      <w:r>
        <w:rPr>
          <w:rFonts w:ascii="Arial" w:cs="Arial" w:eastAsia="Arial" w:hAnsi="Arial"/>
          <w:sz w:val="12"/>
          <w:szCs w:val="12"/>
          <w:color w:val="auto"/>
        </w:rPr>
        <w:t>1111 Louisiana Street</w:t>
      </w:r>
    </w:p>
    <w:p>
      <w:pPr>
        <w:spacing w:after="0" w:line="7" w:lineRule="exact"/>
        <w:rPr>
          <w:sz w:val="20"/>
          <w:szCs w:val="20"/>
          <w:color w:val="auto"/>
        </w:rPr>
      </w:pPr>
    </w:p>
    <w:p>
      <w:pPr>
        <w:jc w:val="center"/>
        <w:ind w:right="3920"/>
        <w:spacing w:after="0"/>
        <w:rPr>
          <w:sz w:val="20"/>
          <w:szCs w:val="20"/>
          <w:color w:val="auto"/>
        </w:rPr>
      </w:pPr>
      <w:r>
        <w:rPr>
          <w:rFonts w:ascii="Arial" w:cs="Arial" w:eastAsia="Arial" w:hAnsi="Arial"/>
          <w:sz w:val="12"/>
          <w:szCs w:val="12"/>
          <w:color w:val="auto"/>
        </w:rPr>
        <w:t>Houston, Texas 77002</w:t>
      </w:r>
    </w:p>
    <w:p>
      <w:pPr>
        <w:spacing w:after="0" w:line="22" w:lineRule="exact"/>
        <w:rPr>
          <w:sz w:val="20"/>
          <w:szCs w:val="20"/>
          <w:color w:val="auto"/>
        </w:rPr>
      </w:pPr>
    </w:p>
    <w:p>
      <w:pPr>
        <w:jc w:val="center"/>
        <w:ind w:right="3920"/>
        <w:spacing w:after="0"/>
        <w:rPr>
          <w:sz w:val="20"/>
          <w:szCs w:val="20"/>
          <w:color w:val="auto"/>
        </w:rPr>
      </w:pPr>
      <w:r>
        <w:rPr>
          <w:rFonts w:ascii="Arial" w:cs="Arial" w:eastAsia="Arial" w:hAnsi="Arial"/>
          <w:sz w:val="12"/>
          <w:szCs w:val="12"/>
          <w:b w:val="1"/>
          <w:bCs w:val="1"/>
          <w:color w:val="auto"/>
        </w:rPr>
        <w:t>This admission ticket admits only the named shareholder.</w:t>
      </w:r>
    </w:p>
    <w:p>
      <w:pPr>
        <w:spacing w:after="0" w:line="126" w:lineRule="exact"/>
        <w:rPr>
          <w:sz w:val="20"/>
          <w:szCs w:val="20"/>
          <w:color w:val="auto"/>
        </w:rPr>
      </w:pPr>
    </w:p>
    <w:p>
      <w:pPr>
        <w:ind w:left="2060" w:right="5980"/>
        <w:spacing w:after="0" w:line="259" w:lineRule="auto"/>
        <w:rPr>
          <w:sz w:val="20"/>
          <w:szCs w:val="20"/>
          <w:color w:val="auto"/>
        </w:rPr>
      </w:pPr>
      <w:r>
        <w:rPr>
          <w:rFonts w:ascii="Arial" w:cs="Arial" w:eastAsia="Arial" w:hAnsi="Arial"/>
          <w:sz w:val="12"/>
          <w:szCs w:val="12"/>
          <w:b w:val="1"/>
          <w:bCs w:val="1"/>
          <w:u w:val="single" w:color="auto"/>
          <w:color w:val="auto"/>
        </w:rPr>
        <w:t>Note:</w:t>
      </w:r>
      <w:r>
        <w:rPr>
          <w:rFonts w:ascii="Arial" w:cs="Arial" w:eastAsia="Arial" w:hAnsi="Arial"/>
          <w:sz w:val="12"/>
          <w:szCs w:val="12"/>
          <w:b w:val="1"/>
          <w:bCs w:val="1"/>
          <w:color w:val="auto"/>
        </w:rPr>
        <w:t xml:space="preserve"> </w:t>
      </w:r>
      <w:r>
        <w:rPr>
          <w:rFonts w:ascii="Arial" w:cs="Arial" w:eastAsia="Arial" w:hAnsi="Arial"/>
          <w:sz w:val="12"/>
          <w:szCs w:val="12"/>
          <w:color w:val="auto"/>
        </w:rPr>
        <w:t>If you plan on attending the Annual Meeting in person, please</w:t>
      </w:r>
      <w:r>
        <w:rPr>
          <w:rFonts w:ascii="Arial" w:cs="Arial" w:eastAsia="Arial" w:hAnsi="Arial"/>
          <w:sz w:val="12"/>
          <w:szCs w:val="12"/>
          <w:b w:val="1"/>
          <w:bCs w:val="1"/>
          <w:color w:val="auto"/>
        </w:rPr>
        <w:t xml:space="preserve"> </w:t>
      </w:r>
      <w:r>
        <w:rPr>
          <w:rFonts w:ascii="Arial" w:cs="Arial" w:eastAsia="Arial" w:hAnsi="Arial"/>
          <w:sz w:val="12"/>
          <w:szCs w:val="12"/>
          <w:color w:val="auto"/>
        </w:rPr>
        <w:t>bring, in addition to this Admission Ticket, valid picture identification. The use of video or still photography at the Annual Meeting is not permitted. For the safety of attendees, all bags, packages and briefcases are subject to inspection. Your compliance is appreciated.</w:t>
      </w:r>
    </w:p>
    <w:p>
      <w:pPr>
        <w:spacing w:after="0" w:line="107"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Important Notice Regarding the Availability of Proxy Materials</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for the Annual Shareholder Meeting to be Held April 21, 2023.</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The Notice &amp; Proxy Statement and Annual Report are</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available at: http://materials.proxyvote.com/15189T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Important Notice Regarding the Availability of Proxy Materials for the Annual Meeting:</w:t>
      </w:r>
    </w:p>
    <w:p>
      <w:pPr>
        <w:spacing w:after="0" w:line="20"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The Notice and Proxy Statement and Annual Report are available at www.proxyvote.com.</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 — — — — — — — — — — — — — — — — — — — — — — — — — — — — — —— — — — — — — — — — — — — — — — — — — — — — — — — — — — — — —</w:t>
      </w:r>
    </w:p>
    <w:p>
      <w:pPr>
        <w:spacing w:after="0" w:line="40" w:lineRule="exact"/>
        <w:rPr>
          <w:sz w:val="20"/>
          <w:szCs w:val="20"/>
          <w:color w:val="auto"/>
        </w:rPr>
      </w:pPr>
    </w:p>
    <w:p>
      <w:pPr>
        <w:ind w:left="8520"/>
        <w:spacing w:after="0"/>
        <w:rPr>
          <w:sz w:val="20"/>
          <w:szCs w:val="20"/>
          <w:color w:val="auto"/>
        </w:rPr>
      </w:pPr>
      <w:r>
        <w:rPr>
          <w:rFonts w:ascii="Arial" w:cs="Arial" w:eastAsia="Arial" w:hAnsi="Arial"/>
          <w:sz w:val="10"/>
          <w:szCs w:val="10"/>
          <w:color w:val="auto"/>
        </w:rPr>
        <w:t>D99336-P85789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23495</wp:posOffset>
            </wp:positionV>
            <wp:extent cx="4719955" cy="22828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719955" cy="2282825"/>
                    </a:xfrm>
                    <a:prstGeom prst="rect">
                      <a:avLst/>
                    </a:prstGeom>
                    <a:noFill/>
                  </pic:spPr>
                </pic:pic>
              </a:graphicData>
            </a:graphic>
          </wp:anchor>
        </w:drawing>
      </w: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CENTERPOINT ENERGY, INC.</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2023 Annual Meeting of Shareholders</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Proxy-Common Stock</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117" w:lineRule="exact"/>
        <w:rPr>
          <w:sz w:val="20"/>
          <w:szCs w:val="20"/>
          <w:color w:val="auto"/>
        </w:rPr>
      </w:pPr>
    </w:p>
    <w:p>
      <w:pPr>
        <w:ind w:left="2120" w:right="2240"/>
        <w:spacing w:after="0" w:line="259" w:lineRule="auto"/>
        <w:rPr>
          <w:sz w:val="20"/>
          <w:szCs w:val="20"/>
          <w:color w:val="auto"/>
        </w:rPr>
      </w:pPr>
      <w:r>
        <w:rPr>
          <w:rFonts w:ascii="Arial" w:cs="Arial" w:eastAsia="Arial" w:hAnsi="Arial"/>
          <w:sz w:val="12"/>
          <w:szCs w:val="12"/>
          <w:color w:val="auto"/>
        </w:rPr>
        <w:t>The undersigned hereby appoints Monica Karuturi and Vincent A. Mercaldi, or either of them as proxies, with full power of substitution, to vote as designated on the reverse side, all shares of common stock held by the undersigned at the Annual Meeting of Shareholders of CenterPoint Energy, Inc. to be held on Friday, April 21, 2023 at 9:00 a.m. in the Auditorium of 1111 Louisiana Street, Houston, Texas and any adjournments thereof, revoking any proxy heretofore given and with discretionary authority to vote on all other matters that may properly come before the meeting.</w:t>
      </w:r>
    </w:p>
    <w:p>
      <w:pPr>
        <w:spacing w:after="0" w:line="110" w:lineRule="exact"/>
        <w:rPr>
          <w:sz w:val="20"/>
          <w:szCs w:val="20"/>
          <w:color w:val="auto"/>
        </w:rPr>
      </w:pPr>
    </w:p>
    <w:p>
      <w:pPr>
        <w:ind w:left="2120" w:right="2280"/>
        <w:spacing w:after="0" w:line="262" w:lineRule="auto"/>
        <w:rPr>
          <w:sz w:val="20"/>
          <w:szCs w:val="20"/>
          <w:color w:val="auto"/>
        </w:rPr>
      </w:pPr>
      <w:r>
        <w:rPr>
          <w:rFonts w:ascii="Arial" w:cs="Arial" w:eastAsia="Arial" w:hAnsi="Arial"/>
          <w:sz w:val="12"/>
          <w:szCs w:val="12"/>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2"/>
          <w:szCs w:val="12"/>
          <w:b w:val="1"/>
          <w:bCs w:val="1"/>
          <w:color w:val="auto"/>
        </w:rPr>
        <w:t>In absence of instructions to the contrary on a signed or executed proxy, the shares represented will be voted in</w:t>
      </w:r>
      <w:r>
        <w:rPr>
          <w:rFonts w:ascii="Arial" w:cs="Arial" w:eastAsia="Arial" w:hAnsi="Arial"/>
          <w:sz w:val="12"/>
          <w:szCs w:val="12"/>
          <w:color w:val="auto"/>
        </w:rPr>
        <w:t xml:space="preserve"> </w:t>
      </w:r>
      <w:r>
        <w:rPr>
          <w:rFonts w:ascii="Arial" w:cs="Arial" w:eastAsia="Arial" w:hAnsi="Arial"/>
          <w:sz w:val="12"/>
          <w:szCs w:val="12"/>
          <w:b w:val="1"/>
          <w:bCs w:val="1"/>
          <w:color w:val="auto"/>
        </w:rPr>
        <w:t>accordance with the Board’s recommendation.</w:t>
      </w:r>
    </w:p>
    <w:p>
      <w:pPr>
        <w:spacing w:after="0" w:line="98" w:lineRule="exact"/>
        <w:rPr>
          <w:sz w:val="20"/>
          <w:szCs w:val="20"/>
          <w:color w:val="auto"/>
        </w:rPr>
      </w:pPr>
    </w:p>
    <w:p>
      <w:pPr>
        <w:ind w:left="2120" w:right="2240"/>
        <w:spacing w:after="0" w:line="293" w:lineRule="auto"/>
        <w:rPr>
          <w:sz w:val="20"/>
          <w:szCs w:val="20"/>
          <w:color w:val="auto"/>
        </w:rPr>
      </w:pPr>
      <w:r>
        <w:rPr>
          <w:rFonts w:ascii="Arial" w:cs="Arial" w:eastAsia="Arial" w:hAnsi="Arial"/>
          <w:sz w:val="11"/>
          <w:szCs w:val="11"/>
          <w:color w:val="auto"/>
        </w:rPr>
        <w:t>The terms for Directors will expire in 2024. The Board of Directors recommends a vote FOR the nominees for Directors, FOR the appointment of Deloitte &amp; Touche LLP as the independent registered public accounting firm for 2023, FOR the advisory resolution on executive compensation, FOR “1 Year” with respect to the advisory vote on the frequency of future advisory shareholder votes on executive compensation and AGAINST the shareholder proposal relating to our disclosure of Scope 3 emissions and setting Scope 3 emissions targets.</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Continued and to be signed on reverse side</w:t>
      </w:r>
    </w:p>
    <w:p>
      <w:pPr>
        <w:sectPr>
          <w:pgSz w:w="11900" w:h="16838" w:orient="portrait"/>
          <w:cols w:equalWidth="0" w:num="1">
            <w:col w:w="11360"/>
          </w:cols>
          <w:pgMar w:left="300" w:top="372" w:right="239" w:bottom="1440" w:gutter="0" w:footer="0" w:header="0"/>
        </w:sectPr>
      </w:pPr>
    </w:p>
    <w:bookmarkStart w:id="125" w:name="page126"/>
    <w:bookmarkEnd w:id="125"/>
    <w:p>
      <w:pPr>
        <w:spacing w:after="0"/>
        <w:rPr>
          <w:sz w:val="20"/>
          <w:szCs w:val="20"/>
          <w:color w:val="auto"/>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177165</wp:posOffset>
            </wp:positionV>
            <wp:extent cx="1310640" cy="3232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10640" cy="323215"/>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20"/>
        <w:spacing w:after="0"/>
        <w:rPr>
          <w:sz w:val="20"/>
          <w:szCs w:val="20"/>
          <w:color w:val="auto"/>
        </w:rPr>
      </w:pPr>
      <w:r>
        <w:rPr>
          <w:rFonts w:ascii="Arial" w:cs="Arial" w:eastAsia="Arial" w:hAnsi="Arial"/>
          <w:sz w:val="10"/>
          <w:szCs w:val="10"/>
          <w:i w:val="1"/>
          <w:iCs w:val="1"/>
          <w:color w:val="auto"/>
        </w:rPr>
        <w:t>BROADRIDGE CORPORATE ISSUER SOLUTIONS</w:t>
      </w:r>
    </w:p>
    <w:p>
      <w:pPr>
        <w:ind w:left="2220"/>
        <w:spacing w:after="0" w:line="208" w:lineRule="auto"/>
        <w:rPr>
          <w:sz w:val="20"/>
          <w:szCs w:val="20"/>
          <w:color w:val="auto"/>
        </w:rPr>
      </w:pPr>
      <w:r>
        <w:rPr>
          <w:rFonts w:ascii="Arial" w:cs="Arial" w:eastAsia="Arial" w:hAnsi="Arial"/>
          <w:sz w:val="10"/>
          <w:szCs w:val="10"/>
          <w:i w:val="1"/>
          <w:iCs w:val="1"/>
          <w:color w:val="auto"/>
        </w:rPr>
        <w:t>P.O. BOX 1342</w:t>
      </w:r>
    </w:p>
    <w:p>
      <w:pPr>
        <w:ind w:left="2220"/>
        <w:spacing w:after="0"/>
        <w:rPr>
          <w:sz w:val="20"/>
          <w:szCs w:val="20"/>
          <w:color w:val="auto"/>
        </w:rPr>
      </w:pPr>
      <w:r>
        <w:rPr>
          <w:rFonts w:ascii="Arial" w:cs="Arial" w:eastAsia="Arial" w:hAnsi="Arial"/>
          <w:sz w:val="10"/>
          <w:szCs w:val="10"/>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940"/>
        <w:spacing w:after="0"/>
        <w:rPr>
          <w:sz w:val="20"/>
          <w:szCs w:val="20"/>
          <w:color w:val="auto"/>
        </w:rPr>
      </w:pPr>
      <w:r>
        <w:rPr>
          <w:rFonts w:ascii="Arial" w:cs="Arial" w:eastAsia="Arial" w:hAnsi="Arial"/>
          <w:sz w:val="8"/>
          <w:szCs w:val="8"/>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979"/>
        <w:spacing w:after="0" w:line="216" w:lineRule="auto"/>
        <w:rPr>
          <w:sz w:val="20"/>
          <w:szCs w:val="20"/>
          <w:color w:val="auto"/>
        </w:rPr>
      </w:pPr>
      <w:r>
        <w:rPr>
          <w:rFonts w:ascii="Arial" w:cs="Arial" w:eastAsia="Arial" w:hAnsi="Arial"/>
          <w:sz w:val="10"/>
          <w:szCs w:val="10"/>
          <w:b w:val="1"/>
          <w:bCs w:val="1"/>
          <w:color w:val="auto"/>
        </w:rPr>
        <w:t xml:space="preserve">VOTE BY INTERNET - </w:t>
      </w:r>
      <w:r>
        <w:rPr>
          <w:rFonts w:ascii="Arial" w:cs="Arial" w:eastAsia="Arial" w:hAnsi="Arial"/>
          <w:sz w:val="10"/>
          <w:szCs w:val="10"/>
          <w:b w:val="1"/>
          <w:bCs w:val="1"/>
          <w:u w:val="single" w:color="auto"/>
          <w:color w:val="auto"/>
        </w:rPr>
        <w:t>www.proxyvote.com</w:t>
      </w:r>
      <w:r>
        <w:rPr>
          <w:rFonts w:ascii="Arial" w:cs="Arial" w:eastAsia="Arial" w:hAnsi="Arial"/>
          <w:sz w:val="10"/>
          <w:szCs w:val="10"/>
          <w:b w:val="1"/>
          <w:bCs w:val="1"/>
          <w:color w:val="auto"/>
        </w:rPr>
        <w:t xml:space="preserve"> or scan the QR Barcode above </w:t>
      </w:r>
      <w:r>
        <w:rPr>
          <w:rFonts w:ascii="Arial" w:cs="Arial" w:eastAsia="Arial" w:hAnsi="Arial"/>
          <w:sz w:val="10"/>
          <w:szCs w:val="10"/>
          <w:color w:val="auto"/>
        </w:rPr>
        <w:t>Use the Internet to transmit your voting instructions and for electronic delivery of information. Vote by 11:59 p.m. Eastern Time on April 20, 2023 for shares of common stock held directly and by 11:59 p.m. Eastern Time on April 18, 2023 for shares of common stock held in a Plan. Have your proxy card in hand when you access the website and follow the instructions to obtain your records and to create an electronic voting instruction form.</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ELECTRONIC DELIVERY OF FUTURE PROXY MATERIALS</w:t>
      </w:r>
    </w:p>
    <w:p>
      <w:pPr>
        <w:ind w:right="959"/>
        <w:spacing w:after="0" w:line="275" w:lineRule="auto"/>
        <w:rPr>
          <w:sz w:val="20"/>
          <w:szCs w:val="20"/>
          <w:color w:val="auto"/>
        </w:rPr>
      </w:pPr>
      <w:r>
        <w:rPr>
          <w:rFonts w:ascii="Arial" w:cs="Arial" w:eastAsia="Arial" w:hAnsi="Arial"/>
          <w:sz w:val="8"/>
          <w:szCs w:val="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PHONE - 1-800-690-6903</w:t>
      </w:r>
    </w:p>
    <w:p>
      <w:pPr>
        <w:ind w:right="919"/>
        <w:spacing w:after="0" w:line="216" w:lineRule="auto"/>
        <w:rPr>
          <w:sz w:val="20"/>
          <w:szCs w:val="20"/>
          <w:color w:val="auto"/>
        </w:rPr>
      </w:pPr>
      <w:r>
        <w:rPr>
          <w:rFonts w:ascii="Arial" w:cs="Arial" w:eastAsia="Arial" w:hAnsi="Arial"/>
          <w:sz w:val="10"/>
          <w:szCs w:val="10"/>
          <w:color w:val="auto"/>
        </w:rPr>
        <w:t>Use any touch-tone telephone to transmit your voting instructions. Vote by 11:59 p.m. Eastern Time on April 20, 2023 for shares held directly and by 11:59 p.m. Eastern Time on April 18, 2023 for shares held in a Plan. Have your proxy card in hand when you call and then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MAIL</w:t>
      </w:r>
    </w:p>
    <w:p>
      <w:pPr>
        <w:jc w:val="both"/>
        <w:ind w:right="1059"/>
        <w:spacing w:after="0" w:line="218"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799"/>
        <w:spacing w:after="0"/>
        <w:tabs>
          <w:tab w:leader="none" w:pos="1880" w:val="left"/>
        </w:tabs>
        <w:rPr>
          <w:sz w:val="20"/>
          <w:szCs w:val="20"/>
          <w:color w:val="auto"/>
        </w:rPr>
      </w:pPr>
      <w:r>
        <w:rPr>
          <w:rFonts w:ascii="Arial" w:cs="Arial" w:eastAsia="Arial" w:hAnsi="Arial"/>
          <w:sz w:val="10"/>
          <w:szCs w:val="10"/>
          <w:color w:val="auto"/>
        </w:rPr>
        <w:t>D99337-P85789</w:t>
      </w:r>
      <w:r>
        <w:rPr>
          <w:sz w:val="20"/>
          <w:szCs w:val="20"/>
          <w:color w:val="auto"/>
        </w:rPr>
        <w:tab/>
      </w:r>
      <w:r>
        <w:rPr>
          <w:rFonts w:ascii="Arial" w:cs="Arial" w:eastAsia="Arial" w:hAnsi="Arial"/>
          <w:sz w:val="8"/>
          <w:szCs w:val="8"/>
          <w:color w:val="auto"/>
        </w:rPr>
        <w:t>KEEP THIS PORTION FOR YOUR RECORDS</w:t>
      </w:r>
    </w:p>
    <w:p>
      <w:pPr>
        <w:spacing w:after="0" w:line="1" w:lineRule="exact"/>
        <w:rPr>
          <w:sz w:val="20"/>
          <w:szCs w:val="20"/>
          <w:color w:val="auto"/>
        </w:rPr>
      </w:pPr>
    </w:p>
    <w:p>
      <w:pPr>
        <w:sectPr>
          <w:pgSz w:w="11900" w:h="16838" w:orient="portrait"/>
          <w:cols w:equalWidth="0" w:num="2">
            <w:col w:w="5220" w:space="500"/>
            <w:col w:w="4439"/>
          </w:cols>
          <w:pgMar w:left="300" w:top="372" w:right="1440" w:bottom="1440" w:gutter="0" w:footer="0" w:header="0"/>
          <w:type w:val="continuous"/>
        </w:sectPr>
      </w:pPr>
    </w:p>
    <w:p>
      <w:pPr>
        <w:ind w:left="1940"/>
        <w:spacing w:after="0"/>
        <w:rPr>
          <w:sz w:val="20"/>
          <w:szCs w:val="20"/>
          <w:color w:val="auto"/>
        </w:rPr>
      </w:pPr>
      <w:r>
        <w:rPr>
          <w:rFonts w:ascii="Arial" w:cs="Arial" w:eastAsia="Arial" w:hAnsi="Arial"/>
          <w:sz w:val="11"/>
          <w:szCs w:val="11"/>
          <w:color w:val="auto"/>
        </w:rPr>
        <w:t>— — — — — — — — — — — — — — — — — — — — — — — — — — — — — — — — — — — — — — — — — — — — — — — — — —</w:t>
      </w:r>
    </w:p>
    <w:p>
      <w:pPr>
        <w:spacing w:after="0" w:line="13" w:lineRule="exact"/>
        <w:rPr>
          <w:sz w:val="20"/>
          <w:szCs w:val="20"/>
          <w:color w:val="auto"/>
        </w:rPr>
      </w:pPr>
    </w:p>
    <w:tbl>
      <w:tblPr>
        <w:tblLayout w:type="fixed"/>
        <w:tblInd w:w="3780" w:type="dxa"/>
        <w:tblCellMar>
          <w:top w:w="0" w:type="dxa"/>
          <w:left w:w="0" w:type="dxa"/>
          <w:bottom w:w="0" w:type="dxa"/>
          <w:right w:w="0" w:type="dxa"/>
        </w:tblCellMar>
      </w:tblPr>
      <w:tr>
        <w:trPr>
          <w:trHeight w:val="122"/>
        </w:trPr>
        <w:tc>
          <w:tcPr>
            <w:tcW w:w="3280" w:type="dxa"/>
            <w:vAlign w:val="bottom"/>
            <w:vMerge w:val="restart"/>
          </w:tcPr>
          <w:p>
            <w:pPr>
              <w:spacing w:after="0"/>
              <w:rPr>
                <w:sz w:val="20"/>
                <w:szCs w:val="20"/>
                <w:color w:val="auto"/>
              </w:rPr>
            </w:pPr>
            <w:r>
              <w:rPr>
                <w:rFonts w:ascii="Arial" w:cs="Arial" w:eastAsia="Arial" w:hAnsi="Arial"/>
                <w:sz w:val="10"/>
                <w:szCs w:val="10"/>
                <w:b w:val="1"/>
                <w:bCs w:val="1"/>
                <w:color w:val="auto"/>
              </w:rPr>
              <w:t>THIS PROXY CARD IS VALID ONLY WHEN SIGNED AND DATED.</w:t>
            </w:r>
          </w:p>
        </w:tc>
        <w:tc>
          <w:tcPr>
            <w:tcW w:w="2300" w:type="dxa"/>
            <w:vAlign w:val="bottom"/>
          </w:tcPr>
          <w:p>
            <w:pPr>
              <w:ind w:left="300"/>
              <w:spacing w:after="0"/>
              <w:rPr>
                <w:sz w:val="20"/>
                <w:szCs w:val="20"/>
                <w:color w:val="auto"/>
              </w:rPr>
            </w:pPr>
            <w:r>
              <w:rPr>
                <w:rFonts w:ascii="Arial" w:cs="Arial" w:eastAsia="Arial" w:hAnsi="Arial"/>
                <w:sz w:val="10"/>
                <w:szCs w:val="10"/>
                <w:color w:val="auto"/>
                <w:w w:val="92"/>
              </w:rPr>
              <w:t>DETACH AND RETURN THIS PORTION ONLY</w:t>
            </w:r>
          </w:p>
        </w:tc>
        <w:tc>
          <w:tcPr>
            <w:tcW w:w="0" w:type="dxa"/>
            <w:vAlign w:val="bottom"/>
          </w:tcPr>
          <w:p>
            <w:pPr>
              <w:spacing w:after="0"/>
              <w:rPr>
                <w:sz w:val="1"/>
                <w:szCs w:val="1"/>
                <w:color w:val="auto"/>
              </w:rPr>
            </w:pPr>
          </w:p>
        </w:tc>
      </w:tr>
      <w:tr>
        <w:trPr>
          <w:trHeight w:val="28"/>
        </w:trPr>
        <w:tc>
          <w:tcPr>
            <w:tcW w:w="3280" w:type="dxa"/>
            <w:vAlign w:val="bottom"/>
            <w:vMerge w:val="continue"/>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21590</wp:posOffset>
            </wp:positionV>
            <wp:extent cx="4725670" cy="25139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725670" cy="2513965"/>
                    </a:xfrm>
                    <a:prstGeom prst="rect">
                      <a:avLst/>
                    </a:prstGeom>
                    <a:noFill/>
                  </pic:spPr>
                </pic:pic>
              </a:graphicData>
            </a:graphic>
          </wp:anchor>
        </w:drawing>
      </w:r>
    </w:p>
    <w:p>
      <w:pPr>
        <w:spacing w:after="0" w:line="65" w:lineRule="exact"/>
        <w:rPr>
          <w:sz w:val="20"/>
          <w:szCs w:val="20"/>
          <w:color w:val="auto"/>
        </w:rPr>
      </w:pPr>
    </w:p>
    <w:p>
      <w:pPr>
        <w:ind w:left="2040"/>
        <w:spacing w:after="0"/>
        <w:rPr>
          <w:sz w:val="20"/>
          <w:szCs w:val="20"/>
          <w:color w:val="auto"/>
        </w:rPr>
      </w:pPr>
      <w:r>
        <w:rPr>
          <w:rFonts w:ascii="Arial" w:cs="Arial" w:eastAsia="Arial" w:hAnsi="Arial"/>
          <w:sz w:val="10"/>
          <w:szCs w:val="10"/>
          <w:b w:val="1"/>
          <w:bCs w:val="1"/>
          <w:color w:val="auto"/>
        </w:rPr>
        <w:t>CENTERPOINT ENERGY, INC.</w:t>
      </w:r>
    </w:p>
    <w:p>
      <w:pPr>
        <w:sectPr>
          <w:pgSz w:w="11900" w:h="16838" w:orient="portrait"/>
          <w:cols w:equalWidth="0" w:num="1">
            <w:col w:w="10159"/>
          </w:cols>
          <w:pgMar w:left="300" w:top="372" w:right="1440" w:bottom="1440" w:gutter="0" w:footer="0" w:header="0"/>
          <w:type w:val="continuous"/>
        </w:sectPr>
      </w:pPr>
    </w:p>
    <w:p>
      <w:pPr>
        <w:spacing w:after="0" w:line="180" w:lineRule="exact"/>
        <w:rPr>
          <w:sz w:val="20"/>
          <w:szCs w:val="20"/>
          <w:color w:val="auto"/>
        </w:rPr>
      </w:pPr>
    </w:p>
    <w:p>
      <w:pPr>
        <w:ind w:left="2160"/>
        <w:spacing w:after="0"/>
        <w:rPr>
          <w:sz w:val="20"/>
          <w:szCs w:val="20"/>
          <w:color w:val="auto"/>
        </w:rPr>
      </w:pPr>
      <w:r>
        <w:rPr>
          <w:rFonts w:ascii="Arial" w:cs="Arial" w:eastAsia="Arial" w:hAnsi="Arial"/>
          <w:sz w:val="10"/>
          <w:szCs w:val="10"/>
          <w:b w:val="1"/>
          <w:bCs w:val="1"/>
          <w:color w:val="auto"/>
        </w:rPr>
        <w:t>The Board of Directors recommends you vote</w:t>
      </w:r>
    </w:p>
    <w:p>
      <w:pPr>
        <w:ind w:left="2160"/>
        <w:spacing w:after="0"/>
        <w:rPr>
          <w:sz w:val="20"/>
          <w:szCs w:val="20"/>
          <w:color w:val="auto"/>
        </w:rPr>
      </w:pPr>
      <w:r>
        <w:rPr>
          <w:rFonts w:ascii="Arial" w:cs="Arial" w:eastAsia="Arial" w:hAnsi="Arial"/>
          <w:sz w:val="10"/>
          <w:szCs w:val="10"/>
          <w:b w:val="1"/>
          <w:bCs w:val="1"/>
          <w:color w:val="auto"/>
        </w:rPr>
        <w:t>FOR the following:</w:t>
      </w:r>
    </w:p>
    <w:p>
      <w:pPr>
        <w:spacing w:after="0" w:line="59" w:lineRule="exact"/>
        <w:rPr>
          <w:sz w:val="20"/>
          <w:szCs w:val="20"/>
          <w:color w:val="auto"/>
        </w:rPr>
      </w:pPr>
    </w:p>
    <w:p>
      <w:pPr>
        <w:ind w:left="2380" w:hanging="231"/>
        <w:spacing w:after="0"/>
        <w:tabs>
          <w:tab w:leader="none" w:pos="238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Election of Directors</w:t>
      </w:r>
    </w:p>
    <w:p>
      <w:pPr>
        <w:spacing w:after="0" w:line="65" w:lineRule="exact"/>
        <w:rPr>
          <w:sz w:val="20"/>
          <w:szCs w:val="20"/>
          <w:color w:val="auto"/>
        </w:rPr>
      </w:pPr>
    </w:p>
    <w:tbl>
      <w:tblPr>
        <w:tblLayout w:type="fixed"/>
        <w:tblInd w:w="2400" w:type="dxa"/>
        <w:tblCellMar>
          <w:top w:w="0" w:type="dxa"/>
          <w:left w:w="0" w:type="dxa"/>
          <w:bottom w:w="0" w:type="dxa"/>
          <w:right w:w="0" w:type="dxa"/>
        </w:tblCellMar>
      </w:tblPr>
      <w:tr>
        <w:trPr>
          <w:trHeight w:val="124"/>
        </w:trPr>
        <w:tc>
          <w:tcPr>
            <w:tcW w:w="1620" w:type="dxa"/>
            <w:vAlign w:val="bottom"/>
            <w:gridSpan w:val="2"/>
          </w:tcPr>
          <w:p>
            <w:pPr>
              <w:spacing w:after="0"/>
              <w:rPr>
                <w:sz w:val="20"/>
                <w:szCs w:val="20"/>
                <w:color w:val="auto"/>
              </w:rPr>
            </w:pPr>
            <w:r>
              <w:rPr>
                <w:rFonts w:ascii="Arial" w:cs="Arial" w:eastAsia="Arial" w:hAnsi="Arial"/>
                <w:sz w:val="10"/>
                <w:szCs w:val="10"/>
                <w:b w:val="1"/>
                <w:bCs w:val="1"/>
                <w:color w:val="auto"/>
              </w:rPr>
              <w:t>Nominees:</w:t>
            </w:r>
          </w:p>
        </w:tc>
        <w:tc>
          <w:tcPr>
            <w:tcW w:w="600" w:type="dxa"/>
            <w:vAlign w:val="bottom"/>
          </w:tcPr>
          <w:p>
            <w:pPr>
              <w:ind w:left="380"/>
              <w:spacing w:after="0"/>
              <w:rPr>
                <w:sz w:val="20"/>
                <w:szCs w:val="20"/>
                <w:color w:val="auto"/>
              </w:rPr>
            </w:pPr>
            <w:r>
              <w:rPr>
                <w:rFonts w:ascii="Arial" w:cs="Arial" w:eastAsia="Arial" w:hAnsi="Arial"/>
                <w:sz w:val="10"/>
                <w:szCs w:val="10"/>
                <w:b w:val="1"/>
                <w:bCs w:val="1"/>
                <w:color w:val="auto"/>
              </w:rPr>
              <w:t>For</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7"/>
              </w:rPr>
              <w:t>Against</w:t>
            </w:r>
          </w:p>
        </w:tc>
        <w:tc>
          <w:tcPr>
            <w:tcW w:w="400" w:type="dxa"/>
            <w:vAlign w:val="bottom"/>
          </w:tcPr>
          <w:p>
            <w:pPr>
              <w:jc w:val="center"/>
              <w:ind w:left="21"/>
              <w:spacing w:after="0"/>
              <w:rPr>
                <w:sz w:val="20"/>
                <w:szCs w:val="20"/>
                <w:color w:val="auto"/>
              </w:rPr>
            </w:pPr>
            <w:r>
              <w:rPr>
                <w:rFonts w:ascii="Arial" w:cs="Arial" w:eastAsia="Arial" w:hAnsi="Arial"/>
                <w:sz w:val="10"/>
                <w:szCs w:val="10"/>
                <w:b w:val="1"/>
                <w:bCs w:val="1"/>
                <w:color w:val="auto"/>
                <w:w w:val="87"/>
              </w:rPr>
              <w:t>Abstain</w:t>
            </w:r>
          </w:p>
        </w:tc>
      </w:tr>
      <w:tr>
        <w:trPr>
          <w:trHeight w:val="240"/>
        </w:trPr>
        <w:tc>
          <w:tcPr>
            <w:tcW w:w="180" w:type="dxa"/>
            <w:vAlign w:val="bottom"/>
          </w:tcPr>
          <w:p>
            <w:pPr>
              <w:spacing w:after="0"/>
              <w:rPr>
                <w:sz w:val="20"/>
                <w:szCs w:val="20"/>
                <w:color w:val="auto"/>
              </w:rPr>
            </w:pPr>
            <w:r>
              <w:rPr>
                <w:rFonts w:ascii="Arial" w:cs="Arial" w:eastAsia="Arial" w:hAnsi="Arial"/>
                <w:sz w:val="10"/>
                <w:szCs w:val="10"/>
                <w:color w:val="auto"/>
              </w:rPr>
              <w:t>1a.</w:t>
            </w:r>
          </w:p>
        </w:tc>
        <w:tc>
          <w:tcPr>
            <w:tcW w:w="1440" w:type="dxa"/>
            <w:vAlign w:val="bottom"/>
          </w:tcPr>
          <w:p>
            <w:pPr>
              <w:ind w:left="80"/>
              <w:spacing w:after="0"/>
              <w:rPr>
                <w:sz w:val="20"/>
                <w:szCs w:val="20"/>
                <w:color w:val="auto"/>
              </w:rPr>
            </w:pPr>
            <w:r>
              <w:rPr>
                <w:rFonts w:ascii="Arial" w:cs="Arial" w:eastAsia="Arial" w:hAnsi="Arial"/>
                <w:sz w:val="10"/>
                <w:szCs w:val="10"/>
                <w:color w:val="auto"/>
              </w:rPr>
              <w:t>Wendy Montoya Cloonan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1b.</w:t>
            </w:r>
          </w:p>
        </w:tc>
        <w:tc>
          <w:tcPr>
            <w:tcW w:w="1440" w:type="dxa"/>
            <w:vAlign w:val="bottom"/>
          </w:tcPr>
          <w:p>
            <w:pPr>
              <w:ind w:left="80"/>
              <w:spacing w:after="0"/>
              <w:rPr>
                <w:sz w:val="20"/>
                <w:szCs w:val="20"/>
                <w:color w:val="auto"/>
              </w:rPr>
            </w:pPr>
            <w:r>
              <w:rPr>
                <w:rFonts w:ascii="Arial" w:cs="Arial" w:eastAsia="Arial" w:hAnsi="Arial"/>
                <w:sz w:val="10"/>
                <w:szCs w:val="10"/>
                <w:color w:val="auto"/>
              </w:rPr>
              <w:t>Earl M. Cummings</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1c.</w:t>
            </w:r>
          </w:p>
        </w:tc>
        <w:tc>
          <w:tcPr>
            <w:tcW w:w="1440" w:type="dxa"/>
            <w:vAlign w:val="bottom"/>
          </w:tcPr>
          <w:p>
            <w:pPr>
              <w:ind w:left="80"/>
              <w:spacing w:after="0"/>
              <w:rPr>
                <w:sz w:val="20"/>
                <w:szCs w:val="20"/>
                <w:color w:val="auto"/>
              </w:rPr>
            </w:pPr>
            <w:r>
              <w:rPr>
                <w:rFonts w:ascii="Arial" w:cs="Arial" w:eastAsia="Arial" w:hAnsi="Arial"/>
                <w:sz w:val="10"/>
                <w:szCs w:val="10"/>
                <w:color w:val="auto"/>
              </w:rPr>
              <w:t>Christopher H. Franklin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1d.</w:t>
            </w:r>
          </w:p>
        </w:tc>
        <w:tc>
          <w:tcPr>
            <w:tcW w:w="1440" w:type="dxa"/>
            <w:vAlign w:val="bottom"/>
          </w:tcPr>
          <w:p>
            <w:pPr>
              <w:ind w:left="80"/>
              <w:spacing w:after="0"/>
              <w:rPr>
                <w:sz w:val="20"/>
                <w:szCs w:val="20"/>
                <w:color w:val="auto"/>
              </w:rPr>
            </w:pPr>
            <w:r>
              <w:rPr>
                <w:rFonts w:ascii="Arial" w:cs="Arial" w:eastAsia="Arial" w:hAnsi="Arial"/>
                <w:sz w:val="10"/>
                <w:szCs w:val="10"/>
                <w:color w:val="auto"/>
              </w:rPr>
              <w:t>David J. Lesar</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1e.</w:t>
            </w:r>
          </w:p>
        </w:tc>
        <w:tc>
          <w:tcPr>
            <w:tcW w:w="1440" w:type="dxa"/>
            <w:vAlign w:val="bottom"/>
          </w:tcPr>
          <w:p>
            <w:pPr>
              <w:ind w:left="80"/>
              <w:spacing w:after="0"/>
              <w:rPr>
                <w:sz w:val="20"/>
                <w:szCs w:val="20"/>
                <w:color w:val="auto"/>
              </w:rPr>
            </w:pPr>
            <w:r>
              <w:rPr>
                <w:rFonts w:ascii="Arial" w:cs="Arial" w:eastAsia="Arial" w:hAnsi="Arial"/>
                <w:sz w:val="10"/>
                <w:szCs w:val="10"/>
                <w:color w:val="auto"/>
              </w:rPr>
              <w:t>Raquelle W. Lewis</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1f.</w:t>
            </w:r>
          </w:p>
        </w:tc>
        <w:tc>
          <w:tcPr>
            <w:tcW w:w="1440" w:type="dxa"/>
            <w:vAlign w:val="bottom"/>
          </w:tcPr>
          <w:p>
            <w:pPr>
              <w:ind w:left="80"/>
              <w:spacing w:after="0"/>
              <w:rPr>
                <w:sz w:val="20"/>
                <w:szCs w:val="20"/>
                <w:color w:val="auto"/>
              </w:rPr>
            </w:pPr>
            <w:r>
              <w:rPr>
                <w:rFonts w:ascii="Arial" w:cs="Arial" w:eastAsia="Arial" w:hAnsi="Arial"/>
                <w:sz w:val="10"/>
                <w:szCs w:val="10"/>
                <w:color w:val="auto"/>
              </w:rPr>
              <w:t>Martin H. Nesbitt</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1g.</w:t>
            </w:r>
          </w:p>
        </w:tc>
        <w:tc>
          <w:tcPr>
            <w:tcW w:w="1440" w:type="dxa"/>
            <w:vAlign w:val="bottom"/>
          </w:tcPr>
          <w:p>
            <w:pPr>
              <w:ind w:left="80"/>
              <w:spacing w:after="0"/>
              <w:rPr>
                <w:sz w:val="20"/>
                <w:szCs w:val="20"/>
                <w:color w:val="auto"/>
              </w:rPr>
            </w:pPr>
            <w:r>
              <w:rPr>
                <w:rFonts w:ascii="Arial" w:cs="Arial" w:eastAsia="Arial" w:hAnsi="Arial"/>
                <w:sz w:val="10"/>
                <w:szCs w:val="10"/>
                <w:color w:val="auto"/>
              </w:rPr>
              <w:t>Theodore F. Pound</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1h.</w:t>
            </w:r>
          </w:p>
        </w:tc>
        <w:tc>
          <w:tcPr>
            <w:tcW w:w="1440" w:type="dxa"/>
            <w:vAlign w:val="bottom"/>
          </w:tcPr>
          <w:p>
            <w:pPr>
              <w:ind w:left="80"/>
              <w:spacing w:after="0"/>
              <w:rPr>
                <w:sz w:val="20"/>
                <w:szCs w:val="20"/>
                <w:color w:val="auto"/>
              </w:rPr>
            </w:pPr>
            <w:r>
              <w:rPr>
                <w:rFonts w:ascii="Arial" w:cs="Arial" w:eastAsia="Arial" w:hAnsi="Arial"/>
                <w:sz w:val="10"/>
                <w:szCs w:val="10"/>
                <w:color w:val="auto"/>
              </w:rPr>
              <w:t>Phillip R. Smith</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6"/>
        </w:trPr>
        <w:tc>
          <w:tcPr>
            <w:tcW w:w="180" w:type="dxa"/>
            <w:vAlign w:val="bottom"/>
          </w:tcPr>
          <w:p>
            <w:pPr>
              <w:spacing w:after="0"/>
              <w:rPr>
                <w:sz w:val="20"/>
                <w:szCs w:val="20"/>
                <w:color w:val="auto"/>
              </w:rPr>
            </w:pPr>
            <w:r>
              <w:rPr>
                <w:rFonts w:ascii="Arial" w:cs="Arial" w:eastAsia="Arial" w:hAnsi="Arial"/>
                <w:sz w:val="10"/>
                <w:szCs w:val="10"/>
                <w:color w:val="auto"/>
              </w:rPr>
              <w:t>1i.</w:t>
            </w:r>
          </w:p>
        </w:tc>
        <w:tc>
          <w:tcPr>
            <w:tcW w:w="1440" w:type="dxa"/>
            <w:vAlign w:val="bottom"/>
          </w:tcPr>
          <w:p>
            <w:pPr>
              <w:ind w:left="80"/>
              <w:spacing w:after="0"/>
              <w:rPr>
                <w:sz w:val="20"/>
                <w:szCs w:val="20"/>
                <w:color w:val="auto"/>
              </w:rPr>
            </w:pPr>
            <w:r>
              <w:rPr>
                <w:rFonts w:ascii="Arial" w:cs="Arial" w:eastAsia="Arial" w:hAnsi="Arial"/>
                <w:sz w:val="10"/>
                <w:szCs w:val="10"/>
                <w:color w:val="auto"/>
              </w:rPr>
              <w:t>Barry T. Smitherman</w:t>
            </w:r>
          </w:p>
        </w:tc>
        <w:tc>
          <w:tcPr>
            <w:tcW w:w="60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00" w:type="dxa"/>
            <w:vAlign w:val="bottom"/>
          </w:tcPr>
          <w:p>
            <w:pPr>
              <w:jc w:val="center"/>
              <w:ind w:left="1"/>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360" w:type="dxa"/>
            <w:vAlign w:val="bottom"/>
            <w:gridSpan w:val="3"/>
          </w:tcPr>
          <w:p>
            <w:pPr>
              <w:spacing w:after="0"/>
              <w:rPr>
                <w:sz w:val="20"/>
                <w:szCs w:val="20"/>
                <w:color w:val="auto"/>
              </w:rPr>
            </w:pPr>
            <w:r>
              <w:rPr>
                <w:rFonts w:ascii="Arial" w:cs="Arial" w:eastAsia="Arial" w:hAnsi="Arial"/>
                <w:sz w:val="10"/>
                <w:szCs w:val="10"/>
                <w:b w:val="1"/>
                <w:bCs w:val="1"/>
                <w:color w:val="auto"/>
                <w:w w:val="90"/>
              </w:rPr>
              <w:t>The Board of Directors recommends you vote FOR the</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9"/>
              </w:rPr>
              <w:t>For</w:t>
            </w: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w w:val="98"/>
              </w:rPr>
              <w:t>Against</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following proposals:</w:t>
            </w:r>
          </w:p>
        </w:tc>
        <w:tc>
          <w:tcPr>
            <w:tcW w:w="360" w:type="dxa"/>
            <w:vAlign w:val="bottom"/>
          </w:tcPr>
          <w:p>
            <w:pPr>
              <w:spacing w:after="0"/>
              <w:rPr>
                <w:sz w:val="10"/>
                <w:szCs w:val="10"/>
                <w:color w:val="auto"/>
              </w:rPr>
            </w:pPr>
          </w:p>
        </w:tc>
        <w:tc>
          <w:tcPr>
            <w:tcW w:w="3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2.</w:t>
            </w:r>
          </w:p>
        </w:tc>
        <w:tc>
          <w:tcPr>
            <w:tcW w:w="2240" w:type="dxa"/>
            <w:vAlign w:val="bottom"/>
            <w:gridSpan w:val="2"/>
          </w:tcPr>
          <w:p>
            <w:pPr>
              <w:ind w:left="60"/>
              <w:spacing w:after="0"/>
              <w:rPr>
                <w:sz w:val="20"/>
                <w:szCs w:val="20"/>
                <w:color w:val="auto"/>
              </w:rPr>
            </w:pPr>
            <w:r>
              <w:rPr>
                <w:rFonts w:ascii="Arial" w:cs="Arial" w:eastAsia="Arial" w:hAnsi="Arial"/>
                <w:sz w:val="10"/>
                <w:szCs w:val="10"/>
                <w:color w:val="auto"/>
                <w:w w:val="94"/>
              </w:rPr>
              <w:t>Ratify the appointment of Deloitte &amp; Touche LLP as</w:t>
            </w:r>
          </w:p>
        </w:tc>
        <w:tc>
          <w:tcPr>
            <w:tcW w:w="3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2240" w:type="dxa"/>
            <w:vAlign w:val="bottom"/>
            <w:gridSpan w:val="2"/>
          </w:tcPr>
          <w:p>
            <w:pPr>
              <w:ind w:left="60"/>
              <w:spacing w:after="0" w:line="92" w:lineRule="exact"/>
              <w:rPr>
                <w:sz w:val="20"/>
                <w:szCs w:val="20"/>
                <w:color w:val="auto"/>
              </w:rPr>
            </w:pPr>
            <w:r>
              <w:rPr>
                <w:rFonts w:ascii="Arial" w:cs="Arial" w:eastAsia="Arial" w:hAnsi="Arial"/>
                <w:sz w:val="10"/>
                <w:szCs w:val="10"/>
                <w:color w:val="auto"/>
                <w:w w:val="92"/>
              </w:rPr>
              <w:t>the independent registered public accounting firm for</w:t>
            </w: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2023.</w:t>
            </w:r>
          </w:p>
        </w:tc>
        <w:tc>
          <w:tcPr>
            <w:tcW w:w="360" w:type="dxa"/>
            <w:vAlign w:val="bottom"/>
          </w:tcPr>
          <w:p>
            <w:pPr>
              <w:spacing w:after="0"/>
              <w:rPr>
                <w:sz w:val="10"/>
                <w:szCs w:val="10"/>
                <w:color w:val="auto"/>
              </w:rPr>
            </w:pPr>
          </w:p>
        </w:tc>
        <w:tc>
          <w:tcPr>
            <w:tcW w:w="3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3.</w:t>
            </w:r>
          </w:p>
        </w:tc>
        <w:tc>
          <w:tcPr>
            <w:tcW w:w="1880" w:type="dxa"/>
            <w:vAlign w:val="bottom"/>
          </w:tcPr>
          <w:p>
            <w:pPr>
              <w:ind w:left="60"/>
              <w:spacing w:after="0"/>
              <w:rPr>
                <w:sz w:val="20"/>
                <w:szCs w:val="20"/>
                <w:color w:val="auto"/>
              </w:rPr>
            </w:pPr>
            <w:r>
              <w:rPr>
                <w:rFonts w:ascii="Arial" w:cs="Arial" w:eastAsia="Arial" w:hAnsi="Arial"/>
                <w:sz w:val="10"/>
                <w:szCs w:val="10"/>
                <w:color w:val="auto"/>
                <w:w w:val="90"/>
              </w:rPr>
              <w:t>Approve the advisory resolution on executive</w:t>
            </w:r>
          </w:p>
        </w:tc>
        <w:tc>
          <w:tcPr>
            <w:tcW w:w="3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w w:val="91"/>
              </w:rPr>
              <w:t>The Board of Directors recommends you vote</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6"/>
              </w:rPr>
              <w:t>1 Year</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4"/>
              </w:rPr>
              <w:t>2 Years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4"/>
              </w:rPr>
              <w:t>3 Years</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FOR “1 Year” on the following proposal:</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3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4.</w:t>
            </w:r>
          </w:p>
        </w:tc>
        <w:tc>
          <w:tcPr>
            <w:tcW w:w="1880" w:type="dxa"/>
            <w:vAlign w:val="bottom"/>
          </w:tcPr>
          <w:p>
            <w:pPr>
              <w:ind w:left="60"/>
              <w:spacing w:after="0"/>
              <w:rPr>
                <w:sz w:val="20"/>
                <w:szCs w:val="20"/>
                <w:color w:val="auto"/>
              </w:rPr>
            </w:pPr>
            <w:r>
              <w:rPr>
                <w:rFonts w:ascii="Arial" w:cs="Arial" w:eastAsia="Arial" w:hAnsi="Arial"/>
                <w:sz w:val="10"/>
                <w:szCs w:val="10"/>
                <w:color w:val="auto"/>
              </w:rPr>
              <w:t>Advisory vote on the frequency of future</w:t>
            </w:r>
          </w:p>
        </w:tc>
        <w:tc>
          <w:tcPr>
            <w:tcW w:w="36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20" w:type="dxa"/>
            <w:vAlign w:val="bottom"/>
          </w:tcPr>
          <w:p>
            <w:pPr>
              <w:spacing w:after="0"/>
              <w:rPr>
                <w:sz w:val="8"/>
                <w:szCs w:val="8"/>
                <w:color w:val="auto"/>
              </w:rPr>
            </w:pPr>
          </w:p>
        </w:tc>
        <w:tc>
          <w:tcPr>
            <w:tcW w:w="1880" w:type="dxa"/>
            <w:vAlign w:val="bottom"/>
          </w:tcPr>
          <w:p>
            <w:pPr>
              <w:ind w:left="60"/>
              <w:spacing w:after="0" w:line="92" w:lineRule="exact"/>
              <w:rPr>
                <w:sz w:val="20"/>
                <w:szCs w:val="20"/>
                <w:color w:val="auto"/>
              </w:rPr>
            </w:pPr>
            <w:r>
              <w:rPr>
                <w:rFonts w:ascii="Arial" w:cs="Arial" w:eastAsia="Arial" w:hAnsi="Arial"/>
                <w:sz w:val="10"/>
                <w:szCs w:val="10"/>
                <w:color w:val="auto"/>
              </w:rPr>
              <w:t>advisory shareholder votes on executive</w:t>
            </w: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0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w w:val="91"/>
              </w:rPr>
              <w:t>The Board of Directors recommends you vote</w:t>
            </w:r>
          </w:p>
        </w:tc>
        <w:tc>
          <w:tcPr>
            <w:tcW w:w="360" w:type="dxa"/>
            <w:vAlign w:val="bottom"/>
          </w:tcPr>
          <w:p>
            <w:pPr>
              <w:spacing w:after="0"/>
              <w:rPr>
                <w:sz w:val="9"/>
                <w:szCs w:val="9"/>
                <w:color w:val="auto"/>
              </w:rPr>
            </w:pPr>
          </w:p>
        </w:tc>
        <w:tc>
          <w:tcPr>
            <w:tcW w:w="38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99"/>
              </w:rPr>
              <w:t>For</w:t>
            </w:r>
          </w:p>
        </w:tc>
        <w:tc>
          <w:tcPr>
            <w:tcW w:w="42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7"/>
              </w:rPr>
              <w:t>Against</w:t>
            </w:r>
          </w:p>
        </w:tc>
        <w:tc>
          <w:tcPr>
            <w:tcW w:w="36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w w:val="87"/>
              </w:rPr>
              <w:t>Abstain</w:t>
            </w: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rPr>
                <w:sz w:val="20"/>
                <w:szCs w:val="20"/>
                <w:color w:val="auto"/>
              </w:rPr>
            </w:pPr>
            <w:r>
              <w:rPr>
                <w:rFonts w:ascii="Arial" w:cs="Arial" w:eastAsia="Arial" w:hAnsi="Arial"/>
                <w:sz w:val="10"/>
                <w:szCs w:val="10"/>
                <w:b w:val="1"/>
                <w:bCs w:val="1"/>
                <w:color w:val="auto"/>
              </w:rPr>
              <w:t>AGAINST the following proposal:</w:t>
            </w:r>
          </w:p>
        </w:tc>
        <w:tc>
          <w:tcPr>
            <w:tcW w:w="360" w:type="dxa"/>
            <w:vAlign w:val="bottom"/>
          </w:tcPr>
          <w:p>
            <w:pPr>
              <w:spacing w:after="0"/>
              <w:rPr>
                <w:sz w:val="10"/>
                <w:szCs w:val="10"/>
                <w:color w:val="auto"/>
              </w:rPr>
            </w:pPr>
          </w:p>
        </w:tc>
        <w:tc>
          <w:tcPr>
            <w:tcW w:w="3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42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3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20"/>
                <w:szCs w:val="20"/>
                <w:color w:val="auto"/>
              </w:rPr>
            </w:pPr>
            <w:r>
              <w:rPr>
                <w:rFonts w:ascii="Arial" w:cs="Arial" w:eastAsia="Arial" w:hAnsi="Arial"/>
                <w:sz w:val="10"/>
                <w:szCs w:val="10"/>
                <w:color w:val="auto"/>
              </w:rPr>
              <w:t>5.</w:t>
            </w:r>
          </w:p>
        </w:tc>
        <w:tc>
          <w:tcPr>
            <w:tcW w:w="2240" w:type="dxa"/>
            <w:vAlign w:val="bottom"/>
            <w:gridSpan w:val="2"/>
          </w:tcPr>
          <w:p>
            <w:pPr>
              <w:ind w:left="60"/>
              <w:spacing w:after="0"/>
              <w:rPr>
                <w:sz w:val="20"/>
                <w:szCs w:val="20"/>
                <w:color w:val="auto"/>
              </w:rPr>
            </w:pPr>
            <w:r>
              <w:rPr>
                <w:rFonts w:ascii="Arial" w:cs="Arial" w:eastAsia="Arial" w:hAnsi="Arial"/>
                <w:sz w:val="10"/>
                <w:szCs w:val="10"/>
                <w:color w:val="auto"/>
                <w:w w:val="98"/>
              </w:rPr>
              <w:t>Shareholder proposal relating to our disclosure of</w:t>
            </w:r>
          </w:p>
        </w:tc>
        <w:tc>
          <w:tcPr>
            <w:tcW w:w="3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2240" w:type="dxa"/>
            <w:vAlign w:val="bottom"/>
            <w:gridSpan w:val="2"/>
          </w:tcPr>
          <w:p>
            <w:pPr>
              <w:ind w:left="60"/>
              <w:spacing w:after="0" w:line="100" w:lineRule="exact"/>
              <w:rPr>
                <w:sz w:val="20"/>
                <w:szCs w:val="20"/>
                <w:color w:val="auto"/>
              </w:rPr>
            </w:pPr>
            <w:r>
              <w:rPr>
                <w:rFonts w:ascii="Arial" w:cs="Arial" w:eastAsia="Arial" w:hAnsi="Arial"/>
                <w:sz w:val="10"/>
                <w:szCs w:val="10"/>
                <w:color w:val="auto"/>
                <w:w w:val="97"/>
              </w:rPr>
              <w:t>Scope 3 emissions and setting Scope 3 emissions</w:t>
            </w: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0"/>
          <w:szCs w:val="10"/>
          <w:color w:val="auto"/>
        </w:rPr>
        <w:t>targets.</w:t>
      </w:r>
    </w:p>
    <w:p>
      <w:pPr>
        <w:spacing w:after="0" w:line="494" w:lineRule="exact"/>
        <w:rPr>
          <w:sz w:val="20"/>
          <w:szCs w:val="20"/>
          <w:color w:val="auto"/>
        </w:rPr>
      </w:pPr>
    </w:p>
    <w:p>
      <w:pPr>
        <w:sectPr>
          <w:pgSz w:w="11900" w:h="16838" w:orient="portrait"/>
          <w:cols w:equalWidth="0" w:num="2">
            <w:col w:w="5500" w:space="220"/>
            <w:col w:w="4439"/>
          </w:cols>
          <w:pgMar w:left="300" w:top="372" w:right="1440" w:bottom="1440" w:gutter="0" w:footer="0" w:header="0"/>
          <w:type w:val="continuous"/>
        </w:sectPr>
      </w:pP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8"/>
          <w:szCs w:val="8"/>
          <w:color w:val="auto"/>
        </w:rPr>
        <w:t>Sign exactly as your name(s) appear(s) hereon. When signing as attorney, executor, administrator, or other fiduciary, please give full title as such.</w:t>
      </w:r>
    </w:p>
    <w:p>
      <w:pPr>
        <w:spacing w:after="0" w:line="381" w:lineRule="exact"/>
        <w:rPr>
          <w:sz w:val="20"/>
          <w:szCs w:val="20"/>
          <w:color w:val="auto"/>
        </w:rPr>
      </w:pPr>
    </w:p>
    <w:p>
      <w:pPr>
        <w:ind w:left="2200"/>
        <w:spacing w:after="0"/>
        <w:tabs>
          <w:tab w:leader="none" w:pos="4380" w:val="left"/>
        </w:tabs>
        <w:rPr>
          <w:sz w:val="20"/>
          <w:szCs w:val="20"/>
          <w:color w:val="auto"/>
        </w:rPr>
      </w:pPr>
      <w:r>
        <w:rPr>
          <w:rFonts w:ascii="Arial" w:cs="Arial" w:eastAsia="Arial" w:hAnsi="Arial"/>
          <w:sz w:val="10"/>
          <w:szCs w:val="10"/>
          <w:color w:val="auto"/>
        </w:rPr>
        <w:t>Signature [PLEASE SIGN WITHIN BOX]</w:t>
      </w:r>
      <w:r>
        <w:rPr>
          <w:sz w:val="20"/>
          <w:szCs w:val="20"/>
          <w:color w:val="auto"/>
        </w:rPr>
        <w:tab/>
      </w:r>
      <w:r>
        <w:rPr>
          <w:rFonts w:ascii="Arial" w:cs="Arial" w:eastAsia="Arial" w:hAnsi="Arial"/>
          <w:sz w:val="8"/>
          <w:szCs w:val="8"/>
          <w:color w:val="auto"/>
        </w:rPr>
        <w:t>Date</w:t>
      </w:r>
    </w:p>
    <w:p>
      <w:pPr>
        <w:sectPr>
          <w:pgSz w:w="11900" w:h="16838" w:orient="portrait"/>
          <w:cols w:equalWidth="0" w:num="1">
            <w:col w:w="10159"/>
          </w:cols>
          <w:pgMar w:left="300" w:top="372"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173355</wp:posOffset>
            </wp:positionH>
            <wp:positionV relativeFrom="page">
              <wp:posOffset>88900</wp:posOffset>
            </wp:positionV>
            <wp:extent cx="7214235" cy="412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14235" cy="41275"/>
                    </a:xfrm>
                    <a:prstGeom prst="rect">
                      <a:avLst/>
                    </a:prstGeom>
                    <a:noFill/>
                  </pic:spPr>
                </pic:pic>
              </a:graphicData>
            </a:graphic>
          </wp:anchor>
        </w:drawing>
        <w:t>Table of Contents</w:t>
      </w:r>
    </w:p>
    <w:p>
      <w:pPr>
        <w:spacing w:after="0" w:line="200" w:lineRule="exact"/>
        <w:rPr>
          <w:sz w:val="20"/>
          <w:szCs w:val="20"/>
          <w:color w:val="auto"/>
        </w:rPr>
      </w:pPr>
    </w:p>
    <w:p>
      <w:pPr>
        <w:spacing w:after="0" w:line="316"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Important Notice Regarding the Availability of Proxy Materials</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for the Annual Shareholder Meeting to be Held April 21, 2023.</w:t>
      </w:r>
    </w:p>
    <w:p>
      <w:pPr>
        <w:spacing w:after="0" w:line="14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The Notice &amp; Proxy Statement and Annual Report are</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available at: http://materials.proxyvote.com/15189T</w:t>
      </w:r>
    </w:p>
    <w:p>
      <w:pPr>
        <w:spacing w:after="0" w:line="290" w:lineRule="exact"/>
        <w:rPr>
          <w:sz w:val="20"/>
          <w:szCs w:val="20"/>
          <w:color w:val="auto"/>
        </w:rPr>
      </w:pPr>
    </w:p>
    <w:p>
      <w:pPr>
        <w:ind w:left="2600" w:right="1519"/>
        <w:spacing w:after="0" w:line="283" w:lineRule="auto"/>
        <w:rPr>
          <w:sz w:val="20"/>
          <w:szCs w:val="20"/>
          <w:color w:val="auto"/>
        </w:rPr>
      </w:pPr>
      <w:r>
        <w:rPr>
          <w:rFonts w:ascii="Arial" w:cs="Arial" w:eastAsia="Arial" w:hAnsi="Arial"/>
          <w:sz w:val="11"/>
          <w:szCs w:val="11"/>
          <w:color w:val="auto"/>
        </w:rPr>
        <w:t>This proxy covers all shares of common stock in the CenterPoint Energy, Inc. stock fund under the CenterPoint Energy Savings Plan (Plan) for which the undersigned has the right to give confidential voting instructions to The Northern Trust Company, Trustee of the Plan. Under the Plan, participants are “named fiduciaries” as defined under ERISA to the extent of their authority to direct the voting of shares held in their accounts and their proportionate share of allocated shares for which no direction is received and unallocated shares, if any (together, “Undirected Shares”). This proxy, when properly executed, will be voted by the Trustee as directed by the undersigned. If no direction is given to the Trustee by 11:59 p.m. Eastern Time on April 18, 2023, The Northern Trust Company, as Trustee, will vote the Undirected Shares in the same proportion as the shares for which directions are received, except as otherwise provided in accordance with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219"/>
        <w:spacing w:after="0"/>
        <w:rPr>
          <w:sz w:val="20"/>
          <w:szCs w:val="20"/>
          <w:color w:val="auto"/>
        </w:rPr>
      </w:pPr>
      <w:r>
        <w:rPr>
          <w:rFonts w:ascii="Arial" w:cs="Arial" w:eastAsia="Arial" w:hAnsi="Arial"/>
          <w:sz w:val="12"/>
          <w:szCs w:val="12"/>
          <w:color w:val="auto"/>
        </w:rPr>
        <w:t>— — — — — — — — — — — — — — — — — — — — — — — — — — — — — — — — — — — — — — — — — — — — — — — — — — — — —</w:t>
      </w:r>
    </w:p>
    <w:p>
      <w:pPr>
        <w:spacing w:after="0" w:line="49" w:lineRule="exact"/>
        <w:rPr>
          <w:sz w:val="20"/>
          <w:szCs w:val="20"/>
          <w:color w:val="auto"/>
        </w:rPr>
      </w:pPr>
    </w:p>
    <w:p>
      <w:pPr>
        <w:ind w:left="8520"/>
        <w:spacing w:after="0"/>
        <w:rPr>
          <w:sz w:val="20"/>
          <w:szCs w:val="20"/>
          <w:color w:val="auto"/>
        </w:rPr>
      </w:pPr>
      <w:r>
        <w:rPr>
          <w:rFonts w:ascii="Arial" w:cs="Arial" w:eastAsia="Arial" w:hAnsi="Arial"/>
          <w:sz w:val="10"/>
          <w:szCs w:val="10"/>
          <w:color w:val="auto"/>
        </w:rPr>
        <w:t>D99338-P85789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11430</wp:posOffset>
            </wp:positionV>
            <wp:extent cx="4719955" cy="23926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1995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CENTERPOINT ENERGY, INC.</w:t>
      </w:r>
    </w:p>
    <w:p>
      <w:pPr>
        <w:spacing w:after="0" w:line="2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2023 Annual Meeting of Shareholders</w:t>
      </w:r>
    </w:p>
    <w:p>
      <w:pPr>
        <w:spacing w:after="0" w:line="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Proxy-Common Stock</w:t>
      </w:r>
    </w:p>
    <w:p>
      <w:pPr>
        <w:spacing w:after="0" w:line="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144" w:lineRule="exact"/>
        <w:rPr>
          <w:sz w:val="20"/>
          <w:szCs w:val="20"/>
          <w:color w:val="auto"/>
        </w:rPr>
      </w:pPr>
    </w:p>
    <w:p>
      <w:pPr>
        <w:ind w:left="2120" w:right="1039"/>
        <w:spacing w:after="0" w:line="262" w:lineRule="auto"/>
        <w:rPr>
          <w:sz w:val="20"/>
          <w:szCs w:val="20"/>
          <w:color w:val="auto"/>
        </w:rPr>
      </w:pPr>
      <w:r>
        <w:rPr>
          <w:rFonts w:ascii="Arial" w:cs="Arial" w:eastAsia="Arial" w:hAnsi="Arial"/>
          <w:sz w:val="12"/>
          <w:szCs w:val="12"/>
          <w:color w:val="auto"/>
        </w:rPr>
        <w:t>The undersigned hereby appoints The Northern Trust Company to vote as designated on the reverse side, all shares of common stock held by the undersigned at the Annual Meeting of Shareholders of CenterPoint Energy, Inc. to be held on Friday, April 21, 2023 at 9:00 a.m. in the Auditorium of 1111 Louisiana Street, Houston, Texas and any adjournments thereof, revoking any proxy heretofore given and with discretionary authority to vote on all other matters that may properly come before the meeting.</w:t>
      </w:r>
    </w:p>
    <w:p>
      <w:pPr>
        <w:spacing w:after="0" w:line="52" w:lineRule="exact"/>
        <w:rPr>
          <w:sz w:val="20"/>
          <w:szCs w:val="20"/>
          <w:color w:val="auto"/>
        </w:rPr>
      </w:pPr>
    </w:p>
    <w:p>
      <w:pPr>
        <w:ind w:left="2120" w:right="1079"/>
        <w:spacing w:after="0" w:line="262" w:lineRule="auto"/>
        <w:rPr>
          <w:sz w:val="20"/>
          <w:szCs w:val="20"/>
          <w:color w:val="auto"/>
        </w:rPr>
      </w:pPr>
      <w:r>
        <w:rPr>
          <w:rFonts w:ascii="Arial" w:cs="Arial" w:eastAsia="Arial" w:hAnsi="Arial"/>
          <w:sz w:val="12"/>
          <w:szCs w:val="12"/>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2"/>
          <w:szCs w:val="12"/>
          <w:b w:val="1"/>
          <w:bCs w:val="1"/>
          <w:color w:val="auto"/>
        </w:rPr>
        <w:t>In absence of instructions to the contrary on a signed or executed proxy, the shares represented will be voted in</w:t>
      </w:r>
      <w:r>
        <w:rPr>
          <w:rFonts w:ascii="Arial" w:cs="Arial" w:eastAsia="Arial" w:hAnsi="Arial"/>
          <w:sz w:val="12"/>
          <w:szCs w:val="12"/>
          <w:color w:val="auto"/>
        </w:rPr>
        <w:t xml:space="preserve"> </w:t>
      </w:r>
      <w:r>
        <w:rPr>
          <w:rFonts w:ascii="Arial" w:cs="Arial" w:eastAsia="Arial" w:hAnsi="Arial"/>
          <w:sz w:val="12"/>
          <w:szCs w:val="12"/>
          <w:b w:val="1"/>
          <w:bCs w:val="1"/>
          <w:color w:val="auto"/>
        </w:rPr>
        <w:t>accordance with the Board’s recommendation.</w:t>
      </w:r>
    </w:p>
    <w:p>
      <w:pPr>
        <w:spacing w:after="0" w:line="52" w:lineRule="exact"/>
        <w:rPr>
          <w:sz w:val="20"/>
          <w:szCs w:val="20"/>
          <w:color w:val="auto"/>
        </w:rPr>
      </w:pPr>
    </w:p>
    <w:p>
      <w:pPr>
        <w:ind w:left="2120" w:right="1039"/>
        <w:spacing w:after="0" w:line="293" w:lineRule="auto"/>
        <w:rPr>
          <w:sz w:val="20"/>
          <w:szCs w:val="20"/>
          <w:color w:val="auto"/>
        </w:rPr>
      </w:pPr>
      <w:r>
        <w:rPr>
          <w:rFonts w:ascii="Arial" w:cs="Arial" w:eastAsia="Arial" w:hAnsi="Arial"/>
          <w:sz w:val="11"/>
          <w:szCs w:val="11"/>
          <w:color w:val="auto"/>
        </w:rPr>
        <w:t>The terms for Directors will expire in 2024. The Board of Directors recommends a vote FOR the nominees for Directors, FOR the appointment of Deloitte &amp; Touche LLP as the independent registered public accounting firm for 2023, FOR the advisory resolution on executive compensation, FOR “1 Year” with respect to the advisory vote on the frequency of future advisory shareholder votes on executive compensation and AGAINST the shareholder proposal relating to our disclosure of Scope 3 emissions and setting Scope 3 emissions targets.</w:t>
      </w:r>
    </w:p>
    <w:p>
      <w:pPr>
        <w:spacing w:after="0" w:line="106" w:lineRule="exact"/>
        <w:rPr>
          <w:sz w:val="20"/>
          <w:szCs w:val="20"/>
          <w:color w:val="auto"/>
        </w:rPr>
      </w:pPr>
    </w:p>
    <w:p>
      <w:pPr>
        <w:ind w:left="4540"/>
        <w:spacing w:after="0"/>
        <w:rPr>
          <w:sz w:val="20"/>
          <w:szCs w:val="20"/>
          <w:color w:val="auto"/>
        </w:rPr>
      </w:pPr>
      <w:r>
        <w:rPr>
          <w:rFonts w:ascii="Arial" w:cs="Arial" w:eastAsia="Arial" w:hAnsi="Arial"/>
          <w:sz w:val="12"/>
          <w:szCs w:val="12"/>
          <w:b w:val="1"/>
          <w:bCs w:val="1"/>
          <w:color w:val="auto"/>
        </w:rPr>
        <w:t>Continued and to be signed on reverse side</w:t>
      </w:r>
    </w:p>
    <w:sectPr>
      <w:pgSz w:w="11900" w:h="16838" w:orient="portrait"/>
      <w:cols w:equalWidth="0" w:num="1">
        <w:col w:w="10159"/>
      </w:cols>
      <w:pgMar w:left="300" w:top="3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2"/>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4"/>
      <w:numFmt w:val="bullet"/>
      <w:start w:val="1"/>
    </w:lvl>
  </w:abstractNum>
  <w:abstractNum w:abstractNumId="16">
    <w:nsid w:val="4C04A8AF"/>
    <w:multiLevelType w:val="hybridMultilevel"/>
    <w:lvl w:ilvl="0">
      <w:lvlJc w:val="left"/>
      <w:lvlText w:val="(%1)"/>
      <w:numFmt w:val="decimal"/>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6"/>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8"/>
      <w:numFmt w:val="bullet"/>
      <w:start w:val="1"/>
    </w:lvl>
  </w:abstractNum>
  <w:abstractNum w:abstractNumId="22">
    <w:nsid w:val="2DF6D648"/>
    <w:multiLevelType w:val="hybridMultilevel"/>
    <w:lvl w:ilvl="0">
      <w:lvlJc w:val="left"/>
      <w:lvlText w:val="%1"/>
      <w:numFmt w:val="decimal"/>
      <w:start w:val="10"/>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1"/>
      <w:numFmt w:val="decimal"/>
      <w:start w:val="12"/>
    </w:lvl>
  </w:abstractNum>
  <w:abstractNum w:abstractNumId="25">
    <w:nsid w:val="39EE015C"/>
    <w:multiLevelType w:val="hybridMultilevel"/>
    <w:lvl w:ilvl="0">
      <w:lvlJc w:val="left"/>
      <w:lvlText w:val="%1"/>
      <w:numFmt w:val="decimal"/>
      <w:start w:val="14"/>
    </w:lvl>
  </w:abstractNum>
  <w:abstractNum w:abstractNumId="26">
    <w:nsid w:val="57FC4FBB"/>
    <w:multiLevelType w:val="hybridMultilevel"/>
    <w:lvl w:ilvl="0">
      <w:lvlJc w:val="left"/>
      <w:lvlText w:val="%1"/>
      <w:numFmt w:val="decimal"/>
      <w:start w:val="16"/>
    </w:lvl>
  </w:abstractNum>
  <w:abstractNum w:abstractNumId="27">
    <w:nsid w:val="CC1016F"/>
    <w:multiLevelType w:val="hybridMultilevel"/>
    <w:lvl w:ilvl="0">
      <w:lvlJc w:val="left"/>
      <w:lvlText w:val="%1"/>
      <w:numFmt w:val="decimal"/>
      <w:start w:val="18"/>
    </w:lvl>
  </w:abstractNum>
  <w:abstractNum w:abstractNumId="28">
    <w:nsid w:val="43F18422"/>
    <w:multiLevelType w:val="hybridMultilevel"/>
    <w:lvl w:ilvl="0">
      <w:lvlJc w:val="left"/>
      <w:lvlText w:val="%1"/>
      <w:numFmt w:val="decimal"/>
      <w:start w:val="20"/>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decimal"/>
      <w:start w:val="22"/>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1"/>
      <w:numFmt w:val="decimal"/>
      <w:start w:val="24"/>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1"/>
      <w:numFmt w:val="decimal"/>
      <w:start w:val="26"/>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1"/>
      <w:numFmt w:val="decimal"/>
      <w:start w:val="28"/>
    </w:lvl>
  </w:abstractNum>
  <w:abstractNum w:abstractNumId="38">
    <w:nsid w:val="6AA78F7F"/>
    <w:multiLevelType w:val="hybridMultilevel"/>
    <w:lvl w:ilvl="0">
      <w:lvlJc w:val="left"/>
      <w:lvlText w:val="%1"/>
      <w:numFmt w:val="decimal"/>
      <w:start w:val="30"/>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1"/>
      <w:numFmt w:val="decimal"/>
      <w:start w:val="32"/>
    </w:lvl>
  </w:abstractNum>
  <w:abstractNum w:abstractNumId="41">
    <w:nsid w:val="6A5F7029"/>
    <w:multiLevelType w:val="hybridMultilevel"/>
    <w:lvl w:ilvl="0">
      <w:lvlJc w:val="left"/>
      <w:lvlText w:val="%1"/>
      <w:numFmt w:val="decimal"/>
      <w:start w:val="34"/>
    </w:lvl>
  </w:abstractNum>
  <w:abstractNum w:abstractNumId="42">
    <w:nsid w:val="7D5E18F8"/>
    <w:multiLevelType w:val="hybridMultilevel"/>
    <w:lvl w:ilvl="0">
      <w:lvlJc w:val="left"/>
      <w:lvlText w:val="%1"/>
      <w:numFmt w:val="decimal"/>
      <w:start w:val="36"/>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1)"/>
      <w:numFmt w:val="decimal"/>
      <w:start w:val="3"/>
    </w:lvl>
  </w:abstractNum>
  <w:abstractNum w:abstractNumId="45">
    <w:nsid w:val="7DE67713"/>
    <w:multiLevelType w:val="hybridMultilevel"/>
    <w:lvl w:ilvl="0">
      <w:lvlJc w:val="left"/>
      <w:lvlText w:val="%1"/>
      <w:numFmt w:val="decimal"/>
      <w:start w:val="38"/>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1)"/>
      <w:numFmt w:val="decimal"/>
      <w:start w:val="5"/>
    </w:lvl>
  </w:abstractNum>
  <w:abstractNum w:abstractNumId="48">
    <w:nsid w:val="14FCE74E"/>
    <w:multiLevelType w:val="hybridMultilevel"/>
    <w:lvl w:ilvl="0">
      <w:lvlJc w:val="left"/>
      <w:lvlText w:val="%1"/>
      <w:numFmt w:val="decimal"/>
      <w:start w:val="40"/>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1"/>
      <w:numFmt w:val="decimal"/>
      <w:start w:val="42"/>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1"/>
      <w:numFmt w:val="decimal"/>
      <w:start w:val="44"/>
    </w:lvl>
  </w:abstractNum>
  <w:abstractNum w:abstractNumId="55">
    <w:nsid w:val="1D545C4D"/>
    <w:multiLevelType w:val="hybridMultilevel"/>
    <w:lvl w:ilvl="0">
      <w:lvlJc w:val="left"/>
      <w:lvlText w:val="%1"/>
      <w:numFmt w:val="decimal"/>
      <w:start w:val="46"/>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1"/>
      <w:numFmt w:val="decimal"/>
      <w:start w:val="48"/>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1"/>
      <w:numFmt w:val="decimal"/>
      <w:start w:val="50"/>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1"/>
      <w:numFmt w:val="decimal"/>
      <w:start w:val="52"/>
    </w:lvl>
  </w:abstractNum>
  <w:abstractNum w:abstractNumId="62">
    <w:nsid w:val="1CA0C5FA"/>
    <w:multiLevelType w:val="hybridMultilevel"/>
    <w:lvl w:ilvl="0">
      <w:lvlJc w:val="left"/>
      <w:lvlText w:val="%1"/>
      <w:numFmt w:val="decimal"/>
      <w:start w:val="54"/>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1"/>
      <w:numFmt w:val="decimal"/>
      <w:start w:val="56"/>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1"/>
      <w:numFmt w:val="decimal"/>
      <w:start w:val="58"/>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1"/>
      <w:numFmt w:val="decimal"/>
      <w:start w:val="60"/>
    </w:lvl>
  </w:abstractNum>
  <w:abstractNum w:abstractNumId="71">
    <w:nsid w:val="4BD8591A"/>
    <w:multiLevelType w:val="hybridMultilevel"/>
    <w:lvl w:ilvl="0">
      <w:lvlJc w:val="left"/>
      <w:lvlText w:val="(%1)"/>
      <w:numFmt w:val="decimal"/>
      <w:start w:val="1"/>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1"/>
      <w:numFmt w:val="decimal"/>
      <w:start w:val="62"/>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1"/>
      <w:numFmt w:val="decimal"/>
      <w:start w:val="64"/>
    </w:lvl>
  </w:abstractNum>
  <w:abstractNum w:abstractNumId="76">
    <w:nsid w:val="379E21B5"/>
    <w:multiLevelType w:val="hybridMultilevel"/>
    <w:lvl w:ilvl="0">
      <w:lvlJc w:val="left"/>
      <w:lvlText w:val="%1"/>
      <w:numFmt w:val="decimal"/>
      <w:start w:val="66"/>
    </w:lvl>
  </w:abstractNum>
  <w:abstractNum w:abstractNumId="77">
    <w:nsid w:val="69E373"/>
    <w:multiLevelType w:val="hybridMultilevel"/>
    <w:lvl w:ilvl="0">
      <w:lvlJc w:val="left"/>
      <w:lvlText w:val="•"/>
      <w:numFmt w:val="bullet"/>
      <w:start w:val="1"/>
    </w:lvl>
  </w:abstractNum>
  <w:abstractNum w:abstractNumId="78">
    <w:nsid w:val="2C27173B"/>
    <w:multiLevelType w:val="hybridMultilevel"/>
    <w:lvl w:ilvl="0">
      <w:lvlJc w:val="left"/>
      <w:lvlText w:val="%1"/>
      <w:numFmt w:val="decimal"/>
      <w:start w:val="68"/>
    </w:lvl>
  </w:abstractNum>
  <w:abstractNum w:abstractNumId="79">
    <w:nsid w:val="4C9B0904"/>
    <w:multiLevelType w:val="hybridMultilevel"/>
    <w:lvl w:ilvl="0">
      <w:lvlJc w:val="left"/>
      <w:lvlText w:val="(%1)"/>
      <w:numFmt w:val="decimal"/>
      <w:start w:val="1"/>
    </w:lvl>
  </w:abstractNum>
  <w:abstractNum w:abstractNumId="80">
    <w:nsid w:val="6AA7B75C"/>
    <w:multiLevelType w:val="hybridMultilevel"/>
    <w:lvl w:ilvl="0">
      <w:lvlJc w:val="left"/>
      <w:lvlText w:val="(%1)"/>
      <w:numFmt w:val="decimal"/>
      <w:start w:val="3"/>
    </w:lvl>
  </w:abstractNum>
  <w:abstractNum w:abstractNumId="81">
    <w:nsid w:val="1DF029D3"/>
    <w:multiLevelType w:val="hybridMultilevel"/>
    <w:lvl w:ilvl="0">
      <w:lvlJc w:val="left"/>
      <w:lvlText w:val="(%1)"/>
      <w:numFmt w:val="lowerLetter"/>
      <w:start w:val="1"/>
    </w:lvl>
  </w:abstractNum>
  <w:abstractNum w:abstractNumId="82">
    <w:nsid w:val="5675FF36"/>
    <w:multiLevelType w:val="hybridMultilevel"/>
    <w:lvl w:ilvl="0">
      <w:lvlJc w:val="left"/>
      <w:lvlText w:val="%1"/>
      <w:numFmt w:val="decimal"/>
      <w:start w:val="70"/>
    </w:lvl>
  </w:abstractNum>
  <w:abstractNum w:abstractNumId="83">
    <w:nsid w:val="3DD15094"/>
    <w:multiLevelType w:val="hybridMultilevel"/>
    <w:lvl w:ilvl="0">
      <w:lvlJc w:val="left"/>
      <w:lvlText w:val="(%1)"/>
      <w:numFmt w:val="decimal"/>
      <w:start w:val="6"/>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decimal"/>
      <w:start w:val="1"/>
    </w:lvl>
  </w:abstractNum>
  <w:abstractNum w:abstractNumId="86">
    <w:nsid w:val="5B25ACE2"/>
    <w:multiLevelType w:val="hybridMultilevel"/>
    <w:lvl w:ilvl="0">
      <w:lvlJc w:val="left"/>
      <w:lvlText w:val="%1"/>
      <w:numFmt w:val="decimal"/>
      <w:start w:val="72"/>
    </w:lvl>
  </w:abstractNum>
  <w:abstractNum w:abstractNumId="87">
    <w:nsid w:val="175DFCF0"/>
    <w:multiLevelType w:val="hybridMultilevel"/>
    <w:lvl w:ilvl="0">
      <w:lvlJc w:val="left"/>
      <w:lvlText w:val="•"/>
      <w:numFmt w:val="bullet"/>
      <w:start w:val="1"/>
    </w:lvl>
  </w:abstractNum>
  <w:abstractNum w:abstractNumId="88">
    <w:nsid w:val="4F97E3E4"/>
    <w:multiLevelType w:val="hybridMultilevel"/>
    <w:lvl w:ilvl="0">
      <w:lvlJc w:val="left"/>
      <w:lvlText w:val="*"/>
      <w:numFmt w:val="bullet"/>
      <w:start w:val="1"/>
    </w:lvl>
  </w:abstractNum>
  <w:abstractNum w:abstractNumId="89">
    <w:nsid w:val="53B0A9E"/>
    <w:multiLevelType w:val="hybridMultilevel"/>
    <w:lvl w:ilvl="0">
      <w:lvlJc w:val="left"/>
      <w:lvlText w:val="•"/>
      <w:numFmt w:val="bullet"/>
      <w:start w:val="1"/>
    </w:lvl>
  </w:abstractNum>
  <w:abstractNum w:abstractNumId="90">
    <w:nsid w:val="34FD6B4F"/>
    <w:multiLevelType w:val="hybridMultilevel"/>
    <w:lvl w:ilvl="0">
      <w:lvlJc w:val="left"/>
      <w:lvlText w:val="•"/>
      <w:numFmt w:val="bullet"/>
      <w:start w:val="1"/>
    </w:lvl>
  </w:abstractNum>
  <w:abstractNum w:abstractNumId="91">
    <w:nsid w:val="5915FF32"/>
    <w:multiLevelType w:val="hybridMultilevel"/>
    <w:lvl w:ilvl="0">
      <w:lvlJc w:val="left"/>
      <w:lvlText w:val="%1"/>
      <w:numFmt w:val="decimal"/>
      <w:start w:val="74"/>
    </w:lvl>
  </w:abstractNum>
  <w:abstractNum w:abstractNumId="92">
    <w:nsid w:val="56438D15"/>
    <w:multiLevelType w:val="hybridMultilevel"/>
    <w:lvl w:ilvl="0">
      <w:lvlJc w:val="left"/>
      <w:lvlText w:val="•"/>
      <w:numFmt w:val="bullet"/>
      <w:start w:val="1"/>
    </w:lvl>
  </w:abstractNum>
  <w:abstractNum w:abstractNumId="93">
    <w:nsid w:val="519E3149"/>
    <w:multiLevelType w:val="hybridMultilevel"/>
    <w:lvl w:ilvl="0">
      <w:lvlJc w:val="left"/>
      <w:lvlText w:val="(%1)"/>
      <w:numFmt w:val="decimal"/>
      <w:start w:val="1"/>
    </w:lvl>
  </w:abstractNum>
  <w:abstractNum w:abstractNumId="94">
    <w:nsid w:val="2C6E4AFD"/>
    <w:multiLevelType w:val="hybridMultilevel"/>
    <w:lvl w:ilvl="0">
      <w:lvlJc w:val="left"/>
      <w:lvlText w:val="(%1)"/>
      <w:numFmt w:val="decimal"/>
      <w:start w:val="2"/>
    </w:lvl>
  </w:abstractNum>
  <w:abstractNum w:abstractNumId="95">
    <w:nsid w:val="17A1B582"/>
    <w:multiLevelType w:val="hybridMultilevel"/>
    <w:lvl w:ilvl="0">
      <w:lvlJc w:val="left"/>
      <w:lvlText w:val="(%1)"/>
      <w:numFmt w:val="lowerLetter"/>
      <w:start w:val="1"/>
    </w:lvl>
  </w:abstractNum>
  <w:abstractNum w:abstractNumId="96">
    <w:nsid w:val="4DF72E4E"/>
    <w:multiLevelType w:val="hybridMultilevel"/>
    <w:lvl w:ilvl="0">
      <w:lvlJc w:val="left"/>
      <w:lvlText w:val="%1"/>
      <w:numFmt w:val="decimal"/>
      <w:start w:val="76"/>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lowerLetter"/>
      <w:start w:val="1"/>
    </w:lvl>
  </w:abstractNum>
  <w:abstractNum w:abstractNumId="99">
    <w:nsid w:val="2A082C70"/>
    <w:multiLevelType w:val="hybridMultilevel"/>
    <w:lvl w:ilvl="0">
      <w:lvlJc w:val="left"/>
      <w:lvlText w:val="(%1)"/>
      <w:numFmt w:val="decimal"/>
      <w:start w:val="1"/>
    </w:lvl>
  </w:abstractNum>
  <w:abstractNum w:abstractNumId="100">
    <w:nsid w:val="5EC6AFD4"/>
    <w:multiLevelType w:val="hybridMultilevel"/>
    <w:lvl w:ilvl="0">
      <w:lvlJc w:val="left"/>
      <w:lvlText w:val="%1"/>
      <w:numFmt w:val="decimal"/>
      <w:start w:val="78"/>
    </w:lvl>
  </w:abstractNum>
  <w:abstractNum w:abstractNumId="101">
    <w:nsid w:val="19E21BB2"/>
    <w:multiLevelType w:val="hybridMultilevel"/>
    <w:lvl w:ilvl="0">
      <w:lvlJc w:val="left"/>
      <w:lvlText w:val="(%1)"/>
      <w:numFmt w:val="decimal"/>
      <w:start w:val="2"/>
    </w:lvl>
  </w:abstractNum>
  <w:abstractNum w:abstractNumId="102">
    <w:nsid w:val="75E0858A"/>
    <w:multiLevelType w:val="hybridMultilevel"/>
    <w:lvl w:ilvl="0">
      <w:lvlJc w:val="left"/>
      <w:lvlText w:val="(%1)"/>
      <w:numFmt w:val="lowerRoman"/>
      <w:start w:val="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1"/>
      <w:numFmt w:val="decimal"/>
      <w:start w:val="80"/>
    </w:lvl>
  </w:abstractNum>
  <w:abstractNum w:abstractNumId="105">
    <w:nsid w:val="20EE1348"/>
    <w:multiLevelType w:val="hybridMultilevel"/>
    <w:lvl w:ilvl="0">
      <w:lvlJc w:val="left"/>
      <w:lvlText w:val="(%1)"/>
      <w:numFmt w:val="decimal"/>
      <w:start w:val="1"/>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
      <w:numFmt w:val="bullet"/>
      <w:start w:val="1"/>
    </w:lvl>
    <w:lvl w:ilvl="1">
      <w:lvlJc w:val="left"/>
      <w:lvlText w:val="•"/>
      <w:numFmt w:val="bullet"/>
      <w:start w:val="1"/>
    </w:lvl>
  </w:abstractNum>
  <w:abstractNum w:abstractNumId="108">
    <w:nsid w:val="2157F6BC"/>
    <w:multiLevelType w:val="hybridMultilevel"/>
    <w:lvl w:ilvl="0">
      <w:lvlJc w:val="left"/>
      <w:lvlText w:val="%1"/>
      <w:numFmt w:val="decimal"/>
      <w:start w:val="82"/>
    </w:lvl>
  </w:abstractNum>
  <w:abstractNum w:abstractNumId="109">
    <w:nsid w:val="704E1DD5"/>
    <w:multiLevelType w:val="hybridMultilevel"/>
    <w:lvl w:ilvl="0">
      <w:lvlJc w:val="left"/>
      <w:lvlText w:val="(%1)"/>
      <w:numFmt w:val="decimal"/>
      <w:start w:val="1"/>
    </w:lvl>
  </w:abstractNum>
  <w:abstractNum w:abstractNumId="110">
    <w:nsid w:val="57D2F10E"/>
    <w:multiLevelType w:val="hybridMultilevel"/>
    <w:lvl w:ilvl="0">
      <w:lvlJc w:val="left"/>
      <w:lvlText w:val="(%1)"/>
      <w:numFmt w:val="decimal"/>
      <w:start w:val="1"/>
    </w:lvl>
  </w:abstractNum>
  <w:abstractNum w:abstractNumId="111">
    <w:nsid w:val="BFFAE18"/>
    <w:multiLevelType w:val="hybridMultilevel"/>
    <w:lvl w:ilvl="0">
      <w:lvlJc w:val="left"/>
      <w:lvlText w:val="%1"/>
      <w:numFmt w:val="decimal"/>
      <w:start w:val="84"/>
    </w:lvl>
  </w:abstractNum>
  <w:abstractNum w:abstractNumId="112">
    <w:nsid w:val="E3E47A8"/>
    <w:multiLevelType w:val="hybridMultilevel"/>
    <w:lvl w:ilvl="0">
      <w:lvlJc w:val="left"/>
      <w:lvlText w:val="(%1)"/>
      <w:numFmt w:val="decimal"/>
      <w:start w:val="2"/>
    </w:lvl>
  </w:abstractNum>
  <w:abstractNum w:abstractNumId="113">
    <w:nsid w:val="2E48F044"/>
    <w:multiLevelType w:val="hybridMultilevel"/>
    <w:lvl w:ilvl="0">
      <w:lvlJc w:val="left"/>
      <w:lvlText w:val="(%1)"/>
      <w:numFmt w:val="decimal"/>
      <w:start w:val="1"/>
    </w:lvl>
  </w:abstractNum>
  <w:abstractNum w:abstractNumId="114">
    <w:nsid w:val="49D0FEAC"/>
    <w:multiLevelType w:val="hybridMultilevel"/>
    <w:lvl w:ilvl="0">
      <w:lvlJc w:val="left"/>
      <w:lvlText w:val="(%1)"/>
      <w:numFmt w:val="decimal"/>
      <w:start w:val="2"/>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decimal"/>
      <w:start w:val="86"/>
    </w:lvl>
  </w:abstractNum>
  <w:abstractNum w:abstractNumId="117">
    <w:nsid w:val="24F6AB8E"/>
    <w:multiLevelType w:val="hybridMultilevel"/>
    <w:lvl w:ilvl="0">
      <w:lvlJc w:val="left"/>
      <w:lvlText w:val="(%1)"/>
      <w:numFmt w:val="decimal"/>
      <w:start w:val="1"/>
    </w:lvl>
  </w:abstractNum>
  <w:abstractNum w:abstractNumId="118">
    <w:nsid w:val="634C574C"/>
    <w:multiLevelType w:val="hybridMultilevel"/>
    <w:lvl w:ilvl="0">
      <w:lvlJc w:val="left"/>
      <w:lvlText w:val="%1"/>
      <w:numFmt w:val="decimal"/>
      <w:start w:val="88"/>
    </w:lvl>
  </w:abstractNum>
  <w:abstractNum w:abstractNumId="119">
    <w:nsid w:val="24E99DD7"/>
    <w:multiLevelType w:val="hybridMultilevel"/>
    <w:lvl w:ilvl="0">
      <w:lvlJc w:val="left"/>
      <w:lvlText w:val="(%1)"/>
      <w:numFmt w:val="decimal"/>
      <w:start w:val="1"/>
    </w:lvl>
  </w:abstractNum>
  <w:abstractNum w:abstractNumId="120">
    <w:nsid w:val="2A31B62D"/>
    <w:multiLevelType w:val="hybridMultilevel"/>
    <w:lvl w:ilvl="0">
      <w:lvlJc w:val="left"/>
      <w:lvlText w:val="%1"/>
      <w:numFmt w:val="decimal"/>
      <w:start w:val="90"/>
    </w:lvl>
  </w:abstractNum>
  <w:abstractNum w:abstractNumId="121">
    <w:nsid w:val="1849C29B"/>
    <w:multiLevelType w:val="hybridMultilevel"/>
    <w:lvl w:ilvl="0">
      <w:lvlJc w:val="left"/>
      <w:lvlText w:val="(%1)"/>
      <w:numFmt w:val="decimal"/>
      <w:start w:val="4"/>
    </w:lvl>
  </w:abstractNum>
  <w:abstractNum w:abstractNumId="122">
    <w:nsid w:val="7DFF9D09"/>
    <w:multiLevelType w:val="hybridMultilevel"/>
    <w:lvl w:ilvl="0">
      <w:lvlJc w:val="left"/>
      <w:lvlText w:val="%1"/>
      <w:numFmt w:val="decimal"/>
      <w:start w:val="92"/>
    </w:lvl>
  </w:abstractNum>
  <w:abstractNum w:abstractNumId="123">
    <w:nsid w:val="754342"/>
    <w:multiLevelType w:val="hybridMultilevel"/>
    <w:lvl w:ilvl="0">
      <w:lvlJc w:val="left"/>
      <w:lvlText w:val="•"/>
      <w:numFmt w:val="bullet"/>
      <w:start w:val="1"/>
    </w:lvl>
  </w:abstractNum>
  <w:abstractNum w:abstractNumId="124">
    <w:nsid w:val="69E7F3E5"/>
    <w:multiLevelType w:val="hybridMultilevel"/>
    <w:lvl w:ilvl="0">
      <w:lvlJc w:val="left"/>
      <w:lvlText w:val="•"/>
      <w:numFmt w:val="bullet"/>
      <w:start w:val="1"/>
    </w:lvl>
  </w:abstractNum>
  <w:abstractNum w:abstractNumId="125">
    <w:nsid w:val="2A6DE806"/>
    <w:multiLevelType w:val="hybridMultilevel"/>
    <w:lvl w:ilvl="0">
      <w:lvlJc w:val="left"/>
      <w:lvlText w:val="%1"/>
      <w:numFmt w:val="decimal"/>
      <w:start w:val="94"/>
    </w:lvl>
  </w:abstractNum>
  <w:abstractNum w:abstractNumId="126">
    <w:nsid w:val="1816F8C4"/>
    <w:multiLevelType w:val="hybridMultilevel"/>
    <w:lvl w:ilvl="0">
      <w:lvlJc w:val="left"/>
      <w:lvlText w:val="(%1)"/>
      <w:numFmt w:val="decimal"/>
      <w:start w:val="1"/>
    </w:lvl>
  </w:abstractNum>
  <w:abstractNum w:abstractNumId="127">
    <w:nsid w:val="37DF2233"/>
    <w:multiLevelType w:val="hybridMultilevel"/>
    <w:lvl w:ilvl="0">
      <w:lvlJc w:val="left"/>
      <w:lvlText w:val="%1"/>
      <w:numFmt w:val="decimal"/>
      <w:start w:val="96"/>
    </w:lvl>
  </w:abstractNum>
  <w:abstractNum w:abstractNumId="128">
    <w:nsid w:val="7AB49DAF"/>
    <w:multiLevelType w:val="hybridMultilevel"/>
    <w:lvl w:ilvl="0">
      <w:lvlJc w:val="left"/>
      <w:lvlText w:val="(%1)"/>
      <w:numFmt w:val="lowerLetter"/>
      <w:start w:val="2"/>
    </w:lvl>
  </w:abstractNum>
  <w:abstractNum w:abstractNumId="129">
    <w:nsid w:val="759F82CD"/>
    <w:multiLevelType w:val="hybridMultilevel"/>
    <w:lvl w:ilvl="0">
      <w:lvlJc w:val="left"/>
      <w:lvlText w:val="(%1)"/>
      <w:numFmt w:val="decimal"/>
      <w:start w:val="1"/>
    </w:lvl>
  </w:abstractNum>
  <w:abstractNum w:abstractNumId="130">
    <w:nsid w:val="61E74EA3"/>
    <w:multiLevelType w:val="hybridMultilevel"/>
    <w:lvl w:ilvl="0">
      <w:lvlJc w:val="left"/>
      <w:lvlText w:val="%1"/>
      <w:numFmt w:val="decimal"/>
      <w:start w:val="98"/>
    </w:lvl>
  </w:abstractNum>
  <w:abstractNum w:abstractNumId="131">
    <w:nsid w:val="597B4D84"/>
    <w:multiLevelType w:val="hybridMultilevel"/>
    <w:lvl w:ilvl="0">
      <w:lvlJc w:val="left"/>
      <w:lvlText w:val="%1"/>
      <w:numFmt w:val="decimal"/>
      <w:start w:val="100"/>
    </w:lvl>
  </w:abstractNum>
  <w:abstractNum w:abstractNumId="132">
    <w:nsid w:val="F819E7F"/>
    <w:multiLevelType w:val="hybridMultilevel"/>
    <w:lvl w:ilvl="0">
      <w:lvlJc w:val="left"/>
      <w:lvlText w:val="%1"/>
      <w:numFmt w:val="decimal"/>
      <w:start w:val="102"/>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
      <w:numFmt w:val="bullet"/>
      <w:start w:val="1"/>
    </w:lvl>
  </w:abstractNum>
  <w:abstractNum w:abstractNumId="135">
    <w:nsid w:val="631B64D4"/>
    <w:multiLevelType w:val="hybridMultilevel"/>
    <w:lvl w:ilvl="0">
      <w:lvlJc w:val="left"/>
      <w:lvlText w:val="%1"/>
      <w:numFmt w:val="decimal"/>
      <w:start w:val="104"/>
    </w:lvl>
  </w:abstractNum>
  <w:abstractNum w:abstractNumId="136">
    <w:nsid w:val="78B5E776"/>
    <w:multiLevelType w:val="hybridMultilevel"/>
    <w:lvl w:ilvl="0">
      <w:lvlJc w:val="left"/>
      <w:lvlText w:val="•"/>
      <w:numFmt w:val="bullet"/>
      <w:start w:val="1"/>
    </w:lvl>
  </w:abstractNum>
  <w:abstractNum w:abstractNumId="137">
    <w:nsid w:val="75486E47"/>
    <w:multiLevelType w:val="hybridMultilevel"/>
    <w:lvl w:ilvl="0">
      <w:lvlJc w:val="left"/>
      <w:lvlText w:val="%1"/>
      <w:numFmt w:val="decimal"/>
      <w:start w:val="106"/>
    </w:lvl>
  </w:abstractNum>
  <w:abstractNum w:abstractNumId="138">
    <w:nsid w:val="6E534CDE"/>
    <w:multiLevelType w:val="hybridMultilevel"/>
    <w:lvl w:ilvl="0">
      <w:lvlJc w:val="left"/>
      <w:lvlText w:val="1"/>
      <w:numFmt w:val="bullet"/>
      <w:start w:val="1"/>
    </w:lvl>
  </w:abstractNum>
  <w:abstractNum w:abstractNumId="139">
    <w:nsid w:val="1A0DDE32"/>
    <w:multiLevelType w:val="hybridMultilevel"/>
    <w:lvl w:ilvl="0">
      <w:lvlJc w:val="left"/>
      <w:lvlText w:val="2"/>
      <w:numFmt w:val="bullet"/>
      <w:start w:val="1"/>
    </w:lvl>
  </w:abstractNum>
  <w:abstractNum w:abstractNumId="140">
    <w:nsid w:val="65968C1C"/>
    <w:multiLevelType w:val="hybridMultilevel"/>
    <w:lvl w:ilvl="0">
      <w:lvlJc w:val="left"/>
      <w:lvlText w:val="3"/>
      <w:numFmt w:val="bullet"/>
      <w:start w:val="1"/>
    </w:lvl>
  </w:abstractNum>
  <w:abstractNum w:abstractNumId="141">
    <w:nsid w:val="46263DEC"/>
    <w:multiLevelType w:val="hybridMultilevel"/>
    <w:lvl w:ilvl="0">
      <w:lvlJc w:val="left"/>
      <w:lvlText w:val="4"/>
      <w:numFmt w:val="bullet"/>
      <w:start w:val="1"/>
    </w:lvl>
  </w:abstractNum>
  <w:abstractNum w:abstractNumId="142">
    <w:nsid w:val="260D8C4A"/>
    <w:multiLevelType w:val="hybridMultilevel"/>
    <w:lvl w:ilvl="0">
      <w:lvlJc w:val="left"/>
      <w:lvlText w:val="5"/>
      <w:numFmt w:val="bullet"/>
      <w:start w:val="1"/>
    </w:lvl>
  </w:abstractNum>
  <w:abstractNum w:abstractNumId="143">
    <w:nsid w:val="73D4D3C4"/>
    <w:multiLevelType w:val="hybridMultilevel"/>
    <w:lvl w:ilvl="0">
      <w:lvlJc w:val="left"/>
      <w:lvlText w:val="6"/>
      <w:numFmt w:val="bullet"/>
      <w:start w:val="1"/>
    </w:lvl>
  </w:abstractNum>
  <w:abstractNum w:abstractNumId="144">
    <w:nsid w:val="746F2E30"/>
    <w:multiLevelType w:val="hybridMultilevel"/>
    <w:lvl w:ilvl="0">
      <w:lvlJc w:val="left"/>
      <w:lvlText w:val="7"/>
      <w:numFmt w:val="bullet"/>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lvl w:ilvl="1">
      <w:lvlJc w:val="left"/>
      <w:lvlText w:val="•"/>
      <w:numFmt w:val="bullet"/>
      <w:start w:val="1"/>
    </w:lvl>
  </w:abstractNum>
  <w:abstractNum w:abstractNumId="147">
    <w:nsid w:val="49C0E823"/>
    <w:multiLevelType w:val="hybridMultilevel"/>
    <w:lvl w:ilvl="0">
      <w:lvlJc w:val="left"/>
      <w:lvlText w:val="%1"/>
      <w:numFmt w:val="decimal"/>
      <w:start w:val="108"/>
    </w:lvl>
  </w:abstractNum>
  <w:abstractNum w:abstractNumId="148">
    <w:nsid w:val="14D53685"/>
    <w:multiLevelType w:val="hybridMultilevel"/>
    <w:lvl w:ilvl="0">
      <w:lvlJc w:val="left"/>
      <w:lvlText w:val="9"/>
      <w:numFmt w:val="bullet"/>
      <w:start w:val="1"/>
    </w:lvl>
  </w:abstractNum>
  <w:abstractNum w:abstractNumId="149">
    <w:nsid w:val="230F856C"/>
    <w:multiLevelType w:val="hybridMultilevel"/>
    <w:lvl w:ilvl="0">
      <w:lvlJc w:val="left"/>
      <w:lvlText w:val="%1"/>
      <w:numFmt w:val="decimal"/>
      <w:start w:val="10"/>
    </w:lvl>
  </w:abstractNum>
  <w:abstractNum w:abstractNumId="150">
    <w:nsid w:val="6EAA85FB"/>
    <w:multiLevelType w:val="hybridMultilevel"/>
    <w:lvl w:ilvl="0">
      <w:lvlJc w:val="left"/>
      <w:lvlText w:val="%1"/>
      <w:numFmt w:val="decimal"/>
      <w:start w:val="110"/>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decimal"/>
      <w:start w:val="1"/>
    </w:lvl>
  </w:abstractNum>
  <w:abstractNum w:abstractNumId="153">
    <w:nsid w:val="6CAA2304"/>
    <w:multiLevelType w:val="hybridMultilevel"/>
    <w:lvl w:ilvl="0">
      <w:lvlJc w:val="left"/>
      <w:lvlText w:val="(%1)"/>
      <w:numFmt w:val="decimal"/>
      <w:start w:val="1"/>
    </w:lvl>
  </w:abstractNum>
  <w:abstractNum w:abstractNumId="154">
    <w:nsid w:val="3F7C2FF4"/>
    <w:multiLevelType w:val="hybridMultilevel"/>
    <w:lvl w:ilvl="0">
      <w:lvlJc w:val="left"/>
      <w:lvlText w:val="(%1)"/>
      <w:numFmt w:val="decimal"/>
      <w:start w:val="7"/>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2023-03-10T20:03:05Z</dcterms:created>
  <dcterms:modified xsi:type="dcterms:W3CDTF">2023-03-10T20:03:05Z</dcterms:modified>
</cp:coreProperties>
</file>