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__________________</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08" w:lineRule="exact"/>
        <w:rPr>
          <w:sz w:val="24"/>
          <w:szCs w:val="24"/>
          <w:color w:val="auto"/>
        </w:rPr>
      </w:pPr>
    </w:p>
    <w:p>
      <w:pPr>
        <w:ind w:left="460" w:right="2279" w:hanging="283"/>
        <w:spacing w:after="0" w:line="245" w:lineRule="auto"/>
        <w:tabs>
          <w:tab w:leader="none" w:pos="582"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OR</w:t>
      </w:r>
    </w:p>
    <w:p>
      <w:pPr>
        <w:spacing w:after="0" w:line="215" w:lineRule="exact"/>
        <w:rPr>
          <w:sz w:val="24"/>
          <w:szCs w:val="24"/>
          <w:color w:val="auto"/>
        </w:rPr>
      </w:pPr>
    </w:p>
    <w:p>
      <w:pPr>
        <w:ind w:left="580" w:right="2279" w:hanging="403"/>
        <w:spacing w:after="0" w:line="304" w:lineRule="auto"/>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179"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Commission file number 1-31447</w:t>
      </w:r>
    </w:p>
    <w:p>
      <w:pPr>
        <w:spacing w:after="0" w:line="54" w:lineRule="exact"/>
        <w:rPr>
          <w:sz w:val="24"/>
          <w:szCs w:val="24"/>
          <w:color w:val="auto"/>
        </w:rPr>
      </w:pPr>
    </w:p>
    <w:p>
      <w:pPr>
        <w:jc w:val="center"/>
        <w:ind w:right="-1160"/>
        <w:spacing w:after="0"/>
        <w:rPr>
          <w:sz w:val="20"/>
          <w:szCs w:val="20"/>
          <w:color w:val="auto"/>
        </w:rPr>
      </w:pPr>
      <w:r>
        <w:rPr>
          <w:rFonts w:ascii="Arial" w:cs="Arial" w:eastAsia="Arial" w:hAnsi="Arial"/>
          <w:sz w:val="29"/>
          <w:szCs w:val="29"/>
          <w:b w:val="1"/>
          <w:bCs w:val="1"/>
          <w:color w:val="auto"/>
        </w:rPr>
        <w:t>CenterPoint Energy, Inc.</w:t>
      </w:r>
    </w:p>
    <w:p>
      <w:pPr>
        <w:spacing w:after="0" w:line="63"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94" w:lineRule="exact"/>
        <w:rPr>
          <w:sz w:val="24"/>
          <w:szCs w:val="24"/>
          <w:color w:val="auto"/>
        </w:rPr>
      </w:pPr>
    </w:p>
    <w:tbl>
      <w:tblPr>
        <w:tblLayout w:type="fixed"/>
        <w:tblInd w:w="500" w:type="dxa"/>
        <w:tblCellMar>
          <w:top w:w="0" w:type="dxa"/>
          <w:left w:w="0" w:type="dxa"/>
          <w:bottom w:w="0" w:type="dxa"/>
          <w:right w:w="0" w:type="dxa"/>
        </w:tblCellMar>
      </w:tblPr>
      <w:tr>
        <w:trPr>
          <w:trHeight w:val="210"/>
        </w:trPr>
        <w:tc>
          <w:tcPr>
            <w:tcW w:w="358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Texas</w:t>
            </w: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20" w:type="dxa"/>
            <w:vAlign w:val="bottom"/>
          </w:tcPr>
          <w:p>
            <w:pPr>
              <w:jc w:val="right"/>
              <w:ind w:right="603"/>
              <w:spacing w:after="0"/>
              <w:rPr>
                <w:sz w:val="20"/>
                <w:szCs w:val="20"/>
                <w:color w:val="auto"/>
              </w:rPr>
            </w:pPr>
            <w:r>
              <w:rPr>
                <w:rFonts w:ascii="Arial" w:cs="Arial" w:eastAsia="Arial" w:hAnsi="Arial"/>
                <w:sz w:val="16"/>
                <w:szCs w:val="16"/>
                <w:b w:val="1"/>
                <w:bCs w:val="1"/>
                <w:color w:val="auto"/>
              </w:rPr>
              <w:t>74-0694415</w:t>
            </w:r>
          </w:p>
        </w:tc>
        <w:tc>
          <w:tcPr>
            <w:tcW w:w="0" w:type="dxa"/>
            <w:vAlign w:val="bottom"/>
          </w:tcPr>
          <w:p>
            <w:pPr>
              <w:spacing w:after="0"/>
              <w:rPr>
                <w:sz w:val="1"/>
                <w:szCs w:val="1"/>
                <w:color w:val="auto"/>
              </w:rPr>
            </w:pPr>
          </w:p>
        </w:tc>
      </w:tr>
      <w:tr>
        <w:trPr>
          <w:trHeight w:val="237"/>
        </w:trPr>
        <w:tc>
          <w:tcPr>
            <w:tcW w:w="3580" w:type="dxa"/>
            <w:vAlign w:val="bottom"/>
            <w:vMerge w:val="restart"/>
          </w:tcPr>
          <w:p>
            <w:pPr>
              <w:jc w:val="center"/>
              <w:ind w:right="54"/>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4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20" w:type="dxa"/>
            <w:vAlign w:val="bottom"/>
          </w:tcPr>
          <w:p>
            <w:pPr>
              <w:jc w:val="center"/>
              <w:ind w:left="163"/>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54"/>
        </w:trPr>
        <w:tc>
          <w:tcPr>
            <w:tcW w:w="358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3580" w:type="dxa"/>
            <w:vAlign w:val="bottom"/>
          </w:tcPr>
          <w:p>
            <w:pPr>
              <w:jc w:val="center"/>
              <w:ind w:right="34"/>
              <w:spacing w:after="0"/>
              <w:rPr>
                <w:sz w:val="20"/>
                <w:szCs w:val="20"/>
                <w:color w:val="auto"/>
              </w:rPr>
            </w:pPr>
            <w:r>
              <w:rPr>
                <w:rFonts w:ascii="Arial" w:cs="Arial" w:eastAsia="Arial" w:hAnsi="Arial"/>
                <w:sz w:val="16"/>
                <w:szCs w:val="16"/>
                <w:b w:val="1"/>
                <w:bCs w:val="1"/>
                <w:color w:val="auto"/>
                <w:w w:val="88"/>
              </w:rPr>
              <w:t>1111 Louisiana</w:t>
            </w:r>
          </w:p>
        </w:tc>
        <w:tc>
          <w:tcPr>
            <w:tcW w:w="1420" w:type="dxa"/>
            <w:vAlign w:val="bottom"/>
          </w:tcPr>
          <w:p>
            <w:pPr>
              <w:ind w:left="560"/>
              <w:spacing w:after="0"/>
              <w:rPr>
                <w:sz w:val="20"/>
                <w:szCs w:val="20"/>
                <w:color w:val="auto"/>
              </w:rPr>
            </w:pPr>
            <w:r>
              <w:rPr>
                <w:rFonts w:ascii="Arial" w:cs="Arial" w:eastAsia="Arial" w:hAnsi="Arial"/>
                <w:sz w:val="16"/>
                <w:szCs w:val="16"/>
                <w:b w:val="1"/>
                <w:bCs w:val="1"/>
                <w:color w:val="auto"/>
              </w:rPr>
              <w:t>Houston</w:t>
            </w:r>
          </w:p>
        </w:tc>
        <w:tc>
          <w:tcPr>
            <w:tcW w:w="2180" w:type="dxa"/>
            <w:vAlign w:val="bottom"/>
          </w:tcPr>
          <w:p>
            <w:pPr>
              <w:ind w:left="260"/>
              <w:spacing w:after="0"/>
              <w:rPr>
                <w:sz w:val="20"/>
                <w:szCs w:val="20"/>
                <w:color w:val="auto"/>
              </w:rPr>
            </w:pPr>
            <w:r>
              <w:rPr>
                <w:rFonts w:ascii="Arial" w:cs="Arial" w:eastAsia="Arial" w:hAnsi="Arial"/>
                <w:sz w:val="16"/>
                <w:szCs w:val="16"/>
                <w:b w:val="1"/>
                <w:bCs w:val="1"/>
                <w:color w:val="auto"/>
              </w:rPr>
              <w:t>Texas</w:t>
            </w:r>
          </w:p>
        </w:tc>
        <w:tc>
          <w:tcPr>
            <w:tcW w:w="2320" w:type="dxa"/>
            <w:vAlign w:val="bottom"/>
          </w:tcPr>
          <w:p>
            <w:pPr>
              <w:jc w:val="center"/>
              <w:ind w:left="163"/>
              <w:spacing w:after="0"/>
              <w:rPr>
                <w:sz w:val="20"/>
                <w:szCs w:val="20"/>
                <w:color w:val="auto"/>
              </w:rPr>
            </w:pPr>
            <w:r>
              <w:rPr>
                <w:rFonts w:ascii="Arial" w:cs="Arial" w:eastAsia="Arial" w:hAnsi="Arial"/>
                <w:sz w:val="16"/>
                <w:szCs w:val="16"/>
                <w:b w:val="1"/>
                <w:bCs w:val="1"/>
                <w:color w:val="auto"/>
                <w:w w:val="89"/>
              </w:rPr>
              <w:t>77002</w:t>
            </w:r>
          </w:p>
        </w:tc>
        <w:tc>
          <w:tcPr>
            <w:tcW w:w="0" w:type="dxa"/>
            <w:vAlign w:val="bottom"/>
          </w:tcPr>
          <w:p>
            <w:pPr>
              <w:spacing w:after="0"/>
              <w:rPr>
                <w:sz w:val="1"/>
                <w:szCs w:val="1"/>
                <w:color w:val="auto"/>
              </w:rPr>
            </w:pPr>
          </w:p>
        </w:tc>
      </w:tr>
      <w:tr>
        <w:trPr>
          <w:trHeight w:val="291"/>
        </w:trPr>
        <w:tc>
          <w:tcPr>
            <w:tcW w:w="3580" w:type="dxa"/>
            <w:vAlign w:val="bottom"/>
          </w:tcPr>
          <w:p>
            <w:pPr>
              <w:jc w:val="center"/>
              <w:ind w:right="54"/>
              <w:spacing w:after="0"/>
              <w:rPr>
                <w:sz w:val="20"/>
                <w:szCs w:val="20"/>
                <w:color w:val="auto"/>
              </w:rPr>
            </w:pPr>
            <w:r>
              <w:rPr>
                <w:rFonts w:ascii="Arial" w:cs="Arial" w:eastAsia="Arial" w:hAnsi="Arial"/>
                <w:sz w:val="14"/>
                <w:szCs w:val="14"/>
                <w:color w:val="auto"/>
                <w:w w:val="95"/>
              </w:rPr>
              <w:t>(Address of Principal Executive Offices)</w:t>
            </w: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tcPr>
          <w:p>
            <w:pPr>
              <w:jc w:val="center"/>
              <w:ind w:left="16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360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9"/>
              </w:rPr>
              <w:t>(713) 207-1111</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3600" w:type="dxa"/>
            <w:vAlign w:val="bottom"/>
            <w:gridSpan w:val="2"/>
          </w:tcPr>
          <w:p>
            <w:pPr>
              <w:jc w:val="center"/>
              <w:ind w:right="339"/>
              <w:spacing w:after="0"/>
              <w:rPr>
                <w:sz w:val="20"/>
                <w:szCs w:val="20"/>
                <w:color w:val="auto"/>
              </w:rPr>
            </w:pPr>
            <w:r>
              <w:rPr>
                <w:rFonts w:ascii="Arial" w:cs="Arial" w:eastAsia="Arial" w:hAnsi="Arial"/>
                <w:sz w:val="14"/>
                <w:szCs w:val="14"/>
                <w:color w:val="auto"/>
                <w:w w:val="92"/>
              </w:rPr>
              <w:t>Registrant's telephone number, including area code</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3580" w:type="dxa"/>
            <w:vAlign w:val="bottom"/>
          </w:tcPr>
          <w:p>
            <w:pPr>
              <w:spacing w:after="0"/>
              <w:rPr>
                <w:sz w:val="24"/>
                <w:szCs w:val="24"/>
                <w:color w:val="auto"/>
              </w:rPr>
            </w:pPr>
          </w:p>
        </w:tc>
        <w:tc>
          <w:tcPr>
            <w:tcW w:w="3600" w:type="dxa"/>
            <w:vAlign w:val="bottom"/>
            <w:gridSpan w:val="2"/>
          </w:tcPr>
          <w:p>
            <w:pPr>
              <w:jc w:val="center"/>
              <w:ind w:right="319"/>
              <w:spacing w:after="0"/>
              <w:rPr>
                <w:sz w:val="20"/>
                <w:szCs w:val="20"/>
                <w:color w:val="auto"/>
              </w:rPr>
            </w:pPr>
            <w:r>
              <w:rPr>
                <w:rFonts w:ascii="Arial" w:cs="Arial" w:eastAsia="Arial" w:hAnsi="Arial"/>
                <w:sz w:val="16"/>
                <w:szCs w:val="16"/>
                <w:b w:val="1"/>
                <w:bCs w:val="1"/>
                <w:color w:val="auto"/>
                <w:w w:val="91"/>
              </w:rPr>
              <w:t>Commission file number 1-3187</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9500" w:type="dxa"/>
            <w:vAlign w:val="bottom"/>
            <w:gridSpan w:val="4"/>
          </w:tcPr>
          <w:p>
            <w:pPr>
              <w:jc w:val="center"/>
              <w:ind w:left="774"/>
              <w:spacing w:after="0"/>
              <w:rPr>
                <w:sz w:val="20"/>
                <w:szCs w:val="20"/>
                <w:color w:val="auto"/>
              </w:rPr>
            </w:pPr>
            <w:r>
              <w:rPr>
                <w:rFonts w:ascii="Arial" w:cs="Arial" w:eastAsia="Arial" w:hAnsi="Arial"/>
                <w:sz w:val="29"/>
                <w:szCs w:val="29"/>
                <w:b w:val="1"/>
                <w:bCs w:val="1"/>
                <w:color w:val="auto"/>
                <w:w w:val="92"/>
              </w:rPr>
              <w:t>CenterPoint Energy Houston Electric, LLC</w:t>
            </w:r>
          </w:p>
        </w:tc>
        <w:tc>
          <w:tcPr>
            <w:tcW w:w="0" w:type="dxa"/>
            <w:vAlign w:val="bottom"/>
          </w:tcPr>
          <w:p>
            <w:pPr>
              <w:spacing w:after="0"/>
              <w:rPr>
                <w:sz w:val="1"/>
                <w:szCs w:val="1"/>
                <w:color w:val="auto"/>
              </w:rPr>
            </w:pPr>
          </w:p>
        </w:tc>
      </w:tr>
      <w:tr>
        <w:trPr>
          <w:trHeight w:val="232"/>
        </w:trPr>
        <w:tc>
          <w:tcPr>
            <w:tcW w:w="7180" w:type="dxa"/>
            <w:vAlign w:val="bottom"/>
            <w:gridSpan w:val="3"/>
          </w:tcPr>
          <w:p>
            <w:pPr>
              <w:jc w:val="center"/>
              <w:ind w:left="307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8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Texas</w:t>
            </w: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tcPr>
          <w:p>
            <w:pPr>
              <w:jc w:val="right"/>
              <w:ind w:right="603"/>
              <w:spacing w:after="0"/>
              <w:rPr>
                <w:sz w:val="20"/>
                <w:szCs w:val="20"/>
                <w:color w:val="auto"/>
              </w:rPr>
            </w:pPr>
            <w:r>
              <w:rPr>
                <w:rFonts w:ascii="Arial" w:cs="Arial" w:eastAsia="Arial" w:hAnsi="Arial"/>
                <w:sz w:val="16"/>
                <w:szCs w:val="16"/>
                <w:b w:val="1"/>
                <w:bCs w:val="1"/>
                <w:color w:val="auto"/>
              </w:rPr>
              <w:t>22-3865106</w:t>
            </w:r>
          </w:p>
        </w:tc>
        <w:tc>
          <w:tcPr>
            <w:tcW w:w="0" w:type="dxa"/>
            <w:vAlign w:val="bottom"/>
          </w:tcPr>
          <w:p>
            <w:pPr>
              <w:spacing w:after="0"/>
              <w:rPr>
                <w:sz w:val="1"/>
                <w:szCs w:val="1"/>
                <w:color w:val="auto"/>
              </w:rPr>
            </w:pPr>
          </w:p>
        </w:tc>
      </w:tr>
      <w:tr>
        <w:trPr>
          <w:trHeight w:val="237"/>
        </w:trPr>
        <w:tc>
          <w:tcPr>
            <w:tcW w:w="3580" w:type="dxa"/>
            <w:vAlign w:val="bottom"/>
            <w:vMerge w:val="restart"/>
          </w:tcPr>
          <w:p>
            <w:pPr>
              <w:jc w:val="center"/>
              <w:ind w:right="54"/>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4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20" w:type="dxa"/>
            <w:vAlign w:val="bottom"/>
          </w:tcPr>
          <w:p>
            <w:pPr>
              <w:jc w:val="center"/>
              <w:ind w:left="163"/>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54"/>
        </w:trPr>
        <w:tc>
          <w:tcPr>
            <w:tcW w:w="358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3580" w:type="dxa"/>
            <w:vAlign w:val="bottom"/>
          </w:tcPr>
          <w:p>
            <w:pPr>
              <w:jc w:val="center"/>
              <w:ind w:right="34"/>
              <w:spacing w:after="0"/>
              <w:rPr>
                <w:sz w:val="20"/>
                <w:szCs w:val="20"/>
                <w:color w:val="auto"/>
              </w:rPr>
            </w:pPr>
            <w:r>
              <w:rPr>
                <w:rFonts w:ascii="Arial" w:cs="Arial" w:eastAsia="Arial" w:hAnsi="Arial"/>
                <w:sz w:val="16"/>
                <w:szCs w:val="16"/>
                <w:b w:val="1"/>
                <w:bCs w:val="1"/>
                <w:color w:val="auto"/>
                <w:w w:val="88"/>
              </w:rPr>
              <w:t>1111 Louisiana</w:t>
            </w:r>
          </w:p>
        </w:tc>
        <w:tc>
          <w:tcPr>
            <w:tcW w:w="1420" w:type="dxa"/>
            <w:vAlign w:val="bottom"/>
          </w:tcPr>
          <w:p>
            <w:pPr>
              <w:ind w:left="560"/>
              <w:spacing w:after="0"/>
              <w:rPr>
                <w:sz w:val="20"/>
                <w:szCs w:val="20"/>
                <w:color w:val="auto"/>
              </w:rPr>
            </w:pPr>
            <w:r>
              <w:rPr>
                <w:rFonts w:ascii="Arial" w:cs="Arial" w:eastAsia="Arial" w:hAnsi="Arial"/>
                <w:sz w:val="16"/>
                <w:szCs w:val="16"/>
                <w:b w:val="1"/>
                <w:bCs w:val="1"/>
                <w:color w:val="auto"/>
              </w:rPr>
              <w:t>Houston</w:t>
            </w:r>
          </w:p>
        </w:tc>
        <w:tc>
          <w:tcPr>
            <w:tcW w:w="2180" w:type="dxa"/>
            <w:vAlign w:val="bottom"/>
          </w:tcPr>
          <w:p>
            <w:pPr>
              <w:ind w:left="260"/>
              <w:spacing w:after="0"/>
              <w:rPr>
                <w:sz w:val="20"/>
                <w:szCs w:val="20"/>
                <w:color w:val="auto"/>
              </w:rPr>
            </w:pPr>
            <w:r>
              <w:rPr>
                <w:rFonts w:ascii="Arial" w:cs="Arial" w:eastAsia="Arial" w:hAnsi="Arial"/>
                <w:sz w:val="16"/>
                <w:szCs w:val="16"/>
                <w:b w:val="1"/>
                <w:bCs w:val="1"/>
                <w:color w:val="auto"/>
              </w:rPr>
              <w:t>Texas</w:t>
            </w:r>
          </w:p>
        </w:tc>
        <w:tc>
          <w:tcPr>
            <w:tcW w:w="2320" w:type="dxa"/>
            <w:vAlign w:val="bottom"/>
          </w:tcPr>
          <w:p>
            <w:pPr>
              <w:jc w:val="center"/>
              <w:ind w:left="163"/>
              <w:spacing w:after="0"/>
              <w:rPr>
                <w:sz w:val="20"/>
                <w:szCs w:val="20"/>
                <w:color w:val="auto"/>
              </w:rPr>
            </w:pPr>
            <w:r>
              <w:rPr>
                <w:rFonts w:ascii="Arial" w:cs="Arial" w:eastAsia="Arial" w:hAnsi="Arial"/>
                <w:sz w:val="16"/>
                <w:szCs w:val="16"/>
                <w:b w:val="1"/>
                <w:bCs w:val="1"/>
                <w:color w:val="auto"/>
                <w:w w:val="89"/>
              </w:rPr>
              <w:t>77002</w:t>
            </w:r>
          </w:p>
        </w:tc>
        <w:tc>
          <w:tcPr>
            <w:tcW w:w="0" w:type="dxa"/>
            <w:vAlign w:val="bottom"/>
          </w:tcPr>
          <w:p>
            <w:pPr>
              <w:spacing w:after="0"/>
              <w:rPr>
                <w:sz w:val="1"/>
                <w:szCs w:val="1"/>
                <w:color w:val="auto"/>
              </w:rPr>
            </w:pPr>
          </w:p>
        </w:tc>
      </w:tr>
      <w:tr>
        <w:trPr>
          <w:trHeight w:val="291"/>
        </w:trPr>
        <w:tc>
          <w:tcPr>
            <w:tcW w:w="3580" w:type="dxa"/>
            <w:vAlign w:val="bottom"/>
          </w:tcPr>
          <w:p>
            <w:pPr>
              <w:jc w:val="center"/>
              <w:ind w:right="54"/>
              <w:spacing w:after="0"/>
              <w:rPr>
                <w:sz w:val="20"/>
                <w:szCs w:val="20"/>
                <w:color w:val="auto"/>
              </w:rPr>
            </w:pPr>
            <w:r>
              <w:rPr>
                <w:rFonts w:ascii="Arial" w:cs="Arial" w:eastAsia="Arial" w:hAnsi="Arial"/>
                <w:sz w:val="14"/>
                <w:szCs w:val="14"/>
                <w:color w:val="auto"/>
                <w:w w:val="95"/>
              </w:rPr>
              <w:t>(Address of Principal Executive Offices)</w:t>
            </w: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tcPr>
          <w:p>
            <w:pPr>
              <w:jc w:val="center"/>
              <w:ind w:left="16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360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9"/>
              </w:rPr>
              <w:t>(713) 207-1111</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3600" w:type="dxa"/>
            <w:vAlign w:val="bottom"/>
            <w:gridSpan w:val="2"/>
          </w:tcPr>
          <w:p>
            <w:pPr>
              <w:jc w:val="center"/>
              <w:ind w:right="339"/>
              <w:spacing w:after="0"/>
              <w:rPr>
                <w:sz w:val="20"/>
                <w:szCs w:val="20"/>
                <w:color w:val="auto"/>
              </w:rPr>
            </w:pPr>
            <w:r>
              <w:rPr>
                <w:rFonts w:ascii="Arial" w:cs="Arial" w:eastAsia="Arial" w:hAnsi="Arial"/>
                <w:sz w:val="14"/>
                <w:szCs w:val="14"/>
                <w:color w:val="auto"/>
                <w:w w:val="92"/>
              </w:rPr>
              <w:t>Registrant's telephone number, including area code</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3580" w:type="dxa"/>
            <w:vAlign w:val="bottom"/>
          </w:tcPr>
          <w:p>
            <w:pPr>
              <w:spacing w:after="0"/>
              <w:rPr>
                <w:sz w:val="24"/>
                <w:szCs w:val="24"/>
                <w:color w:val="auto"/>
              </w:rPr>
            </w:pPr>
          </w:p>
        </w:tc>
        <w:tc>
          <w:tcPr>
            <w:tcW w:w="3600" w:type="dxa"/>
            <w:vAlign w:val="bottom"/>
            <w:gridSpan w:val="2"/>
          </w:tcPr>
          <w:p>
            <w:pPr>
              <w:jc w:val="center"/>
              <w:ind w:right="319"/>
              <w:spacing w:after="0"/>
              <w:rPr>
                <w:sz w:val="20"/>
                <w:szCs w:val="20"/>
                <w:color w:val="auto"/>
              </w:rPr>
            </w:pPr>
            <w:r>
              <w:rPr>
                <w:rFonts w:ascii="Arial" w:cs="Arial" w:eastAsia="Arial" w:hAnsi="Arial"/>
                <w:sz w:val="16"/>
                <w:szCs w:val="16"/>
                <w:b w:val="1"/>
                <w:bCs w:val="1"/>
                <w:color w:val="auto"/>
                <w:w w:val="91"/>
              </w:rPr>
              <w:t>Commission file number 1-13265</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9500" w:type="dxa"/>
            <w:vAlign w:val="bottom"/>
            <w:gridSpan w:val="4"/>
          </w:tcPr>
          <w:p>
            <w:pPr>
              <w:jc w:val="center"/>
              <w:ind w:left="754"/>
              <w:spacing w:after="0"/>
              <w:rPr>
                <w:sz w:val="20"/>
                <w:szCs w:val="20"/>
                <w:color w:val="auto"/>
              </w:rPr>
            </w:pPr>
            <w:r>
              <w:rPr>
                <w:rFonts w:ascii="Arial" w:cs="Arial" w:eastAsia="Arial" w:hAnsi="Arial"/>
                <w:sz w:val="29"/>
                <w:szCs w:val="29"/>
                <w:b w:val="1"/>
                <w:bCs w:val="1"/>
                <w:color w:val="auto"/>
                <w:w w:val="89"/>
              </w:rPr>
              <w:t>CenterPoint Energy Resources Corp.</w:t>
            </w:r>
          </w:p>
        </w:tc>
        <w:tc>
          <w:tcPr>
            <w:tcW w:w="0" w:type="dxa"/>
            <w:vAlign w:val="bottom"/>
          </w:tcPr>
          <w:p>
            <w:pPr>
              <w:spacing w:after="0"/>
              <w:rPr>
                <w:sz w:val="1"/>
                <w:szCs w:val="1"/>
                <w:color w:val="auto"/>
              </w:rPr>
            </w:pPr>
          </w:p>
        </w:tc>
      </w:tr>
      <w:tr>
        <w:trPr>
          <w:trHeight w:val="232"/>
        </w:trPr>
        <w:tc>
          <w:tcPr>
            <w:tcW w:w="7180" w:type="dxa"/>
            <w:vAlign w:val="bottom"/>
            <w:gridSpan w:val="3"/>
          </w:tcPr>
          <w:p>
            <w:pPr>
              <w:jc w:val="center"/>
              <w:ind w:left="307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80" w:type="dxa"/>
            <w:vAlign w:val="bottom"/>
          </w:tcPr>
          <w:p>
            <w:pPr>
              <w:jc w:val="center"/>
              <w:ind w:right="34"/>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tcPr>
          <w:p>
            <w:pPr>
              <w:jc w:val="right"/>
              <w:ind w:right="603"/>
              <w:spacing w:after="0"/>
              <w:rPr>
                <w:sz w:val="20"/>
                <w:szCs w:val="20"/>
                <w:color w:val="auto"/>
              </w:rPr>
            </w:pPr>
            <w:r>
              <w:rPr>
                <w:rFonts w:ascii="Arial" w:cs="Arial" w:eastAsia="Arial" w:hAnsi="Arial"/>
                <w:sz w:val="16"/>
                <w:szCs w:val="16"/>
                <w:b w:val="1"/>
                <w:bCs w:val="1"/>
                <w:color w:val="auto"/>
              </w:rPr>
              <w:t>76-0511406</w:t>
            </w:r>
          </w:p>
        </w:tc>
        <w:tc>
          <w:tcPr>
            <w:tcW w:w="0" w:type="dxa"/>
            <w:vAlign w:val="bottom"/>
          </w:tcPr>
          <w:p>
            <w:pPr>
              <w:spacing w:after="0"/>
              <w:rPr>
                <w:sz w:val="1"/>
                <w:szCs w:val="1"/>
                <w:color w:val="auto"/>
              </w:rPr>
            </w:pPr>
          </w:p>
        </w:tc>
      </w:tr>
      <w:tr>
        <w:trPr>
          <w:trHeight w:val="237"/>
        </w:trPr>
        <w:tc>
          <w:tcPr>
            <w:tcW w:w="3580" w:type="dxa"/>
            <w:vAlign w:val="bottom"/>
            <w:vMerge w:val="restart"/>
          </w:tcPr>
          <w:p>
            <w:pPr>
              <w:jc w:val="center"/>
              <w:ind w:right="54"/>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4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20" w:type="dxa"/>
            <w:vAlign w:val="bottom"/>
          </w:tcPr>
          <w:p>
            <w:pPr>
              <w:jc w:val="center"/>
              <w:ind w:left="163"/>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54"/>
        </w:trPr>
        <w:tc>
          <w:tcPr>
            <w:tcW w:w="358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3580" w:type="dxa"/>
            <w:vAlign w:val="bottom"/>
          </w:tcPr>
          <w:p>
            <w:pPr>
              <w:jc w:val="center"/>
              <w:ind w:right="34"/>
              <w:spacing w:after="0"/>
              <w:rPr>
                <w:sz w:val="20"/>
                <w:szCs w:val="20"/>
                <w:color w:val="auto"/>
              </w:rPr>
            </w:pPr>
            <w:r>
              <w:rPr>
                <w:rFonts w:ascii="Arial" w:cs="Arial" w:eastAsia="Arial" w:hAnsi="Arial"/>
                <w:sz w:val="16"/>
                <w:szCs w:val="16"/>
                <w:b w:val="1"/>
                <w:bCs w:val="1"/>
                <w:color w:val="auto"/>
                <w:w w:val="88"/>
              </w:rPr>
              <w:t>1111 Louisiana</w:t>
            </w:r>
          </w:p>
        </w:tc>
        <w:tc>
          <w:tcPr>
            <w:tcW w:w="1420" w:type="dxa"/>
            <w:vAlign w:val="bottom"/>
          </w:tcPr>
          <w:p>
            <w:pPr>
              <w:ind w:left="560"/>
              <w:spacing w:after="0"/>
              <w:rPr>
                <w:sz w:val="20"/>
                <w:szCs w:val="20"/>
                <w:color w:val="auto"/>
              </w:rPr>
            </w:pPr>
            <w:r>
              <w:rPr>
                <w:rFonts w:ascii="Arial" w:cs="Arial" w:eastAsia="Arial" w:hAnsi="Arial"/>
                <w:sz w:val="16"/>
                <w:szCs w:val="16"/>
                <w:b w:val="1"/>
                <w:bCs w:val="1"/>
                <w:color w:val="auto"/>
              </w:rPr>
              <w:t>Houston</w:t>
            </w:r>
          </w:p>
        </w:tc>
        <w:tc>
          <w:tcPr>
            <w:tcW w:w="2180" w:type="dxa"/>
            <w:vAlign w:val="bottom"/>
          </w:tcPr>
          <w:p>
            <w:pPr>
              <w:ind w:left="260"/>
              <w:spacing w:after="0"/>
              <w:rPr>
                <w:sz w:val="20"/>
                <w:szCs w:val="20"/>
                <w:color w:val="auto"/>
              </w:rPr>
            </w:pPr>
            <w:r>
              <w:rPr>
                <w:rFonts w:ascii="Arial" w:cs="Arial" w:eastAsia="Arial" w:hAnsi="Arial"/>
                <w:sz w:val="16"/>
                <w:szCs w:val="16"/>
                <w:b w:val="1"/>
                <w:bCs w:val="1"/>
                <w:color w:val="auto"/>
              </w:rPr>
              <w:t>Texas</w:t>
            </w:r>
          </w:p>
        </w:tc>
        <w:tc>
          <w:tcPr>
            <w:tcW w:w="2320" w:type="dxa"/>
            <w:vAlign w:val="bottom"/>
          </w:tcPr>
          <w:p>
            <w:pPr>
              <w:jc w:val="center"/>
              <w:ind w:left="163"/>
              <w:spacing w:after="0"/>
              <w:rPr>
                <w:sz w:val="20"/>
                <w:szCs w:val="20"/>
                <w:color w:val="auto"/>
              </w:rPr>
            </w:pPr>
            <w:r>
              <w:rPr>
                <w:rFonts w:ascii="Arial" w:cs="Arial" w:eastAsia="Arial" w:hAnsi="Arial"/>
                <w:sz w:val="16"/>
                <w:szCs w:val="16"/>
                <w:b w:val="1"/>
                <w:bCs w:val="1"/>
                <w:color w:val="auto"/>
                <w:w w:val="89"/>
              </w:rPr>
              <w:t>77002</w:t>
            </w:r>
          </w:p>
        </w:tc>
        <w:tc>
          <w:tcPr>
            <w:tcW w:w="0" w:type="dxa"/>
            <w:vAlign w:val="bottom"/>
          </w:tcPr>
          <w:p>
            <w:pPr>
              <w:spacing w:after="0"/>
              <w:rPr>
                <w:sz w:val="1"/>
                <w:szCs w:val="1"/>
                <w:color w:val="auto"/>
              </w:rPr>
            </w:pPr>
          </w:p>
        </w:tc>
      </w:tr>
      <w:tr>
        <w:trPr>
          <w:trHeight w:val="291"/>
        </w:trPr>
        <w:tc>
          <w:tcPr>
            <w:tcW w:w="3580" w:type="dxa"/>
            <w:vAlign w:val="bottom"/>
          </w:tcPr>
          <w:p>
            <w:pPr>
              <w:jc w:val="center"/>
              <w:ind w:right="54"/>
              <w:spacing w:after="0"/>
              <w:rPr>
                <w:sz w:val="20"/>
                <w:szCs w:val="20"/>
                <w:color w:val="auto"/>
              </w:rPr>
            </w:pPr>
            <w:r>
              <w:rPr>
                <w:rFonts w:ascii="Arial" w:cs="Arial" w:eastAsia="Arial" w:hAnsi="Arial"/>
                <w:sz w:val="14"/>
                <w:szCs w:val="14"/>
                <w:color w:val="auto"/>
                <w:w w:val="95"/>
              </w:rPr>
              <w:t>(Address of Principal Executive Offices)</w:t>
            </w: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tcPr>
          <w:p>
            <w:pPr>
              <w:jc w:val="center"/>
              <w:ind w:left="16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360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9"/>
              </w:rPr>
              <w:t>(713) 207-1111</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3600" w:type="dxa"/>
            <w:vAlign w:val="bottom"/>
            <w:gridSpan w:val="2"/>
          </w:tcPr>
          <w:p>
            <w:pPr>
              <w:jc w:val="center"/>
              <w:ind w:right="339"/>
              <w:spacing w:after="0"/>
              <w:rPr>
                <w:sz w:val="20"/>
                <w:szCs w:val="20"/>
                <w:color w:val="auto"/>
              </w:rPr>
            </w:pPr>
            <w:r>
              <w:rPr>
                <w:rFonts w:ascii="Arial" w:cs="Arial" w:eastAsia="Arial" w:hAnsi="Arial"/>
                <w:sz w:val="14"/>
                <w:szCs w:val="14"/>
                <w:color w:val="auto"/>
                <w:w w:val="92"/>
              </w:rPr>
              <w:t>Registrant's telephone number, including area code</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79"/>
          </w:cols>
          <w:pgMar w:left="280" w:top="49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8" w:lineRule="exact"/>
        <w:rPr>
          <w:sz w:val="20"/>
          <w:szCs w:val="20"/>
          <w:color w:val="auto"/>
        </w:rPr>
      </w:pPr>
    </w:p>
    <w:tbl>
      <w:tblPr>
        <w:tblLayout w:type="fixed"/>
        <w:tblInd w:w="54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1860" w:type="dxa"/>
            <w:vAlign w:val="bottom"/>
            <w:gridSpan w:val="2"/>
          </w:tcPr>
          <w:p>
            <w:pPr>
              <w:jc w:val="center"/>
              <w:ind w:right="1380"/>
              <w:spacing w:after="0"/>
              <w:rPr>
                <w:sz w:val="20"/>
                <w:szCs w:val="20"/>
                <w:color w:val="auto"/>
              </w:rPr>
            </w:pPr>
            <w:r>
              <w:rPr>
                <w:rFonts w:ascii="Arial" w:cs="Arial" w:eastAsia="Arial" w:hAnsi="Arial"/>
                <w:sz w:val="11"/>
                <w:szCs w:val="11"/>
                <w:b w:val="1"/>
                <w:bCs w:val="1"/>
                <w:color w:val="auto"/>
                <w:w w:val="88"/>
              </w:rPr>
              <w:t>Registrant</w:t>
            </w:r>
          </w:p>
        </w:tc>
        <w:tc>
          <w:tcPr>
            <w:tcW w:w="42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6"/>
              </w:rPr>
              <w:t>Title of each class</w:t>
            </w:r>
          </w:p>
        </w:tc>
        <w:tc>
          <w:tcPr>
            <w:tcW w:w="148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89"/>
              </w:rPr>
              <w:t>Trading Symbol(s)</w:t>
            </w:r>
          </w:p>
        </w:tc>
        <w:tc>
          <w:tcPr>
            <w:tcW w:w="202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211"/>
        </w:trPr>
        <w:tc>
          <w:tcPr>
            <w:tcW w:w="2860" w:type="dxa"/>
            <w:vAlign w:val="bottom"/>
            <w:gridSpan w:val="3"/>
          </w:tcPr>
          <w:p>
            <w:pPr>
              <w:jc w:val="center"/>
              <w:ind w:right="400"/>
              <w:spacing w:after="0"/>
              <w:rPr>
                <w:sz w:val="20"/>
                <w:szCs w:val="20"/>
                <w:color w:val="auto"/>
              </w:rPr>
            </w:pPr>
            <w:r>
              <w:rPr>
                <w:rFonts w:ascii="Arial" w:cs="Arial" w:eastAsia="Arial" w:hAnsi="Arial"/>
                <w:sz w:val="14"/>
                <w:szCs w:val="14"/>
                <w:color w:val="auto"/>
                <w:w w:val="93"/>
              </w:rPr>
              <w:t>CenterPoint Energy, Inc.</w:t>
            </w:r>
          </w:p>
        </w:tc>
        <w:tc>
          <w:tcPr>
            <w:tcW w:w="4220" w:type="dxa"/>
            <w:vAlign w:val="bottom"/>
            <w:gridSpan w:val="3"/>
          </w:tcPr>
          <w:p>
            <w:pPr>
              <w:jc w:val="center"/>
              <w:ind w:right="160"/>
              <w:spacing w:after="0"/>
              <w:rPr>
                <w:sz w:val="20"/>
                <w:szCs w:val="20"/>
                <w:color w:val="auto"/>
              </w:rPr>
            </w:pPr>
            <w:r>
              <w:rPr>
                <w:rFonts w:ascii="Arial" w:cs="Arial" w:eastAsia="Arial" w:hAnsi="Arial"/>
                <w:sz w:val="14"/>
                <w:szCs w:val="14"/>
                <w:color w:val="auto"/>
                <w:w w:val="92"/>
              </w:rPr>
              <w:t>Common Stock, $0.01 par value</w:t>
            </w: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color w:val="auto"/>
                <w:w w:val="94"/>
              </w:rPr>
              <w:t>CNP</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3"/>
        </w:trPr>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Chicago Stock Exchange, Inc.</w:t>
            </w:r>
          </w:p>
        </w:tc>
      </w:tr>
      <w:tr>
        <w:trPr>
          <w:trHeight w:val="236"/>
        </w:trPr>
        <w:tc>
          <w:tcPr>
            <w:tcW w:w="2860" w:type="dxa"/>
            <w:vAlign w:val="bottom"/>
            <w:gridSpan w:val="3"/>
          </w:tcPr>
          <w:p>
            <w:pPr>
              <w:jc w:val="center"/>
              <w:ind w:right="400"/>
              <w:spacing w:after="0"/>
              <w:rPr>
                <w:sz w:val="20"/>
                <w:szCs w:val="20"/>
                <w:color w:val="auto"/>
              </w:rPr>
            </w:pPr>
            <w:r>
              <w:rPr>
                <w:rFonts w:ascii="Arial" w:cs="Arial" w:eastAsia="Arial" w:hAnsi="Arial"/>
                <w:sz w:val="14"/>
                <w:szCs w:val="14"/>
                <w:color w:val="auto"/>
                <w:w w:val="93"/>
              </w:rPr>
              <w:t>CenterPoint Energy, Inc.</w:t>
            </w:r>
          </w:p>
        </w:tc>
        <w:tc>
          <w:tcPr>
            <w:tcW w:w="4220" w:type="dxa"/>
            <w:vAlign w:val="bottom"/>
            <w:gridSpan w:val="3"/>
          </w:tcPr>
          <w:p>
            <w:pPr>
              <w:jc w:val="center"/>
              <w:ind w:right="160"/>
              <w:spacing w:after="0"/>
              <w:rPr>
                <w:sz w:val="20"/>
                <w:szCs w:val="20"/>
                <w:color w:val="auto"/>
              </w:rPr>
            </w:pPr>
            <w:r>
              <w:rPr>
                <w:rFonts w:ascii="Arial" w:cs="Arial" w:eastAsia="Arial" w:hAnsi="Arial"/>
                <w:sz w:val="14"/>
                <w:szCs w:val="14"/>
                <w:color w:val="auto"/>
                <w:w w:val="93"/>
              </w:rPr>
              <w:t>Depositary Shares for 1/20 of 7.00% Series B Mandatory</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CNP/PB</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182"/>
        </w:trPr>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20" w:type="dxa"/>
            <w:vAlign w:val="bottom"/>
            <w:gridSpan w:val="3"/>
          </w:tcPr>
          <w:p>
            <w:pPr>
              <w:jc w:val="center"/>
              <w:ind w:right="160"/>
              <w:spacing w:after="0"/>
              <w:rPr>
                <w:sz w:val="20"/>
                <w:szCs w:val="20"/>
                <w:color w:val="auto"/>
              </w:rPr>
            </w:pPr>
            <w:r>
              <w:rPr>
                <w:rFonts w:ascii="Arial" w:cs="Arial" w:eastAsia="Arial" w:hAnsi="Arial"/>
                <w:sz w:val="14"/>
                <w:szCs w:val="14"/>
                <w:color w:val="auto"/>
                <w:w w:val="93"/>
              </w:rPr>
              <w:t>Convertible Preferred Stock, $0.01 par value</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3"/>
        </w:trPr>
        <w:tc>
          <w:tcPr>
            <w:tcW w:w="2860" w:type="dxa"/>
            <w:vAlign w:val="bottom"/>
            <w:gridSpan w:val="3"/>
          </w:tcPr>
          <w:p>
            <w:pPr>
              <w:jc w:val="center"/>
              <w:ind w:right="380"/>
              <w:spacing w:after="0"/>
              <w:rPr>
                <w:sz w:val="20"/>
                <w:szCs w:val="20"/>
                <w:color w:val="auto"/>
              </w:rPr>
            </w:pPr>
            <w:r>
              <w:rPr>
                <w:rFonts w:ascii="Arial" w:cs="Arial" w:eastAsia="Arial" w:hAnsi="Arial"/>
                <w:sz w:val="14"/>
                <w:szCs w:val="14"/>
                <w:color w:val="auto"/>
                <w:w w:val="94"/>
              </w:rPr>
              <w:t>CenterPoint Energy Houston Electric, LLC</w:t>
            </w:r>
          </w:p>
        </w:tc>
        <w:tc>
          <w:tcPr>
            <w:tcW w:w="4220" w:type="dxa"/>
            <w:vAlign w:val="bottom"/>
            <w:gridSpan w:val="3"/>
          </w:tcPr>
          <w:p>
            <w:pPr>
              <w:jc w:val="center"/>
              <w:ind w:right="160"/>
              <w:spacing w:after="0"/>
              <w:rPr>
                <w:sz w:val="20"/>
                <w:szCs w:val="20"/>
                <w:color w:val="auto"/>
              </w:rPr>
            </w:pPr>
            <w:r>
              <w:rPr>
                <w:rFonts w:ascii="Arial" w:cs="Arial" w:eastAsia="Arial" w:hAnsi="Arial"/>
                <w:sz w:val="14"/>
                <w:szCs w:val="14"/>
                <w:color w:val="auto"/>
                <w:w w:val="92"/>
              </w:rPr>
              <w:t>9.15% First Mortgage Bonds due 2021</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n/a</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3"/>
        </w:trPr>
        <w:tc>
          <w:tcPr>
            <w:tcW w:w="2860" w:type="dxa"/>
            <w:vAlign w:val="bottom"/>
            <w:gridSpan w:val="3"/>
          </w:tcPr>
          <w:p>
            <w:pPr>
              <w:jc w:val="center"/>
              <w:ind w:right="380"/>
              <w:spacing w:after="0"/>
              <w:rPr>
                <w:sz w:val="20"/>
                <w:szCs w:val="20"/>
                <w:color w:val="auto"/>
              </w:rPr>
            </w:pPr>
            <w:r>
              <w:rPr>
                <w:rFonts w:ascii="Arial" w:cs="Arial" w:eastAsia="Arial" w:hAnsi="Arial"/>
                <w:sz w:val="14"/>
                <w:szCs w:val="14"/>
                <w:color w:val="auto"/>
                <w:w w:val="94"/>
              </w:rPr>
              <w:t>CenterPoint Energy Houston Electric, LLC</w:t>
            </w:r>
          </w:p>
        </w:tc>
        <w:tc>
          <w:tcPr>
            <w:tcW w:w="4220" w:type="dxa"/>
            <w:vAlign w:val="bottom"/>
            <w:gridSpan w:val="3"/>
          </w:tcPr>
          <w:p>
            <w:pPr>
              <w:jc w:val="center"/>
              <w:ind w:right="160"/>
              <w:spacing w:after="0"/>
              <w:rPr>
                <w:sz w:val="20"/>
                <w:szCs w:val="20"/>
                <w:color w:val="auto"/>
              </w:rPr>
            </w:pPr>
            <w:r>
              <w:rPr>
                <w:rFonts w:ascii="Arial" w:cs="Arial" w:eastAsia="Arial" w:hAnsi="Arial"/>
                <w:sz w:val="14"/>
                <w:szCs w:val="14"/>
                <w:color w:val="auto"/>
                <w:w w:val="92"/>
              </w:rPr>
              <w:t>6.95% General Mortgage Bonds due 2033</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n/a</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3"/>
        </w:trPr>
        <w:tc>
          <w:tcPr>
            <w:tcW w:w="2860" w:type="dxa"/>
            <w:vAlign w:val="bottom"/>
            <w:gridSpan w:val="3"/>
          </w:tcPr>
          <w:p>
            <w:pPr>
              <w:jc w:val="center"/>
              <w:ind w:right="380"/>
              <w:spacing w:after="0"/>
              <w:rPr>
                <w:sz w:val="20"/>
                <w:szCs w:val="20"/>
                <w:color w:val="auto"/>
              </w:rPr>
            </w:pPr>
            <w:r>
              <w:rPr>
                <w:rFonts w:ascii="Arial" w:cs="Arial" w:eastAsia="Arial" w:hAnsi="Arial"/>
                <w:sz w:val="14"/>
                <w:szCs w:val="14"/>
                <w:color w:val="auto"/>
                <w:w w:val="91"/>
              </w:rPr>
              <w:t>CenterPoint Energy Resources Corp.</w:t>
            </w:r>
          </w:p>
        </w:tc>
        <w:tc>
          <w:tcPr>
            <w:tcW w:w="422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6.625% Senior Notes due 2037</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n/a</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164"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0" w:lineRule="exact"/>
        <w:rPr>
          <w:sz w:val="20"/>
          <w:szCs w:val="20"/>
          <w:color w:val="auto"/>
        </w:rPr>
      </w:pPr>
    </w:p>
    <w:tbl>
      <w:tblPr>
        <w:tblLayout w:type="fixed"/>
        <w:tblInd w:w="880" w:type="dxa"/>
        <w:tblCellMar>
          <w:top w:w="0" w:type="dxa"/>
          <w:left w:w="0" w:type="dxa"/>
          <w:bottom w:w="0" w:type="dxa"/>
          <w:right w:w="0" w:type="dxa"/>
        </w:tblCellMar>
      </w:tblPr>
      <w:tr>
        <w:trPr>
          <w:trHeight w:val="226"/>
        </w:trPr>
        <w:tc>
          <w:tcPr>
            <w:tcW w:w="46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640" w:type="dxa"/>
            <w:vAlign w:val="bottom"/>
          </w:tcPr>
          <w:p>
            <w:pPr>
              <w:ind w:left="2160"/>
              <w:spacing w:after="0"/>
              <w:rPr>
                <w:sz w:val="20"/>
                <w:szCs w:val="20"/>
                <w:color w:val="auto"/>
              </w:rPr>
            </w:pPr>
            <w:r>
              <w:rPr>
                <w:rFonts w:ascii="Arial" w:cs="Arial" w:eastAsia="Arial" w:hAnsi="Arial"/>
                <w:sz w:val="14"/>
                <w:szCs w:val="14"/>
                <w:color w:val="auto"/>
              </w:rPr>
              <w:t>Yes</w:t>
            </w:r>
          </w:p>
        </w:tc>
        <w:tc>
          <w:tcPr>
            <w:tcW w:w="8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640" w:type="dxa"/>
            <w:vAlign w:val="bottom"/>
          </w:tcPr>
          <w:p>
            <w:pPr>
              <w:ind w:left="2160"/>
              <w:spacing w:after="0"/>
              <w:rPr>
                <w:sz w:val="20"/>
                <w:szCs w:val="20"/>
                <w:color w:val="auto"/>
              </w:rPr>
            </w:pPr>
            <w:r>
              <w:rPr>
                <w:rFonts w:ascii="Arial" w:cs="Arial" w:eastAsia="Arial" w:hAnsi="Arial"/>
                <w:sz w:val="14"/>
                <w:szCs w:val="14"/>
                <w:color w:val="auto"/>
              </w:rPr>
              <w:t>Yes</w:t>
            </w:r>
          </w:p>
        </w:tc>
        <w:tc>
          <w:tcPr>
            <w:tcW w:w="8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640" w:type="dxa"/>
            <w:vAlign w:val="bottom"/>
          </w:tcPr>
          <w:p>
            <w:pPr>
              <w:ind w:left="2160"/>
              <w:spacing w:after="0"/>
              <w:rPr>
                <w:sz w:val="20"/>
                <w:szCs w:val="20"/>
                <w:color w:val="auto"/>
              </w:rPr>
            </w:pPr>
            <w:r>
              <w:rPr>
                <w:rFonts w:ascii="Arial" w:cs="Arial" w:eastAsia="Arial" w:hAnsi="Arial"/>
                <w:sz w:val="14"/>
                <w:szCs w:val="14"/>
                <w:color w:val="auto"/>
              </w:rPr>
              <w:t>Yes</w:t>
            </w:r>
          </w:p>
        </w:tc>
        <w:tc>
          <w:tcPr>
            <w:tcW w:w="8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bl>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6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bl>
    <w:p>
      <w:pPr>
        <w:spacing w:after="0" w:line="189"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540" w:type="dxa"/>
            <w:vAlign w:val="bottom"/>
          </w:tcPr>
          <w:p>
            <w:pPr>
              <w:jc w:val="center"/>
              <w:ind w:left="1208"/>
              <w:spacing w:after="0"/>
              <w:rPr>
                <w:sz w:val="20"/>
                <w:szCs w:val="20"/>
                <w:color w:val="auto"/>
              </w:rPr>
            </w:pPr>
            <w:r>
              <w:rPr>
                <w:rFonts w:ascii="Arial" w:cs="Arial" w:eastAsia="Arial" w:hAnsi="Arial"/>
                <w:sz w:val="14"/>
                <w:szCs w:val="14"/>
                <w:b w:val="1"/>
                <w:bCs w:val="1"/>
                <w:color w:val="auto"/>
                <w:w w:val="92"/>
              </w:rPr>
              <w:t>Large accelerated</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Accelerated filer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Non-accelerated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Smaller reporting</w:t>
            </w:r>
          </w:p>
        </w:tc>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Emerging growth</w:t>
            </w: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2540" w:type="dxa"/>
            <w:vAlign w:val="bottom"/>
          </w:tcPr>
          <w:p>
            <w:pPr>
              <w:jc w:val="center"/>
              <w:ind w:left="1188"/>
              <w:spacing w:after="0"/>
              <w:rPr>
                <w:sz w:val="20"/>
                <w:szCs w:val="20"/>
                <w:color w:val="auto"/>
              </w:rPr>
            </w:pPr>
            <w:r>
              <w:rPr>
                <w:rFonts w:ascii="Arial" w:cs="Arial" w:eastAsia="Arial" w:hAnsi="Arial"/>
                <w:sz w:val="14"/>
                <w:szCs w:val="14"/>
                <w:b w:val="1"/>
                <w:bCs w:val="1"/>
                <w:color w:val="auto"/>
                <w:w w:val="93"/>
              </w:rPr>
              <w:t>filer</w:t>
            </w:r>
          </w:p>
        </w:tc>
        <w:tc>
          <w:tcPr>
            <w:tcW w:w="126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filer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company</w:t>
            </w:r>
          </w:p>
        </w:tc>
        <w:tc>
          <w:tcPr>
            <w:tcW w:w="0" w:type="dxa"/>
            <w:vAlign w:val="bottom"/>
          </w:tcPr>
          <w:p>
            <w:pPr>
              <w:spacing w:after="0"/>
              <w:rPr>
                <w:sz w:val="1"/>
                <w:szCs w:val="1"/>
                <w:color w:val="auto"/>
              </w:rPr>
            </w:pPr>
          </w:p>
        </w:tc>
      </w:tr>
      <w:tr>
        <w:trPr>
          <w:trHeight w:val="340"/>
        </w:trPr>
        <w:tc>
          <w:tcPr>
            <w:tcW w:w="38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40" w:type="dxa"/>
            <w:vAlign w:val="bottom"/>
          </w:tcPr>
          <w:p>
            <w:pPr>
              <w:jc w:val="center"/>
              <w:ind w:left="118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38"/>
        </w:trPr>
        <w:tc>
          <w:tcPr>
            <w:tcW w:w="38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40" w:type="dxa"/>
            <w:vAlign w:val="bottom"/>
          </w:tcPr>
          <w:p>
            <w:pPr>
              <w:jc w:val="center"/>
              <w:ind w:left="1188"/>
              <w:spacing w:after="0"/>
              <w:rPr>
                <w:sz w:val="20"/>
                <w:szCs w:val="20"/>
                <w:color w:val="auto"/>
              </w:rPr>
            </w:pPr>
            <w:r>
              <w:rPr>
                <w:rFonts w:ascii="Arial" w:cs="Arial" w:eastAsia="Arial" w:hAnsi="Arial"/>
                <w:sz w:val="14"/>
                <w:szCs w:val="14"/>
                <w:color w:val="auto"/>
              </w:rPr>
              <w:t>o</w:t>
            </w:r>
          </w:p>
        </w:tc>
        <w:tc>
          <w:tcPr>
            <w:tcW w:w="126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38"/>
        </w:trPr>
        <w:tc>
          <w:tcPr>
            <w:tcW w:w="38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40" w:type="dxa"/>
            <w:vAlign w:val="bottom"/>
          </w:tcPr>
          <w:p>
            <w:pPr>
              <w:jc w:val="center"/>
              <w:ind w:left="1188"/>
              <w:spacing w:after="0"/>
              <w:rPr>
                <w:sz w:val="20"/>
                <w:szCs w:val="20"/>
                <w:color w:val="auto"/>
              </w:rPr>
            </w:pPr>
            <w:r>
              <w:rPr>
                <w:rFonts w:ascii="Arial" w:cs="Arial" w:eastAsia="Arial" w:hAnsi="Arial"/>
                <w:sz w:val="14"/>
                <w:szCs w:val="14"/>
                <w:color w:val="auto"/>
              </w:rPr>
              <w:t>o</w:t>
            </w:r>
          </w:p>
        </w:tc>
        <w:tc>
          <w:tcPr>
            <w:tcW w:w="126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531" w:right="2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49" w:lineRule="exact"/>
        <w:rPr>
          <w:sz w:val="20"/>
          <w:szCs w:val="20"/>
          <w:color w:val="auto"/>
        </w:rPr>
      </w:pPr>
    </w:p>
    <w:p>
      <w:pPr>
        <w:ind w:left="40"/>
        <w:spacing w:after="0"/>
        <w:tabs>
          <w:tab w:leader="none" w:pos="6840" w:val="left"/>
        </w:tabs>
        <w:rPr>
          <w:sz w:val="20"/>
          <w:szCs w:val="20"/>
          <w:color w:val="auto"/>
        </w:rPr>
      </w:pPr>
      <w:r>
        <w:rPr>
          <w:rFonts w:ascii="Arial" w:cs="Arial" w:eastAsia="Arial" w:hAnsi="Arial"/>
          <w:sz w:val="14"/>
          <w:szCs w:val="14"/>
          <w:color w:val="auto"/>
        </w:rPr>
        <w:t>CenterPoint Energy, Inc.</w:t>
      </w:r>
      <w:r>
        <w:rPr>
          <w:sz w:val="20"/>
          <w:szCs w:val="20"/>
          <w:color w:val="auto"/>
        </w:rPr>
        <w:tab/>
      </w:r>
      <w:r>
        <w:rPr>
          <w:rFonts w:ascii="Arial" w:cs="Arial" w:eastAsia="Arial" w:hAnsi="Arial"/>
          <w:sz w:val="12"/>
          <w:szCs w:val="12"/>
          <w:color w:val="auto"/>
        </w:rPr>
        <w:t>Yes</w:t>
      </w:r>
    </w:p>
    <w:p>
      <w:pPr>
        <w:spacing w:after="0" w:line="109" w:lineRule="exact"/>
        <w:rPr>
          <w:sz w:val="20"/>
          <w:szCs w:val="20"/>
          <w:color w:val="auto"/>
        </w:rPr>
      </w:pPr>
    </w:p>
    <w:p>
      <w:pPr>
        <w:ind w:left="40"/>
        <w:spacing w:after="0"/>
        <w:tabs>
          <w:tab w:leader="none" w:pos="6840" w:val="left"/>
        </w:tabs>
        <w:rPr>
          <w:sz w:val="20"/>
          <w:szCs w:val="20"/>
          <w:color w:val="auto"/>
        </w:rPr>
      </w:pPr>
      <w:r>
        <w:rPr>
          <w:rFonts w:ascii="Arial" w:cs="Arial" w:eastAsia="Arial" w:hAnsi="Arial"/>
          <w:sz w:val="14"/>
          <w:szCs w:val="14"/>
          <w:color w:val="auto"/>
        </w:rPr>
        <w:t>CenterPoint Energy Houston Electric, LLC</w:t>
      </w:r>
      <w:r>
        <w:rPr>
          <w:sz w:val="20"/>
          <w:szCs w:val="20"/>
          <w:color w:val="auto"/>
        </w:rPr>
        <w:tab/>
      </w:r>
      <w:r>
        <w:rPr>
          <w:rFonts w:ascii="Arial" w:cs="Arial" w:eastAsia="Arial" w:hAnsi="Arial"/>
          <w:sz w:val="12"/>
          <w:szCs w:val="12"/>
          <w:color w:val="auto"/>
        </w:rPr>
        <w:t>Yes</w:t>
      </w:r>
    </w:p>
    <w:p>
      <w:pPr>
        <w:spacing w:after="0" w:line="109" w:lineRule="exact"/>
        <w:rPr>
          <w:sz w:val="20"/>
          <w:szCs w:val="20"/>
          <w:color w:val="auto"/>
        </w:rPr>
      </w:pPr>
    </w:p>
    <w:p>
      <w:pPr>
        <w:ind w:left="40"/>
        <w:spacing w:after="0"/>
        <w:tabs>
          <w:tab w:leader="none" w:pos="6840" w:val="left"/>
        </w:tabs>
        <w:rPr>
          <w:sz w:val="20"/>
          <w:szCs w:val="20"/>
          <w:color w:val="auto"/>
        </w:rPr>
      </w:pPr>
      <w:r>
        <w:rPr>
          <w:rFonts w:ascii="Arial" w:cs="Arial" w:eastAsia="Arial" w:hAnsi="Arial"/>
          <w:sz w:val="14"/>
          <w:szCs w:val="14"/>
          <w:color w:val="auto"/>
        </w:rPr>
        <w:t>CenterPoint Energy Resources Corp.</w:t>
      </w:r>
      <w:r>
        <w:rPr>
          <w:sz w:val="20"/>
          <w:szCs w:val="20"/>
          <w:color w:val="auto"/>
        </w:rPr>
        <w:tab/>
      </w:r>
      <w:r>
        <w:rPr>
          <w:rFonts w:ascii="Arial" w:cs="Arial" w:eastAsia="Arial" w:hAnsi="Arial"/>
          <w:sz w:val="12"/>
          <w:szCs w:val="12"/>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68" w:lineRule="exact"/>
        <w:tabs>
          <w:tab w:leader="none" w:pos="940" w:val="left"/>
          <w:tab w:leader="none" w:pos="168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03" w:lineRule="exact"/>
        <w:rPr>
          <w:sz w:val="20"/>
          <w:szCs w:val="20"/>
          <w:color w:val="auto"/>
        </w:rPr>
      </w:pPr>
    </w:p>
    <w:p>
      <w:pPr>
        <w:spacing w:after="0" w:line="168" w:lineRule="exact"/>
        <w:tabs>
          <w:tab w:leader="none" w:pos="940" w:val="left"/>
          <w:tab w:leader="none" w:pos="168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03" w:lineRule="exact"/>
        <w:rPr>
          <w:sz w:val="20"/>
          <w:szCs w:val="20"/>
          <w:color w:val="auto"/>
        </w:rPr>
      </w:pPr>
    </w:p>
    <w:p>
      <w:pPr>
        <w:spacing w:after="0" w:line="168" w:lineRule="exact"/>
        <w:tabs>
          <w:tab w:leader="none" w:pos="940" w:val="left"/>
          <w:tab w:leader="none" w:pos="168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68" w:lineRule="exact"/>
        <w:rPr>
          <w:sz w:val="20"/>
          <w:szCs w:val="20"/>
          <w:color w:val="auto"/>
        </w:rPr>
      </w:pPr>
    </w:p>
    <w:p>
      <w:pPr>
        <w:sectPr>
          <w:pgSz w:w="11900" w:h="16838" w:orient="portrait"/>
          <w:cols w:equalWidth="0" w:num="2">
            <w:col w:w="7380" w:space="220"/>
            <w:col w:w="3820"/>
          </w:cols>
          <w:pgMar w:left="240" w:top="531"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July 26, 2019:</w:t>
      </w:r>
    </w:p>
    <w:p>
      <w:pPr>
        <w:spacing w:after="0" w:line="181" w:lineRule="exact"/>
        <w:rPr>
          <w:sz w:val="20"/>
          <w:szCs w:val="20"/>
          <w:color w:val="auto"/>
        </w:rPr>
      </w:pPr>
    </w:p>
    <w:p>
      <w:pPr>
        <w:ind w:left="40"/>
        <w:spacing w:after="0"/>
        <w:tabs>
          <w:tab w:leader="none" w:pos="3880" w:val="left"/>
          <w:tab w:leader="none" w:pos="5040" w:val="left"/>
        </w:tabs>
        <w:rPr>
          <w:sz w:val="20"/>
          <w:szCs w:val="20"/>
          <w:color w:val="auto"/>
        </w:rPr>
      </w:pPr>
      <w:r>
        <w:rPr>
          <w:rFonts w:ascii="Arial" w:cs="Arial" w:eastAsia="Arial" w:hAnsi="Arial"/>
          <w:sz w:val="16"/>
          <w:szCs w:val="16"/>
          <w:color w:val="auto"/>
        </w:rPr>
        <w:t>CenterPoint Energy, Inc.</w:t>
      </w:r>
      <w:r>
        <w:rPr>
          <w:sz w:val="20"/>
          <w:szCs w:val="20"/>
          <w:color w:val="auto"/>
        </w:rPr>
        <w:tab/>
      </w:r>
      <w:r>
        <w:rPr>
          <w:rFonts w:ascii="Arial" w:cs="Arial" w:eastAsia="Arial" w:hAnsi="Arial"/>
          <w:sz w:val="16"/>
          <w:szCs w:val="16"/>
          <w:color w:val="auto"/>
        </w:rPr>
        <w:t>502,218,696</w:t>
      </w:r>
      <w:r>
        <w:rPr>
          <w:sz w:val="20"/>
          <w:szCs w:val="20"/>
          <w:color w:val="auto"/>
        </w:rPr>
        <w:tab/>
      </w:r>
      <w:r>
        <w:rPr>
          <w:rFonts w:ascii="Arial" w:cs="Arial" w:eastAsia="Arial" w:hAnsi="Arial"/>
          <w:sz w:val="14"/>
          <w:szCs w:val="14"/>
          <w:color w:val="auto"/>
        </w:rPr>
        <w:t>shares of common stock outstanding, excluding 166 shares held as treasury stock</w:t>
      </w:r>
    </w:p>
    <w:p>
      <w:pPr>
        <w:spacing w:after="0" w:line="7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common shares outstanding, all held by Utility Holding, LLC, a wholly-owned subsidiary of</w:t>
      </w:r>
    </w:p>
    <w:p>
      <w:pPr>
        <w:spacing w:after="0" w:line="22" w:lineRule="exact"/>
        <w:rPr>
          <w:sz w:val="20"/>
          <w:szCs w:val="20"/>
          <w:color w:val="auto"/>
        </w:rPr>
      </w:pPr>
    </w:p>
    <w:p>
      <w:pPr>
        <w:ind w:left="40"/>
        <w:spacing w:after="0"/>
        <w:tabs>
          <w:tab w:leader="none" w:pos="4100" w:val="left"/>
          <w:tab w:leader="none" w:pos="5040" w:val="left"/>
        </w:tabs>
        <w:rPr>
          <w:sz w:val="20"/>
          <w:szCs w:val="20"/>
          <w:color w:val="auto"/>
        </w:rPr>
      </w:pPr>
      <w:r>
        <w:rPr>
          <w:rFonts w:ascii="Arial" w:cs="Arial" w:eastAsia="Arial" w:hAnsi="Arial"/>
          <w:sz w:val="16"/>
          <w:szCs w:val="16"/>
          <w:color w:val="auto"/>
        </w:rPr>
        <w:t>CenterPoint Energy Houston Electric, LLC</w:t>
      </w:r>
      <w:r>
        <w:rPr>
          <w:sz w:val="20"/>
          <w:szCs w:val="20"/>
          <w:color w:val="auto"/>
        </w:rPr>
        <w:tab/>
      </w:r>
      <w:r>
        <w:rPr>
          <w:rFonts w:ascii="Arial" w:cs="Arial" w:eastAsia="Arial" w:hAnsi="Arial"/>
          <w:sz w:val="16"/>
          <w:szCs w:val="16"/>
          <w:color w:val="auto"/>
        </w:rPr>
        <w:t>1,000</w:t>
      </w:r>
      <w:r>
        <w:rPr>
          <w:sz w:val="20"/>
          <w:szCs w:val="20"/>
          <w:color w:val="auto"/>
        </w:rPr>
        <w:tab/>
      </w:r>
      <w:r>
        <w:rPr>
          <w:rFonts w:ascii="Arial" w:cs="Arial" w:eastAsia="Arial" w:hAnsi="Arial"/>
          <w:sz w:val="14"/>
          <w:szCs w:val="14"/>
          <w:color w:val="auto"/>
        </w:rPr>
        <w:t>CenterPoint Energy, Inc.</w:t>
      </w:r>
    </w:p>
    <w:p>
      <w:pPr>
        <w:spacing w:after="0" w:line="6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shares of common stock outstanding, all held by Utility Holding, LLC, a wholly-owned</w:t>
      </w:r>
    </w:p>
    <w:p>
      <w:pPr>
        <w:spacing w:after="0" w:line="22" w:lineRule="exact"/>
        <w:rPr>
          <w:sz w:val="20"/>
          <w:szCs w:val="20"/>
          <w:color w:val="auto"/>
        </w:rPr>
      </w:pPr>
    </w:p>
    <w:p>
      <w:pPr>
        <w:ind w:left="40"/>
        <w:spacing w:after="0"/>
        <w:tabs>
          <w:tab w:leader="none" w:pos="4100" w:val="left"/>
          <w:tab w:leader="none" w:pos="5040" w:val="left"/>
        </w:tabs>
        <w:rPr>
          <w:sz w:val="20"/>
          <w:szCs w:val="20"/>
          <w:color w:val="auto"/>
        </w:rPr>
      </w:pPr>
      <w:r>
        <w:rPr>
          <w:rFonts w:ascii="Arial" w:cs="Arial" w:eastAsia="Arial" w:hAnsi="Arial"/>
          <w:sz w:val="16"/>
          <w:szCs w:val="16"/>
          <w:color w:val="auto"/>
        </w:rPr>
        <w:t>CenterPoint Energy Resources Corp.</w:t>
      </w:r>
      <w:r>
        <w:rPr>
          <w:sz w:val="20"/>
          <w:szCs w:val="20"/>
          <w:color w:val="auto"/>
        </w:rPr>
        <w:tab/>
      </w:r>
      <w:r>
        <w:rPr>
          <w:rFonts w:ascii="Arial" w:cs="Arial" w:eastAsia="Arial" w:hAnsi="Arial"/>
          <w:sz w:val="16"/>
          <w:szCs w:val="16"/>
          <w:color w:val="auto"/>
        </w:rPr>
        <w:t>1,000</w:t>
      </w:r>
      <w:r>
        <w:rPr>
          <w:sz w:val="20"/>
          <w:szCs w:val="20"/>
          <w:color w:val="auto"/>
        </w:rPr>
        <w:tab/>
      </w:r>
      <w:r>
        <w:rPr>
          <w:rFonts w:ascii="Arial" w:cs="Arial" w:eastAsia="Arial" w:hAnsi="Arial"/>
          <w:sz w:val="14"/>
          <w:szCs w:val="14"/>
          <w:color w:val="auto"/>
        </w:rPr>
        <w:t>subsidiary of CenterPoint Energy, Inc.</w:t>
      </w:r>
    </w:p>
    <w:p>
      <w:pPr>
        <w:spacing w:after="0" w:line="200" w:lineRule="exact"/>
        <w:rPr>
          <w:sz w:val="20"/>
          <w:szCs w:val="20"/>
          <w:color w:val="auto"/>
        </w:rPr>
      </w:pPr>
    </w:p>
    <w:p>
      <w:pPr>
        <w:spacing w:after="0" w:line="22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8"/>
          </w:tcPr>
          <w:p>
            <w:pPr>
              <w:ind w:left="140"/>
              <w:spacing w:after="0"/>
              <w:rPr>
                <w:sz w:val="20"/>
                <w:szCs w:val="20"/>
                <w:color w:val="auto"/>
              </w:rPr>
            </w:pPr>
            <w:r>
              <w:rPr>
                <w:rFonts w:ascii="Arial" w:cs="Arial" w:eastAsia="Arial" w:hAnsi="Arial"/>
                <w:sz w:val="18"/>
                <w:szCs w:val="18"/>
                <w:b w:val="1"/>
                <w:bCs w:val="1"/>
                <w:color w:val="auto"/>
              </w:rPr>
              <w:t>TABLE OF CONTENTS</w:t>
            </w:r>
          </w:p>
        </w:tc>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94"/>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PART I.</w:t>
            </w:r>
          </w:p>
        </w:tc>
        <w:tc>
          <w:tcPr>
            <w:tcW w:w="6460" w:type="dxa"/>
            <w:vAlign w:val="bottom"/>
            <w:gridSpan w:val="38"/>
          </w:tcPr>
          <w:p>
            <w:pPr>
              <w:spacing w:after="0"/>
              <w:rPr>
                <w:sz w:val="20"/>
                <w:szCs w:val="20"/>
                <w:color w:val="auto"/>
              </w:rPr>
            </w:pPr>
            <w:r>
              <w:rPr>
                <w:rFonts w:ascii="Arial" w:cs="Arial" w:eastAsia="Arial" w:hAnsi="Arial"/>
                <w:sz w:val="18"/>
                <w:szCs w:val="18"/>
                <w:b w:val="1"/>
                <w:bCs w:val="1"/>
                <w:color w:val="auto"/>
              </w:rPr>
              <w:t>FINANCIAL INFORMATION</w:t>
            </w: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13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Item 1.</w:t>
            </w:r>
          </w:p>
        </w:tc>
        <w:tc>
          <w:tcPr>
            <w:tcW w:w="6460" w:type="dxa"/>
            <w:vAlign w:val="bottom"/>
            <w:gridSpan w:val="38"/>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Financial Statements</w:t>
              </w:r>
            </w:hyperlink>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1</w:t>
              </w:r>
            </w:hyperlink>
          </w:p>
        </w:tc>
        <w:tc>
          <w:tcPr>
            <w:tcW w:w="140" w:type="dxa"/>
            <w:vAlign w:val="bottom"/>
            <w:shd w:val="clear" w:color="auto" w:fill="CCEEFF"/>
          </w:tcPr>
          <w:p>
            <w:pPr>
              <w:spacing w:after="0"/>
              <w:rPr>
                <w:sz w:val="17"/>
                <w:szCs w:val="17"/>
                <w:color w:val="auto"/>
              </w:rPr>
            </w:pPr>
          </w:p>
        </w:tc>
      </w:tr>
      <w:tr>
        <w:trPr>
          <w:trHeight w:val="48"/>
        </w:trPr>
        <w:tc>
          <w:tcPr>
            <w:tcW w:w="1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tcPr>
          <w:p>
            <w:pPr>
              <w:spacing w:after="0"/>
              <w:rPr>
                <w:sz w:val="17"/>
                <w:szCs w:val="17"/>
                <w:color w:val="auto"/>
              </w:rPr>
            </w:pPr>
          </w:p>
        </w:tc>
        <w:tc>
          <w:tcPr>
            <w:tcW w:w="6460" w:type="dxa"/>
            <w:vAlign w:val="bottom"/>
            <w:gridSpan w:val="38"/>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 xml:space="preserve">CenterPoint Energy, Inc. Financial Statements </w:t>
              </w:r>
            </w:hyperlink>
            <w:r>
              <w:rPr>
                <w:rFonts w:ascii="Arial" w:cs="Arial" w:eastAsia="Arial" w:hAnsi="Arial"/>
                <w:sz w:val="18"/>
                <w:szCs w:val="18"/>
                <w:color w:val="000000"/>
              </w:rPr>
              <w:t>(unaudited)</w:t>
            </w:r>
          </w:p>
        </w:tc>
        <w:tc>
          <w:tcPr>
            <w:tcW w:w="3500" w:type="dxa"/>
            <w:vAlign w:val="bottom"/>
            <w:gridSpan w:val="2"/>
          </w:tcPr>
          <w:p>
            <w:pPr>
              <w:jc w:val="center"/>
              <w:ind w:left="3230"/>
              <w:spacing w:after="0" w:line="20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1</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300" w:type="dxa"/>
            <w:vAlign w:val="bottom"/>
            <w:shd w:val="clear" w:color="auto" w:fill="CCEEFF"/>
          </w:tcPr>
          <w:p>
            <w:pPr>
              <w:spacing w:after="0"/>
              <w:rPr>
                <w:sz w:val="17"/>
                <w:szCs w:val="17"/>
                <w:color w:val="auto"/>
              </w:rPr>
            </w:pPr>
          </w:p>
        </w:tc>
        <w:tc>
          <w:tcPr>
            <w:tcW w:w="6460" w:type="dxa"/>
            <w:vAlign w:val="bottom"/>
            <w:gridSpan w:val="38"/>
            <w:shd w:val="clear" w:color="auto" w:fill="CCEEFF"/>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 xml:space="preserve">CenterPoint Energy Houston Electric, LLC Financial Statements </w:t>
              </w:r>
            </w:hyperlink>
            <w:r>
              <w:rPr>
                <w:rFonts w:ascii="Arial" w:cs="Arial" w:eastAsia="Arial" w:hAnsi="Arial"/>
                <w:sz w:val="18"/>
                <w:szCs w:val="18"/>
                <w:color w:val="000000"/>
              </w:rPr>
              <w:t>(unaudited)</w:t>
            </w:r>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7</w:t>
              </w:r>
            </w:hyperlink>
          </w:p>
        </w:tc>
        <w:tc>
          <w:tcPr>
            <w:tcW w:w="140" w:type="dxa"/>
            <w:vAlign w:val="bottom"/>
            <w:shd w:val="clear" w:color="auto" w:fill="CCEEFF"/>
          </w:tcPr>
          <w:p>
            <w:pPr>
              <w:spacing w:after="0"/>
              <w:rPr>
                <w:sz w:val="17"/>
                <w:szCs w:val="17"/>
                <w:color w:val="auto"/>
              </w:rPr>
            </w:pPr>
          </w:p>
        </w:tc>
      </w:tr>
      <w:tr>
        <w:trPr>
          <w:trHeight w:val="48"/>
        </w:trPr>
        <w:tc>
          <w:tcPr>
            <w:tcW w:w="1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tcPr>
          <w:p>
            <w:pPr>
              <w:spacing w:after="0"/>
              <w:rPr>
                <w:sz w:val="17"/>
                <w:szCs w:val="17"/>
                <w:color w:val="auto"/>
              </w:rPr>
            </w:pPr>
          </w:p>
        </w:tc>
        <w:tc>
          <w:tcPr>
            <w:tcW w:w="6460" w:type="dxa"/>
            <w:vAlign w:val="bottom"/>
            <w:gridSpan w:val="38"/>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 xml:space="preserve">CenterPoint Energy Resources Corp. Financial Statements </w:t>
              </w:r>
            </w:hyperlink>
            <w:r>
              <w:rPr>
                <w:rFonts w:ascii="Arial" w:cs="Arial" w:eastAsia="Arial" w:hAnsi="Arial"/>
                <w:sz w:val="18"/>
                <w:szCs w:val="18"/>
                <w:color w:val="000000"/>
              </w:rPr>
              <w:t>(unaudited)</w:t>
            </w:r>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13</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shd w:val="clear" w:color="auto" w:fill="CCEEFF"/>
          </w:tcPr>
          <w:p>
            <w:pPr>
              <w:spacing w:after="0"/>
              <w:rPr>
                <w:sz w:val="21"/>
                <w:szCs w:val="21"/>
                <w:color w:val="auto"/>
              </w:rPr>
            </w:pPr>
          </w:p>
        </w:tc>
        <w:tc>
          <w:tcPr>
            <w:tcW w:w="6460" w:type="dxa"/>
            <w:vAlign w:val="bottom"/>
            <w:gridSpan w:val="38"/>
            <w:shd w:val="clear" w:color="auto" w:fill="CCEEFF"/>
          </w:tcPr>
          <w:p>
            <w:pPr>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 xml:space="preserve">Combined Notes to Unaudited Condensed Consolidated Financial Statements </w:t>
              </w:r>
            </w:hyperlink>
            <w:r>
              <w:rPr>
                <w:rFonts w:ascii="Arial" w:cs="Arial" w:eastAsia="Arial" w:hAnsi="Arial"/>
                <w:sz w:val="18"/>
                <w:szCs w:val="18"/>
                <w:color w:val="000000"/>
                <w:w w:val="89"/>
              </w:rPr>
              <w:t>(unaudited)</w:t>
            </w:r>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19</w:t>
              </w:r>
            </w:hyperlink>
          </w:p>
        </w:tc>
        <w:tc>
          <w:tcPr>
            <w:tcW w:w="140" w:type="dxa"/>
            <w:vAlign w:val="bottom"/>
            <w:shd w:val="clear" w:color="auto" w:fill="CCEEFF"/>
          </w:tcPr>
          <w:p>
            <w:pPr>
              <w:spacing w:after="0"/>
              <w:rPr>
                <w:sz w:val="21"/>
                <w:szCs w:val="21"/>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gridSpan w:val="2"/>
          </w:tcPr>
          <w:p>
            <w:pPr>
              <w:ind w:left="240"/>
              <w:spacing w:after="0" w:line="20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(1)</w:t>
              </w:r>
            </w:hyperlink>
          </w:p>
        </w:tc>
        <w:tc>
          <w:tcPr>
            <w:tcW w:w="5100" w:type="dxa"/>
            <w:vAlign w:val="bottom"/>
            <w:tcBorders>
              <w:top w:val="single" w:sz="8" w:color="0000EE"/>
            </w:tcBorders>
            <w:gridSpan w:val="35"/>
          </w:tcPr>
          <w:p>
            <w:pPr>
              <w:ind w:left="2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Background and Basis of Presentation</w:t>
              </w:r>
            </w:hyperlink>
          </w:p>
        </w:tc>
        <w:tc>
          <w:tcPr>
            <w:tcW w:w="88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jc w:val="center"/>
              <w:spacing w:after="0"/>
              <w:rPr>
                <w:rFonts w:ascii="Arial" w:cs="Arial" w:eastAsia="Arial" w:hAnsi="Arial"/>
                <w:sz w:val="17"/>
                <w:szCs w:val="17"/>
                <w:color w:val="0000EE"/>
                <w:w w:val="73"/>
              </w:rPr>
            </w:pPr>
            <w:hyperlink w:anchor="page30">
              <w:r>
                <w:rPr>
                  <w:rFonts w:ascii="Arial" w:cs="Arial" w:eastAsia="Arial" w:hAnsi="Arial"/>
                  <w:sz w:val="17"/>
                  <w:szCs w:val="17"/>
                  <w:color w:val="0000EE"/>
                  <w:w w:val="73"/>
                </w:rPr>
                <w:t>19</w:t>
              </w:r>
            </w:hyperlink>
          </w:p>
        </w:tc>
        <w:tc>
          <w:tcPr>
            <w:tcW w:w="140" w:type="dxa"/>
            <w:vAlign w:val="bottom"/>
            <w:tcBorders>
              <w:top w:val="single" w:sz="8" w:color="CCEEFF"/>
            </w:tcBorders>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(2)</w:t>
              </w:r>
            </w:hyperlink>
          </w:p>
        </w:tc>
        <w:tc>
          <w:tcPr>
            <w:tcW w:w="2500" w:type="dxa"/>
            <w:vAlign w:val="bottom"/>
            <w:tcBorders>
              <w:bottom w:val="single" w:sz="8" w:color="0000EE"/>
            </w:tcBorders>
            <w:gridSpan w:val="24"/>
            <w:shd w:val="clear" w:color="auto" w:fill="CCEEFF"/>
          </w:tcPr>
          <w:p>
            <w:pPr>
              <w:ind w:left="20"/>
              <w:spacing w:after="0" w:line="202"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New Accounting Pronouncements</w:t>
              </w:r>
            </w:hyperlink>
          </w:p>
        </w:tc>
        <w:tc>
          <w:tcPr>
            <w:tcW w:w="3480" w:type="dxa"/>
            <w:vAlign w:val="bottom"/>
            <w:tcBorders>
              <w:bottom w:val="single" w:sz="8" w:color="CCEEFF"/>
            </w:tcBorders>
            <w:gridSpan w:val="12"/>
            <w:shd w:val="clear" w:color="auto" w:fill="CCEEFF"/>
          </w:tcPr>
          <w:p>
            <w:pPr>
              <w:spacing w:after="0"/>
              <w:rPr>
                <w:sz w:val="21"/>
                <w:szCs w:val="21"/>
                <w:color w:val="auto"/>
              </w:rPr>
            </w:pPr>
          </w:p>
        </w:tc>
        <w:tc>
          <w:tcPr>
            <w:tcW w:w="33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7"/>
                <w:szCs w:val="17"/>
                <w:color w:val="0000EE"/>
                <w:w w:val="73"/>
              </w:rPr>
            </w:pPr>
            <w:hyperlink w:anchor="page32">
              <w:r>
                <w:rPr>
                  <w:rFonts w:ascii="Arial" w:cs="Arial" w:eastAsia="Arial" w:hAnsi="Arial"/>
                  <w:sz w:val="17"/>
                  <w:szCs w:val="17"/>
                  <w:color w:val="0000EE"/>
                  <w:w w:val="73"/>
                </w:rPr>
                <w:t>21</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03"/>
        </w:trPr>
        <w:tc>
          <w:tcPr>
            <w:tcW w:w="1300" w:type="dxa"/>
            <w:vAlign w:val="bottom"/>
          </w:tcPr>
          <w:p>
            <w:pPr>
              <w:spacing w:after="0"/>
              <w:rPr>
                <w:sz w:val="17"/>
                <w:szCs w:val="17"/>
                <w:color w:val="auto"/>
              </w:rPr>
            </w:pPr>
          </w:p>
        </w:tc>
        <w:tc>
          <w:tcPr>
            <w:tcW w:w="480" w:type="dxa"/>
            <w:vAlign w:val="bottom"/>
            <w:gridSpan w:val="2"/>
          </w:tcPr>
          <w:p>
            <w:pPr>
              <w:ind w:left="240"/>
              <w:spacing w:after="0" w:line="20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(3)</w:t>
              </w:r>
            </w:hyperlink>
          </w:p>
        </w:tc>
        <w:tc>
          <w:tcPr>
            <w:tcW w:w="5980" w:type="dxa"/>
            <w:vAlign w:val="bottom"/>
            <w:gridSpan w:val="36"/>
          </w:tcPr>
          <w:p>
            <w:pPr>
              <w:ind w:lef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Mergers and Acquisitions</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21</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(4)</w:t>
              </w:r>
            </w:hyperlink>
          </w:p>
        </w:tc>
        <w:tc>
          <w:tcPr>
            <w:tcW w:w="1580" w:type="dxa"/>
            <w:vAlign w:val="bottom"/>
            <w:tcBorders>
              <w:bottom w:val="single" w:sz="8" w:color="0000EE"/>
            </w:tcBorders>
            <w:gridSpan w:val="13"/>
            <w:shd w:val="clear" w:color="auto" w:fill="CCEEFF"/>
          </w:tcPr>
          <w:p>
            <w:pPr>
              <w:ind w:left="20"/>
              <w:spacing w:after="0" w:line="20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Revenue Recognition</w:t>
              </w:r>
            </w:hyperlink>
          </w:p>
        </w:tc>
        <w:tc>
          <w:tcPr>
            <w:tcW w:w="4400" w:type="dxa"/>
            <w:vAlign w:val="bottom"/>
            <w:tcBorders>
              <w:bottom w:val="single" w:sz="8" w:color="CCEEFF"/>
            </w:tcBorders>
            <w:gridSpan w:val="23"/>
            <w:shd w:val="clear" w:color="auto" w:fill="CCEEFF"/>
          </w:tcPr>
          <w:p>
            <w:pPr>
              <w:spacing w:after="0"/>
              <w:rPr>
                <w:sz w:val="21"/>
                <w:szCs w:val="21"/>
                <w:color w:val="auto"/>
              </w:rPr>
            </w:pPr>
          </w:p>
        </w:tc>
        <w:tc>
          <w:tcPr>
            <w:tcW w:w="33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7"/>
                <w:szCs w:val="17"/>
                <w:color w:val="0000EE"/>
                <w:w w:val="73"/>
              </w:rPr>
            </w:pPr>
            <w:hyperlink w:anchor="page35">
              <w:r>
                <w:rPr>
                  <w:rFonts w:ascii="Arial" w:cs="Arial" w:eastAsia="Arial" w:hAnsi="Arial"/>
                  <w:sz w:val="17"/>
                  <w:szCs w:val="17"/>
                  <w:color w:val="0000EE"/>
                  <w:w w:val="73"/>
                </w:rPr>
                <w:t>24</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03"/>
        </w:trPr>
        <w:tc>
          <w:tcPr>
            <w:tcW w:w="1300" w:type="dxa"/>
            <w:vAlign w:val="bottom"/>
          </w:tcPr>
          <w:p>
            <w:pPr>
              <w:spacing w:after="0"/>
              <w:rPr>
                <w:sz w:val="17"/>
                <w:szCs w:val="17"/>
                <w:color w:val="auto"/>
              </w:rPr>
            </w:pPr>
          </w:p>
        </w:tc>
        <w:tc>
          <w:tcPr>
            <w:tcW w:w="480" w:type="dxa"/>
            <w:vAlign w:val="bottom"/>
            <w:gridSpan w:val="2"/>
          </w:tcPr>
          <w:p>
            <w:pPr>
              <w:ind w:left="240"/>
              <w:spacing w:after="0" w:line="20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(5)</w:t>
              </w:r>
            </w:hyperlink>
          </w:p>
        </w:tc>
        <w:tc>
          <w:tcPr>
            <w:tcW w:w="5980" w:type="dxa"/>
            <w:vAlign w:val="bottom"/>
            <w:gridSpan w:val="36"/>
          </w:tcPr>
          <w:p>
            <w:pPr>
              <w:ind w:left="2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Employee Benefit Plans</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28</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line="20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(6)</w:t>
              </w:r>
            </w:hyperlink>
          </w:p>
        </w:tc>
        <w:tc>
          <w:tcPr>
            <w:tcW w:w="5980" w:type="dxa"/>
            <w:vAlign w:val="bottom"/>
            <w:gridSpan w:val="36"/>
            <w:shd w:val="clear" w:color="auto" w:fill="CCEEFF"/>
          </w:tcPr>
          <w:p>
            <w:pPr>
              <w:ind w:lef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Regulatory Accounting</w:t>
              </w:r>
            </w:hyperlink>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31</w:t>
              </w:r>
            </w:hyperlink>
          </w:p>
        </w:tc>
        <w:tc>
          <w:tcPr>
            <w:tcW w:w="140" w:type="dxa"/>
            <w:vAlign w:val="bottom"/>
            <w:shd w:val="clear" w:color="auto" w:fill="CCEEFF"/>
          </w:tcPr>
          <w:p>
            <w:pPr>
              <w:spacing w:after="0"/>
              <w:rPr>
                <w:sz w:val="21"/>
                <w:szCs w:val="21"/>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line="20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(7)</w:t>
              </w:r>
            </w:hyperlink>
          </w:p>
        </w:tc>
        <w:tc>
          <w:tcPr>
            <w:tcW w:w="1700" w:type="dxa"/>
            <w:vAlign w:val="bottom"/>
            <w:tcBorders>
              <w:top w:val="single" w:sz="8" w:color="0000EE"/>
            </w:tcBorders>
            <w:gridSpan w:val="16"/>
          </w:tcPr>
          <w:p>
            <w:pPr>
              <w:ind w:left="20"/>
              <w:spacing w:after="0" w:line="202"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Derivative Instruments</w:t>
              </w:r>
            </w:hyperlink>
          </w:p>
        </w:tc>
        <w:tc>
          <w:tcPr>
            <w:tcW w:w="4280" w:type="dxa"/>
            <w:vAlign w:val="bottom"/>
            <w:tcBorders>
              <w:top w:val="single" w:sz="8" w:color="CCEEFF"/>
            </w:tcBorders>
            <w:gridSpan w:val="20"/>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jc w:val="center"/>
              <w:spacing w:after="0"/>
              <w:rPr>
                <w:rFonts w:ascii="Arial" w:cs="Arial" w:eastAsia="Arial" w:hAnsi="Arial"/>
                <w:sz w:val="17"/>
                <w:szCs w:val="17"/>
                <w:color w:val="0000EE"/>
                <w:w w:val="73"/>
              </w:rPr>
            </w:pPr>
            <w:hyperlink w:anchor="page43">
              <w:r>
                <w:rPr>
                  <w:rFonts w:ascii="Arial" w:cs="Arial" w:eastAsia="Arial" w:hAnsi="Arial"/>
                  <w:sz w:val="17"/>
                  <w:szCs w:val="17"/>
                  <w:color w:val="0000EE"/>
                  <w:w w:val="73"/>
                </w:rPr>
                <w:t>32</w:t>
              </w:r>
            </w:hyperlink>
          </w:p>
        </w:tc>
        <w:tc>
          <w:tcPr>
            <w:tcW w:w="140" w:type="dxa"/>
            <w:vAlign w:val="bottom"/>
            <w:tcBorders>
              <w:top w:val="single" w:sz="8" w:color="CCEEFF"/>
            </w:tcBorders>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(8)</w:t>
              </w:r>
            </w:hyperlink>
          </w:p>
        </w:tc>
        <w:tc>
          <w:tcPr>
            <w:tcW w:w="5980" w:type="dxa"/>
            <w:vAlign w:val="bottom"/>
            <w:gridSpan w:val="36"/>
            <w:shd w:val="clear" w:color="auto" w:fill="CCEEFF"/>
          </w:tcPr>
          <w:p>
            <w:pPr>
              <w:ind w:lef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Fair Value Measurements</w:t>
              </w:r>
            </w:hyperlink>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37</w:t>
              </w:r>
            </w:hyperlink>
          </w:p>
        </w:tc>
        <w:tc>
          <w:tcPr>
            <w:tcW w:w="140" w:type="dxa"/>
            <w:vAlign w:val="bottom"/>
            <w:shd w:val="clear" w:color="auto" w:fill="CCEEFF"/>
          </w:tcPr>
          <w:p>
            <w:pPr>
              <w:spacing w:after="0"/>
              <w:rPr>
                <w:sz w:val="17"/>
                <w:szCs w:val="17"/>
                <w:color w:val="auto"/>
              </w:rPr>
            </w:pPr>
          </w:p>
        </w:tc>
      </w:tr>
      <w:tr>
        <w:trPr>
          <w:trHeight w:val="48"/>
        </w:trPr>
        <w:tc>
          <w:tcPr>
            <w:tcW w:w="1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line="20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(9)</w:t>
              </w:r>
            </w:hyperlink>
          </w:p>
        </w:tc>
        <w:tc>
          <w:tcPr>
            <w:tcW w:w="5980" w:type="dxa"/>
            <w:vAlign w:val="bottom"/>
            <w:gridSpan w:val="36"/>
          </w:tcPr>
          <w:p>
            <w:pPr>
              <w:ind w:lef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Unconsolidated Affiliates</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40</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(10)</w:t>
              </w:r>
            </w:hyperlink>
          </w:p>
        </w:tc>
        <w:tc>
          <w:tcPr>
            <w:tcW w:w="2300" w:type="dxa"/>
            <w:vAlign w:val="bottom"/>
            <w:tcBorders>
              <w:bottom w:val="single" w:sz="8" w:color="0000EE"/>
            </w:tcBorders>
            <w:gridSpan w:val="22"/>
            <w:shd w:val="clear" w:color="auto" w:fill="CCEEFF"/>
          </w:tcPr>
          <w:p>
            <w:pPr>
              <w:ind w:left="20"/>
              <w:spacing w:after="0" w:line="202"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Goodwill and Other Intangibles</w:t>
              </w:r>
            </w:hyperlink>
          </w:p>
        </w:tc>
        <w:tc>
          <w:tcPr>
            <w:tcW w:w="3580" w:type="dxa"/>
            <w:vAlign w:val="bottom"/>
            <w:tcBorders>
              <w:bottom w:val="single" w:sz="8" w:color="CCEEFF"/>
            </w:tcBorders>
            <w:gridSpan w:val="13"/>
            <w:shd w:val="clear" w:color="auto" w:fill="CCEEFF"/>
          </w:tcPr>
          <w:p>
            <w:pPr>
              <w:spacing w:after="0"/>
              <w:rPr>
                <w:sz w:val="21"/>
                <w:szCs w:val="21"/>
                <w:color w:val="auto"/>
              </w:rPr>
            </w:pPr>
          </w:p>
        </w:tc>
        <w:tc>
          <w:tcPr>
            <w:tcW w:w="33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7"/>
                <w:szCs w:val="17"/>
                <w:color w:val="0000EE"/>
                <w:w w:val="73"/>
              </w:rPr>
            </w:pPr>
            <w:hyperlink w:anchor="page55">
              <w:r>
                <w:rPr>
                  <w:rFonts w:ascii="Arial" w:cs="Arial" w:eastAsia="Arial" w:hAnsi="Arial"/>
                  <w:sz w:val="17"/>
                  <w:szCs w:val="17"/>
                  <w:color w:val="0000EE"/>
                  <w:w w:val="73"/>
                </w:rPr>
                <w:t>44</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03"/>
        </w:trPr>
        <w:tc>
          <w:tcPr>
            <w:tcW w:w="1300" w:type="dxa"/>
            <w:vAlign w:val="bottom"/>
          </w:tcPr>
          <w:p>
            <w:pPr>
              <w:spacing w:after="0"/>
              <w:rPr>
                <w:sz w:val="17"/>
                <w:szCs w:val="17"/>
                <w:color w:val="auto"/>
              </w:rPr>
            </w:pPr>
          </w:p>
        </w:tc>
        <w:tc>
          <w:tcPr>
            <w:tcW w:w="6460" w:type="dxa"/>
            <w:vAlign w:val="bottom"/>
            <w:gridSpan w:val="38"/>
          </w:tcPr>
          <w:p>
            <w:pPr>
              <w:ind w:left="2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(11) Indexed Debt Securities (ZENS) and Securities Related to ZENS</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46</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line="202"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(12)</w:t>
              </w:r>
            </w:hyperlink>
          </w:p>
        </w:tc>
        <w:tc>
          <w:tcPr>
            <w:tcW w:w="5880" w:type="dxa"/>
            <w:vAlign w:val="bottom"/>
            <w:gridSpan w:val="35"/>
            <w:shd w:val="clear" w:color="auto" w:fill="CCEEFF"/>
          </w:tcPr>
          <w:p>
            <w:pPr>
              <w:ind w:lef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Short-term Borrowings and Long-term Debt</w:t>
              </w:r>
            </w:hyperlink>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46</w:t>
              </w:r>
            </w:hyperlink>
          </w:p>
        </w:tc>
        <w:tc>
          <w:tcPr>
            <w:tcW w:w="140" w:type="dxa"/>
            <w:vAlign w:val="bottom"/>
            <w:shd w:val="clear" w:color="auto" w:fill="CCEEFF"/>
          </w:tcPr>
          <w:p>
            <w:pPr>
              <w:spacing w:after="0"/>
              <w:rPr>
                <w:sz w:val="21"/>
                <w:szCs w:val="21"/>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gridSpan w:val="2"/>
          </w:tcPr>
          <w:p>
            <w:pPr>
              <w:spacing w:after="0" w:line="202"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(13)</w:t>
              </w:r>
            </w:hyperlink>
          </w:p>
        </w:tc>
        <w:tc>
          <w:tcPr>
            <w:tcW w:w="3200" w:type="dxa"/>
            <w:vAlign w:val="bottom"/>
            <w:tcBorders>
              <w:top w:val="single" w:sz="8" w:color="0000EE"/>
            </w:tcBorders>
            <w:gridSpan w:val="29"/>
          </w:tcPr>
          <w:p>
            <w:pPr>
              <w:ind w:left="2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Income Taxes</w:t>
              </w:r>
            </w:hyperlink>
          </w:p>
        </w:tc>
        <w:tc>
          <w:tcPr>
            <w:tcW w:w="2680" w:type="dxa"/>
            <w:vAlign w:val="bottom"/>
            <w:tcBorders>
              <w:top w:val="single" w:sz="8" w:color="CCEEFF"/>
            </w:tcBorders>
            <w:gridSpan w:val="6"/>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jc w:val="center"/>
              <w:spacing w:after="0"/>
              <w:rPr>
                <w:rFonts w:ascii="Arial" w:cs="Arial" w:eastAsia="Arial" w:hAnsi="Arial"/>
                <w:sz w:val="17"/>
                <w:szCs w:val="17"/>
                <w:color w:val="0000EE"/>
                <w:w w:val="73"/>
              </w:rPr>
            </w:pPr>
            <w:hyperlink w:anchor="page60">
              <w:r>
                <w:rPr>
                  <w:rFonts w:ascii="Arial" w:cs="Arial" w:eastAsia="Arial" w:hAnsi="Arial"/>
                  <w:sz w:val="17"/>
                  <w:szCs w:val="17"/>
                  <w:color w:val="0000EE"/>
                  <w:w w:val="73"/>
                </w:rPr>
                <w:t>49</w:t>
              </w:r>
            </w:hyperlink>
          </w:p>
        </w:tc>
        <w:tc>
          <w:tcPr>
            <w:tcW w:w="140" w:type="dxa"/>
            <w:vAlign w:val="bottom"/>
            <w:tcBorders>
              <w:top w:val="single" w:sz="8" w:color="CCEEFF"/>
            </w:tcBorders>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(14)</w:t>
              </w:r>
            </w:hyperlink>
          </w:p>
        </w:tc>
        <w:tc>
          <w:tcPr>
            <w:tcW w:w="2420" w:type="dxa"/>
            <w:vAlign w:val="bottom"/>
            <w:tcBorders>
              <w:bottom w:val="single" w:sz="8" w:color="0000EE"/>
            </w:tcBorders>
            <w:gridSpan w:val="24"/>
            <w:shd w:val="clear" w:color="auto" w:fill="CCEEFF"/>
          </w:tcPr>
          <w:p>
            <w:pPr>
              <w:ind w:left="20"/>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Commitments and Contingencies</w:t>
              </w:r>
            </w:hyperlink>
          </w:p>
        </w:tc>
        <w:tc>
          <w:tcPr>
            <w:tcW w:w="3460" w:type="dxa"/>
            <w:vAlign w:val="bottom"/>
            <w:tcBorders>
              <w:bottom w:val="single" w:sz="8" w:color="CCEEFF"/>
            </w:tcBorders>
            <w:gridSpan w:val="11"/>
            <w:shd w:val="clear" w:color="auto" w:fill="CCEEFF"/>
          </w:tcPr>
          <w:p>
            <w:pPr>
              <w:spacing w:after="0"/>
              <w:rPr>
                <w:sz w:val="21"/>
                <w:szCs w:val="21"/>
                <w:color w:val="auto"/>
              </w:rPr>
            </w:pPr>
          </w:p>
        </w:tc>
        <w:tc>
          <w:tcPr>
            <w:tcW w:w="33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7"/>
                <w:szCs w:val="17"/>
                <w:color w:val="0000EE"/>
                <w:w w:val="73"/>
              </w:rPr>
            </w:pPr>
            <w:hyperlink w:anchor="page61">
              <w:r>
                <w:rPr>
                  <w:rFonts w:ascii="Arial" w:cs="Arial" w:eastAsia="Arial" w:hAnsi="Arial"/>
                  <w:sz w:val="17"/>
                  <w:szCs w:val="17"/>
                  <w:color w:val="0000EE"/>
                  <w:w w:val="73"/>
                </w:rPr>
                <w:t>50</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03"/>
        </w:trPr>
        <w:tc>
          <w:tcPr>
            <w:tcW w:w="1300" w:type="dxa"/>
            <w:vAlign w:val="bottom"/>
          </w:tcPr>
          <w:p>
            <w:pPr>
              <w:spacing w:after="0"/>
              <w:rPr>
                <w:sz w:val="17"/>
                <w:szCs w:val="17"/>
                <w:color w:val="auto"/>
              </w:rPr>
            </w:pPr>
          </w:p>
        </w:tc>
        <w:tc>
          <w:tcPr>
            <w:tcW w:w="580" w:type="dxa"/>
            <w:vAlign w:val="bottom"/>
            <w:gridSpan w:val="3"/>
          </w:tcPr>
          <w:p>
            <w:pPr>
              <w:ind w:left="240"/>
              <w:spacing w:after="0" w:line="202"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(15)</w:t>
              </w:r>
            </w:hyperlink>
          </w:p>
        </w:tc>
        <w:tc>
          <w:tcPr>
            <w:tcW w:w="5880" w:type="dxa"/>
            <w:vAlign w:val="bottom"/>
            <w:gridSpan w:val="35"/>
          </w:tcPr>
          <w:p>
            <w:pPr>
              <w:ind w:lef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Earnings Per Share</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54</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line="202"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(16)</w:t>
              </w:r>
            </w:hyperlink>
          </w:p>
        </w:tc>
        <w:tc>
          <w:tcPr>
            <w:tcW w:w="5880" w:type="dxa"/>
            <w:vAlign w:val="bottom"/>
            <w:gridSpan w:val="35"/>
            <w:shd w:val="clear" w:color="auto" w:fill="CCEEFF"/>
          </w:tcPr>
          <w:p>
            <w:pPr>
              <w:ind w:lef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Reportable Segments</w:t>
              </w:r>
            </w:hyperlink>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54</w:t>
              </w:r>
            </w:hyperlink>
          </w:p>
        </w:tc>
        <w:tc>
          <w:tcPr>
            <w:tcW w:w="140" w:type="dxa"/>
            <w:vAlign w:val="bottom"/>
            <w:shd w:val="clear" w:color="auto" w:fill="CCEEFF"/>
          </w:tcPr>
          <w:p>
            <w:pPr>
              <w:spacing w:after="0"/>
              <w:rPr>
                <w:sz w:val="17"/>
                <w:szCs w:val="17"/>
                <w:color w:val="auto"/>
              </w:rPr>
            </w:pPr>
          </w:p>
        </w:tc>
      </w:tr>
      <w:tr>
        <w:trPr>
          <w:trHeight w:val="48"/>
        </w:trPr>
        <w:tc>
          <w:tcPr>
            <w:tcW w:w="1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gridSpan w:val="2"/>
          </w:tcPr>
          <w:p>
            <w:pPr>
              <w:spacing w:after="0" w:line="20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(17)</w:t>
              </w:r>
            </w:hyperlink>
          </w:p>
        </w:tc>
        <w:tc>
          <w:tcPr>
            <w:tcW w:w="5880" w:type="dxa"/>
            <w:vAlign w:val="bottom"/>
            <w:gridSpan w:val="35"/>
          </w:tcPr>
          <w:p>
            <w:pPr>
              <w:ind w:lef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Supplemental Disclosure of Cash Flow Information</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58</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line="20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(18)</w:t>
              </w:r>
            </w:hyperlink>
          </w:p>
        </w:tc>
        <w:tc>
          <w:tcPr>
            <w:tcW w:w="5880" w:type="dxa"/>
            <w:vAlign w:val="bottom"/>
            <w:gridSpan w:val="35"/>
            <w:shd w:val="clear" w:color="auto" w:fill="CCEEFF"/>
          </w:tcPr>
          <w:p>
            <w:pPr>
              <w:ind w:lef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Related Party Transactions</w:t>
              </w:r>
            </w:hyperlink>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58</w:t>
              </w:r>
            </w:hyperlink>
          </w:p>
        </w:tc>
        <w:tc>
          <w:tcPr>
            <w:tcW w:w="140" w:type="dxa"/>
            <w:vAlign w:val="bottom"/>
            <w:shd w:val="clear" w:color="auto" w:fill="CCEEFF"/>
          </w:tcPr>
          <w:p>
            <w:pPr>
              <w:spacing w:after="0"/>
              <w:rPr>
                <w:sz w:val="21"/>
                <w:szCs w:val="21"/>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gridSpan w:val="2"/>
          </w:tcPr>
          <w:p>
            <w:pPr>
              <w:spacing w:after="0" w:line="20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(19)</w:t>
              </w:r>
            </w:hyperlink>
          </w:p>
        </w:tc>
        <w:tc>
          <w:tcPr>
            <w:tcW w:w="1940" w:type="dxa"/>
            <w:vAlign w:val="bottom"/>
            <w:tcBorders>
              <w:top w:val="single" w:sz="8" w:color="0000EE"/>
            </w:tcBorders>
            <w:gridSpan w:val="19"/>
          </w:tcPr>
          <w:p>
            <w:pPr>
              <w:ind w:lef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Leases</w:t>
              </w:r>
            </w:hyperlink>
          </w:p>
        </w:tc>
        <w:tc>
          <w:tcPr>
            <w:tcW w:w="3940" w:type="dxa"/>
            <w:vAlign w:val="bottom"/>
            <w:tcBorders>
              <w:top w:val="single" w:sz="8" w:color="CCEEFF"/>
            </w:tcBorders>
            <w:gridSpan w:val="16"/>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jc w:val="center"/>
              <w:spacing w:after="0"/>
              <w:rPr>
                <w:rFonts w:ascii="Arial" w:cs="Arial" w:eastAsia="Arial" w:hAnsi="Arial"/>
                <w:sz w:val="17"/>
                <w:szCs w:val="17"/>
                <w:color w:val="0000EE"/>
                <w:w w:val="73"/>
              </w:rPr>
            </w:pPr>
            <w:hyperlink w:anchor="page70">
              <w:r>
                <w:rPr>
                  <w:rFonts w:ascii="Arial" w:cs="Arial" w:eastAsia="Arial" w:hAnsi="Arial"/>
                  <w:sz w:val="17"/>
                  <w:szCs w:val="17"/>
                  <w:color w:val="0000EE"/>
                  <w:w w:val="73"/>
                </w:rPr>
                <w:t>59</w:t>
              </w:r>
            </w:hyperlink>
          </w:p>
        </w:tc>
        <w:tc>
          <w:tcPr>
            <w:tcW w:w="140" w:type="dxa"/>
            <w:vAlign w:val="bottom"/>
            <w:tcBorders>
              <w:top w:val="single" w:sz="8" w:color="CCEEFF"/>
            </w:tcBorders>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(20)</w:t>
              </w:r>
            </w:hyperlink>
          </w:p>
        </w:tc>
        <w:tc>
          <w:tcPr>
            <w:tcW w:w="500" w:type="dxa"/>
            <w:vAlign w:val="bottom"/>
            <w:tcBorders>
              <w:bottom w:val="single" w:sz="8" w:color="0000EE"/>
            </w:tcBorders>
            <w:gridSpan w:val="4"/>
            <w:shd w:val="clear" w:color="auto" w:fill="CCEEFF"/>
          </w:tcPr>
          <w:p>
            <w:pPr>
              <w:ind w:left="20"/>
              <w:spacing w:after="0" w:line="202"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Equity</w:t>
              </w:r>
            </w:hyperlink>
          </w:p>
        </w:tc>
        <w:tc>
          <w:tcPr>
            <w:tcW w:w="5380" w:type="dxa"/>
            <w:vAlign w:val="bottom"/>
            <w:tcBorders>
              <w:bottom w:val="single" w:sz="8" w:color="CCEEFF"/>
            </w:tcBorders>
            <w:gridSpan w:val="31"/>
            <w:shd w:val="clear" w:color="auto" w:fill="CCEEFF"/>
          </w:tcPr>
          <w:p>
            <w:pPr>
              <w:spacing w:after="0"/>
              <w:rPr>
                <w:sz w:val="21"/>
                <w:szCs w:val="21"/>
                <w:color w:val="auto"/>
              </w:rPr>
            </w:pPr>
          </w:p>
        </w:tc>
        <w:tc>
          <w:tcPr>
            <w:tcW w:w="33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7"/>
                <w:szCs w:val="17"/>
                <w:color w:val="0000EE"/>
                <w:w w:val="73"/>
              </w:rPr>
            </w:pPr>
            <w:hyperlink w:anchor="page73">
              <w:r>
                <w:rPr>
                  <w:rFonts w:ascii="Arial" w:cs="Arial" w:eastAsia="Arial" w:hAnsi="Arial"/>
                  <w:sz w:val="17"/>
                  <w:szCs w:val="17"/>
                  <w:color w:val="0000EE"/>
                  <w:w w:val="73"/>
                </w:rPr>
                <w:t>62</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03"/>
        </w:trPr>
        <w:tc>
          <w:tcPr>
            <w:tcW w:w="1300" w:type="dxa"/>
            <w:vAlign w:val="bottom"/>
          </w:tcPr>
          <w:p>
            <w:pPr>
              <w:spacing w:after="0"/>
              <w:rPr>
                <w:sz w:val="17"/>
                <w:szCs w:val="17"/>
                <w:color w:val="auto"/>
              </w:rPr>
            </w:pPr>
          </w:p>
        </w:tc>
        <w:tc>
          <w:tcPr>
            <w:tcW w:w="580" w:type="dxa"/>
            <w:vAlign w:val="bottom"/>
            <w:gridSpan w:val="3"/>
          </w:tcPr>
          <w:p>
            <w:pPr>
              <w:ind w:left="240"/>
              <w:spacing w:after="0" w:line="20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(21)</w:t>
              </w:r>
            </w:hyperlink>
          </w:p>
        </w:tc>
        <w:tc>
          <w:tcPr>
            <w:tcW w:w="5880" w:type="dxa"/>
            <w:vAlign w:val="bottom"/>
            <w:gridSpan w:val="35"/>
          </w:tcPr>
          <w:p>
            <w:pPr>
              <w:ind w:left="2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Subsequent Events</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64</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38"/>
            <w:shd w:val="clear" w:color="auto" w:fill="CCEEFF"/>
          </w:tcPr>
          <w:p>
            <w:pPr>
              <w:spacing w:after="0" w:line="202"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Management’s Discussion and Analysis of Financial Condition and Results of Operations</w:t>
              </w:r>
            </w:hyperlink>
          </w:p>
        </w:tc>
        <w:tc>
          <w:tcPr>
            <w:tcW w:w="33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7"/>
                <w:szCs w:val="17"/>
                <w:color w:val="0000EE"/>
                <w:w w:val="73"/>
              </w:rPr>
            </w:pPr>
            <w:hyperlink w:anchor="page76">
              <w:r>
                <w:rPr>
                  <w:rFonts w:ascii="Arial" w:cs="Arial" w:eastAsia="Arial" w:hAnsi="Arial"/>
                  <w:sz w:val="17"/>
                  <w:szCs w:val="17"/>
                  <w:color w:val="0000EE"/>
                  <w:w w:val="73"/>
                </w:rPr>
                <w:t>65</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03"/>
        </w:trPr>
        <w:tc>
          <w:tcPr>
            <w:tcW w:w="1300" w:type="dxa"/>
            <w:vAlign w:val="bottom"/>
          </w:tcPr>
          <w:p>
            <w:pPr>
              <w:spacing w:after="0"/>
              <w:rPr>
                <w:sz w:val="17"/>
                <w:szCs w:val="17"/>
                <w:color w:val="auto"/>
              </w:rPr>
            </w:pPr>
          </w:p>
        </w:tc>
        <w:tc>
          <w:tcPr>
            <w:tcW w:w="6460" w:type="dxa"/>
            <w:vAlign w:val="bottom"/>
            <w:gridSpan w:val="38"/>
          </w:tcPr>
          <w:p>
            <w:pPr>
              <w:ind w:left="24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Recent Events</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65</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20" w:type="dxa"/>
            <w:vAlign w:val="bottom"/>
            <w:gridSpan w:val="37"/>
            <w:shd w:val="clear" w:color="auto" w:fill="CCEEFF"/>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Results of Operations</w:t>
              </w:r>
            </w:hyperlink>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65</w:t>
              </w:r>
            </w:hyperlink>
          </w:p>
        </w:tc>
        <w:tc>
          <w:tcPr>
            <w:tcW w:w="140" w:type="dxa"/>
            <w:vAlign w:val="bottom"/>
            <w:shd w:val="clear" w:color="auto" w:fill="CCEEFF"/>
          </w:tcPr>
          <w:p>
            <w:pPr>
              <w:spacing w:after="0"/>
              <w:rPr>
                <w:sz w:val="17"/>
                <w:szCs w:val="17"/>
                <w:color w:val="auto"/>
              </w:rPr>
            </w:pPr>
          </w:p>
        </w:tc>
      </w:tr>
      <w:tr>
        <w:trPr>
          <w:trHeight w:val="48"/>
        </w:trPr>
        <w:tc>
          <w:tcPr>
            <w:tcW w:w="1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20" w:type="dxa"/>
            <w:vAlign w:val="bottom"/>
            <w:gridSpan w:val="37"/>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Results of Operations by Reportable Segment</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70</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20" w:type="dxa"/>
            <w:vAlign w:val="bottom"/>
            <w:gridSpan w:val="37"/>
            <w:shd w:val="clear" w:color="auto" w:fill="CCEEFF"/>
          </w:tcPr>
          <w:p>
            <w:pPr>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Certain Factors Affecting Future Earnings</w:t>
              </w:r>
            </w:hyperlink>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81</w:t>
              </w:r>
            </w:hyperlink>
          </w:p>
        </w:tc>
        <w:tc>
          <w:tcPr>
            <w:tcW w:w="140" w:type="dxa"/>
            <w:vAlign w:val="bottom"/>
            <w:shd w:val="clear" w:color="auto" w:fill="CCEEFF"/>
          </w:tcPr>
          <w:p>
            <w:pPr>
              <w:spacing w:after="0"/>
              <w:rPr>
                <w:sz w:val="21"/>
                <w:szCs w:val="21"/>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40" w:type="dxa"/>
            <w:vAlign w:val="bottom"/>
            <w:tcBorders>
              <w:top w:val="single" w:sz="8" w:color="0000EE"/>
            </w:tcBorders>
            <w:gridSpan w:val="28"/>
          </w:tcPr>
          <w:p>
            <w:pPr>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Liquidity and Capital Resources</w:t>
              </w:r>
            </w:hyperlink>
          </w:p>
        </w:tc>
        <w:tc>
          <w:tcPr>
            <w:tcW w:w="3180" w:type="dxa"/>
            <w:vAlign w:val="bottom"/>
            <w:tcBorders>
              <w:top w:val="single" w:sz="8" w:color="CCEEFF"/>
            </w:tcBorders>
            <w:gridSpan w:val="9"/>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jc w:val="center"/>
              <w:spacing w:after="0"/>
              <w:rPr>
                <w:rFonts w:ascii="Arial" w:cs="Arial" w:eastAsia="Arial" w:hAnsi="Arial"/>
                <w:sz w:val="17"/>
                <w:szCs w:val="17"/>
                <w:color w:val="0000EE"/>
                <w:w w:val="73"/>
              </w:rPr>
            </w:pPr>
            <w:hyperlink w:anchor="page92">
              <w:r>
                <w:rPr>
                  <w:rFonts w:ascii="Arial" w:cs="Arial" w:eastAsia="Arial" w:hAnsi="Arial"/>
                  <w:sz w:val="17"/>
                  <w:szCs w:val="17"/>
                  <w:color w:val="0000EE"/>
                  <w:w w:val="73"/>
                </w:rPr>
                <w:t>81</w:t>
              </w:r>
            </w:hyperlink>
          </w:p>
        </w:tc>
        <w:tc>
          <w:tcPr>
            <w:tcW w:w="140" w:type="dxa"/>
            <w:vAlign w:val="bottom"/>
            <w:tcBorders>
              <w:top w:val="single" w:sz="8" w:color="CCEEFF"/>
            </w:tcBorders>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3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EE"/>
            </w:tcBorders>
            <w:gridSpan w:val="34"/>
            <w:shd w:val="clear" w:color="auto" w:fill="CCEEFF"/>
          </w:tcPr>
          <w:p>
            <w:pPr>
              <w:spacing w:after="0" w:line="202"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Quantitative and Qualitative Disclosures about Market Risk</w:t>
              </w:r>
            </w:hyperlink>
          </w:p>
        </w:tc>
        <w:tc>
          <w:tcPr>
            <w:tcW w:w="2140" w:type="dxa"/>
            <w:vAlign w:val="bottom"/>
            <w:tcBorders>
              <w:bottom w:val="single" w:sz="8" w:color="CCEEFF"/>
            </w:tcBorders>
            <w:gridSpan w:val="4"/>
            <w:shd w:val="clear" w:color="auto" w:fill="CCEEFF"/>
          </w:tcPr>
          <w:p>
            <w:pPr>
              <w:spacing w:after="0"/>
              <w:rPr>
                <w:sz w:val="21"/>
                <w:szCs w:val="21"/>
                <w:color w:val="auto"/>
              </w:rPr>
            </w:pPr>
          </w:p>
        </w:tc>
        <w:tc>
          <w:tcPr>
            <w:tcW w:w="33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7"/>
                <w:szCs w:val="17"/>
                <w:color w:val="0000EE"/>
                <w:w w:val="73"/>
              </w:rPr>
            </w:pPr>
            <w:hyperlink w:anchor="page103">
              <w:r>
                <w:rPr>
                  <w:rFonts w:ascii="Arial" w:cs="Arial" w:eastAsia="Arial" w:hAnsi="Arial"/>
                  <w:sz w:val="17"/>
                  <w:szCs w:val="17"/>
                  <w:color w:val="0000EE"/>
                  <w:w w:val="73"/>
                </w:rPr>
                <w:t>92</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03"/>
        </w:trPr>
        <w:tc>
          <w:tcPr>
            <w:tcW w:w="1300" w:type="dxa"/>
            <w:vAlign w:val="bottom"/>
          </w:tcPr>
          <w:p>
            <w:pPr>
              <w:ind w:left="320"/>
              <w:spacing w:after="0" w:line="202" w:lineRule="exact"/>
              <w:rPr>
                <w:sz w:val="20"/>
                <w:szCs w:val="20"/>
                <w:color w:val="auto"/>
              </w:rPr>
            </w:pPr>
            <w:r>
              <w:rPr>
                <w:rFonts w:ascii="Arial" w:cs="Arial" w:eastAsia="Arial" w:hAnsi="Arial"/>
                <w:sz w:val="18"/>
                <w:szCs w:val="18"/>
                <w:color w:val="auto"/>
              </w:rPr>
              <w:t>Item 4.</w:t>
            </w:r>
          </w:p>
        </w:tc>
        <w:tc>
          <w:tcPr>
            <w:tcW w:w="6460" w:type="dxa"/>
            <w:vAlign w:val="bottom"/>
            <w:gridSpan w:val="38"/>
          </w:tcPr>
          <w:p>
            <w:pPr>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Controls and Procedures</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93</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70"/>
        </w:trPr>
        <w:tc>
          <w:tcPr>
            <w:tcW w:w="1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gridSpan w:val="3"/>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36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6460" w:type="dxa"/>
            <w:vAlign w:val="bottom"/>
            <w:gridSpan w:val="38"/>
          </w:tcPr>
          <w:p>
            <w:pPr>
              <w:spacing w:after="0"/>
              <w:rPr>
                <w:sz w:val="20"/>
                <w:szCs w:val="20"/>
                <w:color w:val="auto"/>
              </w:rPr>
            </w:pPr>
            <w:r>
              <w:rPr>
                <w:rFonts w:ascii="Arial" w:cs="Arial" w:eastAsia="Arial" w:hAnsi="Arial"/>
                <w:sz w:val="18"/>
                <w:szCs w:val="18"/>
                <w:b w:val="1"/>
                <w:bCs w:val="1"/>
                <w:color w:val="auto"/>
              </w:rPr>
              <w:t>OTHER INFORMATION</w:t>
            </w:r>
          </w:p>
        </w:tc>
        <w:tc>
          <w:tcPr>
            <w:tcW w:w="3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Legal Proceedings</w:t>
              </w:r>
            </w:hyperlink>
          </w:p>
        </w:tc>
        <w:tc>
          <w:tcPr>
            <w:tcW w:w="5120" w:type="dxa"/>
            <w:vAlign w:val="bottom"/>
            <w:tcBorders>
              <w:bottom w:val="single" w:sz="8" w:color="CCEEFF"/>
            </w:tcBorders>
            <w:gridSpan w:val="29"/>
            <w:shd w:val="clear" w:color="auto" w:fill="CCEEFF"/>
          </w:tcPr>
          <w:p>
            <w:pPr>
              <w:spacing w:after="0"/>
              <w:rPr>
                <w:sz w:val="21"/>
                <w:szCs w:val="21"/>
                <w:color w:val="auto"/>
              </w:rPr>
            </w:pPr>
          </w:p>
        </w:tc>
        <w:tc>
          <w:tcPr>
            <w:tcW w:w="33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7"/>
                <w:szCs w:val="17"/>
                <w:color w:val="0000EE"/>
                <w:w w:val="73"/>
              </w:rPr>
            </w:pPr>
            <w:hyperlink w:anchor="page105">
              <w:r>
                <w:rPr>
                  <w:rFonts w:ascii="Arial" w:cs="Arial" w:eastAsia="Arial" w:hAnsi="Arial"/>
                  <w:sz w:val="17"/>
                  <w:szCs w:val="17"/>
                  <w:color w:val="0000EE"/>
                  <w:w w:val="73"/>
                </w:rPr>
                <w:t>94</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03"/>
        </w:trPr>
        <w:tc>
          <w:tcPr>
            <w:tcW w:w="1300" w:type="dxa"/>
            <w:vAlign w:val="bottom"/>
          </w:tcPr>
          <w:p>
            <w:pPr>
              <w:ind w:left="320"/>
              <w:spacing w:after="0" w:line="202" w:lineRule="exact"/>
              <w:rPr>
                <w:sz w:val="20"/>
                <w:szCs w:val="20"/>
                <w:color w:val="auto"/>
              </w:rPr>
            </w:pPr>
            <w:r>
              <w:rPr>
                <w:rFonts w:ascii="Arial" w:cs="Arial" w:eastAsia="Arial" w:hAnsi="Arial"/>
                <w:sz w:val="18"/>
                <w:szCs w:val="18"/>
                <w:color w:val="auto"/>
              </w:rPr>
              <w:t>Item 1A.</w:t>
            </w:r>
          </w:p>
        </w:tc>
        <w:tc>
          <w:tcPr>
            <w:tcW w:w="6460" w:type="dxa"/>
            <w:vAlign w:val="bottom"/>
            <w:gridSpan w:val="38"/>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Risk Factors</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94</w:t>
              </w:r>
            </w:hyperlink>
          </w:p>
        </w:tc>
        <w:tc>
          <w:tcPr>
            <w:tcW w:w="14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3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Item 6.</w:t>
            </w:r>
          </w:p>
        </w:tc>
        <w:tc>
          <w:tcPr>
            <w:tcW w:w="6460" w:type="dxa"/>
            <w:vAlign w:val="bottom"/>
            <w:gridSpan w:val="38"/>
            <w:shd w:val="clear" w:color="auto" w:fill="CCEEFF"/>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Exhibits</w:t>
              </w:r>
            </w:hyperlink>
          </w:p>
        </w:tc>
        <w:tc>
          <w:tcPr>
            <w:tcW w:w="3500" w:type="dxa"/>
            <w:vAlign w:val="bottom"/>
            <w:tcBorders>
              <w:right w:val="single" w:sz="8" w:color="CCEEFF"/>
            </w:tcBorders>
            <w:gridSpan w:val="2"/>
            <w:shd w:val="clear" w:color="auto" w:fill="CCEEFF"/>
          </w:tcPr>
          <w:p>
            <w:pPr>
              <w:jc w:val="center"/>
              <w:ind w:left="3230"/>
              <w:spacing w:after="0" w:line="202"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94</w:t>
              </w:r>
            </w:hyperlink>
          </w:p>
        </w:tc>
        <w:tc>
          <w:tcPr>
            <w:tcW w:w="140" w:type="dxa"/>
            <w:vAlign w:val="bottom"/>
            <w:shd w:val="clear" w:color="auto" w:fill="CCEEFF"/>
          </w:tcPr>
          <w:p>
            <w:pPr>
              <w:spacing w:after="0"/>
              <w:rPr>
                <w:sz w:val="17"/>
                <w:szCs w:val="17"/>
                <w:color w:val="auto"/>
              </w:rPr>
            </w:pPr>
          </w:p>
        </w:tc>
      </w:tr>
      <w:tr>
        <w:trPr>
          <w:trHeight w:val="48"/>
        </w:trPr>
        <w:tc>
          <w:tcPr>
            <w:tcW w:w="1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tcPr>
          <w:p>
            <w:pPr>
              <w:spacing w:after="0"/>
              <w:rPr>
                <w:sz w:val="17"/>
                <w:szCs w:val="17"/>
                <w:color w:val="auto"/>
              </w:rPr>
            </w:pPr>
          </w:p>
        </w:tc>
        <w:tc>
          <w:tcPr>
            <w:tcW w:w="6460" w:type="dxa"/>
            <w:vAlign w:val="bottom"/>
            <w:gridSpan w:val="38"/>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Signatures</w:t>
              </w:r>
            </w:hyperlink>
          </w:p>
        </w:tc>
        <w:tc>
          <w:tcPr>
            <w:tcW w:w="3500" w:type="dxa"/>
            <w:vAlign w:val="bottom"/>
            <w:gridSpan w:val="2"/>
          </w:tcPr>
          <w:p>
            <w:pPr>
              <w:jc w:val="center"/>
              <w:ind w:left="3230"/>
              <w:spacing w:after="0" w:line="202"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98</w:t>
              </w:r>
            </w:hyperlink>
          </w:p>
        </w:tc>
        <w:tc>
          <w:tcPr>
            <w:tcW w:w="1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36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8040" w:type="dxa"/>
            <w:vAlign w:val="bottom"/>
          </w:tcPr>
          <w:p>
            <w:pPr>
              <w:ind w:left="190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320" w:type="dxa"/>
            <w:vAlign w:val="bottom"/>
            <w:tcBorders>
              <w:bottom w:val="single" w:sz="8" w:color="auto"/>
            </w:tcBorders>
          </w:tcPr>
          <w:p>
            <w:pPr>
              <w:spacing w:after="0"/>
              <w:rPr>
                <w:sz w:val="2"/>
                <w:szCs w:val="2"/>
                <w:color w:val="auto"/>
              </w:rPr>
            </w:pPr>
          </w:p>
        </w:tc>
        <w:tc>
          <w:tcPr>
            <w:tcW w:w="804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Affordable Clean Energy</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ALJ</w:t>
            </w:r>
          </w:p>
        </w:tc>
        <w:tc>
          <w:tcPr>
            <w:tcW w:w="8040" w:type="dxa"/>
            <w:vAlign w:val="bottom"/>
          </w:tcPr>
          <w:p>
            <w:pPr>
              <w:ind w:left="1360"/>
              <w:spacing w:after="0"/>
              <w:rPr>
                <w:sz w:val="20"/>
                <w:szCs w:val="20"/>
                <w:color w:val="auto"/>
              </w:rPr>
            </w:pPr>
            <w:r>
              <w:rPr>
                <w:rFonts w:ascii="Arial" w:cs="Arial" w:eastAsia="Arial" w:hAnsi="Arial"/>
                <w:sz w:val="18"/>
                <w:szCs w:val="18"/>
                <w:color w:val="auto"/>
              </w:rPr>
              <w:t>Administrative Law Judge</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Asset Management Agreement</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AMS</w:t>
            </w:r>
          </w:p>
        </w:tc>
        <w:tc>
          <w:tcPr>
            <w:tcW w:w="8040" w:type="dxa"/>
            <w:vAlign w:val="bottom"/>
          </w:tcPr>
          <w:p>
            <w:pPr>
              <w:ind w:left="1360"/>
              <w:spacing w:after="0"/>
              <w:rPr>
                <w:sz w:val="20"/>
                <w:szCs w:val="20"/>
                <w:color w:val="auto"/>
              </w:rPr>
            </w:pPr>
            <w:r>
              <w:rPr>
                <w:rFonts w:ascii="Arial" w:cs="Arial" w:eastAsia="Arial" w:hAnsi="Arial"/>
                <w:sz w:val="18"/>
                <w:szCs w:val="18"/>
                <w:color w:val="auto"/>
              </w:rPr>
              <w:t>Advanced Metering System</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APSC</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Arkansas Public Service Commission</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8040" w:type="dxa"/>
            <w:vAlign w:val="bottom"/>
          </w:tcPr>
          <w:p>
            <w:pPr>
              <w:ind w:left="1360"/>
              <w:spacing w:after="0"/>
              <w:rPr>
                <w:sz w:val="20"/>
                <w:szCs w:val="20"/>
                <w:color w:val="auto"/>
              </w:rPr>
            </w:pPr>
            <w:r>
              <w:rPr>
                <w:rFonts w:ascii="Arial" w:cs="Arial" w:eastAsia="Arial" w:hAnsi="Arial"/>
                <w:sz w:val="18"/>
                <w:szCs w:val="18"/>
                <w:color w:val="auto"/>
              </w:rPr>
              <w:t>Asset retirement obligation</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Alternative revenue program</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8040" w:type="dxa"/>
            <w:vAlign w:val="bottom"/>
          </w:tcPr>
          <w:p>
            <w:pPr>
              <w:ind w:left="1360"/>
              <w:spacing w:after="0"/>
              <w:rPr>
                <w:sz w:val="20"/>
                <w:szCs w:val="20"/>
                <w:color w:val="auto"/>
              </w:rPr>
            </w:pPr>
            <w:r>
              <w:rPr>
                <w:rFonts w:ascii="Arial" w:cs="Arial" w:eastAsia="Arial" w:hAnsi="Arial"/>
                <w:sz w:val="18"/>
                <w:szCs w:val="18"/>
                <w:color w:val="auto"/>
              </w:rPr>
              <w:t>Accounting Standards Codification</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ASU</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Accounting Standards Update</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8040" w:type="dxa"/>
            <w:vAlign w:val="bottom"/>
          </w:tcPr>
          <w:p>
            <w:pPr>
              <w:ind w:left="1360"/>
              <w:spacing w:after="0"/>
              <w:rPr>
                <w:sz w:val="20"/>
                <w:szCs w:val="20"/>
                <w:color w:val="auto"/>
              </w:rPr>
            </w:pPr>
            <w:r>
              <w:rPr>
                <w:rFonts w:ascii="Arial" w:cs="Arial" w:eastAsia="Arial" w:hAnsi="Arial"/>
                <w:sz w:val="18"/>
                <w:szCs w:val="18"/>
                <w:color w:val="auto"/>
              </w:rPr>
              <w:t>AT&amp;T Inc. common stock</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Billion cubic feet</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Bond Companies</w:t>
            </w:r>
          </w:p>
        </w:tc>
        <w:tc>
          <w:tcPr>
            <w:tcW w:w="8040" w:type="dxa"/>
            <w:vAlign w:val="bottom"/>
          </w:tcPr>
          <w:p>
            <w:pPr>
              <w:ind w:left="1360"/>
              <w:spacing w:after="0"/>
              <w:rPr>
                <w:sz w:val="20"/>
                <w:szCs w:val="20"/>
                <w:color w:val="auto"/>
              </w:rPr>
            </w:pPr>
            <w:r>
              <w:rPr>
                <w:rFonts w:ascii="Arial" w:cs="Arial" w:eastAsia="Arial" w:hAnsi="Arial"/>
                <w:sz w:val="18"/>
                <w:szCs w:val="18"/>
                <w:color w:val="auto"/>
                <w:w w:val="93"/>
              </w:rPr>
              <w:t>Bond Company II, Bond Company III, Bond Company IV and Restoration Bond Company,</w:t>
            </w:r>
          </w:p>
        </w:tc>
      </w:tr>
      <w:tr>
        <w:trPr>
          <w:trHeight w:val="216"/>
        </w:trPr>
        <w:tc>
          <w:tcPr>
            <w:tcW w:w="3320" w:type="dxa"/>
            <w:vAlign w:val="bottom"/>
          </w:tcPr>
          <w:p>
            <w:pPr>
              <w:spacing w:after="0"/>
              <w:rPr>
                <w:sz w:val="18"/>
                <w:szCs w:val="18"/>
                <w:color w:val="auto"/>
              </w:rPr>
            </w:pPr>
          </w:p>
        </w:tc>
        <w:tc>
          <w:tcPr>
            <w:tcW w:w="8040" w:type="dxa"/>
            <w:vAlign w:val="bottom"/>
          </w:tcPr>
          <w:p>
            <w:pPr>
              <w:ind w:left="1360"/>
              <w:spacing w:after="0"/>
              <w:rPr>
                <w:sz w:val="20"/>
                <w:szCs w:val="20"/>
                <w:color w:val="auto"/>
              </w:rPr>
            </w:pPr>
            <w:r>
              <w:rPr>
                <w:rFonts w:ascii="Arial" w:cs="Arial" w:eastAsia="Arial" w:hAnsi="Arial"/>
                <w:sz w:val="18"/>
                <w:szCs w:val="18"/>
                <w:color w:val="auto"/>
              </w:rPr>
              <w:t>each a wholly-owned, bankruptcy remote entity formed solely for the purpose of</w:t>
            </w:r>
          </w:p>
        </w:tc>
      </w:tr>
      <w:tr>
        <w:trPr>
          <w:trHeight w:val="216"/>
        </w:trPr>
        <w:tc>
          <w:tcPr>
            <w:tcW w:w="3320" w:type="dxa"/>
            <w:vAlign w:val="bottom"/>
          </w:tcPr>
          <w:p>
            <w:pPr>
              <w:spacing w:after="0"/>
              <w:rPr>
                <w:sz w:val="18"/>
                <w:szCs w:val="18"/>
                <w:color w:val="auto"/>
              </w:rPr>
            </w:pPr>
          </w:p>
        </w:tc>
        <w:tc>
          <w:tcPr>
            <w:tcW w:w="8040" w:type="dxa"/>
            <w:vAlign w:val="bottom"/>
          </w:tcPr>
          <w:p>
            <w:pPr>
              <w:ind w:left="1360"/>
              <w:spacing w:after="0"/>
              <w:rPr>
                <w:sz w:val="20"/>
                <w:szCs w:val="20"/>
                <w:color w:val="auto"/>
              </w:rPr>
            </w:pPr>
            <w:r>
              <w:rPr>
                <w:rFonts w:ascii="Arial" w:cs="Arial" w:eastAsia="Arial" w:hAnsi="Arial"/>
                <w:sz w:val="18"/>
                <w:szCs w:val="18"/>
                <w:color w:val="auto"/>
                <w:w w:val="95"/>
              </w:rPr>
              <w:t>purchasing and owning transition or system restoration property through the issuance of</w:t>
            </w:r>
          </w:p>
        </w:tc>
      </w:tr>
      <w:tr>
        <w:trPr>
          <w:trHeight w:val="230"/>
        </w:trPr>
        <w:tc>
          <w:tcPr>
            <w:tcW w:w="3320" w:type="dxa"/>
            <w:vAlign w:val="bottom"/>
          </w:tcPr>
          <w:p>
            <w:pPr>
              <w:spacing w:after="0"/>
              <w:rPr>
                <w:sz w:val="20"/>
                <w:szCs w:val="20"/>
                <w:color w:val="auto"/>
              </w:rPr>
            </w:pPr>
          </w:p>
        </w:tc>
        <w:tc>
          <w:tcPr>
            <w:tcW w:w="8040" w:type="dxa"/>
            <w:vAlign w:val="bottom"/>
          </w:tcPr>
          <w:p>
            <w:pPr>
              <w:ind w:left="1360"/>
              <w:spacing w:after="0"/>
              <w:rPr>
                <w:sz w:val="20"/>
                <w:szCs w:val="20"/>
                <w:color w:val="auto"/>
              </w:rPr>
            </w:pPr>
            <w:r>
              <w:rPr>
                <w:rFonts w:ascii="Arial" w:cs="Arial" w:eastAsia="Arial" w:hAnsi="Arial"/>
                <w:sz w:val="18"/>
                <w:szCs w:val="18"/>
                <w:color w:val="auto"/>
              </w:rPr>
              <w:t>Securitization Bonds</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Bond Company II</w:t>
            </w:r>
          </w:p>
        </w:tc>
        <w:tc>
          <w:tcPr>
            <w:tcW w:w="804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9"/>
              </w:rPr>
              <w:t>CenterPoint Energy Transition Bond Company II, LLC, a wholly-owned subsidiary of</w:t>
            </w:r>
          </w:p>
        </w:tc>
      </w:tr>
      <w:tr>
        <w:trPr>
          <w:trHeight w:val="237"/>
        </w:trPr>
        <w:tc>
          <w:tcPr>
            <w:tcW w:w="33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Houston Electric</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Bond Company III</w:t>
            </w:r>
          </w:p>
        </w:tc>
        <w:tc>
          <w:tcPr>
            <w:tcW w:w="8040" w:type="dxa"/>
            <w:vAlign w:val="bottom"/>
          </w:tcPr>
          <w:p>
            <w:pPr>
              <w:ind w:left="1360"/>
              <w:spacing w:after="0"/>
              <w:rPr>
                <w:sz w:val="20"/>
                <w:szCs w:val="20"/>
                <w:color w:val="auto"/>
              </w:rPr>
            </w:pPr>
            <w:r>
              <w:rPr>
                <w:rFonts w:ascii="Arial" w:cs="Arial" w:eastAsia="Arial" w:hAnsi="Arial"/>
                <w:sz w:val="18"/>
                <w:szCs w:val="18"/>
                <w:color w:val="auto"/>
                <w:w w:val="98"/>
              </w:rPr>
              <w:t>CenterPoint Energy Transition Bond Company III, LLC, a wholly-owned subsidiary of</w:t>
            </w:r>
          </w:p>
        </w:tc>
      </w:tr>
      <w:tr>
        <w:trPr>
          <w:trHeight w:val="230"/>
        </w:trPr>
        <w:tc>
          <w:tcPr>
            <w:tcW w:w="3320" w:type="dxa"/>
            <w:vAlign w:val="bottom"/>
          </w:tcPr>
          <w:p>
            <w:pPr>
              <w:spacing w:after="0"/>
              <w:rPr>
                <w:sz w:val="20"/>
                <w:szCs w:val="20"/>
                <w:color w:val="auto"/>
              </w:rPr>
            </w:pPr>
          </w:p>
        </w:tc>
        <w:tc>
          <w:tcPr>
            <w:tcW w:w="8040" w:type="dxa"/>
            <w:vAlign w:val="bottom"/>
          </w:tcPr>
          <w:p>
            <w:pPr>
              <w:ind w:left="1360"/>
              <w:spacing w:after="0"/>
              <w:rPr>
                <w:sz w:val="20"/>
                <w:szCs w:val="20"/>
                <w:color w:val="auto"/>
              </w:rPr>
            </w:pPr>
            <w:r>
              <w:rPr>
                <w:rFonts w:ascii="Arial" w:cs="Arial" w:eastAsia="Arial" w:hAnsi="Arial"/>
                <w:sz w:val="18"/>
                <w:szCs w:val="18"/>
                <w:color w:val="auto"/>
              </w:rPr>
              <w:t>Houston Electric</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Bond Company IV</w:t>
            </w:r>
          </w:p>
        </w:tc>
        <w:tc>
          <w:tcPr>
            <w:tcW w:w="804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8"/>
              </w:rPr>
              <w:t>CenterPoint Energy Transition Bond Company IV, LLC, a wholly-owned subsidiary of</w:t>
            </w:r>
          </w:p>
        </w:tc>
      </w:tr>
      <w:tr>
        <w:trPr>
          <w:trHeight w:val="237"/>
        </w:trPr>
        <w:tc>
          <w:tcPr>
            <w:tcW w:w="33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Houston Electric</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Brazos Valley Connection</w:t>
            </w:r>
          </w:p>
        </w:tc>
        <w:tc>
          <w:tcPr>
            <w:tcW w:w="8040" w:type="dxa"/>
            <w:vAlign w:val="bottom"/>
          </w:tcPr>
          <w:p>
            <w:pPr>
              <w:ind w:left="1360"/>
              <w:spacing w:after="0"/>
              <w:rPr>
                <w:sz w:val="20"/>
                <w:szCs w:val="20"/>
                <w:color w:val="auto"/>
              </w:rPr>
            </w:pPr>
            <w:r>
              <w:rPr>
                <w:rFonts w:ascii="Arial" w:cs="Arial" w:eastAsia="Arial" w:hAnsi="Arial"/>
                <w:sz w:val="18"/>
                <w:szCs w:val="18"/>
                <w:color w:val="auto"/>
                <w:w w:val="96"/>
              </w:rPr>
              <w:t>A portion of the Houston region transmission project between Houston Electric’s Zenith</w:t>
            </w:r>
          </w:p>
        </w:tc>
      </w:tr>
      <w:tr>
        <w:trPr>
          <w:trHeight w:val="230"/>
        </w:trPr>
        <w:tc>
          <w:tcPr>
            <w:tcW w:w="3320" w:type="dxa"/>
            <w:vAlign w:val="bottom"/>
          </w:tcPr>
          <w:p>
            <w:pPr>
              <w:spacing w:after="0"/>
              <w:rPr>
                <w:sz w:val="20"/>
                <w:szCs w:val="20"/>
                <w:color w:val="auto"/>
              </w:rPr>
            </w:pPr>
          </w:p>
        </w:tc>
        <w:tc>
          <w:tcPr>
            <w:tcW w:w="8040" w:type="dxa"/>
            <w:vAlign w:val="bottom"/>
          </w:tcPr>
          <w:p>
            <w:pPr>
              <w:ind w:left="1360"/>
              <w:spacing w:after="0"/>
              <w:rPr>
                <w:sz w:val="20"/>
                <w:szCs w:val="20"/>
                <w:color w:val="auto"/>
              </w:rPr>
            </w:pPr>
            <w:r>
              <w:rPr>
                <w:rFonts w:ascii="Arial" w:cs="Arial" w:eastAsia="Arial" w:hAnsi="Arial"/>
                <w:sz w:val="18"/>
                <w:szCs w:val="18"/>
                <w:color w:val="auto"/>
                <w:w w:val="91"/>
              </w:rPr>
              <w:t>substation and the Gibbons Creek substation owned by the Texas Municipal Power Agency</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Coal Combustion Residuals</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CECA</w:t>
            </w:r>
          </w:p>
        </w:tc>
        <w:tc>
          <w:tcPr>
            <w:tcW w:w="8040" w:type="dxa"/>
            <w:vAlign w:val="bottom"/>
          </w:tcPr>
          <w:p>
            <w:pPr>
              <w:ind w:left="1360"/>
              <w:spacing w:after="0"/>
              <w:rPr>
                <w:sz w:val="20"/>
                <w:szCs w:val="20"/>
                <w:color w:val="auto"/>
              </w:rPr>
            </w:pPr>
            <w:r>
              <w:rPr>
                <w:rFonts w:ascii="Arial" w:cs="Arial" w:eastAsia="Arial" w:hAnsi="Arial"/>
                <w:sz w:val="18"/>
                <w:szCs w:val="18"/>
                <w:color w:val="auto"/>
              </w:rPr>
              <w:t>Clean Energy Cost Adjustment</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CECL</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Current expected credit losses</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8040" w:type="dxa"/>
            <w:vAlign w:val="bottom"/>
          </w:tcPr>
          <w:p>
            <w:pPr>
              <w:ind w:left="1360"/>
              <w:spacing w:after="0"/>
              <w:rPr>
                <w:sz w:val="20"/>
                <w:szCs w:val="20"/>
                <w:color w:val="auto"/>
              </w:rPr>
            </w:pPr>
            <w:r>
              <w:rPr>
                <w:rFonts w:ascii="Arial" w:cs="Arial" w:eastAsia="Arial" w:hAnsi="Arial"/>
                <w:sz w:val="18"/>
                <w:szCs w:val="18"/>
                <w:color w:val="auto"/>
              </w:rPr>
              <w:t>CenterPoint Energy, Inc., and its subsidiaries</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CERC Corp., together with its subsidiaries</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8040" w:type="dxa"/>
            <w:vAlign w:val="bottom"/>
          </w:tcPr>
          <w:p>
            <w:pPr>
              <w:ind w:left="1360"/>
              <w:spacing w:after="0"/>
              <w:rPr>
                <w:sz w:val="20"/>
                <w:szCs w:val="20"/>
                <w:color w:val="auto"/>
              </w:rPr>
            </w:pPr>
            <w:r>
              <w:rPr>
                <w:rFonts w:ascii="Arial" w:cs="Arial" w:eastAsia="Arial" w:hAnsi="Arial"/>
                <w:sz w:val="18"/>
                <w:szCs w:val="18"/>
                <w:color w:val="auto"/>
              </w:rPr>
              <w:t>CenterPoint Energy Resources Corp.</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CES</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CenterPoint Energy Services, Inc., a wholly-owned subsidiary of CERC Corp.</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8040" w:type="dxa"/>
            <w:vAlign w:val="bottom"/>
          </w:tcPr>
          <w:p>
            <w:pPr>
              <w:ind w:left="1360"/>
              <w:spacing w:after="0"/>
              <w:rPr>
                <w:sz w:val="20"/>
                <w:szCs w:val="20"/>
                <w:color w:val="auto"/>
              </w:rPr>
            </w:pPr>
            <w:r>
              <w:rPr>
                <w:rFonts w:ascii="Arial" w:cs="Arial" w:eastAsia="Arial" w:hAnsi="Arial"/>
                <w:sz w:val="18"/>
                <w:szCs w:val="18"/>
                <w:color w:val="auto"/>
              </w:rPr>
              <w:t>Charter Communications, Inc. common stock</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Conservation Improvement Program</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CME</w:t>
            </w:r>
          </w:p>
        </w:tc>
        <w:tc>
          <w:tcPr>
            <w:tcW w:w="8040" w:type="dxa"/>
            <w:vAlign w:val="bottom"/>
          </w:tcPr>
          <w:p>
            <w:pPr>
              <w:ind w:left="1360"/>
              <w:spacing w:after="0"/>
              <w:rPr>
                <w:sz w:val="20"/>
                <w:szCs w:val="20"/>
                <w:color w:val="auto"/>
              </w:rPr>
            </w:pPr>
            <w:r>
              <w:rPr>
                <w:rFonts w:ascii="Arial" w:cs="Arial" w:eastAsia="Arial" w:hAnsi="Arial"/>
                <w:sz w:val="18"/>
                <w:szCs w:val="18"/>
                <w:color w:val="auto"/>
              </w:rPr>
              <w:t>Chicago Mercantile Exchange</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CNP Midstream</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w w:val="96"/>
              </w:rPr>
              <w:t>CenterPoint Energy Midstream, Inc., a wholly-owned subsidiary of CenterPoint Energy</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8040" w:type="dxa"/>
            <w:vAlign w:val="bottom"/>
          </w:tcPr>
          <w:p>
            <w:pPr>
              <w:ind w:left="1360"/>
              <w:spacing w:after="0"/>
              <w:rPr>
                <w:sz w:val="20"/>
                <w:szCs w:val="20"/>
                <w:color w:val="auto"/>
              </w:rPr>
            </w:pPr>
            <w:r>
              <w:rPr>
                <w:rFonts w:ascii="Arial" w:cs="Arial" w:eastAsia="Arial" w:hAnsi="Arial"/>
                <w:sz w:val="18"/>
                <w:szCs w:val="18"/>
                <w:color w:val="auto"/>
              </w:rPr>
              <w:t>CenterPoint Energy, Inc. common stock, par value $0.01 per share</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CPCN</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Certificate of Public Convenience and Necessity</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8040" w:type="dxa"/>
            <w:vAlign w:val="bottom"/>
          </w:tcPr>
          <w:p>
            <w:pPr>
              <w:ind w:left="1360"/>
              <w:spacing w:after="0"/>
              <w:rPr>
                <w:sz w:val="20"/>
                <w:szCs w:val="20"/>
                <w:color w:val="auto"/>
              </w:rPr>
            </w:pPr>
            <w:r>
              <w:rPr>
                <w:rFonts w:ascii="Arial" w:cs="Arial" w:eastAsia="Arial" w:hAnsi="Arial"/>
                <w:sz w:val="18"/>
                <w:szCs w:val="18"/>
                <w:color w:val="auto"/>
              </w:rPr>
              <w:t>Clean Power Plan</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Compliance and System Improvement Adjustment</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8040" w:type="dxa"/>
            <w:vAlign w:val="bottom"/>
          </w:tcPr>
          <w:p>
            <w:pPr>
              <w:ind w:left="1360"/>
              <w:spacing w:after="0"/>
              <w:rPr>
                <w:sz w:val="20"/>
                <w:szCs w:val="20"/>
                <w:color w:val="auto"/>
              </w:rPr>
            </w:pPr>
            <w:r>
              <w:rPr>
                <w:rFonts w:ascii="Arial" w:cs="Arial" w:eastAsia="Arial" w:hAnsi="Arial"/>
                <w:sz w:val="18"/>
                <w:szCs w:val="18"/>
                <w:color w:val="auto"/>
              </w:rPr>
              <w:t>Distribution Cost Recovery Factor</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Distribution Replacement Rider</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8040" w:type="dxa"/>
            <w:vAlign w:val="bottom"/>
          </w:tcPr>
          <w:p>
            <w:pPr>
              <w:ind w:left="1360"/>
              <w:spacing w:after="0"/>
              <w:rPr>
                <w:sz w:val="20"/>
                <w:szCs w:val="20"/>
                <w:color w:val="auto"/>
              </w:rPr>
            </w:pPr>
            <w:r>
              <w:rPr>
                <w:rFonts w:ascii="Arial" w:cs="Arial" w:eastAsia="Arial" w:hAnsi="Arial"/>
                <w:sz w:val="18"/>
                <w:szCs w:val="18"/>
                <w:color w:val="auto"/>
              </w:rPr>
              <w:t>Demand Side Management Adjustment</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ECA</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Environmental Cost Adjustment</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8040" w:type="dxa"/>
            <w:vAlign w:val="bottom"/>
          </w:tcPr>
          <w:p>
            <w:pPr>
              <w:ind w:left="1360"/>
              <w:spacing w:after="0"/>
              <w:rPr>
                <w:sz w:val="20"/>
                <w:szCs w:val="20"/>
                <w:color w:val="auto"/>
              </w:rPr>
            </w:pPr>
            <w:r>
              <w:rPr>
                <w:rFonts w:ascii="Arial" w:cs="Arial" w:eastAsia="Arial" w:hAnsi="Arial"/>
                <w:sz w:val="18"/>
                <w:szCs w:val="18"/>
                <w:color w:val="auto"/>
              </w:rPr>
              <w:t>Excess deferred income taxes</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Energy Efficiency Cost Recovery</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8040" w:type="dxa"/>
            <w:vAlign w:val="bottom"/>
          </w:tcPr>
          <w:p>
            <w:pPr>
              <w:ind w:left="1360"/>
              <w:spacing w:after="0"/>
              <w:rPr>
                <w:sz w:val="20"/>
                <w:szCs w:val="20"/>
                <w:color w:val="auto"/>
              </w:rPr>
            </w:pPr>
            <w:r>
              <w:rPr>
                <w:rFonts w:ascii="Arial" w:cs="Arial" w:eastAsia="Arial" w:hAnsi="Arial"/>
                <w:sz w:val="18"/>
                <w:szCs w:val="18"/>
                <w:color w:val="auto"/>
              </w:rPr>
              <w:t>Energy Efficiency Cost Recovery Factor</w:t>
            </w:r>
          </w:p>
        </w:tc>
      </w:tr>
      <w:tr>
        <w:trPr>
          <w:trHeight w:val="27"/>
        </w:trPr>
        <w:tc>
          <w:tcPr>
            <w:tcW w:w="33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80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Energy Efficiency Funding Component</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8040" w:type="dxa"/>
            <w:vAlign w:val="bottom"/>
          </w:tcPr>
          <w:p>
            <w:pPr>
              <w:ind w:left="1360"/>
              <w:spacing w:after="0"/>
              <w:rPr>
                <w:sz w:val="20"/>
                <w:szCs w:val="20"/>
                <w:color w:val="auto"/>
              </w:rPr>
            </w:pPr>
            <w:r>
              <w:rPr>
                <w:rFonts w:ascii="Arial" w:cs="Arial" w:eastAsia="Arial" w:hAnsi="Arial"/>
                <w:sz w:val="18"/>
                <w:szCs w:val="18"/>
                <w:color w:val="auto"/>
              </w:rPr>
              <w:t>Energy Efficiency Funding Rider</w:t>
            </w:r>
          </w:p>
        </w:tc>
      </w:tr>
      <w:tr>
        <w:trPr>
          <w:trHeight w:val="486"/>
        </w:trPr>
        <w:tc>
          <w:tcPr>
            <w:tcW w:w="3320" w:type="dxa"/>
            <w:vAlign w:val="bottom"/>
          </w:tcPr>
          <w:p>
            <w:pPr>
              <w:spacing w:after="0"/>
              <w:rPr>
                <w:sz w:val="24"/>
                <w:szCs w:val="24"/>
                <w:color w:val="auto"/>
              </w:rPr>
            </w:pPr>
          </w:p>
        </w:tc>
        <w:tc>
          <w:tcPr>
            <w:tcW w:w="8040" w:type="dxa"/>
            <w:vAlign w:val="bottom"/>
          </w:tcPr>
          <w:p>
            <w:pPr>
              <w:ind w:left="2300"/>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1360"/>
          </w:cols>
          <w:pgMar w:left="280" w:top="746" w:right="2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480" w:type="dxa"/>
            <w:vAlign w:val="bottom"/>
          </w:tcPr>
          <w:p>
            <w:pPr>
              <w:ind w:left="134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88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ELG</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Effluent Limitation Guidelines</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EMV</w:t>
            </w:r>
          </w:p>
        </w:tc>
        <w:tc>
          <w:tcPr>
            <w:tcW w:w="7480" w:type="dxa"/>
            <w:vAlign w:val="bottom"/>
          </w:tcPr>
          <w:p>
            <w:pPr>
              <w:ind w:left="800"/>
              <w:spacing w:after="0"/>
              <w:rPr>
                <w:sz w:val="20"/>
                <w:szCs w:val="20"/>
                <w:color w:val="auto"/>
              </w:rPr>
            </w:pPr>
            <w:r>
              <w:rPr>
                <w:rFonts w:ascii="Arial" w:cs="Arial" w:eastAsia="Arial" w:hAnsi="Arial"/>
                <w:sz w:val="18"/>
                <w:szCs w:val="18"/>
                <w:color w:val="auto"/>
              </w:rPr>
              <w:t>Evaluation, measurement and valuation</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Enable Midstream Partners, LP</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Enable GP</w:t>
            </w:r>
          </w:p>
        </w:tc>
        <w:tc>
          <w:tcPr>
            <w:tcW w:w="7480" w:type="dxa"/>
            <w:vAlign w:val="bottom"/>
          </w:tcPr>
          <w:p>
            <w:pPr>
              <w:ind w:left="800"/>
              <w:spacing w:after="0"/>
              <w:rPr>
                <w:sz w:val="20"/>
                <w:szCs w:val="20"/>
                <w:color w:val="auto"/>
              </w:rPr>
            </w:pPr>
            <w:r>
              <w:rPr>
                <w:rFonts w:ascii="Arial" w:cs="Arial" w:eastAsia="Arial" w:hAnsi="Arial"/>
                <w:sz w:val="18"/>
                <w:szCs w:val="18"/>
                <w:color w:val="auto"/>
              </w:rPr>
              <w:t>Enable GP, LLC, Enable’s general partner</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 Series A Preferred Units</w:t>
            </w:r>
          </w:p>
        </w:tc>
        <w:tc>
          <w:tcPr>
            <w:tcW w:w="74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1"/>
              </w:rPr>
              <w:t>Enable’s 10% Series A Fixed-to-Floating Non-Cumulative Redeemable Perpetual Preferred</w:t>
            </w:r>
          </w:p>
        </w:tc>
      </w:tr>
      <w:tr>
        <w:trPr>
          <w:trHeight w:val="237"/>
        </w:trPr>
        <w:tc>
          <w:tcPr>
            <w:tcW w:w="388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Units, representing limited partner interests in Enable</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480" w:type="dxa"/>
            <w:vAlign w:val="bottom"/>
          </w:tcPr>
          <w:p>
            <w:pPr>
              <w:ind w:left="800"/>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Electric Reliability Council of Texas</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ESG</w:t>
            </w:r>
          </w:p>
        </w:tc>
        <w:tc>
          <w:tcPr>
            <w:tcW w:w="7480" w:type="dxa"/>
            <w:vAlign w:val="bottom"/>
          </w:tcPr>
          <w:p>
            <w:pPr>
              <w:ind w:left="800"/>
              <w:spacing w:after="0"/>
              <w:rPr>
                <w:sz w:val="20"/>
                <w:szCs w:val="20"/>
                <w:color w:val="auto"/>
              </w:rPr>
            </w:pPr>
            <w:r>
              <w:rPr>
                <w:rFonts w:ascii="Arial" w:cs="Arial" w:eastAsia="Arial" w:hAnsi="Arial"/>
                <w:sz w:val="18"/>
                <w:szCs w:val="18"/>
                <w:color w:val="auto"/>
              </w:rPr>
              <w:t>Energy Systems Group, LLC, a wholly-owned subsidiary of Vectren</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480" w:type="dxa"/>
            <w:vAlign w:val="bottom"/>
          </w:tcPr>
          <w:p>
            <w:pPr>
              <w:ind w:left="800"/>
              <w:spacing w:after="0"/>
              <w:rPr>
                <w:sz w:val="20"/>
                <w:szCs w:val="20"/>
                <w:color w:val="auto"/>
              </w:rPr>
            </w:pPr>
            <w:r>
              <w:rPr>
                <w:rFonts w:ascii="Arial" w:cs="Arial" w:eastAsia="Arial" w:hAnsi="Arial"/>
                <w:sz w:val="18"/>
                <w:szCs w:val="18"/>
                <w:color w:val="auto"/>
              </w:rPr>
              <w:t>Fitch, Inc.</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Quarterly Report on Form 10-Q</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FRP</w:t>
            </w:r>
          </w:p>
        </w:tc>
        <w:tc>
          <w:tcPr>
            <w:tcW w:w="7480" w:type="dxa"/>
            <w:vAlign w:val="bottom"/>
          </w:tcPr>
          <w:p>
            <w:pPr>
              <w:ind w:left="800"/>
              <w:spacing w:after="0"/>
              <w:rPr>
                <w:sz w:val="20"/>
                <w:szCs w:val="20"/>
                <w:color w:val="auto"/>
              </w:rPr>
            </w:pPr>
            <w:r>
              <w:rPr>
                <w:rFonts w:ascii="Arial" w:cs="Arial" w:eastAsia="Arial" w:hAnsi="Arial"/>
                <w:sz w:val="18"/>
                <w:szCs w:val="18"/>
                <w:color w:val="auto"/>
              </w:rPr>
              <w:t>Formula Rate Plan</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Gas Daily</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Platts gas daily indices</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GenOn</w:t>
            </w:r>
          </w:p>
        </w:tc>
        <w:tc>
          <w:tcPr>
            <w:tcW w:w="7480" w:type="dxa"/>
            <w:vAlign w:val="bottom"/>
          </w:tcPr>
          <w:p>
            <w:pPr>
              <w:ind w:left="800"/>
              <w:spacing w:after="0"/>
              <w:rPr>
                <w:sz w:val="20"/>
                <w:szCs w:val="20"/>
                <w:color w:val="auto"/>
              </w:rPr>
            </w:pPr>
            <w:r>
              <w:rPr>
                <w:rFonts w:ascii="Arial" w:cs="Arial" w:eastAsia="Arial" w:hAnsi="Arial"/>
                <w:sz w:val="18"/>
                <w:szCs w:val="18"/>
                <w:color w:val="auto"/>
              </w:rPr>
              <w:t>GenOn Energy, Inc.</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Greenhouse gases</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480" w:type="dxa"/>
            <w:vAlign w:val="bottom"/>
          </w:tcPr>
          <w:p>
            <w:pPr>
              <w:ind w:left="800"/>
              <w:spacing w:after="0"/>
              <w:rPr>
                <w:sz w:val="20"/>
                <w:szCs w:val="20"/>
                <w:color w:val="auto"/>
              </w:rPr>
            </w:pPr>
            <w:r>
              <w:rPr>
                <w:rFonts w:ascii="Arial" w:cs="Arial" w:eastAsia="Arial" w:hAnsi="Arial"/>
                <w:sz w:val="18"/>
                <w:szCs w:val="18"/>
                <w:color w:val="auto"/>
              </w:rPr>
              <w:t>Gas Reliability Infrastructure Program</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Gigawatt-hours</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480" w:type="dxa"/>
            <w:vAlign w:val="bottom"/>
          </w:tcPr>
          <w:p>
            <w:pPr>
              <w:ind w:left="800"/>
              <w:spacing w:after="0"/>
              <w:rPr>
                <w:sz w:val="20"/>
                <w:szCs w:val="20"/>
                <w:color w:val="auto"/>
              </w:rPr>
            </w:pPr>
            <w:r>
              <w:rPr>
                <w:rFonts w:ascii="Arial" w:cs="Arial" w:eastAsia="Arial" w:hAnsi="Arial"/>
                <w:sz w:val="18"/>
                <w:szCs w:val="18"/>
                <w:color w:val="auto"/>
              </w:rPr>
              <w:t>CenterPoint Energy Houston Electric, LLC and its subsidiaries</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Indiana Department of Environmental Management</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Electric</w:t>
            </w:r>
          </w:p>
        </w:tc>
        <w:tc>
          <w:tcPr>
            <w:tcW w:w="7480" w:type="dxa"/>
            <w:vAlign w:val="bottom"/>
          </w:tcPr>
          <w:p>
            <w:pPr>
              <w:ind w:left="800"/>
              <w:spacing w:after="0"/>
              <w:rPr>
                <w:sz w:val="20"/>
                <w:szCs w:val="20"/>
                <w:color w:val="auto"/>
              </w:rPr>
            </w:pPr>
            <w:r>
              <w:rPr>
                <w:rFonts w:ascii="Arial" w:cs="Arial" w:eastAsia="Arial" w:hAnsi="Arial"/>
                <w:sz w:val="18"/>
                <w:szCs w:val="18"/>
                <w:color w:val="auto"/>
                <w:w w:val="95"/>
              </w:rPr>
              <w:t>Operations of SIGECO’s electric transmission and distribution services, and includes its</w:t>
            </w:r>
          </w:p>
        </w:tc>
      </w:tr>
      <w:tr>
        <w:trPr>
          <w:trHeight w:val="230"/>
        </w:trPr>
        <w:tc>
          <w:tcPr>
            <w:tcW w:w="3880" w:type="dxa"/>
            <w:vAlign w:val="bottom"/>
          </w:tcPr>
          <w:p>
            <w:pPr>
              <w:spacing w:after="0"/>
              <w:rPr>
                <w:sz w:val="20"/>
                <w:szCs w:val="20"/>
                <w:color w:val="auto"/>
              </w:rPr>
            </w:pPr>
          </w:p>
        </w:tc>
        <w:tc>
          <w:tcPr>
            <w:tcW w:w="7480" w:type="dxa"/>
            <w:vAlign w:val="bottom"/>
          </w:tcPr>
          <w:p>
            <w:pPr>
              <w:ind w:left="800"/>
              <w:spacing w:after="0"/>
              <w:rPr>
                <w:sz w:val="20"/>
                <w:szCs w:val="20"/>
                <w:color w:val="auto"/>
              </w:rPr>
            </w:pPr>
            <w:r>
              <w:rPr>
                <w:rFonts w:ascii="Arial" w:cs="Arial" w:eastAsia="Arial" w:hAnsi="Arial"/>
                <w:sz w:val="18"/>
                <w:szCs w:val="18"/>
                <w:color w:val="auto"/>
              </w:rPr>
              <w:t>power generating and wholesale power operations</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Gas</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Indiana Gas Company, Inc., a wholly-owned subsidiary of Vectren</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480" w:type="dxa"/>
            <w:vAlign w:val="bottom"/>
          </w:tcPr>
          <w:p>
            <w:pPr>
              <w:ind w:left="800"/>
              <w:spacing w:after="0"/>
              <w:rPr>
                <w:sz w:val="20"/>
                <w:szCs w:val="20"/>
                <w:color w:val="auto"/>
              </w:rPr>
            </w:pPr>
            <w:r>
              <w:rPr>
                <w:rFonts w:ascii="Arial" w:cs="Arial" w:eastAsia="Arial" w:hAnsi="Arial"/>
                <w:sz w:val="18"/>
                <w:szCs w:val="18"/>
                <w:color w:val="auto"/>
              </w:rPr>
              <w:t>Gas operations of Indiana Gas</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Gas operations of SIGECO</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480" w:type="dxa"/>
            <w:vAlign w:val="bottom"/>
          </w:tcPr>
          <w:p>
            <w:pPr>
              <w:ind w:left="800"/>
              <w:spacing w:after="0"/>
              <w:rPr>
                <w:sz w:val="20"/>
                <w:szCs w:val="20"/>
                <w:color w:val="auto"/>
              </w:rPr>
            </w:pPr>
            <w:r>
              <w:rPr>
                <w:rFonts w:ascii="Arial" w:cs="Arial" w:eastAsia="Arial" w:hAnsi="Arial"/>
                <w:sz w:val="18"/>
                <w:szCs w:val="18"/>
                <w:color w:val="auto"/>
              </w:rPr>
              <w:t>The combination of Indiana Electric, Indiana North and Indiana South</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9"/>
              </w:rPr>
              <w:t>Unaudited condensed consolidated interim financial statements and combined notes</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Internal Spin</w:t>
            </w:r>
          </w:p>
        </w:tc>
        <w:tc>
          <w:tcPr>
            <w:tcW w:w="7480" w:type="dxa"/>
            <w:vAlign w:val="bottom"/>
          </w:tcPr>
          <w:p>
            <w:pPr>
              <w:ind w:left="800"/>
              <w:spacing w:after="0"/>
              <w:rPr>
                <w:sz w:val="20"/>
                <w:szCs w:val="20"/>
                <w:color w:val="auto"/>
              </w:rPr>
            </w:pPr>
            <w:r>
              <w:rPr>
                <w:rFonts w:ascii="Arial" w:cs="Arial" w:eastAsia="Arial" w:hAnsi="Arial"/>
                <w:sz w:val="18"/>
                <w:szCs w:val="18"/>
                <w:color w:val="auto"/>
                <w:w w:val="92"/>
              </w:rPr>
              <w:t>The series of internal transactions consummated on September 4, 2018 whereby CERC (i)</w:t>
            </w:r>
          </w:p>
        </w:tc>
      </w:tr>
      <w:tr>
        <w:trPr>
          <w:trHeight w:val="216"/>
        </w:trPr>
        <w:tc>
          <w:tcPr>
            <w:tcW w:w="3880" w:type="dxa"/>
            <w:vAlign w:val="bottom"/>
          </w:tcPr>
          <w:p>
            <w:pPr>
              <w:spacing w:after="0"/>
              <w:rPr>
                <w:sz w:val="18"/>
                <w:szCs w:val="18"/>
                <w:color w:val="auto"/>
              </w:rPr>
            </w:pPr>
          </w:p>
        </w:tc>
        <w:tc>
          <w:tcPr>
            <w:tcW w:w="7480" w:type="dxa"/>
            <w:vAlign w:val="bottom"/>
          </w:tcPr>
          <w:p>
            <w:pPr>
              <w:ind w:left="800"/>
              <w:spacing w:after="0"/>
              <w:rPr>
                <w:sz w:val="20"/>
                <w:szCs w:val="20"/>
                <w:color w:val="auto"/>
              </w:rPr>
            </w:pPr>
            <w:r>
              <w:rPr>
                <w:rFonts w:ascii="Arial" w:cs="Arial" w:eastAsia="Arial" w:hAnsi="Arial"/>
                <w:sz w:val="18"/>
                <w:szCs w:val="18"/>
                <w:color w:val="auto"/>
                <w:w w:val="98"/>
              </w:rPr>
              <w:t>contributed its equity investment in Enable consisting of Enable common units and its</w:t>
            </w:r>
          </w:p>
        </w:tc>
      </w:tr>
      <w:tr>
        <w:trPr>
          <w:trHeight w:val="216"/>
        </w:trPr>
        <w:tc>
          <w:tcPr>
            <w:tcW w:w="3880" w:type="dxa"/>
            <w:vAlign w:val="bottom"/>
          </w:tcPr>
          <w:p>
            <w:pPr>
              <w:spacing w:after="0"/>
              <w:rPr>
                <w:sz w:val="18"/>
                <w:szCs w:val="18"/>
                <w:color w:val="auto"/>
              </w:rPr>
            </w:pPr>
          </w:p>
        </w:tc>
        <w:tc>
          <w:tcPr>
            <w:tcW w:w="7480" w:type="dxa"/>
            <w:vAlign w:val="bottom"/>
          </w:tcPr>
          <w:p>
            <w:pPr>
              <w:ind w:left="800"/>
              <w:spacing w:after="0"/>
              <w:rPr>
                <w:sz w:val="20"/>
                <w:szCs w:val="20"/>
                <w:color w:val="auto"/>
              </w:rPr>
            </w:pPr>
            <w:r>
              <w:rPr>
                <w:rFonts w:ascii="Arial" w:cs="Arial" w:eastAsia="Arial" w:hAnsi="Arial"/>
                <w:sz w:val="18"/>
                <w:szCs w:val="18"/>
                <w:color w:val="auto"/>
                <w:w w:val="98"/>
              </w:rPr>
              <w:t>interests in Enable GP to CNP Midstream and (ii) transferred all of its interest in CNP</w:t>
            </w:r>
          </w:p>
        </w:tc>
      </w:tr>
      <w:tr>
        <w:trPr>
          <w:trHeight w:val="230"/>
        </w:trPr>
        <w:tc>
          <w:tcPr>
            <w:tcW w:w="3880" w:type="dxa"/>
            <w:vAlign w:val="bottom"/>
          </w:tcPr>
          <w:p>
            <w:pPr>
              <w:spacing w:after="0"/>
              <w:rPr>
                <w:sz w:val="20"/>
                <w:szCs w:val="20"/>
                <w:color w:val="auto"/>
              </w:rPr>
            </w:pPr>
          </w:p>
        </w:tc>
        <w:tc>
          <w:tcPr>
            <w:tcW w:w="7480" w:type="dxa"/>
            <w:vAlign w:val="bottom"/>
          </w:tcPr>
          <w:p>
            <w:pPr>
              <w:ind w:left="800"/>
              <w:spacing w:after="0"/>
              <w:rPr>
                <w:sz w:val="20"/>
                <w:szCs w:val="20"/>
                <w:color w:val="auto"/>
              </w:rPr>
            </w:pPr>
            <w:r>
              <w:rPr>
                <w:rFonts w:ascii="Arial" w:cs="Arial" w:eastAsia="Arial" w:hAnsi="Arial"/>
                <w:sz w:val="18"/>
                <w:szCs w:val="18"/>
                <w:color w:val="auto"/>
              </w:rPr>
              <w:t>Midstream to CenterPoint Energy</w:t>
            </w:r>
          </w:p>
        </w:tc>
      </w:tr>
      <w:tr>
        <w:trPr>
          <w:trHeight w:val="162"/>
        </w:trPr>
        <w:tc>
          <w:tcPr>
            <w:tcW w:w="3880" w:type="dxa"/>
            <w:vAlign w:val="bottom"/>
          </w:tcPr>
          <w:p>
            <w:pPr>
              <w:spacing w:after="0"/>
              <w:rPr>
                <w:sz w:val="14"/>
                <w:szCs w:val="14"/>
                <w:color w:val="auto"/>
              </w:rPr>
            </w:pPr>
          </w:p>
        </w:tc>
        <w:tc>
          <w:tcPr>
            <w:tcW w:w="7480" w:type="dxa"/>
            <w:vAlign w:val="bottom"/>
          </w:tcPr>
          <w:p>
            <w:pPr>
              <w:spacing w:after="0"/>
              <w:rPr>
                <w:sz w:val="14"/>
                <w:szCs w:val="14"/>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Integrated Resource Plan</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480" w:type="dxa"/>
            <w:vAlign w:val="bottom"/>
          </w:tcPr>
          <w:p>
            <w:pPr>
              <w:ind w:left="800"/>
              <w:spacing w:after="0"/>
              <w:rPr>
                <w:sz w:val="20"/>
                <w:szCs w:val="20"/>
                <w:color w:val="auto"/>
              </w:rPr>
            </w:pPr>
            <w:r>
              <w:rPr>
                <w:rFonts w:ascii="Arial" w:cs="Arial" w:eastAsia="Arial" w:hAnsi="Arial"/>
                <w:sz w:val="18"/>
                <w:szCs w:val="18"/>
                <w:color w:val="auto"/>
              </w:rPr>
              <w:t>Internal Revenue Service</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Indiana Utility Regulatory Commission</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kV</w:t>
            </w:r>
          </w:p>
        </w:tc>
        <w:tc>
          <w:tcPr>
            <w:tcW w:w="7480" w:type="dxa"/>
            <w:vAlign w:val="bottom"/>
          </w:tcPr>
          <w:p>
            <w:pPr>
              <w:ind w:left="800"/>
              <w:spacing w:after="0"/>
              <w:rPr>
                <w:sz w:val="20"/>
                <w:szCs w:val="20"/>
                <w:color w:val="auto"/>
              </w:rPr>
            </w:pPr>
            <w:r>
              <w:rPr>
                <w:rFonts w:ascii="Arial" w:cs="Arial" w:eastAsia="Arial" w:hAnsi="Arial"/>
                <w:sz w:val="18"/>
                <w:szCs w:val="18"/>
                <w:color w:val="auto"/>
              </w:rPr>
              <w:t>Kilovolt</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MATS</w:t>
            </w:r>
          </w:p>
        </w:tc>
        <w:tc>
          <w:tcPr>
            <w:tcW w:w="7480" w:type="dxa"/>
            <w:vAlign w:val="bottom"/>
          </w:tcPr>
          <w:p>
            <w:pPr>
              <w:ind w:left="800"/>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Merger</w:t>
            </w:r>
          </w:p>
        </w:tc>
        <w:tc>
          <w:tcPr>
            <w:tcW w:w="74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The merger of Merger Sub with and into Vectren on the terms and subject to the conditions</w:t>
            </w:r>
          </w:p>
        </w:tc>
      </w:tr>
      <w:tr>
        <w:trPr>
          <w:trHeight w:val="216"/>
        </w:trPr>
        <w:tc>
          <w:tcPr>
            <w:tcW w:w="3880" w:type="dxa"/>
            <w:vAlign w:val="bottom"/>
            <w:shd w:val="clear" w:color="auto" w:fill="CCEEFF"/>
          </w:tcPr>
          <w:p>
            <w:pPr>
              <w:spacing w:after="0"/>
              <w:rPr>
                <w:sz w:val="18"/>
                <w:szCs w:val="18"/>
                <w:color w:val="auto"/>
              </w:rPr>
            </w:pPr>
          </w:p>
        </w:tc>
        <w:tc>
          <w:tcPr>
            <w:tcW w:w="74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6"/>
              </w:rPr>
              <w:t>set forth in the Merger Agreement, with Vectren continuing as the surviving corporation</w:t>
            </w:r>
          </w:p>
        </w:tc>
      </w:tr>
      <w:tr>
        <w:trPr>
          <w:trHeight w:val="237"/>
        </w:trPr>
        <w:tc>
          <w:tcPr>
            <w:tcW w:w="388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and as a wholly-owned subsidiary of CenterPoint Energy, Inc.</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Merger Agreement</w:t>
            </w:r>
          </w:p>
        </w:tc>
        <w:tc>
          <w:tcPr>
            <w:tcW w:w="7480" w:type="dxa"/>
            <w:vAlign w:val="bottom"/>
          </w:tcPr>
          <w:p>
            <w:pPr>
              <w:ind w:left="800"/>
              <w:spacing w:after="0"/>
              <w:rPr>
                <w:sz w:val="20"/>
                <w:szCs w:val="20"/>
                <w:color w:val="auto"/>
              </w:rPr>
            </w:pPr>
            <w:r>
              <w:rPr>
                <w:rFonts w:ascii="Arial" w:cs="Arial" w:eastAsia="Arial" w:hAnsi="Arial"/>
                <w:sz w:val="18"/>
                <w:szCs w:val="18"/>
                <w:color w:val="auto"/>
                <w:w w:val="96"/>
              </w:rPr>
              <w:t>Agreement and Plan of Merger, dated as of April 21, 2018, among CenterPoint Energy,</w:t>
            </w:r>
          </w:p>
        </w:tc>
      </w:tr>
      <w:tr>
        <w:trPr>
          <w:trHeight w:val="230"/>
        </w:trPr>
        <w:tc>
          <w:tcPr>
            <w:tcW w:w="3880" w:type="dxa"/>
            <w:vAlign w:val="bottom"/>
          </w:tcPr>
          <w:p>
            <w:pPr>
              <w:spacing w:after="0"/>
              <w:rPr>
                <w:sz w:val="20"/>
                <w:szCs w:val="20"/>
                <w:color w:val="auto"/>
              </w:rPr>
            </w:pPr>
          </w:p>
        </w:tc>
        <w:tc>
          <w:tcPr>
            <w:tcW w:w="7480" w:type="dxa"/>
            <w:vAlign w:val="bottom"/>
          </w:tcPr>
          <w:p>
            <w:pPr>
              <w:ind w:left="800"/>
              <w:spacing w:after="0"/>
              <w:rPr>
                <w:sz w:val="20"/>
                <w:szCs w:val="20"/>
                <w:color w:val="auto"/>
              </w:rPr>
            </w:pPr>
            <w:r>
              <w:rPr>
                <w:rFonts w:ascii="Arial" w:cs="Arial" w:eastAsia="Arial" w:hAnsi="Arial"/>
                <w:sz w:val="18"/>
                <w:szCs w:val="18"/>
                <w:color w:val="auto"/>
              </w:rPr>
              <w:t>Vectren and Merger Sub</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Merger Date</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February 1, 2019</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Merger Sub</w:t>
            </w:r>
          </w:p>
        </w:tc>
        <w:tc>
          <w:tcPr>
            <w:tcW w:w="7480" w:type="dxa"/>
            <w:vAlign w:val="bottom"/>
          </w:tcPr>
          <w:p>
            <w:pPr>
              <w:ind w:left="800"/>
              <w:spacing w:after="0"/>
              <w:rPr>
                <w:sz w:val="20"/>
                <w:szCs w:val="20"/>
                <w:color w:val="auto"/>
              </w:rPr>
            </w:pPr>
            <w:r>
              <w:rPr>
                <w:rFonts w:ascii="Arial" w:cs="Arial" w:eastAsia="Arial" w:hAnsi="Arial"/>
                <w:sz w:val="18"/>
                <w:szCs w:val="18"/>
                <w:color w:val="auto"/>
              </w:rPr>
              <w:t>Pacer Merger Sub, Inc., an Indiana corporation and wholly-owned subsidiary of</w:t>
            </w:r>
          </w:p>
        </w:tc>
      </w:tr>
      <w:tr>
        <w:trPr>
          <w:trHeight w:val="230"/>
        </w:trPr>
        <w:tc>
          <w:tcPr>
            <w:tcW w:w="3880" w:type="dxa"/>
            <w:vAlign w:val="bottom"/>
          </w:tcPr>
          <w:p>
            <w:pPr>
              <w:spacing w:after="0"/>
              <w:rPr>
                <w:sz w:val="20"/>
                <w:szCs w:val="20"/>
                <w:color w:val="auto"/>
              </w:rPr>
            </w:pPr>
          </w:p>
        </w:tc>
        <w:tc>
          <w:tcPr>
            <w:tcW w:w="7480" w:type="dxa"/>
            <w:vAlign w:val="bottom"/>
          </w:tcPr>
          <w:p>
            <w:pPr>
              <w:ind w:left="800"/>
              <w:spacing w:after="0"/>
              <w:rPr>
                <w:sz w:val="20"/>
                <w:szCs w:val="20"/>
                <w:color w:val="auto"/>
              </w:rPr>
            </w:pPr>
            <w:r>
              <w:rPr>
                <w:rFonts w:ascii="Arial" w:cs="Arial" w:eastAsia="Arial" w:hAnsi="Arial"/>
                <w:sz w:val="18"/>
                <w:szCs w:val="18"/>
                <w:color w:val="auto"/>
              </w:rPr>
              <w:t>CenterPoint Energy</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Manufactured gas plant</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MISO</w:t>
            </w:r>
          </w:p>
        </w:tc>
        <w:tc>
          <w:tcPr>
            <w:tcW w:w="7480" w:type="dxa"/>
            <w:vAlign w:val="bottom"/>
          </w:tcPr>
          <w:p>
            <w:pPr>
              <w:ind w:left="800"/>
              <w:spacing w:after="0"/>
              <w:rPr>
                <w:sz w:val="20"/>
                <w:szCs w:val="20"/>
                <w:color w:val="auto"/>
              </w:rPr>
            </w:pPr>
            <w:r>
              <w:rPr>
                <w:rFonts w:ascii="Arial" w:cs="Arial" w:eastAsia="Arial" w:hAnsi="Arial"/>
                <w:sz w:val="18"/>
                <w:szCs w:val="18"/>
                <w:color w:val="auto"/>
              </w:rPr>
              <w:t>Midcontinent Independent System Operator</w:t>
            </w:r>
          </w:p>
        </w:tc>
      </w:tr>
      <w:tr>
        <w:trPr>
          <w:trHeight w:val="27"/>
        </w:trPr>
        <w:tc>
          <w:tcPr>
            <w:tcW w:w="388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MLP</w:t>
            </w:r>
          </w:p>
        </w:tc>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Master Limited Partnership</w:t>
            </w:r>
          </w:p>
        </w:tc>
      </w:tr>
      <w:tr>
        <w:trPr>
          <w:trHeight w:val="459"/>
        </w:trPr>
        <w:tc>
          <w:tcPr>
            <w:tcW w:w="3880" w:type="dxa"/>
            <w:vAlign w:val="bottom"/>
          </w:tcPr>
          <w:p>
            <w:pPr>
              <w:spacing w:after="0"/>
              <w:rPr>
                <w:sz w:val="24"/>
                <w:szCs w:val="24"/>
                <w:color w:val="auto"/>
              </w:rPr>
            </w:pPr>
          </w:p>
        </w:tc>
        <w:tc>
          <w:tcPr>
            <w:tcW w:w="7480" w:type="dxa"/>
            <w:vAlign w:val="bottom"/>
          </w:tcPr>
          <w:p>
            <w:pPr>
              <w:ind w:left="172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360"/>
          </w:cols>
          <w:pgMar w:left="280" w:top="530" w:right="2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7980" w:type="dxa"/>
            <w:vAlign w:val="bottom"/>
          </w:tcPr>
          <w:p>
            <w:pPr>
              <w:ind w:left="184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380" w:type="dxa"/>
            <w:vAlign w:val="bottom"/>
            <w:tcBorders>
              <w:bottom w:val="single" w:sz="8" w:color="auto"/>
            </w:tcBorders>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MMBtu</w:t>
            </w:r>
          </w:p>
        </w:tc>
        <w:tc>
          <w:tcPr>
            <w:tcW w:w="7980" w:type="dxa"/>
            <w:vAlign w:val="bottom"/>
          </w:tcPr>
          <w:p>
            <w:pPr>
              <w:ind w:left="1300"/>
              <w:spacing w:after="0"/>
              <w:rPr>
                <w:sz w:val="20"/>
                <w:szCs w:val="20"/>
                <w:color w:val="auto"/>
              </w:rPr>
            </w:pPr>
            <w:r>
              <w:rPr>
                <w:rFonts w:ascii="Arial" w:cs="Arial" w:eastAsia="Arial" w:hAnsi="Arial"/>
                <w:sz w:val="18"/>
                <w:szCs w:val="18"/>
                <w:color w:val="auto"/>
              </w:rPr>
              <w:t>One million British thermal units</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Moody’s Investors Service, Inc.</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MPSC</w:t>
            </w:r>
          </w:p>
        </w:tc>
        <w:tc>
          <w:tcPr>
            <w:tcW w:w="7980" w:type="dxa"/>
            <w:vAlign w:val="bottom"/>
          </w:tcPr>
          <w:p>
            <w:pPr>
              <w:ind w:left="1300"/>
              <w:spacing w:after="0"/>
              <w:rPr>
                <w:sz w:val="20"/>
                <w:szCs w:val="20"/>
                <w:color w:val="auto"/>
              </w:rPr>
            </w:pPr>
            <w:r>
              <w:rPr>
                <w:rFonts w:ascii="Arial" w:cs="Arial" w:eastAsia="Arial" w:hAnsi="Arial"/>
                <w:sz w:val="18"/>
                <w:szCs w:val="18"/>
                <w:color w:val="auto"/>
              </w:rPr>
              <w:t>Mississippi Public Service Commission</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MRT</w:t>
            </w:r>
          </w:p>
        </w:tc>
        <w:tc>
          <w:tcPr>
            <w:tcW w:w="7980" w:type="dxa"/>
            <w:vAlign w:val="bottom"/>
          </w:tcPr>
          <w:p>
            <w:pPr>
              <w:ind w:left="1300"/>
              <w:spacing w:after="0"/>
              <w:rPr>
                <w:sz w:val="20"/>
                <w:szCs w:val="20"/>
                <w:color w:val="auto"/>
              </w:rPr>
            </w:pPr>
            <w:r>
              <w:rPr>
                <w:rFonts w:ascii="Arial" w:cs="Arial" w:eastAsia="Arial" w:hAnsi="Arial"/>
                <w:sz w:val="18"/>
                <w:szCs w:val="18"/>
                <w:color w:val="auto"/>
              </w:rPr>
              <w:t>Enable Mississippi River Transmission, LLC</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Megawatts</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NGD</w:t>
            </w:r>
          </w:p>
        </w:tc>
        <w:tc>
          <w:tcPr>
            <w:tcW w:w="7980" w:type="dxa"/>
            <w:vAlign w:val="bottom"/>
          </w:tcPr>
          <w:p>
            <w:pPr>
              <w:ind w:left="1300"/>
              <w:spacing w:after="0"/>
              <w:rPr>
                <w:sz w:val="20"/>
                <w:szCs w:val="20"/>
                <w:color w:val="auto"/>
              </w:rPr>
            </w:pPr>
            <w:r>
              <w:rPr>
                <w:rFonts w:ascii="Arial" w:cs="Arial" w:eastAsia="Arial" w:hAnsi="Arial"/>
                <w:sz w:val="18"/>
                <w:szCs w:val="18"/>
                <w:color w:val="auto"/>
              </w:rPr>
              <w:t>Natural gas distribution business</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NGLs</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Natural gas liquids</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980" w:type="dxa"/>
            <w:vAlign w:val="bottom"/>
          </w:tcPr>
          <w:p>
            <w:pPr>
              <w:ind w:left="1300"/>
              <w:spacing w:after="0"/>
              <w:rPr>
                <w:sz w:val="20"/>
                <w:szCs w:val="20"/>
                <w:color w:val="auto"/>
              </w:rPr>
            </w:pPr>
            <w:r>
              <w:rPr>
                <w:rFonts w:ascii="Arial" w:cs="Arial" w:eastAsia="Arial" w:hAnsi="Arial"/>
                <w:sz w:val="18"/>
                <w:szCs w:val="18"/>
                <w:color w:val="auto"/>
              </w:rPr>
              <w:t>NRG Energy, Inc.</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NYMEX</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New York Mercantile Exchange</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NYSE</w:t>
            </w:r>
          </w:p>
        </w:tc>
        <w:tc>
          <w:tcPr>
            <w:tcW w:w="7980" w:type="dxa"/>
            <w:vAlign w:val="bottom"/>
          </w:tcPr>
          <w:p>
            <w:pPr>
              <w:ind w:left="1300"/>
              <w:spacing w:after="0"/>
              <w:rPr>
                <w:sz w:val="20"/>
                <w:szCs w:val="20"/>
                <w:color w:val="auto"/>
              </w:rPr>
            </w:pPr>
            <w:r>
              <w:rPr>
                <w:rFonts w:ascii="Arial" w:cs="Arial" w:eastAsia="Arial" w:hAnsi="Arial"/>
                <w:sz w:val="18"/>
                <w:szCs w:val="18"/>
                <w:color w:val="auto"/>
              </w:rPr>
              <w:t>New York Stock Exchange</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OCC</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Oklahoma Corporation Commission</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OGE</w:t>
            </w:r>
          </w:p>
        </w:tc>
        <w:tc>
          <w:tcPr>
            <w:tcW w:w="7980" w:type="dxa"/>
            <w:vAlign w:val="bottom"/>
          </w:tcPr>
          <w:p>
            <w:pPr>
              <w:ind w:left="1300"/>
              <w:spacing w:after="0"/>
              <w:rPr>
                <w:sz w:val="20"/>
                <w:szCs w:val="20"/>
                <w:color w:val="auto"/>
              </w:rPr>
            </w:pPr>
            <w:r>
              <w:rPr>
                <w:rFonts w:ascii="Arial" w:cs="Arial" w:eastAsia="Arial" w:hAnsi="Arial"/>
                <w:sz w:val="18"/>
                <w:szCs w:val="18"/>
                <w:color w:val="auto"/>
              </w:rPr>
              <w:t>OGE Energy Corp.</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PBRC</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Performance Based Rate Change</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980" w:type="dxa"/>
            <w:vAlign w:val="bottom"/>
          </w:tcPr>
          <w:p>
            <w:pPr>
              <w:ind w:left="1300"/>
              <w:spacing w:after="0"/>
              <w:rPr>
                <w:sz w:val="20"/>
                <w:szCs w:val="20"/>
                <w:color w:val="auto"/>
              </w:rPr>
            </w:pPr>
            <w:r>
              <w:rPr>
                <w:rFonts w:ascii="Arial" w:cs="Arial" w:eastAsia="Arial" w:hAnsi="Arial"/>
                <w:sz w:val="18"/>
                <w:szCs w:val="18"/>
                <w:color w:val="auto"/>
              </w:rPr>
              <w:t>Potentially responsible parties</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Public Utilities Commission of Ohio</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980" w:type="dxa"/>
            <w:vAlign w:val="bottom"/>
          </w:tcPr>
          <w:p>
            <w:pPr>
              <w:ind w:left="1300"/>
              <w:spacing w:after="0"/>
              <w:rPr>
                <w:sz w:val="20"/>
                <w:szCs w:val="20"/>
                <w:color w:val="auto"/>
              </w:rPr>
            </w:pPr>
            <w:r>
              <w:rPr>
                <w:rFonts w:ascii="Arial" w:cs="Arial" w:eastAsia="Arial" w:hAnsi="Arial"/>
                <w:sz w:val="18"/>
                <w:szCs w:val="18"/>
                <w:color w:val="auto"/>
              </w:rPr>
              <w:t>Public Utility Commission of Texas</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Railroad Commission of Texas</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980" w:type="dxa"/>
            <w:vAlign w:val="bottom"/>
          </w:tcPr>
          <w:p>
            <w:pPr>
              <w:ind w:left="1300"/>
              <w:spacing w:after="0"/>
              <w:rPr>
                <w:sz w:val="20"/>
                <w:szCs w:val="20"/>
                <w:color w:val="auto"/>
              </w:rPr>
            </w:pPr>
            <w:r>
              <w:rPr>
                <w:rFonts w:ascii="Arial" w:cs="Arial" w:eastAsia="Arial" w:hAnsi="Arial"/>
                <w:sz w:val="18"/>
                <w:szCs w:val="18"/>
                <w:color w:val="auto"/>
              </w:rPr>
              <w:t>Resource Conservation and Recovery Act of 1976</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CenterPoint Energy, Houston Electric and CERC, collectively</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Reliant Energy</w:t>
            </w:r>
          </w:p>
        </w:tc>
        <w:tc>
          <w:tcPr>
            <w:tcW w:w="7980" w:type="dxa"/>
            <w:vAlign w:val="bottom"/>
          </w:tcPr>
          <w:p>
            <w:pPr>
              <w:ind w:left="1300"/>
              <w:spacing w:after="0"/>
              <w:rPr>
                <w:sz w:val="20"/>
                <w:szCs w:val="20"/>
                <w:color w:val="auto"/>
              </w:rPr>
            </w:pPr>
            <w:r>
              <w:rPr>
                <w:rFonts w:ascii="Arial" w:cs="Arial" w:eastAsia="Arial" w:hAnsi="Arial"/>
                <w:sz w:val="18"/>
                <w:szCs w:val="18"/>
                <w:color w:val="auto"/>
              </w:rPr>
              <w:t>Reliant Energy, Incorporated</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Retail electric provider</w:t>
            </w: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Restoration Bond Company</w:t>
            </w:r>
          </w:p>
        </w:tc>
        <w:tc>
          <w:tcPr>
            <w:tcW w:w="7980" w:type="dxa"/>
            <w:vAlign w:val="bottom"/>
          </w:tcPr>
          <w:p>
            <w:pPr>
              <w:ind w:left="1300"/>
              <w:spacing w:after="0"/>
              <w:rPr>
                <w:sz w:val="20"/>
                <w:szCs w:val="20"/>
                <w:color w:val="auto"/>
              </w:rPr>
            </w:pPr>
            <w:r>
              <w:rPr>
                <w:rFonts w:ascii="Arial" w:cs="Arial" w:eastAsia="Arial" w:hAnsi="Arial"/>
                <w:sz w:val="18"/>
                <w:szCs w:val="18"/>
                <w:color w:val="auto"/>
                <w:w w:val="99"/>
              </w:rPr>
              <w:t>CenterPoint Energy Restoration Bond Company, LLC, a wholly-owned subsidiary of</w:t>
            </w:r>
          </w:p>
        </w:tc>
      </w:tr>
      <w:tr>
        <w:trPr>
          <w:trHeight w:val="230"/>
        </w:trPr>
        <w:tc>
          <w:tcPr>
            <w:tcW w:w="3380" w:type="dxa"/>
            <w:vAlign w:val="bottom"/>
          </w:tcPr>
          <w:p>
            <w:pPr>
              <w:spacing w:after="0"/>
              <w:rPr>
                <w:sz w:val="20"/>
                <w:szCs w:val="20"/>
                <w:color w:val="auto"/>
              </w:rPr>
            </w:pPr>
          </w:p>
        </w:tc>
        <w:tc>
          <w:tcPr>
            <w:tcW w:w="7980" w:type="dxa"/>
            <w:vAlign w:val="bottom"/>
          </w:tcPr>
          <w:p>
            <w:pPr>
              <w:ind w:left="1300"/>
              <w:spacing w:after="0"/>
              <w:rPr>
                <w:sz w:val="20"/>
                <w:szCs w:val="20"/>
                <w:color w:val="auto"/>
              </w:rPr>
            </w:pPr>
            <w:r>
              <w:rPr>
                <w:rFonts w:ascii="Arial" w:cs="Arial" w:eastAsia="Arial" w:hAnsi="Arial"/>
                <w:sz w:val="18"/>
                <w:szCs w:val="18"/>
                <w:color w:val="auto"/>
              </w:rPr>
              <w:t>Houston Electric</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Revised Policy Statement</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Revised Policy Statement on Treatment of Income Taxes</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980" w:type="dxa"/>
            <w:vAlign w:val="bottom"/>
          </w:tcPr>
          <w:p>
            <w:pPr>
              <w:ind w:left="1300"/>
              <w:spacing w:after="0"/>
              <w:rPr>
                <w:sz w:val="20"/>
                <w:szCs w:val="20"/>
                <w:color w:val="auto"/>
              </w:rPr>
            </w:pPr>
            <w:r>
              <w:rPr>
                <w:rFonts w:ascii="Arial" w:cs="Arial" w:eastAsia="Arial" w:hAnsi="Arial"/>
                <w:sz w:val="18"/>
                <w:szCs w:val="18"/>
                <w:color w:val="auto"/>
              </w:rPr>
              <w:t>Return on equity</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Right of use</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980" w:type="dxa"/>
            <w:vAlign w:val="bottom"/>
          </w:tcPr>
          <w:p>
            <w:pPr>
              <w:ind w:left="1300"/>
              <w:spacing w:after="0"/>
              <w:rPr>
                <w:sz w:val="20"/>
                <w:szCs w:val="20"/>
                <w:color w:val="auto"/>
              </w:rPr>
            </w:pPr>
            <w:r>
              <w:rPr>
                <w:rFonts w:ascii="Arial" w:cs="Arial" w:eastAsia="Arial" w:hAnsi="Arial"/>
                <w:sz w:val="18"/>
                <w:szCs w:val="18"/>
                <w:color w:val="auto"/>
              </w:rPr>
              <w:t>Rate Regulation Adjustment</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RRI</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Reliant Resources, Inc.</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980" w:type="dxa"/>
            <w:vAlign w:val="bottom"/>
          </w:tcPr>
          <w:p>
            <w:pPr>
              <w:ind w:left="1300"/>
              <w:spacing w:after="0"/>
              <w:rPr>
                <w:sz w:val="20"/>
                <w:szCs w:val="20"/>
                <w:color w:val="auto"/>
              </w:rPr>
            </w:pPr>
            <w:r>
              <w:rPr>
                <w:rFonts w:ascii="Arial" w:cs="Arial" w:eastAsia="Arial" w:hAnsi="Arial"/>
                <w:sz w:val="18"/>
                <w:szCs w:val="18"/>
                <w:color w:val="auto"/>
              </w:rPr>
              <w:t>Rate Stabilization Plan</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Securitization Bonds</w:t>
            </w:r>
          </w:p>
        </w:tc>
        <w:tc>
          <w:tcPr>
            <w:tcW w:w="7980" w:type="dxa"/>
            <w:vAlign w:val="bottom"/>
          </w:tcPr>
          <w:p>
            <w:pPr>
              <w:ind w:left="1300"/>
              <w:spacing w:after="0"/>
              <w:rPr>
                <w:sz w:val="20"/>
                <w:szCs w:val="20"/>
                <w:color w:val="auto"/>
              </w:rPr>
            </w:pPr>
            <w:r>
              <w:rPr>
                <w:rFonts w:ascii="Arial" w:cs="Arial" w:eastAsia="Arial" w:hAnsi="Arial"/>
                <w:sz w:val="18"/>
                <w:szCs w:val="18"/>
                <w:color w:val="auto"/>
              </w:rPr>
              <w:t>Transition and system restoration bonds</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Series A Preferred Stock</w:t>
            </w:r>
          </w:p>
        </w:tc>
        <w:tc>
          <w:tcPr>
            <w:tcW w:w="79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3"/>
              </w:rPr>
              <w:t>CenterPoint Energy’s Series A Fixed-to-Floating Rate Cumulative Redeemable Perpetual</w:t>
            </w:r>
          </w:p>
        </w:tc>
      </w:tr>
      <w:tr>
        <w:trPr>
          <w:trHeight w:val="237"/>
        </w:trPr>
        <w:tc>
          <w:tcPr>
            <w:tcW w:w="3380" w:type="dxa"/>
            <w:vAlign w:val="bottom"/>
            <w:tcBorders>
              <w:bottom w:val="single" w:sz="8" w:color="CCEEFF"/>
            </w:tcBorders>
            <w:shd w:val="clear" w:color="auto" w:fill="CCEEFF"/>
          </w:tcPr>
          <w:p>
            <w:pPr>
              <w:spacing w:after="0"/>
              <w:rPr>
                <w:sz w:val="20"/>
                <w:szCs w:val="20"/>
                <w:color w:val="auto"/>
              </w:rPr>
            </w:pP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w w:val="90"/>
              </w:rPr>
              <w:t>Preferred Stock, par value $0.01 per share, with a liquidation preference of $1,000 per share</w:t>
            </w: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Series B Preferred Stock</w:t>
            </w:r>
          </w:p>
        </w:tc>
        <w:tc>
          <w:tcPr>
            <w:tcW w:w="7980" w:type="dxa"/>
            <w:vAlign w:val="bottom"/>
          </w:tcPr>
          <w:p>
            <w:pPr>
              <w:ind w:left="1300"/>
              <w:spacing w:after="0"/>
              <w:rPr>
                <w:sz w:val="20"/>
                <w:szCs w:val="20"/>
                <w:color w:val="auto"/>
              </w:rPr>
            </w:pPr>
            <w:r>
              <w:rPr>
                <w:rFonts w:ascii="Arial" w:cs="Arial" w:eastAsia="Arial" w:hAnsi="Arial"/>
                <w:sz w:val="18"/>
                <w:szCs w:val="18"/>
                <w:color w:val="auto"/>
                <w:w w:val="95"/>
              </w:rPr>
              <w:t>CenterPoint Energy’s 7.00% Series B Mandatory Convertible Preferred Stock, par value</w:t>
            </w:r>
          </w:p>
        </w:tc>
      </w:tr>
      <w:tr>
        <w:trPr>
          <w:trHeight w:val="230"/>
        </w:trPr>
        <w:tc>
          <w:tcPr>
            <w:tcW w:w="3380" w:type="dxa"/>
            <w:vAlign w:val="bottom"/>
          </w:tcPr>
          <w:p>
            <w:pPr>
              <w:spacing w:after="0"/>
              <w:rPr>
                <w:sz w:val="20"/>
                <w:szCs w:val="20"/>
                <w:color w:val="auto"/>
              </w:rPr>
            </w:pPr>
          </w:p>
        </w:tc>
        <w:tc>
          <w:tcPr>
            <w:tcW w:w="7980" w:type="dxa"/>
            <w:vAlign w:val="bottom"/>
          </w:tcPr>
          <w:p>
            <w:pPr>
              <w:ind w:left="1300"/>
              <w:spacing w:after="0"/>
              <w:rPr>
                <w:sz w:val="20"/>
                <w:szCs w:val="20"/>
                <w:color w:val="auto"/>
              </w:rPr>
            </w:pPr>
            <w:r>
              <w:rPr>
                <w:rFonts w:ascii="Arial" w:cs="Arial" w:eastAsia="Arial" w:hAnsi="Arial"/>
                <w:sz w:val="18"/>
                <w:szCs w:val="18"/>
                <w:color w:val="auto"/>
              </w:rPr>
              <w:t>$0.01 per share, with a liquidation preference of $1,000 per share</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SERP</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Supplemental Executive Retirement Plan</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980" w:type="dxa"/>
            <w:vAlign w:val="bottom"/>
          </w:tcPr>
          <w:p>
            <w:pPr>
              <w:ind w:left="1300"/>
              <w:spacing w:after="0"/>
              <w:rPr>
                <w:sz w:val="20"/>
                <w:szCs w:val="20"/>
                <w:color w:val="auto"/>
              </w:rPr>
            </w:pPr>
            <w:r>
              <w:rPr>
                <w:rFonts w:ascii="Arial" w:cs="Arial" w:eastAsia="Arial" w:hAnsi="Arial"/>
                <w:sz w:val="18"/>
                <w:szCs w:val="18"/>
                <w:color w:val="auto"/>
              </w:rPr>
              <w:t>Southern Indiana Gas and Electric Company, a wholly-owned subsidiary of Vectren</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S&amp;P Global Ratings</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980" w:type="dxa"/>
            <w:vAlign w:val="bottom"/>
          </w:tcPr>
          <w:p>
            <w:pPr>
              <w:ind w:left="1300"/>
              <w:spacing w:after="0"/>
              <w:rPr>
                <w:sz w:val="20"/>
                <w:szCs w:val="20"/>
                <w:color w:val="auto"/>
              </w:rPr>
            </w:pPr>
            <w:r>
              <w:rPr>
                <w:rFonts w:ascii="Arial" w:cs="Arial" w:eastAsia="Arial" w:hAnsi="Arial"/>
                <w:sz w:val="18"/>
                <w:szCs w:val="18"/>
                <w:color w:val="auto"/>
              </w:rPr>
              <w:t>Sales Reconciliation Component</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 be determined</w:t>
            </w: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TCEH Corp.</w:t>
            </w:r>
          </w:p>
        </w:tc>
        <w:tc>
          <w:tcPr>
            <w:tcW w:w="7980" w:type="dxa"/>
            <w:vAlign w:val="bottom"/>
          </w:tcPr>
          <w:p>
            <w:pPr>
              <w:ind w:left="1300"/>
              <w:spacing w:after="0"/>
              <w:rPr>
                <w:sz w:val="20"/>
                <w:szCs w:val="20"/>
                <w:color w:val="auto"/>
              </w:rPr>
            </w:pPr>
            <w:r>
              <w:rPr>
                <w:rFonts w:ascii="Arial" w:cs="Arial" w:eastAsia="Arial" w:hAnsi="Arial"/>
                <w:sz w:val="18"/>
                <w:szCs w:val="18"/>
                <w:color w:val="auto"/>
              </w:rPr>
              <w:t>Formerly Texas Competitive Electric Holdings Company LLC, predecessor to Vistra</w:t>
            </w:r>
          </w:p>
        </w:tc>
      </w:tr>
      <w:tr>
        <w:trPr>
          <w:trHeight w:val="230"/>
        </w:trPr>
        <w:tc>
          <w:tcPr>
            <w:tcW w:w="3380" w:type="dxa"/>
            <w:vAlign w:val="bottom"/>
          </w:tcPr>
          <w:p>
            <w:pPr>
              <w:spacing w:after="0"/>
              <w:rPr>
                <w:sz w:val="20"/>
                <w:szCs w:val="20"/>
                <w:color w:val="auto"/>
              </w:rPr>
            </w:pPr>
          </w:p>
        </w:tc>
        <w:tc>
          <w:tcPr>
            <w:tcW w:w="7980" w:type="dxa"/>
            <w:vAlign w:val="bottom"/>
          </w:tcPr>
          <w:p>
            <w:pPr>
              <w:ind w:left="1300"/>
              <w:spacing w:after="0"/>
              <w:rPr>
                <w:sz w:val="20"/>
                <w:szCs w:val="20"/>
                <w:color w:val="auto"/>
              </w:rPr>
            </w:pPr>
            <w:r>
              <w:rPr>
                <w:rFonts w:ascii="Arial" w:cs="Arial" w:eastAsia="Arial" w:hAnsi="Arial"/>
                <w:sz w:val="18"/>
                <w:szCs w:val="18"/>
                <w:color w:val="auto"/>
              </w:rPr>
              <w:t>Energy Corp. whose major subsidiaries include Luminant and TXU Energy</w:t>
            </w:r>
          </w:p>
        </w:tc>
      </w:tr>
      <w:tr>
        <w:trPr>
          <w:trHeight w:val="27"/>
        </w:trPr>
        <w:tc>
          <w:tcPr>
            <w:tcW w:w="338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Tax reform legislation informally called the Tax Cuts and Jobs Act of 2017</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980" w:type="dxa"/>
            <w:vAlign w:val="bottom"/>
          </w:tcPr>
          <w:p>
            <w:pPr>
              <w:ind w:left="1300"/>
              <w:spacing w:after="0"/>
              <w:rPr>
                <w:sz w:val="20"/>
                <w:szCs w:val="20"/>
                <w:color w:val="auto"/>
              </w:rPr>
            </w:pPr>
            <w:r>
              <w:rPr>
                <w:rFonts w:ascii="Arial" w:cs="Arial" w:eastAsia="Arial" w:hAnsi="Arial"/>
                <w:sz w:val="18"/>
                <w:szCs w:val="18"/>
                <w:color w:val="auto"/>
              </w:rPr>
              <w:t>Transmission Cost of Service</w:t>
            </w:r>
          </w:p>
        </w:tc>
      </w:tr>
      <w:tr>
        <w:trPr>
          <w:trHeight w:val="486"/>
        </w:trPr>
        <w:tc>
          <w:tcPr>
            <w:tcW w:w="3380" w:type="dxa"/>
            <w:vAlign w:val="bottom"/>
          </w:tcPr>
          <w:p>
            <w:pPr>
              <w:spacing w:after="0"/>
              <w:rPr>
                <w:sz w:val="24"/>
                <w:szCs w:val="24"/>
                <w:color w:val="auto"/>
              </w:rPr>
            </w:pPr>
          </w:p>
        </w:tc>
        <w:tc>
          <w:tcPr>
            <w:tcW w:w="7980" w:type="dxa"/>
            <w:vAlign w:val="bottom"/>
          </w:tcPr>
          <w:p>
            <w:pPr>
              <w:ind w:left="222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360"/>
          </w:cols>
          <w:pgMar w:left="280" w:top="530" w:right="2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8080" w:type="dxa"/>
            <w:vAlign w:val="bottom"/>
          </w:tcPr>
          <w:p>
            <w:pPr>
              <w:ind w:left="194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280" w:type="dxa"/>
            <w:vAlign w:val="bottom"/>
            <w:tcBorders>
              <w:bottom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80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Transmission, Distribution and Storage System Improvement Charge</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8080" w:type="dxa"/>
            <w:vAlign w:val="bottom"/>
          </w:tcPr>
          <w:p>
            <w:pPr>
              <w:ind w:left="1400"/>
              <w:spacing w:after="0"/>
              <w:rPr>
                <w:sz w:val="20"/>
                <w:szCs w:val="20"/>
                <w:color w:val="auto"/>
              </w:rPr>
            </w:pPr>
            <w:r>
              <w:rPr>
                <w:rFonts w:ascii="Arial" w:cs="Arial" w:eastAsia="Arial" w:hAnsi="Arial"/>
                <w:sz w:val="18"/>
                <w:szCs w:val="18"/>
                <w:color w:val="auto"/>
              </w:rPr>
              <w:t>Transmission and distribution utility</w:t>
            </w:r>
          </w:p>
        </w:tc>
      </w:tr>
      <w:tr>
        <w:trPr>
          <w:trHeight w:val="27"/>
        </w:trPr>
        <w:tc>
          <w:tcPr>
            <w:tcW w:w="328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Transition Agreements</w:t>
            </w:r>
          </w:p>
        </w:tc>
        <w:tc>
          <w:tcPr>
            <w:tcW w:w="808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3"/>
              </w:rPr>
              <w:t>Services Agreement, Employee Transition Agreement, Transitional Seconding Agreement</w:t>
            </w:r>
          </w:p>
        </w:tc>
      </w:tr>
      <w:tr>
        <w:trPr>
          <w:trHeight w:val="237"/>
        </w:trPr>
        <w:tc>
          <w:tcPr>
            <w:tcW w:w="328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and other agreements entered into in connection with the formation of Enable</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TSCR</w:t>
            </w:r>
          </w:p>
        </w:tc>
        <w:tc>
          <w:tcPr>
            <w:tcW w:w="8080" w:type="dxa"/>
            <w:vAlign w:val="bottom"/>
          </w:tcPr>
          <w:p>
            <w:pPr>
              <w:ind w:left="1400"/>
              <w:spacing w:after="0"/>
              <w:rPr>
                <w:sz w:val="20"/>
                <w:szCs w:val="20"/>
                <w:color w:val="auto"/>
              </w:rPr>
            </w:pPr>
            <w:r>
              <w:rPr>
                <w:rFonts w:ascii="Arial" w:cs="Arial" w:eastAsia="Arial" w:hAnsi="Arial"/>
                <w:sz w:val="18"/>
                <w:szCs w:val="18"/>
                <w:color w:val="auto"/>
              </w:rPr>
              <w:t>Tax Savings Credit Rider</w:t>
            </w:r>
          </w:p>
        </w:tc>
      </w:tr>
      <w:tr>
        <w:trPr>
          <w:trHeight w:val="27"/>
        </w:trPr>
        <w:tc>
          <w:tcPr>
            <w:tcW w:w="328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Utility Holding</w:t>
            </w:r>
          </w:p>
        </w:tc>
        <w:tc>
          <w:tcPr>
            <w:tcW w:w="80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Utility Holding, LLC, a wholly-owned subsidiary of CenterPoint Energy</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VCC</w:t>
            </w:r>
          </w:p>
        </w:tc>
        <w:tc>
          <w:tcPr>
            <w:tcW w:w="8080" w:type="dxa"/>
            <w:vAlign w:val="bottom"/>
          </w:tcPr>
          <w:p>
            <w:pPr>
              <w:ind w:left="1400"/>
              <w:spacing w:after="0"/>
              <w:rPr>
                <w:sz w:val="20"/>
                <w:szCs w:val="20"/>
                <w:color w:val="auto"/>
              </w:rPr>
            </w:pPr>
            <w:r>
              <w:rPr>
                <w:rFonts w:ascii="Arial" w:cs="Arial" w:eastAsia="Arial" w:hAnsi="Arial"/>
                <w:sz w:val="18"/>
                <w:szCs w:val="18"/>
                <w:color w:val="auto"/>
              </w:rPr>
              <w:t>Vectren Capital Corp., a wholly-owned subsidiary of Vectren</w:t>
            </w:r>
          </w:p>
        </w:tc>
      </w:tr>
      <w:tr>
        <w:trPr>
          <w:trHeight w:val="27"/>
        </w:trPr>
        <w:tc>
          <w:tcPr>
            <w:tcW w:w="328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Vectren</w:t>
            </w:r>
          </w:p>
        </w:tc>
        <w:tc>
          <w:tcPr>
            <w:tcW w:w="808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5"/>
              </w:rPr>
              <w:t>Vectren Corporation, a wholly-owned subsidiary of CenterPoint Energy as of the Merger</w:t>
            </w:r>
          </w:p>
        </w:tc>
      </w:tr>
      <w:tr>
        <w:trPr>
          <w:trHeight w:val="237"/>
        </w:trPr>
        <w:tc>
          <w:tcPr>
            <w:tcW w:w="328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Date</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VEDO</w:t>
            </w:r>
          </w:p>
        </w:tc>
        <w:tc>
          <w:tcPr>
            <w:tcW w:w="8080" w:type="dxa"/>
            <w:vAlign w:val="bottom"/>
          </w:tcPr>
          <w:p>
            <w:pPr>
              <w:ind w:left="1400"/>
              <w:spacing w:after="0"/>
              <w:rPr>
                <w:sz w:val="20"/>
                <w:szCs w:val="20"/>
                <w:color w:val="auto"/>
              </w:rPr>
            </w:pPr>
            <w:r>
              <w:rPr>
                <w:rFonts w:ascii="Arial" w:cs="Arial" w:eastAsia="Arial" w:hAnsi="Arial"/>
                <w:sz w:val="18"/>
                <w:szCs w:val="18"/>
                <w:color w:val="auto"/>
              </w:rPr>
              <w:t>Vectren Energy Delivery of Ohio, Inc., a wholly-owned subsidiary of Vectren</w:t>
            </w:r>
          </w:p>
        </w:tc>
      </w:tr>
      <w:tr>
        <w:trPr>
          <w:trHeight w:val="27"/>
        </w:trPr>
        <w:tc>
          <w:tcPr>
            <w:tcW w:w="328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80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Variable interest entity</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Vistra Energy Corp.</w:t>
            </w:r>
          </w:p>
        </w:tc>
        <w:tc>
          <w:tcPr>
            <w:tcW w:w="8080" w:type="dxa"/>
            <w:vAlign w:val="bottom"/>
          </w:tcPr>
          <w:p>
            <w:pPr>
              <w:ind w:left="1400"/>
              <w:spacing w:after="0"/>
              <w:rPr>
                <w:sz w:val="20"/>
                <w:szCs w:val="20"/>
                <w:color w:val="auto"/>
              </w:rPr>
            </w:pPr>
            <w:r>
              <w:rPr>
                <w:rFonts w:ascii="Arial" w:cs="Arial" w:eastAsia="Arial" w:hAnsi="Arial"/>
                <w:sz w:val="18"/>
                <w:szCs w:val="18"/>
                <w:color w:val="auto"/>
                <w:w w:val="95"/>
              </w:rPr>
              <w:t>Texas-based energy company focused on the competitive energy and power generation</w:t>
            </w:r>
          </w:p>
        </w:tc>
      </w:tr>
      <w:tr>
        <w:trPr>
          <w:trHeight w:val="230"/>
        </w:trPr>
        <w:tc>
          <w:tcPr>
            <w:tcW w:w="3280" w:type="dxa"/>
            <w:vAlign w:val="bottom"/>
          </w:tcPr>
          <w:p>
            <w:pPr>
              <w:spacing w:after="0"/>
              <w:rPr>
                <w:sz w:val="20"/>
                <w:szCs w:val="20"/>
                <w:color w:val="auto"/>
              </w:rPr>
            </w:pPr>
          </w:p>
        </w:tc>
        <w:tc>
          <w:tcPr>
            <w:tcW w:w="8080" w:type="dxa"/>
            <w:vAlign w:val="bottom"/>
          </w:tcPr>
          <w:p>
            <w:pPr>
              <w:ind w:left="1400"/>
              <w:spacing w:after="0"/>
              <w:rPr>
                <w:sz w:val="20"/>
                <w:szCs w:val="20"/>
                <w:color w:val="auto"/>
              </w:rPr>
            </w:pPr>
            <w:r>
              <w:rPr>
                <w:rFonts w:ascii="Arial" w:cs="Arial" w:eastAsia="Arial" w:hAnsi="Arial"/>
                <w:sz w:val="18"/>
                <w:szCs w:val="18"/>
                <w:color w:val="auto"/>
              </w:rPr>
              <w:t>markets</w:t>
            </w:r>
          </w:p>
        </w:tc>
      </w:tr>
      <w:tr>
        <w:trPr>
          <w:trHeight w:val="27"/>
        </w:trPr>
        <w:tc>
          <w:tcPr>
            <w:tcW w:w="328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80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Voluntary Remediation Program</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VUHI</w:t>
            </w:r>
          </w:p>
        </w:tc>
        <w:tc>
          <w:tcPr>
            <w:tcW w:w="8080" w:type="dxa"/>
            <w:vAlign w:val="bottom"/>
          </w:tcPr>
          <w:p>
            <w:pPr>
              <w:ind w:left="1400"/>
              <w:spacing w:after="0"/>
              <w:rPr>
                <w:sz w:val="20"/>
                <w:szCs w:val="20"/>
                <w:color w:val="auto"/>
              </w:rPr>
            </w:pPr>
            <w:r>
              <w:rPr>
                <w:rFonts w:ascii="Arial" w:cs="Arial" w:eastAsia="Arial" w:hAnsi="Arial"/>
                <w:sz w:val="18"/>
                <w:szCs w:val="18"/>
                <w:color w:val="auto"/>
              </w:rPr>
              <w:t>Vectren Utility Holdings, Inc., a wholly-owned subsidiary of Vectren</w:t>
            </w:r>
          </w:p>
        </w:tc>
      </w:tr>
      <w:tr>
        <w:trPr>
          <w:trHeight w:val="27"/>
        </w:trPr>
        <w:tc>
          <w:tcPr>
            <w:tcW w:w="328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80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2.0% Zero-Premium Exchangeable Subordinated Notes due 2029</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ZENS-Related Securities</w:t>
            </w:r>
          </w:p>
        </w:tc>
        <w:tc>
          <w:tcPr>
            <w:tcW w:w="8080" w:type="dxa"/>
            <w:vAlign w:val="bottom"/>
          </w:tcPr>
          <w:p>
            <w:pPr>
              <w:ind w:left="1400"/>
              <w:spacing w:after="0"/>
              <w:rPr>
                <w:sz w:val="20"/>
                <w:szCs w:val="20"/>
                <w:color w:val="auto"/>
              </w:rPr>
            </w:pPr>
            <w:r>
              <w:rPr>
                <w:rFonts w:ascii="Arial" w:cs="Arial" w:eastAsia="Arial" w:hAnsi="Arial"/>
                <w:sz w:val="18"/>
                <w:szCs w:val="18"/>
                <w:color w:val="auto"/>
                <w:w w:val="99"/>
              </w:rPr>
              <w:t>As of both June 30, 2019 and December 31, 2018, consisted of AT&amp;T Common and</w:t>
            </w:r>
          </w:p>
        </w:tc>
      </w:tr>
      <w:tr>
        <w:trPr>
          <w:trHeight w:val="230"/>
        </w:trPr>
        <w:tc>
          <w:tcPr>
            <w:tcW w:w="3280" w:type="dxa"/>
            <w:vAlign w:val="bottom"/>
          </w:tcPr>
          <w:p>
            <w:pPr>
              <w:spacing w:after="0"/>
              <w:rPr>
                <w:sz w:val="20"/>
                <w:szCs w:val="20"/>
                <w:color w:val="auto"/>
              </w:rPr>
            </w:pPr>
          </w:p>
        </w:tc>
        <w:tc>
          <w:tcPr>
            <w:tcW w:w="8080" w:type="dxa"/>
            <w:vAlign w:val="bottom"/>
          </w:tcPr>
          <w:p>
            <w:pPr>
              <w:ind w:left="1400"/>
              <w:spacing w:after="0"/>
              <w:rPr>
                <w:sz w:val="20"/>
                <w:szCs w:val="20"/>
                <w:color w:val="auto"/>
              </w:rPr>
            </w:pPr>
            <w:r>
              <w:rPr>
                <w:rFonts w:ascii="Arial" w:cs="Arial" w:eastAsia="Arial" w:hAnsi="Arial"/>
                <w:sz w:val="18"/>
                <w:szCs w:val="18"/>
                <w:color w:val="auto"/>
              </w:rPr>
              <w:t>Charter Common</w:t>
            </w:r>
          </w:p>
        </w:tc>
      </w:tr>
      <w:tr>
        <w:trPr>
          <w:trHeight w:val="27"/>
        </w:trPr>
        <w:tc>
          <w:tcPr>
            <w:tcW w:w="328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2018 Form 10-K</w:t>
            </w:r>
          </w:p>
        </w:tc>
        <w:tc>
          <w:tcPr>
            <w:tcW w:w="80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Annual Report on Form 10-K for the fiscal year ended December 31, 2018</w:t>
            </w:r>
          </w:p>
        </w:tc>
      </w:tr>
      <w:tr>
        <w:trPr>
          <w:trHeight w:val="459"/>
        </w:trPr>
        <w:tc>
          <w:tcPr>
            <w:tcW w:w="3280" w:type="dxa"/>
            <w:vAlign w:val="bottom"/>
          </w:tcPr>
          <w:p>
            <w:pPr>
              <w:spacing w:after="0"/>
              <w:rPr>
                <w:sz w:val="24"/>
                <w:szCs w:val="24"/>
                <w:color w:val="auto"/>
              </w:rPr>
            </w:pPr>
          </w:p>
        </w:tc>
        <w:tc>
          <w:tcPr>
            <w:tcW w:w="8080" w:type="dxa"/>
            <w:vAlign w:val="bottom"/>
          </w:tcPr>
          <w:p>
            <w:pPr>
              <w:ind w:left="234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360"/>
          </w:cols>
          <w:pgMar w:left="280" w:top="53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Vectren.</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157" w:lineRule="exact"/>
        <w:rPr>
          <w:sz w:val="20"/>
          <w:szCs w:val="20"/>
          <w:color w:val="auto"/>
        </w:rPr>
      </w:pPr>
    </w:p>
    <w:p>
      <w:pPr>
        <w:jc w:val="both"/>
        <w:ind w:left="660" w:hanging="328"/>
        <w:spacing w:after="0" w:line="22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Enable, the amount of cash distributions CenterPoint Energy receives from Enable, Enable’s ability to redeem the Enable Series A Preferred Units in certain circumstances and the value of CenterPoint Energy’s interest in Enable, and factors that may have a material impact on such performance, cash distributions and value, including factors such as:</w:t>
      </w:r>
    </w:p>
    <w:p>
      <w:pPr>
        <w:spacing w:after="0" w:line="122" w:lineRule="exact"/>
        <w:rPr>
          <w:rFonts w:ascii="Arial" w:cs="Arial" w:eastAsia="Arial" w:hAnsi="Arial"/>
          <w:sz w:val="18"/>
          <w:szCs w:val="18"/>
          <w:color w:val="auto"/>
        </w:rPr>
      </w:pPr>
    </w:p>
    <w:p>
      <w:pPr>
        <w:ind w:left="1300" w:hanging="644"/>
        <w:spacing w:after="0" w:line="235"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competitive conditions in the midstream industry, and actions taken by Enable’s customers and competitors, including the extent and timing of the entry of additional competition in the markets served by Enable;</w:t>
      </w:r>
    </w:p>
    <w:p>
      <w:pPr>
        <w:spacing w:after="0" w:line="121" w:lineRule="exact"/>
        <w:rPr>
          <w:rFonts w:ascii="Arial" w:cs="Arial" w:eastAsia="Arial" w:hAnsi="Arial"/>
          <w:sz w:val="18"/>
          <w:szCs w:val="18"/>
          <w:color w:val="auto"/>
        </w:rPr>
      </w:pPr>
    </w:p>
    <w:p>
      <w:pPr>
        <w:ind w:left="1300" w:right="20" w:hanging="644"/>
        <w:spacing w:after="0" w:line="259" w:lineRule="auto"/>
        <w:tabs>
          <w:tab w:leader="none" w:pos="976"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timing and extent of changes in the supply of natural gas and associated commodity prices, particularly prices of natural gas and NGLs, the competitive effects of the available pipeline capacity in the regions served by Enable, and the effects of geographic and seasonal commodity price differentials, including the effects of these circumstances on re-contracting available capacity on Enable’s interstate pipelines;</w:t>
      </w:r>
    </w:p>
    <w:p>
      <w:pPr>
        <w:spacing w:after="0" w:line="106"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demand for crude oil, natural gas, NGLs and transportation and storage services;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environmental and other governmental regulations, including the availability of drilling permits and the regulation of hydraulic fracturing;</w:t>
      </w:r>
    </w:p>
    <w:p>
      <w:pPr>
        <w:spacing w:after="0" w:line="155"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recording of goodwill, long-lived asset or other than temporary impairment charges by or related to Enable;</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status;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access to debt and equity capital;</w:t>
      </w:r>
    </w:p>
    <w:p>
      <w:pPr>
        <w:spacing w:after="0" w:line="144" w:lineRule="exact"/>
        <w:rPr>
          <w:rFonts w:ascii="Arial" w:cs="Arial" w:eastAsia="Arial" w:hAnsi="Arial"/>
          <w:sz w:val="18"/>
          <w:szCs w:val="18"/>
          <w:color w:val="auto"/>
        </w:rPr>
      </w:pPr>
    </w:p>
    <w:p>
      <w:pPr>
        <w:jc w:val="both"/>
        <w:ind w:left="660" w:hanging="328"/>
        <w:spacing w:after="0" w:line="22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of the Merger and integration, including the outcome of shareholder litigation filed against Vectren that could reduce anticipated benefits of the Merger, as well as the ability to successfully integrate the Vectren businesses and to realize anticipated benefits and commercial opportunities;</w:t>
      </w:r>
    </w:p>
    <w:p>
      <w:pPr>
        <w:spacing w:after="0" w:line="122" w:lineRule="exact"/>
        <w:rPr>
          <w:rFonts w:ascii="Arial" w:cs="Arial" w:eastAsia="Arial" w:hAnsi="Arial"/>
          <w:sz w:val="18"/>
          <w:szCs w:val="18"/>
          <w:color w:val="auto"/>
        </w:rPr>
      </w:pPr>
    </w:p>
    <w:p>
      <w:pPr>
        <w:ind w:left="660" w:hanging="328"/>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the pending Houston Electric rate case;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appropriate rate actions that allow recovery of costs and a reasonable return on investment;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conditions in regional and national markets and their effect on sales, prices and costs;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and capital;</w:t>
      </w:r>
    </w:p>
    <w:p>
      <w:pPr>
        <w:spacing w:after="0" w:line="144" w:lineRule="exact"/>
        <w:rPr>
          <w:rFonts w:ascii="Arial" w:cs="Arial" w:eastAsia="Arial" w:hAnsi="Arial"/>
          <w:sz w:val="18"/>
          <w:szCs w:val="18"/>
          <w:color w:val="auto"/>
        </w:rPr>
      </w:pPr>
    </w:p>
    <w:p>
      <w:pPr>
        <w:jc w:val="both"/>
        <w:ind w:left="660" w:hanging="328"/>
        <w:spacing w:after="0" w:line="22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 and federal legislative and regulatory actions or developments affecting various aspects of our businesses (including the businesses of Enable), including, among others, energy deregulation or re-regulation, pipeline integrity and safety and changes in regulation and legislation pertaining to trade, health care, finance and actions regarding the rates charged by our regulated businesses;</w:t>
      </w:r>
    </w:p>
    <w:p>
      <w:pPr>
        <w:spacing w:after="0" w:line="122"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tax legislation, including the effects of the TCJA (which includes any potential changes to interest deductibility) and uncertainties involving state commissions’ and local municipalities’ regulatory requirements and determinations regarding the treatment of EDIT and our rates;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364" w:right="239" w:bottom="1440" w:gutter="0" w:footer="0" w:header="0"/>
        </w:sectPr>
      </w:pPr>
    </w:p>
    <w:bookmarkStart w:id="8" w:name="page9"/>
    <w:bookmarkEnd w:id="8"/>
    <w:p>
      <w:pPr>
        <w:ind w:left="328" w:hanging="328"/>
        <w:spacing w:after="0" w:line="23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CenterPoint Energy’s and CERC’s ability to mitigate weather impacts through normalization or rate mechanisms, and the effectiveness of such mechanisms;</w:t>
      </w:r>
    </w:p>
    <w:p>
      <w:pPr>
        <w:spacing w:after="0" w:line="121" w:lineRule="exact"/>
        <w:rPr>
          <w:rFonts w:ascii="Arial" w:cs="Arial" w:eastAsia="Arial" w:hAnsi="Arial"/>
          <w:sz w:val="18"/>
          <w:szCs w:val="18"/>
          <w:color w:val="auto"/>
        </w:rPr>
      </w:pPr>
    </w:p>
    <w:p>
      <w:pPr>
        <w:ind w:left="328" w:hanging="328"/>
        <w:spacing w:after="0" w:line="252"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extent of changes in commodity prices, particularly natural gas and coal, and the effects of geographic and seasonal commodity price differentials on CERC and Enable</w:t>
      </w:r>
      <w:r>
        <w:rPr>
          <w:rFonts w:ascii="Arial" w:cs="Arial" w:eastAsia="Arial" w:hAnsi="Arial"/>
          <w:sz w:val="19"/>
          <w:szCs w:val="19"/>
          <w:color w:val="auto"/>
        </w:rPr>
        <w:t>;</w:t>
      </w:r>
    </w:p>
    <w:p>
      <w:pPr>
        <w:spacing w:after="0" w:line="133" w:lineRule="exact"/>
        <w:rPr>
          <w:rFonts w:ascii="Arial" w:cs="Arial" w:eastAsia="Arial" w:hAnsi="Arial"/>
          <w:sz w:val="18"/>
          <w:szCs w:val="18"/>
          <w:color w:val="auto"/>
        </w:rPr>
      </w:pPr>
    </w:p>
    <w:p>
      <w:pPr>
        <w:ind w:left="328" w:right="20" w:hanging="328"/>
        <w:spacing w:after="0" w:line="23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CenterPoint Energy’s and CERC’s non-utility business operating in the Energy Services reportable segment to effectively optimize opportunities related to natural gas price volatility and storage activities, including weather-related impacts;</w:t>
      </w:r>
    </w:p>
    <w:p>
      <w:pPr>
        <w:spacing w:after="0" w:line="13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20"/>
          <w:szCs w:val="20"/>
          <w:color w:val="auto"/>
        </w:rPr>
      </w:pPr>
      <w:r>
        <w:rPr>
          <w:rFonts w:ascii="Arial" w:cs="Arial" w:eastAsia="Arial" w:hAnsi="Arial"/>
          <w:sz w:val="18"/>
          <w:szCs w:val="18"/>
          <w:color w:val="auto"/>
        </w:rPr>
        <w:t>actions by credit rating agencies, including any potential downgrades to credit ratings;</w:t>
      </w:r>
    </w:p>
    <w:p>
      <w:pPr>
        <w:spacing w:after="0" w:line="134" w:lineRule="exact"/>
        <w:rPr>
          <w:rFonts w:ascii="Arial" w:cs="Arial" w:eastAsia="Arial" w:hAnsi="Arial"/>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144" w:lineRule="exact"/>
        <w:rPr>
          <w:rFonts w:ascii="Arial" w:cs="Arial" w:eastAsia="Arial" w:hAnsi="Arial"/>
          <w:sz w:val="18"/>
          <w:szCs w:val="18"/>
          <w:color w:val="auto"/>
        </w:rPr>
      </w:pPr>
    </w:p>
    <w:p>
      <w:pPr>
        <w:ind w:left="328" w:hanging="328"/>
        <w:spacing w:after="0" w:line="230" w:lineRule="auto"/>
        <w:tabs>
          <w:tab w:leader="none" w:pos="328" w:val="left"/>
        </w:tabs>
        <w:numPr>
          <w:ilvl w:val="0"/>
          <w:numId w:val="4"/>
        </w:numPr>
        <w:rPr>
          <w:rFonts w:ascii="Arial" w:cs="Arial" w:eastAsia="Arial" w:hAnsi="Arial"/>
          <w:sz w:val="20"/>
          <w:szCs w:val="20"/>
          <w:color w:val="auto"/>
        </w:rPr>
      </w:pPr>
      <w:r>
        <w:rPr>
          <w:rFonts w:ascii="Arial" w:cs="Arial" w:eastAsia="Arial" w:hAnsi="Arial"/>
          <w:sz w:val="18"/>
          <w:szCs w:val="18"/>
          <w:color w:val="auto"/>
        </w:rPr>
        <w:t>problems with regulatory approval, legislative actions, construction, implementation of necessary technology or other issues with respect to major capital projects that result in delays or cancellation or in cost overruns that cannot be recouped in rates;</w:t>
      </w:r>
    </w:p>
    <w:p>
      <w:pPr>
        <w:spacing w:after="0" w:line="148" w:lineRule="exact"/>
        <w:rPr>
          <w:rFonts w:ascii="Arial" w:cs="Arial" w:eastAsia="Arial" w:hAnsi="Arial"/>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w:t>
      </w:r>
    </w:p>
    <w:p>
      <w:pPr>
        <w:spacing w:after="0" w:line="171" w:lineRule="exact"/>
        <w:rPr>
          <w:rFonts w:ascii="Arial" w:cs="Arial" w:eastAsia="Arial" w:hAnsi="Arial"/>
          <w:sz w:val="18"/>
          <w:szCs w:val="18"/>
          <w:color w:val="auto"/>
        </w:rPr>
      </w:pPr>
    </w:p>
    <w:p>
      <w:pPr>
        <w:jc w:val="both"/>
        <w:ind w:left="328" w:hanging="328"/>
        <w:spacing w:after="0" w:line="226" w:lineRule="auto"/>
        <w:tabs>
          <w:tab w:leader="none" w:pos="328" w:val="left"/>
        </w:tabs>
        <w:numPr>
          <w:ilvl w:val="0"/>
          <w:numId w:val="4"/>
        </w:numPr>
        <w:rPr>
          <w:rFonts w:ascii="Arial" w:cs="Arial" w:eastAsia="Arial" w:hAnsi="Arial"/>
          <w:sz w:val="20"/>
          <w:szCs w:val="20"/>
          <w:color w:val="auto"/>
        </w:rPr>
      </w:pPr>
      <w:r>
        <w:rPr>
          <w:rFonts w:ascii="Arial" w:cs="Arial" w:eastAsia="Arial" w:hAnsi="Arial"/>
          <w:sz w:val="18"/>
          <w:szCs w:val="18"/>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the continued operation, and/or cost recovery of generation plant costs and related assets;</w:t>
      </w:r>
    </w:p>
    <w:p>
      <w:pPr>
        <w:spacing w:after="0" w:line="136" w:lineRule="exact"/>
        <w:rPr>
          <w:rFonts w:ascii="Arial" w:cs="Arial" w:eastAsia="Arial" w:hAnsi="Arial"/>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144" w:lineRule="exact"/>
        <w:rPr>
          <w:rFonts w:ascii="Arial" w:cs="Arial" w:eastAsia="Arial" w:hAnsi="Arial"/>
          <w:sz w:val="18"/>
          <w:szCs w:val="18"/>
          <w:color w:val="auto"/>
        </w:rPr>
      </w:pPr>
    </w:p>
    <w:p>
      <w:pPr>
        <w:jc w:val="both"/>
        <w:ind w:left="328" w:right="20" w:hanging="328"/>
        <w:spacing w:after="0" w:line="22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direct or indirect effects on our or Enable’s facilities, operations and financial condition resulting from terrorism, cyber-attacks, data security breaches or other attempts to disrupt our businesses or the businesses of third parties, or other catastrophic events such as fires, ice, earthquakes, explosions, leaks, floods, droughts, hurricanes, tornadoes, pandemic health events or other occurrences;</w:t>
      </w:r>
    </w:p>
    <w:p>
      <w:pPr>
        <w:spacing w:after="0" w:line="122" w:lineRule="exact"/>
        <w:rPr>
          <w:rFonts w:ascii="Arial" w:cs="Arial" w:eastAsia="Arial" w:hAnsi="Arial"/>
          <w:sz w:val="18"/>
          <w:szCs w:val="18"/>
          <w:color w:val="auto"/>
        </w:rPr>
      </w:pPr>
    </w:p>
    <w:p>
      <w:pPr>
        <w:ind w:left="328" w:hanging="328"/>
        <w:spacing w:after="0" w:line="23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invest planned capital and the timely recovery of our investments, including those related to Indiana Electric’s generation transition plan;</w:t>
      </w:r>
    </w:p>
    <w:p>
      <w:pPr>
        <w:spacing w:after="0" w:line="121" w:lineRule="exact"/>
        <w:rPr>
          <w:rFonts w:ascii="Arial" w:cs="Arial" w:eastAsia="Arial" w:hAnsi="Arial"/>
          <w:sz w:val="18"/>
          <w:szCs w:val="18"/>
          <w:color w:val="auto"/>
        </w:rPr>
      </w:pPr>
    </w:p>
    <w:p>
      <w:pPr>
        <w:ind w:left="328" w:hanging="328"/>
        <w:spacing w:after="0" w:line="23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construct and operate electric generating facilities, including complying with applicable environmental standards and the implementation of a well-balanced energy and resource mix, as appropriate;</w:t>
      </w:r>
    </w:p>
    <w:p>
      <w:pPr>
        <w:spacing w:after="0" w:line="1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control operation and maintenance costs;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performance of CenterPoint Energy’s pension and postretirement benefit plans;</w:t>
      </w:r>
    </w:p>
    <w:p>
      <w:pPr>
        <w:spacing w:after="0" w:line="144" w:lineRule="exact"/>
        <w:rPr>
          <w:rFonts w:ascii="Arial" w:cs="Arial" w:eastAsia="Arial" w:hAnsi="Arial"/>
          <w:sz w:val="18"/>
          <w:szCs w:val="18"/>
          <w:color w:val="auto"/>
        </w:rPr>
      </w:pPr>
    </w:p>
    <w:p>
      <w:pPr>
        <w:ind w:left="328" w:hanging="328"/>
        <w:spacing w:after="0" w:line="23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bank and financial market conditions, our access to capital, the cost of such capital, and the results of our financing and refinancing efforts, including availability of funds in the debt capital markets;</w:t>
      </w:r>
    </w:p>
    <w:p>
      <w:pPr>
        <w:spacing w:after="0" w:line="1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w:t>
      </w:r>
    </w:p>
    <w:p>
      <w:pPr>
        <w:spacing w:after="0" w:line="144" w:lineRule="exact"/>
        <w:rPr>
          <w:rFonts w:ascii="Arial" w:cs="Arial" w:eastAsia="Arial" w:hAnsi="Arial"/>
          <w:sz w:val="18"/>
          <w:szCs w:val="18"/>
          <w:color w:val="auto"/>
        </w:rPr>
      </w:pPr>
    </w:p>
    <w:p>
      <w:pPr>
        <w:ind w:left="328" w:right="20" w:hanging="328"/>
        <w:spacing w:after="0" w:line="23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and effectiveness of our and Enable’s risk management and hedging activities, including, but not limited to financial and weather hedges and commodity risk management activities;</w:t>
      </w:r>
    </w:p>
    <w:p>
      <w:pPr>
        <w:spacing w:after="0" w:line="121" w:lineRule="exact"/>
        <w:rPr>
          <w:rFonts w:ascii="Arial" w:cs="Arial" w:eastAsia="Arial" w:hAnsi="Arial"/>
          <w:sz w:val="18"/>
          <w:szCs w:val="18"/>
          <w:color w:val="auto"/>
        </w:rPr>
      </w:pPr>
    </w:p>
    <w:p>
      <w:pPr>
        <w:ind w:left="328" w:hanging="328"/>
        <w:spacing w:after="0" w:line="23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future hurricanes or natural disasters or other recovery of costs, including costs associated with Hurricane Harvey;</w:t>
      </w:r>
    </w:p>
    <w:p>
      <w:pPr>
        <w:spacing w:after="0" w:line="121" w:lineRule="exact"/>
        <w:rPr>
          <w:rFonts w:ascii="Arial" w:cs="Arial" w:eastAsia="Arial" w:hAnsi="Arial"/>
          <w:sz w:val="18"/>
          <w:szCs w:val="18"/>
          <w:color w:val="auto"/>
        </w:rPr>
      </w:pPr>
    </w:p>
    <w:p>
      <w:pPr>
        <w:jc w:val="both"/>
        <w:ind w:left="328" w:hanging="328"/>
        <w:spacing w:after="0" w:line="22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CenterPoint Energy’s or Enable’s potential business strategies and strategic initiatives, including restructurings, joint ventures and acquisitions or dispositions of assets or businesses, which CenterPoint Energy and Enable cannot assure will be completed or will have the anticipated benefits to CenterPoint Energy or Enable;</w:t>
      </w:r>
    </w:p>
    <w:p>
      <w:pPr>
        <w:spacing w:after="0" w:line="122" w:lineRule="exact"/>
        <w:rPr>
          <w:rFonts w:ascii="Arial" w:cs="Arial" w:eastAsia="Arial" w:hAnsi="Arial"/>
          <w:sz w:val="18"/>
          <w:szCs w:val="18"/>
          <w:color w:val="auto"/>
        </w:rPr>
      </w:pPr>
    </w:p>
    <w:p>
      <w:pPr>
        <w:jc w:val="both"/>
        <w:ind w:left="328" w:hanging="328"/>
        <w:spacing w:after="0" w:line="244" w:lineRule="auto"/>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performance of projects undertaken by our non-utility businesses and the success of efforts to realize value from, invest in and develop new opportunities and other factors affecting those non-utility businesses, including, but not limited to, the level of success in bidding contracts, fluctuations in volume and mix of contracted work, mix of projects received under blanket contracts, failure to properly estimate cost to construct projects or unanticipated cost increases in completion of the contracted work, changes in energy prices that affect demand for construction services and projects and cancellation and/or reductions in the scope of projects by customers and obligations related to warranties and guarantees;</w:t>
      </w:r>
    </w:p>
    <w:p>
      <w:pPr>
        <w:spacing w:after="0" w:line="37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088"/>
          </w:cols>
          <w:pgMar w:left="572" w:top="355" w:right="239" w:bottom="1440" w:gutter="0" w:footer="0" w:header="0"/>
        </w:sectPr>
      </w:pPr>
    </w:p>
    <w:bookmarkStart w:id="9" w:name="page10"/>
    <w:bookmarkEnd w:id="9"/>
    <w:p>
      <w:pPr>
        <w:ind w:left="660" w:hanging="328"/>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and merger activities involving us or our competitors, including the ability to successfully complete merger, acquisition and divestiture plans;</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Enable’s ability to recruit, effectively transition and retain management and key employees and maintain good labor relations;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44" w:lineRule="exact"/>
        <w:rPr>
          <w:rFonts w:ascii="Arial" w:cs="Arial" w:eastAsia="Arial" w:hAnsi="Arial"/>
          <w:sz w:val="18"/>
          <w:szCs w:val="18"/>
          <w:color w:val="auto"/>
        </w:rPr>
      </w:pPr>
    </w:p>
    <w:p>
      <w:pPr>
        <w:ind w:left="660" w:right="20" w:hanging="328"/>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formerly known as TCEH Corp., to satisfy their obligations to CenterPoint Energy and Houston Electric;</w:t>
      </w:r>
    </w:p>
    <w:p>
      <w:pPr>
        <w:spacing w:after="0" w:line="121" w:lineRule="exact"/>
        <w:rPr>
          <w:rFonts w:ascii="Arial" w:cs="Arial" w:eastAsia="Arial" w:hAnsi="Arial"/>
          <w:sz w:val="18"/>
          <w:szCs w:val="18"/>
          <w:color w:val="auto"/>
        </w:rPr>
      </w:pPr>
    </w:p>
    <w:p>
      <w:pPr>
        <w:ind w:left="660" w:hanging="328"/>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144" w:lineRule="exact"/>
        <w:rPr>
          <w:rFonts w:ascii="Arial" w:cs="Arial" w:eastAsia="Arial" w:hAnsi="Arial"/>
          <w:sz w:val="18"/>
          <w:szCs w:val="18"/>
          <w:color w:val="auto"/>
        </w:rPr>
      </w:pPr>
    </w:p>
    <w:p>
      <w:pPr>
        <w:ind w:left="660" w:hanging="328"/>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hyperlink r:id="rId10">
        <w:r>
          <w:rPr>
            <w:rFonts w:ascii="Arial" w:cs="Arial" w:eastAsia="Arial" w:hAnsi="Arial"/>
            <w:sz w:val="18"/>
            <w:szCs w:val="18"/>
            <w:u w:val="single" w:color="auto"/>
            <w:color w:val="0000EE"/>
          </w:rPr>
          <w:t>“Risk Factors” in Item 1A of Part I of the Registrants’ combined 2018 Form 10-K</w:t>
        </w:r>
      </w:hyperlink>
      <w:r>
        <w:rPr>
          <w:rFonts w:ascii="Arial" w:cs="Arial" w:eastAsia="Arial" w:hAnsi="Arial"/>
          <w:sz w:val="18"/>
          <w:szCs w:val="18"/>
          <w:color w:val="auto"/>
        </w:rPr>
        <w:t>, which are incorporated herein by reference, and other reports the Registrants file from time to time with the SEC.</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420"/>
          </w:cols>
          <w:pgMar w:left="240" w:top="355"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2018</w:t>
            </w:r>
          </w:p>
        </w:tc>
      </w:tr>
      <w:tr>
        <w:trPr>
          <w:trHeight w:val="244"/>
        </w:trPr>
        <w:tc>
          <w:tcPr>
            <w:tcW w:w="5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gridSpan w:val="6"/>
          </w:tcPr>
          <w:p>
            <w:pPr>
              <w:ind w:left="340"/>
              <w:spacing w:after="0"/>
              <w:rPr>
                <w:sz w:val="20"/>
                <w:szCs w:val="20"/>
                <w:color w:val="auto"/>
              </w:rPr>
            </w:pPr>
            <w:r>
              <w:rPr>
                <w:rFonts w:ascii="Arial" w:cs="Arial" w:eastAsia="Arial" w:hAnsi="Arial"/>
                <w:sz w:val="14"/>
                <w:szCs w:val="14"/>
                <w:b w:val="1"/>
                <w:bCs w:val="1"/>
                <w:color w:val="auto"/>
              </w:rPr>
              <w:t>(in millions, except per share amounts)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9"/>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Utility revenues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3,235</w:t>
            </w:r>
          </w:p>
        </w:tc>
      </w:tr>
      <w:tr>
        <w:trPr>
          <w:trHeight w:val="243"/>
        </w:trPr>
        <w:tc>
          <w:tcPr>
            <w:tcW w:w="5160" w:type="dxa"/>
            <w:vAlign w:val="bottom"/>
          </w:tcPr>
          <w:p>
            <w:pPr>
              <w:ind w:left="180"/>
              <w:spacing w:after="0"/>
              <w:rPr>
                <w:sz w:val="20"/>
                <w:szCs w:val="20"/>
                <w:color w:val="auto"/>
              </w:rPr>
            </w:pPr>
            <w:r>
              <w:rPr>
                <w:rFonts w:ascii="Arial" w:cs="Arial" w:eastAsia="Arial" w:hAnsi="Arial"/>
                <w:sz w:val="16"/>
                <w:szCs w:val="16"/>
                <w:color w:val="auto"/>
              </w:rPr>
              <w:t>Non-utility revenues</w:t>
            </w:r>
          </w:p>
        </w:tc>
        <w:tc>
          <w:tcPr>
            <w:tcW w:w="90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2,106</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5,341</w:t>
            </w: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Utility natural gas, fuel and purchased power</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w:t>
            </w:r>
          </w:p>
        </w:tc>
      </w:tr>
      <w:tr>
        <w:trPr>
          <w:trHeight w:val="243"/>
        </w:trPr>
        <w:tc>
          <w:tcPr>
            <w:tcW w:w="5160" w:type="dxa"/>
            <w:vAlign w:val="bottom"/>
          </w:tcPr>
          <w:p>
            <w:pPr>
              <w:ind w:left="180"/>
              <w:spacing w:after="0"/>
              <w:rPr>
                <w:sz w:val="20"/>
                <w:szCs w:val="20"/>
                <w:color w:val="auto"/>
              </w:rPr>
            </w:pPr>
            <w:r>
              <w:rPr>
                <w:rFonts w:ascii="Arial" w:cs="Arial" w:eastAsia="Arial" w:hAnsi="Arial"/>
                <w:sz w:val="16"/>
                <w:szCs w:val="16"/>
                <w:color w:val="auto"/>
              </w:rPr>
              <w:t>Non-utility cost of revenues, including natural gas</w:t>
            </w:r>
          </w:p>
        </w:tc>
        <w:tc>
          <w:tcPr>
            <w:tcW w:w="90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2,063</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Operation and maintenance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w:t>
            </w:r>
          </w:p>
        </w:tc>
      </w:tr>
      <w:tr>
        <w:trPr>
          <w:trHeight w:val="243"/>
        </w:trPr>
        <w:tc>
          <w:tcPr>
            <w:tcW w:w="51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656</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other than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1,999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4,903</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marketable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5160" w:type="dxa"/>
            <w:vAlign w:val="bottom"/>
          </w:tcPr>
          <w:p>
            <w:pPr>
              <w:ind w:left="180"/>
              <w:spacing w:after="0"/>
              <w:rPr>
                <w:sz w:val="20"/>
                <w:szCs w:val="20"/>
                <w:color w:val="auto"/>
              </w:rPr>
            </w:pPr>
            <w:r>
              <w:rPr>
                <w:rFonts w:ascii="Arial" w:cs="Arial" w:eastAsia="Arial" w:hAnsi="Arial"/>
                <w:sz w:val="16"/>
                <w:szCs w:val="16"/>
                <w:color w:val="auto"/>
              </w:rPr>
              <w:t>Loss on indexed debt securities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other finance charges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5160" w:type="dxa"/>
            <w:vAlign w:val="bottom"/>
          </w:tcPr>
          <w:p>
            <w:pPr>
              <w:ind w:left="180"/>
              <w:spacing w:after="0"/>
              <w:rPr>
                <w:sz w:val="20"/>
                <w:szCs w:val="20"/>
                <w:color w:val="auto"/>
              </w:rPr>
            </w:pPr>
            <w:r>
              <w:rPr>
                <w:rFonts w:ascii="Arial" w:cs="Arial" w:eastAsia="Arial" w:hAnsi="Arial"/>
                <w:sz w:val="16"/>
                <w:szCs w:val="16"/>
                <w:color w:val="auto"/>
              </w:rPr>
              <w:t>Interest on Securitization Bonds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earnings of unconsolidated affiliates,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43"/>
        </w:trPr>
        <w:tc>
          <w:tcPr>
            <w:tcW w:w="5160" w:type="dxa"/>
            <w:vAlign w:val="bottom"/>
          </w:tcPr>
          <w:p>
            <w:pPr>
              <w:ind w:left="180"/>
              <w:spacing w:after="0"/>
              <w:rPr>
                <w:sz w:val="20"/>
                <w:szCs w:val="20"/>
                <w:color w:val="auto"/>
              </w:rPr>
            </w:pPr>
            <w:r>
              <w:rPr>
                <w:rFonts w:ascii="Arial" w:cs="Arial" w:eastAsia="Arial" w:hAnsi="Arial"/>
                <w:sz w:val="16"/>
                <w:szCs w:val="16"/>
                <w:color w:val="auto"/>
              </w:rPr>
              <w:t>Other income, net</w:t>
            </w:r>
          </w:p>
        </w:tc>
        <w:tc>
          <w:tcPr>
            <w:tcW w:w="90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 (benefit)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dividend requirement</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Income (Loss) Available to Common Shareholders</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r>
      <w:tr>
        <w:trPr>
          <w:trHeight w:val="271"/>
        </w:trPr>
        <w:tc>
          <w:tcPr>
            <w:tcW w:w="5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Basic Earnings (Loss) Per Common Share</w:t>
            </w:r>
          </w:p>
        </w:tc>
        <w:tc>
          <w:tcPr>
            <w:tcW w:w="90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0.21</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 Earnings (Loss) Per Common Share</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Weighted Average Common Shares Outstanding, Basic</w:t>
            </w: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431</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Common Shares Outstanding, Diluted</w:t>
            </w:r>
          </w:p>
        </w:tc>
        <w:tc>
          <w:tcPr>
            <w:tcW w:w="9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Adjustment to pension and other postretirement plans (net of tax of</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 $-0-, $2 and $1)</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8"/>
              </w:rPr>
              <w:t>Net deferred gain (loss) from cash flow hedges (net of tax of $-0-,</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$-0-, $-0- and $1)</w:t>
            </w:r>
          </w:p>
        </w:tc>
        <w:tc>
          <w:tcPr>
            <w:tcW w:w="9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Reclassification of deferred loss from cash flow hedges realized in net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(net of tax of $-0-, $-0-, $-0- and $-0-)</w:t>
            </w:r>
          </w:p>
        </w:tc>
        <w:tc>
          <w:tcPr>
            <w:tcW w:w="9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44"/>
        </w:trPr>
        <w:tc>
          <w:tcPr>
            <w:tcW w:w="8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8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 ($260 and $335 related to VIEs, respectively)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4,231</w:t>
            </w: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Investment in marketable securities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540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Accounts receivable ($77 and $56 related to VIEs, respectively), less bad debt reserve of $27 and $18,</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w:t>
            </w: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Accrued unbilled revenues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378</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Natural gas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Materials and supplies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200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Non-trading derivative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Taxes receivable</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 ($33 and $34 related to VIEs, respectively)</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r>
      <w:tr>
        <w:trPr>
          <w:trHeight w:val="237"/>
        </w:trPr>
        <w:tc>
          <w:tcPr>
            <w:tcW w:w="83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7,025</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29,552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20,267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6,223</w:t>
            </w:r>
          </w:p>
        </w:tc>
      </w:tr>
      <w:tr>
        <w:trPr>
          <w:trHeight w:val="237"/>
        </w:trPr>
        <w:tc>
          <w:tcPr>
            <w:tcW w:w="832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19,932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14,044</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867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Regulatory assets ($895 and $1,059 related to VIEs,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1,967</w:t>
            </w: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Notes receivable – unconsolidated affiliate</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Non-trading derivative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2,482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units – unconsolidated affiliate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r>
      <w:tr>
        <w:trPr>
          <w:trHeight w:val="237"/>
        </w:trPr>
        <w:tc>
          <w:tcPr>
            <w:tcW w:w="8320" w:type="dxa"/>
            <w:vAlign w:val="bottom"/>
          </w:tcPr>
          <w:p>
            <w:pPr>
              <w:ind w:left="500"/>
              <w:spacing w:after="0"/>
              <w:rPr>
                <w:sz w:val="20"/>
                <w:szCs w:val="20"/>
                <w:color w:val="auto"/>
              </w:rPr>
            </w:pPr>
            <w:r>
              <w:rPr>
                <w:rFonts w:ascii="Arial" w:cs="Arial" w:eastAsia="Arial" w:hAnsi="Arial"/>
                <w:sz w:val="18"/>
                <w:szCs w:val="18"/>
                <w:color w:val="auto"/>
              </w:rPr>
              <w:t>Total other assets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5,940</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34,189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27,009</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SHAREHOLDERS’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44"/>
        </w:trPr>
        <w:tc>
          <w:tcPr>
            <w:tcW w:w="8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8"/>
              </w:rPr>
              <w:t>(in millions, except share amounts)</w:t>
            </w:r>
          </w:p>
        </w:tc>
      </w:tr>
      <w:tr>
        <w:trPr>
          <w:trHeight w:val="255"/>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VIE Securitization Bonds 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Indexed debt, net</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24</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other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Indexed debt securities derivative</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601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1,240</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Taxes accrued</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204</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accrued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Dividends accrued</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Non-trading derivative liabilities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r>
      <w:tr>
        <w:trPr>
          <w:trHeight w:val="237"/>
        </w:trPr>
        <w:tc>
          <w:tcPr>
            <w:tcW w:w="83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3,302</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3,239</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Non-trading derivative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796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2,525</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402</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6,967</w:t>
            </w:r>
          </w:p>
        </w:tc>
      </w:tr>
      <w:tr>
        <w:trPr>
          <w:trHeight w:val="22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VIE Securitization Bonds,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Other long-term debt, net</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7,705</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debt, net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8,682</w:t>
            </w:r>
          </w:p>
        </w:tc>
      </w:tr>
      <w:tr>
        <w:trPr>
          <w:trHeight w:val="22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14)</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Cumulative preferred stock, $0.01 par value, 20,000,000 shares authorized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0"/>
              </w:rPr>
              <w:t>Series A Preferred Stock, $0.01 par value, $800 aggregate liquidation preference, 800,000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w w:val="90"/>
              </w:rPr>
              <w:t>Series B Preferred Stock, $0.01 par value, $978 aggregate liquidation preference, 977,500 shares outstanding</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950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 $0.01 par value, 1,000,000,000 shares authorized, 502,214,639 shares and 501,197,784 shares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6,072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8,058</w:t>
            </w:r>
          </w:p>
        </w:tc>
      </w:tr>
      <w:tr>
        <w:trPr>
          <w:trHeight w:val="257"/>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34,189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27,009</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44"/>
        </w:trPr>
        <w:tc>
          <w:tcPr>
            <w:tcW w:w="8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r>
      <w:tr>
        <w:trPr>
          <w:trHeight w:val="249"/>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8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 in non-utility cost of revenues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gain on marketable securities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Loss on indexed debt securities</w:t>
            </w:r>
          </w:p>
        </w:tc>
        <w:tc>
          <w:tcPr>
            <w:tcW w:w="8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Write-down of natural gas inventory</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Equity in earnings of unconsolidated affiliates, net of distributions</w:t>
            </w:r>
          </w:p>
        </w:tc>
        <w:tc>
          <w:tcPr>
            <w:tcW w:w="8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contributions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Changes in other assets and liabilities, excluding acquisitions:</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 and unbilled revenues, net</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8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Taxes receivable</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Fuel cost recovery</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Non-trading derivatives, net</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Margin deposits, net</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Interest and taxes accrued</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regulatory assets and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Other current assets</w:t>
            </w:r>
          </w:p>
        </w:tc>
        <w:tc>
          <w:tcPr>
            <w:tcW w:w="8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8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 operating activities, net</w:t>
            </w:r>
          </w:p>
        </w:tc>
        <w:tc>
          <w:tcPr>
            <w:tcW w:w="8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1,093</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8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(5,987)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notes receivable – unconsolidated affiliate</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Distributions from unconsolidated affiliate in excess of cumulative earnings</w:t>
            </w:r>
          </w:p>
        </w:tc>
        <w:tc>
          <w:tcPr>
            <w:tcW w:w="8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marketable securities</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investing activities, net</w:t>
            </w:r>
          </w:p>
        </w:tc>
        <w:tc>
          <w:tcPr>
            <w:tcW w:w="8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(7,149)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8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short-term borrowings, net</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Proceeds from (payments of) commercial paper, net</w:t>
            </w:r>
          </w:p>
        </w:tc>
        <w:tc>
          <w:tcPr>
            <w:tcW w:w="8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2,221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(1,188)</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long-term debt, net</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Payments of long-term debt</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(1,077)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revolving credit facility</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dividends on Common Stock</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Payment of dividends on Preferred Stock</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 to ZENS note holders</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financing activities, net</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2,629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(3,946)</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4,278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r>
      <w:tr>
        <w:trPr>
          <w:trHeight w:val="24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84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Combined Notes to Unaudited Condensed Consolidated Financial Statements</w:t>
      </w:r>
    </w:p>
    <w:p>
      <w:pPr>
        <w:sectPr>
          <w:pgSz w:w="11900" w:h="16838" w:orient="portrait"/>
          <w:cols w:equalWidth="0" w:num="1">
            <w:col w:w="11420"/>
          </w:cols>
          <w:pgMar w:left="240" w:top="125" w:right="239" w:bottom="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368" w:right="1440"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left="300" w:right="2600"/>
        <w:spacing w:after="0" w:line="27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9"/>
          </w:tcPr>
          <w:p>
            <w:pPr>
              <w:jc w:val="right"/>
              <w:ind w:right="108"/>
              <w:spacing w:after="0"/>
              <w:rPr>
                <w:sz w:val="20"/>
                <w:szCs w:val="20"/>
                <w:color w:val="auto"/>
              </w:rPr>
            </w:pPr>
            <w:r>
              <w:rPr>
                <w:rFonts w:ascii="Arial" w:cs="Arial" w:eastAsia="Arial" w:hAnsi="Arial"/>
                <w:sz w:val="14"/>
                <w:szCs w:val="14"/>
                <w:b w:val="1"/>
                <w:bCs w:val="1"/>
                <w:color w:val="auto"/>
                <w:w w:val="95"/>
              </w:rPr>
              <w:t>Three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right"/>
              <w:ind w:right="128"/>
              <w:spacing w:after="0"/>
              <w:rPr>
                <w:sz w:val="20"/>
                <w:szCs w:val="20"/>
                <w:color w:val="auto"/>
              </w:rPr>
            </w:pPr>
            <w:r>
              <w:rPr>
                <w:rFonts w:ascii="Arial" w:cs="Arial" w:eastAsia="Arial" w:hAnsi="Arial"/>
                <w:sz w:val="14"/>
                <w:szCs w:val="14"/>
                <w:b w:val="1"/>
                <w:bCs w:val="1"/>
                <w:color w:val="auto"/>
                <w:w w:val="92"/>
              </w:rPr>
              <w:t>Six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422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2019</w:t>
            </w: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2018</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2018</w:t>
            </w:r>
          </w:p>
        </w:tc>
        <w:tc>
          <w:tcPr>
            <w:tcW w:w="660" w:type="dxa"/>
            <w:vAlign w:val="bottom"/>
            <w:tcBorders>
              <w:bottom w:val="single" w:sz="8" w:color="auto"/>
            </w:tcBorders>
          </w:tcPr>
          <w:p>
            <w:pPr>
              <w:spacing w:after="0"/>
              <w:rPr>
                <w:sz w:val="22"/>
                <w:szCs w:val="22"/>
                <w:color w:val="auto"/>
              </w:rPr>
            </w:pPr>
          </w:p>
        </w:tc>
      </w:tr>
      <w:tr>
        <w:trPr>
          <w:trHeight w:val="264"/>
        </w:trPr>
        <w:tc>
          <w:tcPr>
            <w:tcW w:w="4220" w:type="dxa"/>
            <w:vAlign w:val="bottom"/>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r>
      <w:tr>
        <w:trPr>
          <w:trHeight w:val="190"/>
        </w:trPr>
        <w:tc>
          <w:tcPr>
            <w:tcW w:w="4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760" w:type="dxa"/>
            <w:vAlign w:val="bottom"/>
            <w:gridSpan w:val="14"/>
          </w:tcPr>
          <w:p>
            <w:pPr>
              <w:ind w:left="20"/>
              <w:spacing w:after="0"/>
              <w:rPr>
                <w:sz w:val="20"/>
                <w:szCs w:val="20"/>
                <w:color w:val="auto"/>
              </w:rPr>
            </w:pPr>
            <w:r>
              <w:rPr>
                <w:rFonts w:ascii="Arial" w:cs="Arial" w:eastAsia="Arial" w:hAnsi="Arial"/>
                <w:sz w:val="14"/>
                <w:szCs w:val="14"/>
                <w:b w:val="1"/>
                <w:bCs w:val="1"/>
                <w:color w:val="auto"/>
                <w:w w:val="91"/>
              </w:rPr>
              <w:t>(in millions of dollars and shares, except per share amounts)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65"/>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Cumulative Preferred Stock, $0.01 par value; authorized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2"/>
        </w:trPr>
        <w:tc>
          <w:tcPr>
            <w:tcW w:w="4220" w:type="dxa"/>
            <w:vAlign w:val="bottom"/>
          </w:tcPr>
          <w:p>
            <w:pPr>
              <w:ind w:left="200"/>
              <w:spacing w:after="0"/>
              <w:rPr>
                <w:sz w:val="20"/>
                <w:szCs w:val="20"/>
                <w:color w:val="auto"/>
              </w:rPr>
            </w:pPr>
            <w:r>
              <w:rPr>
                <w:rFonts w:ascii="Arial" w:cs="Arial" w:eastAsia="Arial" w:hAnsi="Arial"/>
                <w:sz w:val="14"/>
                <w:szCs w:val="14"/>
                <w:b w:val="1"/>
                <w:bCs w:val="1"/>
                <w:color w:val="auto"/>
              </w:rPr>
              <w:t>20,000,000 shares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70"/>
        </w:trPr>
        <w:tc>
          <w:tcPr>
            <w:tcW w:w="4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Balance,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1,740</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220" w:type="dxa"/>
            <w:vAlign w:val="bottom"/>
          </w:tcPr>
          <w:p>
            <w:pPr>
              <w:ind w:left="380"/>
              <w:spacing w:after="0"/>
              <w:rPr>
                <w:sz w:val="20"/>
                <w:szCs w:val="20"/>
                <w:color w:val="auto"/>
              </w:rPr>
            </w:pPr>
            <w:r>
              <w:rPr>
                <w:rFonts w:ascii="Arial" w:cs="Arial" w:eastAsia="Arial" w:hAnsi="Arial"/>
                <w:sz w:val="14"/>
                <w:szCs w:val="14"/>
                <w:color w:val="auto"/>
              </w:rPr>
              <w:t>Balance, end of period</w:t>
            </w: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1,740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6"/>
              </w:rPr>
              <w:t>Common Stock, $0.01 par value; authorized 1,000,000,000 shares</w:t>
            </w: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r>
      <w:tr>
        <w:trPr>
          <w:trHeight w:val="264"/>
        </w:trPr>
        <w:tc>
          <w:tcPr>
            <w:tcW w:w="4220" w:type="dxa"/>
            <w:vAlign w:val="bottom"/>
          </w:tcPr>
          <w:p>
            <w:pPr>
              <w:ind w:left="380"/>
              <w:spacing w:after="0"/>
              <w:rPr>
                <w:sz w:val="20"/>
                <w:szCs w:val="20"/>
                <w:color w:val="auto"/>
              </w:rPr>
            </w:pPr>
            <w:r>
              <w:rPr>
                <w:rFonts w:ascii="Arial" w:cs="Arial" w:eastAsia="Arial" w:hAnsi="Arial"/>
                <w:sz w:val="14"/>
                <w:szCs w:val="14"/>
                <w:color w:val="auto"/>
              </w:rPr>
              <w:t>Balance, beginning of period</w:t>
            </w:r>
          </w:p>
        </w:tc>
        <w:tc>
          <w:tcPr>
            <w:tcW w:w="72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0"/>
        </w:trPr>
        <w:tc>
          <w:tcPr>
            <w:tcW w:w="4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Issuances related to benefit and investment plans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220" w:type="dxa"/>
            <w:vAlign w:val="bottom"/>
          </w:tcPr>
          <w:p>
            <w:pPr>
              <w:ind w:left="380"/>
              <w:spacing w:after="0"/>
              <w:rPr>
                <w:sz w:val="20"/>
                <w:szCs w:val="20"/>
                <w:color w:val="auto"/>
              </w:rPr>
            </w:pPr>
            <w:r>
              <w:rPr>
                <w:rFonts w:ascii="Arial" w:cs="Arial" w:eastAsia="Arial" w:hAnsi="Arial"/>
                <w:sz w:val="14"/>
                <w:szCs w:val="14"/>
                <w:color w:val="auto"/>
              </w:rPr>
              <w:t>Balance, end of period</w:t>
            </w:r>
          </w:p>
        </w:tc>
        <w:tc>
          <w:tcPr>
            <w:tcW w:w="72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0"/>
        </w:trPr>
        <w:tc>
          <w:tcPr>
            <w:tcW w:w="4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Additional Paid-in-Capital</w:t>
            </w: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r>
      <w:tr>
        <w:trPr>
          <w:trHeight w:val="264"/>
        </w:trPr>
        <w:tc>
          <w:tcPr>
            <w:tcW w:w="4220" w:type="dxa"/>
            <w:vAlign w:val="bottom"/>
          </w:tcPr>
          <w:p>
            <w:pPr>
              <w:ind w:left="380"/>
              <w:spacing w:after="0"/>
              <w:rPr>
                <w:sz w:val="20"/>
                <w:szCs w:val="20"/>
                <w:color w:val="auto"/>
              </w:rPr>
            </w:pPr>
            <w:r>
              <w:rPr>
                <w:rFonts w:ascii="Arial" w:cs="Arial" w:eastAsia="Arial" w:hAnsi="Arial"/>
                <w:sz w:val="14"/>
                <w:szCs w:val="14"/>
                <w:color w:val="auto"/>
              </w:rPr>
              <w:t>Balance, beginning of period</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6,060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4,208</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6,072</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4,209</w:t>
            </w:r>
          </w:p>
        </w:tc>
      </w:tr>
      <w:tr>
        <w:trPr>
          <w:trHeight w:val="270"/>
        </w:trPr>
        <w:tc>
          <w:tcPr>
            <w:tcW w:w="4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Issuances related to benefit and investment plans</w:t>
            </w: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50"/>
        </w:trPr>
        <w:tc>
          <w:tcPr>
            <w:tcW w:w="42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Balance, end of period</w:t>
            </w: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6,065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4,215</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6,065</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4,215</w:t>
            </w: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Retained Earnings</w:t>
            </w: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64"/>
        </w:trPr>
        <w:tc>
          <w:tcPr>
            <w:tcW w:w="4220" w:type="dxa"/>
            <w:vAlign w:val="bottom"/>
          </w:tcPr>
          <w:p>
            <w:pPr>
              <w:ind w:left="380"/>
              <w:spacing w:after="0"/>
              <w:rPr>
                <w:sz w:val="20"/>
                <w:szCs w:val="20"/>
                <w:color w:val="auto"/>
              </w:rPr>
            </w:pPr>
            <w:r>
              <w:rPr>
                <w:rFonts w:ascii="Arial" w:cs="Arial" w:eastAsia="Arial" w:hAnsi="Arial"/>
                <w:sz w:val="14"/>
                <w:szCs w:val="14"/>
                <w:color w:val="auto"/>
              </w:rPr>
              <w:t>Balance, beginning of period</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518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543</w:t>
            </w:r>
          </w:p>
        </w:tc>
      </w:tr>
      <w:tr>
        <w:trPr>
          <w:trHeight w:val="276"/>
        </w:trPr>
        <w:tc>
          <w:tcPr>
            <w:tcW w:w="4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r>
      <w:tr>
        <w:trPr>
          <w:trHeight w:val="157"/>
        </w:trPr>
        <w:tc>
          <w:tcPr>
            <w:tcW w:w="4220" w:type="dxa"/>
            <w:vAlign w:val="bottom"/>
          </w:tcPr>
          <w:p>
            <w:pPr>
              <w:ind w:left="380"/>
              <w:spacing w:after="0" w:line="157" w:lineRule="exact"/>
              <w:rPr>
                <w:sz w:val="20"/>
                <w:szCs w:val="20"/>
                <w:color w:val="auto"/>
              </w:rPr>
            </w:pPr>
            <w:r>
              <w:rPr>
                <w:rFonts w:ascii="Arial" w:cs="Arial" w:eastAsia="Arial" w:hAnsi="Arial"/>
                <w:sz w:val="14"/>
                <w:szCs w:val="14"/>
                <w:color w:val="auto"/>
                <w:w w:val="97"/>
              </w:rPr>
              <w:t>Common Stock dividends declared ($0.2875, $0.2775, $0.2875</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8"/>
        </w:trPr>
        <w:tc>
          <w:tcPr>
            <w:tcW w:w="4220" w:type="dxa"/>
            <w:vAlign w:val="bottom"/>
          </w:tcPr>
          <w:p>
            <w:pPr>
              <w:ind w:left="540"/>
              <w:spacing w:after="0"/>
              <w:rPr>
                <w:sz w:val="20"/>
                <w:szCs w:val="20"/>
                <w:color w:val="auto"/>
              </w:rPr>
            </w:pPr>
            <w:r>
              <w:rPr>
                <w:rFonts w:ascii="Arial" w:cs="Arial" w:eastAsia="Arial" w:hAnsi="Arial"/>
                <w:sz w:val="14"/>
                <w:szCs w:val="14"/>
                <w:color w:val="auto"/>
              </w:rPr>
              <w:t>and $0.2775 per share, respectively)</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63"/>
        </w:trPr>
        <w:tc>
          <w:tcPr>
            <w:tcW w:w="4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B Preferred Stock dividends declared ($17.5000, $-0-,</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88"/>
        </w:trPr>
        <w:tc>
          <w:tcPr>
            <w:tcW w:w="4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$17.5000, and $-0- per share, respectively)</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2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Balance, end of period</w:t>
            </w: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552</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513</w:t>
            </w: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Accumulated Other Comprehensive Loss</w:t>
            </w: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64"/>
        </w:trPr>
        <w:tc>
          <w:tcPr>
            <w:tcW w:w="4220" w:type="dxa"/>
            <w:vAlign w:val="bottom"/>
          </w:tcPr>
          <w:p>
            <w:pPr>
              <w:ind w:left="380"/>
              <w:spacing w:after="0"/>
              <w:rPr>
                <w:sz w:val="20"/>
                <w:szCs w:val="20"/>
                <w:color w:val="auto"/>
              </w:rPr>
            </w:pPr>
            <w:r>
              <w:rPr>
                <w:rFonts w:ascii="Arial" w:cs="Arial" w:eastAsia="Arial" w:hAnsi="Arial"/>
                <w:sz w:val="14"/>
                <w:szCs w:val="14"/>
                <w:color w:val="auto"/>
              </w:rPr>
              <w:t>Balance, beginning of period</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70"/>
        </w:trPr>
        <w:tc>
          <w:tcPr>
            <w:tcW w:w="4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w:t>
            </w: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50"/>
        </w:trPr>
        <w:tc>
          <w:tcPr>
            <w:tcW w:w="42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Balance, end of period</w:t>
            </w: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Shareholders’ Equity</w:t>
            </w:r>
          </w:p>
        </w:tc>
        <w:tc>
          <w:tcPr>
            <w:tcW w:w="7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4,670</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8,257</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4,670</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5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w:t>
            </w: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5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 and maintenance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495</w:t>
            </w:r>
          </w:p>
        </w:tc>
      </w:tr>
      <w:tr>
        <w:trPr>
          <w:trHeight w:val="27"/>
        </w:trPr>
        <w:tc>
          <w:tcPr>
            <w:tcW w:w="5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1,309</w:t>
            </w:r>
          </w:p>
        </w:tc>
      </w:tr>
      <w:tr>
        <w:trPr>
          <w:trHeight w:val="27"/>
        </w:trPr>
        <w:tc>
          <w:tcPr>
            <w:tcW w:w="5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5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other finance charges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Interest on Securitization Bonds</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5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9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5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0"/>
        </w:trPr>
        <w:tc>
          <w:tcPr>
            <w:tcW w:w="5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101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deferred gain (loss) from cash flow hedges (net of tax of $-0-, $-0-, $-0-</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$1)</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37"/>
        </w:trPr>
        <w:tc>
          <w:tcPr>
            <w:tcW w:w="5620" w:type="dxa"/>
            <w:vAlign w:val="bottom"/>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44"/>
        </w:trPr>
        <w:tc>
          <w:tcPr>
            <w:tcW w:w="8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($260 and $335 related to VIEs, respectively)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4"/>
              </w:rPr>
              <w:t>Accounts and notes receivable ($77 and $56 related to VIEs, respectively), less bad debt reserve of $1 and $1,</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8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283</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and notes receivable–affiliated companies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unbilled revenues</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Taxes receivable</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($33 and $34 related to VIEs,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949</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12,457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12,148</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3,746</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8,402</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Regulatory assets ($895 and $1,059 related to VIEs, respectively)</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1,124</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1,156</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10,507</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MEMBER</w:t>
      </w:r>
      <w:r>
        <w:rPr>
          <w:rFonts w:ascii="Arial" w:cs="Arial" w:eastAsia="Arial" w:hAnsi="Arial"/>
          <w:sz w:val="18"/>
          <w:szCs w:val="18"/>
          <w:color w:val="auto"/>
        </w:rPr>
        <w:t>’</w:t>
      </w:r>
      <w:r>
        <w:rPr>
          <w:rFonts w:ascii="Arial" w:cs="Arial" w:eastAsia="Arial" w:hAnsi="Arial"/>
          <w:sz w:val="18"/>
          <w:szCs w:val="18"/>
          <w:b w:val="1"/>
          <w:bCs w:val="1"/>
          <w:color w:val="auto"/>
        </w:rPr>
        <w:t>S EQUITY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44"/>
        </w:trPr>
        <w:tc>
          <w:tcPr>
            <w:tcW w:w="8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951"/>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VIE Securitization Bonds long-term debt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and notes payable–affiliated companies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Taxes accrued</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accrued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Non-trading derivative liabilities</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1,090</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1,023</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Regulatory liabilities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1,298</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2,477</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VIE Securitization Bonds,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977</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long-term debt, net</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4,258</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Member’s Equity:</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1,896</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2,682</w:t>
            </w: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Member’s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10,507</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44"/>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other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receivable/payable–affiliated companies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and taxes accrued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Non-trading derivatives,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regulatory assets and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Other operating activities,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Payments of long-term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notes payable–affiliated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Dividend to parent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 from parent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Other financing activities,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8"/>
          </w:tcPr>
          <w:p>
            <w:pPr>
              <w:jc w:val="right"/>
              <w:ind w:right="128"/>
              <w:spacing w:after="0"/>
              <w:rPr>
                <w:sz w:val="20"/>
                <w:szCs w:val="20"/>
                <w:color w:val="auto"/>
              </w:rPr>
            </w:pPr>
            <w:r>
              <w:rPr>
                <w:rFonts w:ascii="Arial" w:cs="Arial" w:eastAsia="Arial" w:hAnsi="Arial"/>
                <w:sz w:val="14"/>
                <w:szCs w:val="14"/>
                <w:b w:val="1"/>
                <w:bCs w:val="1"/>
                <w:color w:val="auto"/>
                <w:w w:val="96"/>
              </w:rPr>
              <w:t>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right"/>
              <w:ind w:right="148"/>
              <w:spacing w:after="0"/>
              <w:rPr>
                <w:sz w:val="20"/>
                <w:szCs w:val="20"/>
                <w:color w:val="auto"/>
              </w:rPr>
            </w:pPr>
            <w:r>
              <w:rPr>
                <w:rFonts w:ascii="Arial" w:cs="Arial" w:eastAsia="Arial" w:hAnsi="Arial"/>
                <w:sz w:val="14"/>
                <w:szCs w:val="14"/>
                <w:b w:val="1"/>
                <w:bCs w:val="1"/>
                <w:color w:val="auto"/>
                <w:w w:val="91"/>
              </w:rPr>
              <w:t>Six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2018</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2018</w:t>
            </w:r>
          </w:p>
        </w:tc>
        <w:tc>
          <w:tcPr>
            <w:tcW w:w="66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r>
      <w:tr>
        <w:trPr>
          <w:trHeight w:val="190"/>
        </w:trPr>
        <w:tc>
          <w:tcPr>
            <w:tcW w:w="4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10"/>
          </w:tcPr>
          <w:p>
            <w:pPr>
              <w:jc w:val="right"/>
              <w:ind w:right="8"/>
              <w:spacing w:after="0"/>
              <w:rPr>
                <w:sz w:val="20"/>
                <w:szCs w:val="20"/>
                <w:color w:val="auto"/>
              </w:rPr>
            </w:pPr>
            <w:r>
              <w:rPr>
                <w:rFonts w:ascii="Arial" w:cs="Arial" w:eastAsia="Arial" w:hAnsi="Arial"/>
                <w:sz w:val="14"/>
                <w:szCs w:val="14"/>
                <w:b w:val="1"/>
                <w:bCs w:val="1"/>
                <w:color w:val="auto"/>
              </w:rPr>
              <w:t>(in millions, except share amounts)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76"/>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240" w:type="dxa"/>
            <w:vAlign w:val="bottom"/>
          </w:tcPr>
          <w:p>
            <w:pPr>
              <w:ind w:left="180"/>
              <w:spacing w:after="0"/>
              <w:rPr>
                <w:sz w:val="20"/>
                <w:szCs w:val="20"/>
                <w:color w:val="auto"/>
              </w:rPr>
            </w:pPr>
            <w:r>
              <w:rPr>
                <w:rFonts w:ascii="Arial" w:cs="Arial" w:eastAsia="Arial" w:hAnsi="Arial"/>
                <w:sz w:val="14"/>
                <w:szCs w:val="14"/>
                <w:color w:val="auto"/>
              </w:rPr>
              <w:t>Balance, end of period</w:t>
            </w:r>
          </w:p>
        </w:tc>
        <w:tc>
          <w:tcPr>
            <w:tcW w:w="72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Additional Paid-in-Capital</w:t>
            </w:r>
          </w:p>
        </w:tc>
        <w:tc>
          <w:tcPr>
            <w:tcW w:w="7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Balance, beginning of period</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2,486</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1,697</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1,896</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1,696</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Parent</w:t>
            </w: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5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end of period</w:t>
            </w: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2,486</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1,697</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2,486</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1,697</w:t>
            </w:r>
          </w:p>
        </w:tc>
      </w:tr>
      <w:tr>
        <w:trPr>
          <w:trHeight w:val="24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Retained Earnings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beginning of period</w:t>
            </w: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153</w:t>
            </w: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 to parent</w:t>
            </w: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50"/>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Balance, end of period</w:t>
            </w:r>
          </w:p>
        </w:tc>
        <w:tc>
          <w:tcPr>
            <w:tcW w:w="7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887</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763</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887</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763</w:t>
            </w: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Balance, beginning of period</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 (loss)</w:t>
            </w: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50"/>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Balance, end of period</w:t>
            </w:r>
          </w:p>
        </w:tc>
        <w:tc>
          <w:tcPr>
            <w:tcW w:w="7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Member’s Equity</w:t>
            </w:r>
          </w:p>
        </w:tc>
        <w:tc>
          <w:tcPr>
            <w:tcW w:w="7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3,358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3,358</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0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r>
      <w:tr>
        <w:trPr>
          <w:trHeight w:val="190"/>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Non-utility revenues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2,098</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3,728</w:t>
            </w:r>
          </w:p>
        </w:tc>
      </w:tr>
      <w:tr>
        <w:trPr>
          <w:trHeight w:val="22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natural gas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Non-utility cost of revenues, including natural gas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2,063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 and maintenance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3,575</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2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other finance charges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(net of tax of $-0-, $14, $-0- and $31,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166</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166</w:t>
            </w: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44"/>
        </w:trPr>
        <w:tc>
          <w:tcPr>
            <w:tcW w:w="8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receivable, less bad debt reserve of $21 and $17, respectively</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894</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unbilled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and notes receivable–affiliated companies</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Natural gas inventory</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Non-trading 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2,205</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5,226</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Regulatory assets</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181</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Non-trading 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132</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w:t>
            </w: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8,214</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STOCKHOLDER’S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44"/>
        </w:trPr>
        <w:tc>
          <w:tcPr>
            <w:tcW w:w="8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and notes payable–affiliated companies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accrued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accrued</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Non-trading derivative liabilities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102</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1,340</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406</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Non-trading 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93</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329</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2,371</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2,015</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2,443</w:t>
            </w: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8,214</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r>
      <w:tr>
        <w:trPr>
          <w:trHeight w:val="244"/>
        </w:trPr>
        <w:tc>
          <w:tcPr>
            <w:tcW w:w="8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8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Income from discontinued operations, net of tax</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Adjustments to reconcile income from continuing operations to net cash provided by operating activities: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Write-down of natural gas inventory</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assets and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Accounts receivable and unbilled revenues, net</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(248)</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Fuel cost recovery</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and taxes accrued</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Non-trading derivatives, net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Margin deposits, net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activities, net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628</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 from discontinued operations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746</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(230)</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Net cash provided by investing activities from discontinued operations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(386)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short-term borrowings, net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(payments of) commercial paper, net</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(333)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Dividends to parent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(211)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Decrease in notes payable–affiliated companies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(570)</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 net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Net cash used in financing activities from continuing operations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(560)</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 from discontinued operations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(560)</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8"/>
          </w:tcPr>
          <w:p>
            <w:pPr>
              <w:jc w:val="right"/>
              <w:ind w:right="128"/>
              <w:spacing w:after="0"/>
              <w:rPr>
                <w:sz w:val="20"/>
                <w:szCs w:val="20"/>
                <w:color w:val="auto"/>
              </w:rPr>
            </w:pPr>
            <w:r>
              <w:rPr>
                <w:rFonts w:ascii="Arial" w:cs="Arial" w:eastAsia="Arial" w:hAnsi="Arial"/>
                <w:sz w:val="14"/>
                <w:szCs w:val="14"/>
                <w:b w:val="1"/>
                <w:bCs w:val="1"/>
                <w:color w:val="auto"/>
                <w:w w:val="96"/>
              </w:rPr>
              <w:t>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right"/>
              <w:ind w:right="148"/>
              <w:spacing w:after="0"/>
              <w:rPr>
                <w:sz w:val="20"/>
                <w:szCs w:val="20"/>
                <w:color w:val="auto"/>
              </w:rPr>
            </w:pPr>
            <w:r>
              <w:rPr>
                <w:rFonts w:ascii="Arial" w:cs="Arial" w:eastAsia="Arial" w:hAnsi="Arial"/>
                <w:sz w:val="14"/>
                <w:szCs w:val="14"/>
                <w:b w:val="1"/>
                <w:bCs w:val="1"/>
                <w:color w:val="auto"/>
                <w:w w:val="91"/>
              </w:rPr>
              <w:t>Six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2018</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2018</w:t>
            </w:r>
          </w:p>
        </w:tc>
        <w:tc>
          <w:tcPr>
            <w:tcW w:w="66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r>
      <w:tr>
        <w:trPr>
          <w:trHeight w:val="190"/>
        </w:trPr>
        <w:tc>
          <w:tcPr>
            <w:tcW w:w="4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10"/>
          </w:tcPr>
          <w:p>
            <w:pPr>
              <w:jc w:val="right"/>
              <w:ind w:right="8"/>
              <w:spacing w:after="0"/>
              <w:rPr>
                <w:sz w:val="20"/>
                <w:szCs w:val="20"/>
                <w:color w:val="auto"/>
              </w:rPr>
            </w:pPr>
            <w:r>
              <w:rPr>
                <w:rFonts w:ascii="Arial" w:cs="Arial" w:eastAsia="Arial" w:hAnsi="Arial"/>
                <w:sz w:val="14"/>
                <w:szCs w:val="14"/>
                <w:b w:val="1"/>
                <w:bCs w:val="1"/>
                <w:color w:val="auto"/>
              </w:rPr>
              <w:t>(in millions, except share amounts)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76"/>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240" w:type="dxa"/>
            <w:vAlign w:val="bottom"/>
          </w:tcPr>
          <w:p>
            <w:pPr>
              <w:ind w:left="180"/>
              <w:spacing w:after="0"/>
              <w:rPr>
                <w:sz w:val="20"/>
                <w:szCs w:val="20"/>
                <w:color w:val="auto"/>
              </w:rPr>
            </w:pPr>
            <w:r>
              <w:rPr>
                <w:rFonts w:ascii="Arial" w:cs="Arial" w:eastAsia="Arial" w:hAnsi="Arial"/>
                <w:sz w:val="14"/>
                <w:szCs w:val="14"/>
                <w:color w:val="auto"/>
              </w:rPr>
              <w:t>Balance, end of period</w:t>
            </w:r>
          </w:p>
        </w:tc>
        <w:tc>
          <w:tcPr>
            <w:tcW w:w="72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Additional Paid-in-Capital</w:t>
            </w:r>
          </w:p>
        </w:tc>
        <w:tc>
          <w:tcPr>
            <w:tcW w:w="7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Balance, beginning of period</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2,527</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2,528</w:t>
            </w: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Balance, end of period</w:t>
            </w:r>
          </w:p>
        </w:tc>
        <w:tc>
          <w:tcPr>
            <w:tcW w:w="7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2,528</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2,528</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Retained Earnings</w:t>
            </w: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Balance, beginning of period</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574</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r>
      <w:tr>
        <w:trPr>
          <w:trHeight w:val="264"/>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Dividend to parent</w:t>
            </w:r>
          </w:p>
        </w:tc>
        <w:tc>
          <w:tcPr>
            <w:tcW w:w="7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25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end of period</w:t>
            </w: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r>
      <w:tr>
        <w:trPr>
          <w:trHeight w:val="24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Accumulated Other Comprehensive Income</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beginning of period</w:t>
            </w: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50"/>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Balance, end of period</w:t>
            </w:r>
          </w:p>
        </w:tc>
        <w:tc>
          <w:tcPr>
            <w:tcW w:w="7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Stockholder’s Equity</w:t>
            </w:r>
          </w:p>
        </w:tc>
        <w:tc>
          <w:tcPr>
            <w:tcW w:w="7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2,506</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2,506</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560"/>
        <w:spacing w:after="0" w:line="266"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17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COMBINED 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as discussed in the last paragraph in Note 12 to the Registrants’ Condensed Consolidated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Included in this combined Form 10-Q are the Interim Condensed Financial Statements of CenterPoint Energy, Houston Electric and CERC, which are referred to collectively as the Registrants. The Combined Notes to the Unaudited Condensed Consolidated Financial Statements apply to all Registrants and specific references to Houston Electric and CERC herein also pertain to CenterPoint Energy, unless otherwise indicated. The Interim Condensed Financial Statements are unaudited, omit certain financial statement disclosures and should be read with the Registrants’ combined 2018 Form 10-K.</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Background. </w:t>
      </w:r>
      <w:r>
        <w:rPr>
          <w:rFonts w:ascii="Arial" w:cs="Arial" w:eastAsia="Arial" w:hAnsi="Arial"/>
          <w:sz w:val="18"/>
          <w:szCs w:val="18"/>
          <w:color w:val="auto"/>
        </w:rPr>
        <w:t>CenterPoint Energy, Inc. is a public utility holding company and owns interests in Enable as described below. On the Merger Date,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Merger Agreement, CenterPoint Energy consummated the previously announced Merger and acquired Vectren for approximately $6 billion in cash. On the Merger Date, Vectren became a wholly-owned subsidiary of CenterPoint Energy.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CenterPoint Energy’s operating subsidiaries were as follows:</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Houston Electric owns and operates electric transmission and distribution facilities in the Texas Gulf Coast area that includes the city of Houston;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CERC (i) owns and operates natural gas distribution systems in six states and (ii) obtains and offers competitive variable and fixed-price physical natural gas supplies and services primarily to commercial and industrial customers and electric and natural gas utilities in over 30 states through its wholly-owned subsidiary, CES.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holds three public utilities through its wholly-owned subsidiary, VUHI, a public utility holding company: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Indiana Gas provides energy delivery services to natural gas customers located in central and southern Indiana;</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SIGECO provides energy delivery services to electric and natural gas customers located near Evansville in southwestern Indiana and owns and operates electric generation assets to serve its electric customers and optimizes those assets in the wholesale power market; and</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VEDO provides energy delivery services to natural gas customers located near Dayton in west-central Ohio.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performs non-utility activities through:</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Infrastructure Services, which provides underground pipeline construction and repair services through wholly-owned subsidiaries Miller Pipeline, LLC and Minnesota Limited, LLC and serves natural gas utilities across the United States, focusing on recurring integrity, station and maintenance work and opportunities for large transmission pipeline construction projects; and</w:t>
      </w:r>
    </w:p>
    <w:p>
      <w:pPr>
        <w:spacing w:after="0" w:line="181"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ESG, which provides energy performance contracting and sustainable infrastructure services, such as renewables, distributed generation and combined heat and power projects.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2019, CenterPoint Energy, indirectly through CNP Midstream, owned approximately 53.8% of the common units representing limited partner interests in Enable, 50% of the management rights and 40% of the incentive distribution rights in Enable GP and also directly owned an aggregate of 14,520,000 Enable Series A Preferred Units. Enable owns, operates and develops natural gas and crude oil infrastructure assets.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2019,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preparation of financial statements in conformity with generally accepted accounting principles requires management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and energy services, (b) changes in energy commodity prices, (c) timing of maintenance and other expenditures and (d) acquisitions and dispositions of businesses, assets and other interests. Certain prior year amounts have been reclassified to conform to the current year presentation. See Note 9 for further discussion.</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Concurrent with the completion of the Merger, CenterPoint Energy added two new reportable segments, Indiana Electric Integrated and Infrastructure Services, to its five reportable segments disclosed in the Registrants’ combined 2018 Form 10-K. Additionally, CenterPoint Energy’s Natural Gas Distribution reportable segment now includes the gas operations of SIGECO (Indiana South), Indiana Gas and VEDO and CenterPoint Energy’s Corporate and Other reportable segment now includes ESG. Houston Electric’s and CERC’s reportable segments were not impacted by the Merger. For a description of the Registrants’ reportable segments, see Note 16.</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In addition to the significant accounting policies disclosed in the Registrants’ combined 2018 Form 10-K, CenterPoint</w:t>
      </w:r>
      <w:r>
        <w:rPr>
          <w:rFonts w:ascii="Arial" w:cs="Arial" w:eastAsia="Arial" w:hAnsi="Arial"/>
          <w:sz w:val="18"/>
          <w:szCs w:val="18"/>
          <w:i w:val="1"/>
          <w:iCs w:val="1"/>
          <w:color w:val="auto"/>
        </w:rPr>
        <w:t xml:space="preserve"> </w:t>
      </w:r>
      <w:r>
        <w:rPr>
          <w:rFonts w:ascii="Arial" w:cs="Arial" w:eastAsia="Arial" w:hAnsi="Arial"/>
          <w:sz w:val="18"/>
          <w:szCs w:val="18"/>
          <w:color w:val="auto"/>
        </w:rPr>
        <w:t>Energy has adopted the following new or enhanced significant accounting policies subsequent to the consummation of the Merger:</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u w:val="single" w:color="auto"/>
          <w:color w:val="auto"/>
        </w:rPr>
        <w:t>Principles of Consolidation</w:t>
      </w:r>
      <w:r>
        <w:rPr>
          <w:rFonts w:ascii="Arial" w:cs="Arial" w:eastAsia="Arial" w:hAnsi="Arial"/>
          <w:sz w:val="16"/>
          <w:szCs w:val="16"/>
          <w:i w:val="1"/>
          <w:iCs w:val="1"/>
          <w:color w:val="auto"/>
        </w:rPr>
        <w:t>.</w:t>
      </w:r>
      <w:r>
        <w:rPr>
          <w:rFonts w:ascii="Arial" w:cs="Arial" w:eastAsia="Arial" w:hAnsi="Arial"/>
          <w:sz w:val="16"/>
          <w:szCs w:val="16"/>
          <w:color w:val="auto"/>
        </w:rPr>
        <w:t xml:space="preserve"> Businesses within the Infrastructure Services reportable segment provide underground pipeline construction and repair services for customers that include NGD utilities. In accordance with consolidation guidance in ASC 980—Regulated Operations, costs incurred by NGD utilities for these pipeline construction and repair services are not eliminated in consolidation when capitalized and included in rate base by the NGD utility.</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 See Note 14(b).</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Investment tax credits are deferred and amortized to income over the approximate lives of the related property.</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u w:val="single" w:color="auto"/>
          <w:color w:val="auto"/>
        </w:rPr>
        <w:t>MISO Transactions</w:t>
      </w:r>
      <w:r>
        <w:rPr>
          <w:rFonts w:ascii="Arial" w:cs="Arial" w:eastAsia="Arial" w:hAnsi="Arial"/>
          <w:sz w:val="17"/>
          <w:szCs w:val="17"/>
          <w:color w:val="auto"/>
        </w:rPr>
        <w:t>. Indiana Electric is a member of MISO. MISO-related purchase and sale transactions are recorded using settlement information provided by the MISO. These purchase and sale transactions are accounted for on at least a net hourly position, meaning net purchases within that interval are recorded on CenterPoint Energy’s Condensed Statements of Consolidated Income in Utility natural gas, fuel and purchased power, and net sales within that interval are recorded on CenterPoint Energy’s Condensed Statements of Consolidated Income in Utility revenues. On occasion, prior period transactions are resettled outside the routine process due to a change in the MISO’s tariff or a material interpretation thereof. Expenses associated with resettlements are recorded once the resettlement is probable and the resettlement amount can be estimated. Revenues associated with resettlements are recognized when the amount is determinable and collectability is reasonably assured.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an overview of certain recently adopted or issued accounting pronouncements applicable to all the Registrants, unless otherwise noted.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ASU Number and Name</w:t>
            </w:r>
          </w:p>
        </w:tc>
        <w:tc>
          <w:tcPr>
            <w:tcW w:w="120" w:type="dxa"/>
            <w:vAlign w:val="bottom"/>
            <w:vMerge w:val="restart"/>
          </w:tcPr>
          <w:p>
            <w:pPr>
              <w:spacing w:after="0"/>
              <w:rPr>
                <w:sz w:val="14"/>
                <w:szCs w:val="14"/>
                <w:color w:val="auto"/>
              </w:rPr>
            </w:pPr>
          </w:p>
        </w:tc>
        <w:tc>
          <w:tcPr>
            <w:tcW w:w="366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Date of Adoption</w:t>
            </w:r>
          </w:p>
        </w:tc>
        <w:tc>
          <w:tcPr>
            <w:tcW w:w="120" w:type="dxa"/>
            <w:vAlign w:val="bottom"/>
            <w:vMerge w:val="restart"/>
          </w:tcPr>
          <w:p>
            <w:pPr>
              <w:spacing w:after="0"/>
              <w:rPr>
                <w:sz w:val="14"/>
                <w:szCs w:val="14"/>
                <w:color w:val="auto"/>
              </w:rPr>
            </w:pPr>
          </w:p>
        </w:tc>
        <w:tc>
          <w:tcPr>
            <w:tcW w:w="3640" w:type="dxa"/>
            <w:vAlign w:val="bottom"/>
          </w:tcPr>
          <w:p>
            <w:pPr>
              <w:ind w:left="960"/>
              <w:spacing w:after="0"/>
              <w:rPr>
                <w:sz w:val="20"/>
                <w:szCs w:val="20"/>
                <w:color w:val="auto"/>
              </w:rPr>
            </w:pPr>
            <w:r>
              <w:rPr>
                <w:rFonts w:ascii="Arial" w:cs="Arial" w:eastAsia="Arial" w:hAnsi="Arial"/>
                <w:sz w:val="14"/>
                <w:szCs w:val="14"/>
                <w:b w:val="1"/>
                <w:bCs w:val="1"/>
                <w:color w:val="auto"/>
              </w:rPr>
              <w:t>Financial Statement Impact</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4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upon Adoption</w:t>
            </w:r>
          </w:p>
        </w:tc>
        <w:tc>
          <w:tcPr>
            <w:tcW w:w="0" w:type="dxa"/>
            <w:vAlign w:val="bottom"/>
          </w:tcPr>
          <w:p>
            <w:pPr>
              <w:spacing w:after="0"/>
              <w:rPr>
                <w:sz w:val="1"/>
                <w:szCs w:val="1"/>
                <w:color w:val="auto"/>
              </w:rPr>
            </w:pPr>
          </w:p>
        </w:tc>
      </w:tr>
      <w:tr>
        <w:trPr>
          <w:trHeight w:val="156"/>
        </w:trPr>
        <w:tc>
          <w:tcPr>
            <w:tcW w:w="23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ASU 2016-02- Leases (Topic 842)</w:t>
            </w:r>
          </w:p>
        </w:tc>
        <w:tc>
          <w:tcPr>
            <w:tcW w:w="37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w w:val="95"/>
              </w:rPr>
              <w:t>ASU 2016-02 provides a comprehensive new lease model that</w:t>
            </w:r>
          </w:p>
        </w:tc>
        <w:tc>
          <w:tcPr>
            <w:tcW w:w="1700" w:type="dxa"/>
            <w:vAlign w:val="bottom"/>
            <w:gridSpan w:val="2"/>
            <w:shd w:val="clear" w:color="auto" w:fill="CCEEFF"/>
          </w:tcPr>
          <w:p>
            <w:pPr>
              <w:jc w:val="center"/>
              <w:ind w:right="120"/>
              <w:spacing w:after="0" w:line="157" w:lineRule="exact"/>
              <w:rPr>
                <w:sz w:val="20"/>
                <w:szCs w:val="20"/>
                <w:color w:val="auto"/>
              </w:rPr>
            </w:pPr>
            <w:r>
              <w:rPr>
                <w:rFonts w:ascii="Arial" w:cs="Arial" w:eastAsia="Arial" w:hAnsi="Arial"/>
                <w:sz w:val="14"/>
                <w:szCs w:val="14"/>
                <w:color w:val="auto"/>
                <w:w w:val="89"/>
              </w:rPr>
              <w:t>January 1, 2019</w:t>
            </w:r>
          </w:p>
        </w:tc>
        <w:tc>
          <w:tcPr>
            <w:tcW w:w="36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4"/>
              </w:rPr>
              <w:t>The Registrants adopted the standard and recognized a right-</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related amendments</w:t>
            </w:r>
          </w:p>
        </w:tc>
        <w:tc>
          <w:tcPr>
            <w:tcW w:w="37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requires lessees to recognize assets and liabilities for most</w:t>
            </w: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of-use asset and lease liability on their statement of financial</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leases and would change certain aspects of lessor accounting.</w:t>
            </w: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position with no material impact on their results of operations</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modified retrospective</w:t>
            </w: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cash flows. See Note 19 for more information.</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Issued, Not Yet Effective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ASU Number and Name</w:t>
            </w:r>
          </w:p>
        </w:tc>
        <w:tc>
          <w:tcPr>
            <w:tcW w:w="120" w:type="dxa"/>
            <w:vAlign w:val="bottom"/>
            <w:vMerge w:val="restart"/>
          </w:tcPr>
          <w:p>
            <w:pPr>
              <w:spacing w:after="0"/>
              <w:rPr>
                <w:sz w:val="14"/>
                <w:szCs w:val="14"/>
                <w:color w:val="auto"/>
              </w:rPr>
            </w:pPr>
          </w:p>
        </w:tc>
        <w:tc>
          <w:tcPr>
            <w:tcW w:w="36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20" w:type="dxa"/>
            <w:vAlign w:val="bottom"/>
            <w:vMerge w:val="restart"/>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4"/>
              </w:rPr>
              <w:t>Financial Statement Impact</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upon Adoption</w:t>
            </w:r>
          </w:p>
        </w:tc>
        <w:tc>
          <w:tcPr>
            <w:tcW w:w="0" w:type="dxa"/>
            <w:vAlign w:val="bottom"/>
          </w:tcPr>
          <w:p>
            <w:pPr>
              <w:spacing w:after="0"/>
              <w:rPr>
                <w:sz w:val="1"/>
                <w:szCs w:val="1"/>
                <w:color w:val="auto"/>
              </w:rPr>
            </w:pPr>
          </w:p>
        </w:tc>
      </w:tr>
      <w:tr>
        <w:trPr>
          <w:trHeight w:val="175"/>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ASU 2016-13- Financial</w:t>
            </w: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This standard, including standards amending this standard,</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January 1, 2020</w:t>
            </w:r>
          </w:p>
        </w:tc>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The Registrants are currently assessing the impact that this</w:t>
            </w:r>
          </w:p>
        </w:tc>
        <w:tc>
          <w:tcPr>
            <w:tcW w:w="0" w:type="dxa"/>
            <w:vAlign w:val="bottom"/>
          </w:tcPr>
          <w:p>
            <w:pPr>
              <w:spacing w:after="0"/>
              <w:rPr>
                <w:sz w:val="1"/>
                <w:szCs w:val="1"/>
                <w:color w:val="auto"/>
              </w:rPr>
            </w:pPr>
          </w:p>
        </w:tc>
      </w:tr>
      <w:tr>
        <w:trPr>
          <w:trHeight w:val="130"/>
        </w:trPr>
        <w:tc>
          <w:tcPr>
            <w:tcW w:w="21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Instruments-Credit Losses (Topic</w:t>
            </w:r>
          </w:p>
        </w:tc>
        <w:tc>
          <w:tcPr>
            <w:tcW w:w="37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requires a new model called CECL to estimate credit losses</w:t>
            </w:r>
          </w:p>
        </w:tc>
        <w:tc>
          <w:tcPr>
            <w:tcW w:w="18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5"/>
              </w:rPr>
              <w:t>Early adoption is permitted</w:t>
            </w:r>
          </w:p>
        </w:tc>
        <w:tc>
          <w:tcPr>
            <w:tcW w:w="36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standard will have on their financial position, results of</w:t>
            </w:r>
          </w:p>
        </w:tc>
        <w:tc>
          <w:tcPr>
            <w:tcW w:w="0" w:type="dxa"/>
            <w:vAlign w:val="bottom"/>
          </w:tcPr>
          <w:p>
            <w:pPr>
              <w:spacing w:after="0"/>
              <w:rPr>
                <w:sz w:val="1"/>
                <w:szCs w:val="1"/>
                <w:color w:val="auto"/>
              </w:rPr>
            </w:pPr>
          </w:p>
        </w:tc>
      </w:tr>
      <w:tr>
        <w:trPr>
          <w:trHeight w:val="115"/>
        </w:trPr>
        <w:tc>
          <w:tcPr>
            <w:tcW w:w="2180" w:type="dxa"/>
            <w:vAlign w:val="bottom"/>
            <w:gridSpan w:val="2"/>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rPr>
              <w:t>326): Measurement of Credit</w:t>
            </w:r>
          </w:p>
        </w:tc>
        <w:tc>
          <w:tcPr>
            <w:tcW w:w="3740" w:type="dxa"/>
            <w:vAlign w:val="bottom"/>
            <w:gridSpan w:val="2"/>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for (1) financial assets subject to credit losses and measured</w:t>
            </w:r>
          </w:p>
        </w:tc>
        <w:tc>
          <w:tcPr>
            <w:tcW w:w="1820" w:type="dxa"/>
            <w:vAlign w:val="bottom"/>
            <w:gridSpan w:val="2"/>
            <w:vMerge w:val="continue"/>
            <w:shd w:val="clear" w:color="auto" w:fill="CCEEFF"/>
          </w:tcPr>
          <w:p>
            <w:pPr>
              <w:spacing w:after="0"/>
              <w:rPr>
                <w:sz w:val="9"/>
                <w:szCs w:val="9"/>
                <w:color w:val="auto"/>
              </w:rPr>
            </w:pPr>
          </w:p>
        </w:tc>
        <w:tc>
          <w:tcPr>
            <w:tcW w:w="3620" w:type="dxa"/>
            <w:vAlign w:val="bottom"/>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operations, cash flows and disclosures.</w:t>
            </w:r>
          </w:p>
        </w:tc>
        <w:tc>
          <w:tcPr>
            <w:tcW w:w="0" w:type="dxa"/>
            <w:vAlign w:val="bottom"/>
          </w:tcPr>
          <w:p>
            <w:pPr>
              <w:spacing w:after="0"/>
              <w:rPr>
                <w:sz w:val="1"/>
                <w:szCs w:val="1"/>
                <w:color w:val="auto"/>
              </w:rPr>
            </w:pPr>
          </w:p>
        </w:tc>
      </w:tr>
      <w:tr>
        <w:trPr>
          <w:trHeight w:val="34"/>
        </w:trPr>
        <w:tc>
          <w:tcPr>
            <w:tcW w:w="2180" w:type="dxa"/>
            <w:vAlign w:val="bottom"/>
            <w:gridSpan w:val="2"/>
            <w:vMerge w:val="continue"/>
            <w:shd w:val="clear" w:color="auto" w:fill="CCEEFF"/>
          </w:tcPr>
          <w:p>
            <w:pPr>
              <w:spacing w:after="0"/>
              <w:rPr>
                <w:sz w:val="2"/>
                <w:szCs w:val="2"/>
                <w:color w:val="auto"/>
              </w:rPr>
            </w:pPr>
          </w:p>
        </w:tc>
        <w:tc>
          <w:tcPr>
            <w:tcW w:w="3740" w:type="dxa"/>
            <w:vAlign w:val="bottom"/>
            <w:gridSpan w:val="2"/>
            <w:vMerge w:val="continue"/>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2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Losses on Financial Instruments</w:t>
            </w:r>
          </w:p>
        </w:tc>
        <w:tc>
          <w:tcPr>
            <w:tcW w:w="3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at amortized cost and (2) certain off-balance sheet credit</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exposures. Upon initial recognition of the exposure, the</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CECL model requires an entity to estimate the credit losses</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expected over the life of an exposure based on historical</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information, current information and reasonable and</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supportable forecasts, including estimates of prepayments.</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Transition method</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modified retrospective</w:t>
            </w: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7" w:lineRule="exact"/>
        <w:rPr>
          <w:sz w:val="20"/>
          <w:szCs w:val="20"/>
          <w:color w:val="auto"/>
        </w:rPr>
      </w:pPr>
    </w:p>
    <w:p>
      <w:pPr>
        <w:ind w:left="60"/>
        <w:spacing w:after="0" w:line="251" w:lineRule="auto"/>
        <w:rPr>
          <w:sz w:val="20"/>
          <w:szCs w:val="20"/>
          <w:color w:val="auto"/>
        </w:rPr>
      </w:pPr>
      <w:r>
        <w:rPr>
          <w:rFonts w:ascii="Arial" w:cs="Arial" w:eastAsia="Arial" w:hAnsi="Arial"/>
          <w:sz w:val="13"/>
          <w:szCs w:val="13"/>
          <w:color w:val="auto"/>
        </w:rPr>
        <w:t>ASU 2018-13- Fair Value Measurement (Topic 820): Disclosure Framework-Changes to the Disclosure Requirements for Fair Value Measurement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3700" w:type="dxa"/>
            <w:vAlign w:val="bottom"/>
          </w:tcPr>
          <w:p>
            <w:pPr>
              <w:spacing w:after="0" w:line="157" w:lineRule="exact"/>
              <w:rPr>
                <w:sz w:val="20"/>
                <w:szCs w:val="20"/>
                <w:color w:val="auto"/>
              </w:rPr>
            </w:pPr>
            <w:r>
              <w:rPr>
                <w:rFonts w:ascii="Arial" w:cs="Arial" w:eastAsia="Arial" w:hAnsi="Arial"/>
                <w:sz w:val="14"/>
                <w:szCs w:val="14"/>
                <w:color w:val="auto"/>
                <w:w w:val="95"/>
              </w:rPr>
              <w:t>This standard eliminates, modifies and adds certain disclosure</w:t>
            </w:r>
          </w:p>
        </w:tc>
        <w:tc>
          <w:tcPr>
            <w:tcW w:w="1740" w:type="dxa"/>
            <w:vAlign w:val="bottom"/>
          </w:tcPr>
          <w:p>
            <w:pPr>
              <w:jc w:val="center"/>
              <w:spacing w:after="0" w:line="157" w:lineRule="exact"/>
              <w:rPr>
                <w:sz w:val="20"/>
                <w:szCs w:val="20"/>
                <w:color w:val="auto"/>
              </w:rPr>
            </w:pPr>
            <w:r>
              <w:rPr>
                <w:rFonts w:ascii="Arial" w:cs="Arial" w:eastAsia="Arial" w:hAnsi="Arial"/>
                <w:sz w:val="14"/>
                <w:szCs w:val="14"/>
                <w:color w:val="auto"/>
                <w:w w:val="98"/>
              </w:rPr>
              <w:t>Adoption of eliminations</w:t>
            </w:r>
          </w:p>
        </w:tc>
        <w:tc>
          <w:tcPr>
            <w:tcW w:w="3620" w:type="dxa"/>
            <w:vAlign w:val="bottom"/>
          </w:tcPr>
          <w:p>
            <w:pPr>
              <w:ind w:left="120"/>
              <w:spacing w:after="0" w:line="157" w:lineRule="exact"/>
              <w:rPr>
                <w:sz w:val="20"/>
                <w:szCs w:val="20"/>
                <w:color w:val="auto"/>
              </w:rPr>
            </w:pPr>
            <w:r>
              <w:rPr>
                <w:rFonts w:ascii="Arial" w:cs="Arial" w:eastAsia="Arial" w:hAnsi="Arial"/>
                <w:sz w:val="14"/>
                <w:szCs w:val="14"/>
                <w:color w:val="auto"/>
                <w:w w:val="93"/>
              </w:rPr>
              <w:t>The adoption of this standard did not impact the Registrants’</w:t>
            </w: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requirements for fair value measurements.</w:t>
            </w:r>
          </w:p>
        </w:tc>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3"/>
              </w:rPr>
              <w:t>and modifications as of</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w w:val="93"/>
              </w:rPr>
              <w:t>financial position, results of operations or cash flows. Note 8</w:t>
            </w: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Transition method</w:t>
            </w:r>
            <w:r>
              <w:rPr>
                <w:rFonts w:ascii="Arial" w:cs="Arial" w:eastAsia="Arial" w:hAnsi="Arial"/>
                <w:sz w:val="14"/>
                <w:szCs w:val="14"/>
                <w:color w:val="auto"/>
              </w:rPr>
              <w:t>: prospective for additions and one</w:t>
            </w:r>
          </w:p>
        </w:tc>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30, 2018;</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reflects the disclosures modified upon adoption.</w:t>
            </w: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modification and retrospective for all other amendments</w:t>
            </w:r>
          </w:p>
        </w:tc>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6"/>
              </w:rPr>
              <w:t>Additions will be adopted</w:t>
            </w:r>
          </w:p>
        </w:tc>
        <w:tc>
          <w:tcPr>
            <w:tcW w:w="3620" w:type="dxa"/>
            <w:vAlign w:val="bottom"/>
          </w:tcPr>
          <w:p>
            <w:pPr>
              <w:spacing w:after="0"/>
              <w:rPr>
                <w:sz w:val="12"/>
                <w:szCs w:val="12"/>
                <w:color w:val="auto"/>
              </w:rPr>
            </w:pPr>
          </w:p>
        </w:tc>
      </w:tr>
      <w:tr>
        <w:trPr>
          <w:trHeight w:val="182"/>
        </w:trPr>
        <w:tc>
          <w:tcPr>
            <w:tcW w:w="370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89"/>
              </w:rPr>
              <w:t>January 1, 2020</w:t>
            </w:r>
          </w:p>
        </w:tc>
        <w:tc>
          <w:tcPr>
            <w:tcW w:w="3620" w:type="dxa"/>
            <w:vAlign w:val="bottom"/>
          </w:tcPr>
          <w:p>
            <w:pPr>
              <w:spacing w:after="0"/>
              <w:rPr>
                <w:sz w:val="15"/>
                <w:szCs w:val="15"/>
                <w:color w:val="auto"/>
              </w:rPr>
            </w:pPr>
          </w:p>
        </w:tc>
      </w:tr>
    </w:tbl>
    <w:p>
      <w:pPr>
        <w:spacing w:after="0" w:line="20" w:lineRule="exact"/>
        <w:rPr>
          <w:sz w:val="20"/>
          <w:szCs w:val="20"/>
          <w:color w:val="auto"/>
        </w:rPr>
      </w:pPr>
    </w:p>
    <w:p>
      <w:pPr>
        <w:sectPr>
          <w:pgSz w:w="11900" w:h="16838" w:orient="portrait"/>
          <w:cols w:equalWidth="0" w:num="2">
            <w:col w:w="1920" w:space="320"/>
            <w:col w:w="918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168"/>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ASU 2018-15- Intangibles-</w:t>
            </w:r>
          </w:p>
        </w:tc>
        <w:tc>
          <w:tcPr>
            <w:tcW w:w="3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This standard aligns accounting for implementation costs</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1, 2020</w:t>
            </w:r>
          </w:p>
        </w:tc>
        <w:tc>
          <w:tcPr>
            <w:tcW w:w="3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The adoption of this standard will allow the Registrants to</w:t>
            </w: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Goodwill and Other- Internal-Use</w:t>
            </w:r>
          </w:p>
        </w:tc>
        <w:tc>
          <w:tcPr>
            <w:tcW w:w="3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7"/>
              </w:rPr>
              <w:t>incurred in a cloud computing arrangement that is accounted</w:t>
            </w: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Early adoption is permitted</w:t>
            </w:r>
          </w:p>
        </w:tc>
        <w:tc>
          <w:tcPr>
            <w:tcW w:w="37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capitalize certain implementation costs incurred in cloud</w:t>
            </w:r>
          </w:p>
        </w:tc>
        <w:tc>
          <w:tcPr>
            <w:tcW w:w="0" w:type="dxa"/>
            <w:vAlign w:val="bottom"/>
          </w:tcPr>
          <w:p>
            <w:pPr>
              <w:spacing w:after="0"/>
              <w:rPr>
                <w:sz w:val="1"/>
                <w:szCs w:val="1"/>
                <w:color w:val="auto"/>
              </w:rPr>
            </w:pPr>
          </w:p>
        </w:tc>
      </w:tr>
      <w:tr>
        <w:trPr>
          <w:trHeight w:val="115"/>
        </w:trPr>
        <w:tc>
          <w:tcPr>
            <w:tcW w:w="2100" w:type="dxa"/>
            <w:vAlign w:val="bottom"/>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rPr>
              <w:t>Software (Subtopic 350-40):</w:t>
            </w:r>
          </w:p>
        </w:tc>
        <w:tc>
          <w:tcPr>
            <w:tcW w:w="3780" w:type="dxa"/>
            <w:vAlign w:val="bottom"/>
            <w:vMerge w:val="restart"/>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for as a service contract with the requirements for capitalizing</w:t>
            </w:r>
          </w:p>
        </w:tc>
        <w:tc>
          <w:tcPr>
            <w:tcW w:w="1780" w:type="dxa"/>
            <w:vAlign w:val="bottom"/>
            <w:vMerge w:val="continue"/>
            <w:shd w:val="clear" w:color="auto" w:fill="CCEEFF"/>
          </w:tcPr>
          <w:p>
            <w:pPr>
              <w:spacing w:after="0"/>
              <w:rPr>
                <w:sz w:val="9"/>
                <w:szCs w:val="9"/>
                <w:color w:val="auto"/>
              </w:rPr>
            </w:pPr>
          </w:p>
        </w:tc>
        <w:tc>
          <w:tcPr>
            <w:tcW w:w="3700" w:type="dxa"/>
            <w:vAlign w:val="bottom"/>
            <w:vMerge w:val="restart"/>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computing arrangements that are accounted for as service</w:t>
            </w:r>
          </w:p>
        </w:tc>
        <w:tc>
          <w:tcPr>
            <w:tcW w:w="0" w:type="dxa"/>
            <w:vAlign w:val="bottom"/>
          </w:tcPr>
          <w:p>
            <w:pPr>
              <w:spacing w:after="0"/>
              <w:rPr>
                <w:sz w:val="1"/>
                <w:szCs w:val="1"/>
                <w:color w:val="auto"/>
              </w:rPr>
            </w:pPr>
          </w:p>
        </w:tc>
      </w:tr>
      <w:tr>
        <w:trPr>
          <w:trHeight w:val="34"/>
        </w:trPr>
        <w:tc>
          <w:tcPr>
            <w:tcW w:w="2100" w:type="dxa"/>
            <w:vAlign w:val="bottom"/>
            <w:vMerge w:val="continue"/>
            <w:shd w:val="clear" w:color="auto" w:fill="CCEEFF"/>
          </w:tcPr>
          <w:p>
            <w:pPr>
              <w:spacing w:after="0"/>
              <w:rPr>
                <w:sz w:val="2"/>
                <w:szCs w:val="2"/>
                <w:color w:val="auto"/>
              </w:rPr>
            </w:pPr>
          </w:p>
        </w:tc>
        <w:tc>
          <w:tcPr>
            <w:tcW w:w="3780" w:type="dxa"/>
            <w:vAlign w:val="bottom"/>
            <w:vMerge w:val="continue"/>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70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Customer's Accounting for</w:t>
            </w:r>
          </w:p>
        </w:tc>
        <w:tc>
          <w:tcPr>
            <w:tcW w:w="3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implementation costs incurred to develop or obtain internal-</w:t>
            </w:r>
          </w:p>
        </w:tc>
        <w:tc>
          <w:tcPr>
            <w:tcW w:w="1780" w:type="dxa"/>
            <w:vAlign w:val="bottom"/>
            <w:shd w:val="clear" w:color="auto" w:fill="CCEEFF"/>
          </w:tcPr>
          <w:p>
            <w:pPr>
              <w:spacing w:after="0"/>
              <w:rPr>
                <w:sz w:val="12"/>
                <w:szCs w:val="12"/>
                <w:color w:val="auto"/>
              </w:rPr>
            </w:pPr>
          </w:p>
        </w:tc>
        <w:tc>
          <w:tcPr>
            <w:tcW w:w="3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contracts. The Registrants are currently assessing the impact</w:t>
            </w: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Implementation Costs Incurred in</w:t>
            </w:r>
          </w:p>
        </w:tc>
        <w:tc>
          <w:tcPr>
            <w:tcW w:w="3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use software. The update also prescribes the balance sheet,</w:t>
            </w:r>
          </w:p>
        </w:tc>
        <w:tc>
          <w:tcPr>
            <w:tcW w:w="1780" w:type="dxa"/>
            <w:vAlign w:val="bottom"/>
            <w:shd w:val="clear" w:color="auto" w:fill="CCEEFF"/>
          </w:tcPr>
          <w:p>
            <w:pPr>
              <w:spacing w:after="0"/>
              <w:rPr>
                <w:sz w:val="12"/>
                <w:szCs w:val="12"/>
                <w:color w:val="auto"/>
              </w:rPr>
            </w:pPr>
          </w:p>
        </w:tc>
        <w:tc>
          <w:tcPr>
            <w:tcW w:w="3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that adoption of this standard will have on their financial</w:t>
            </w: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 Cloud Computing Arrangement</w:t>
            </w:r>
          </w:p>
        </w:tc>
        <w:tc>
          <w:tcPr>
            <w:tcW w:w="3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statement, and cash flow classification of the</w:t>
            </w:r>
          </w:p>
        </w:tc>
        <w:tc>
          <w:tcPr>
            <w:tcW w:w="1780" w:type="dxa"/>
            <w:vAlign w:val="bottom"/>
            <w:shd w:val="clear" w:color="auto" w:fill="CCEEFF"/>
          </w:tcPr>
          <w:p>
            <w:pPr>
              <w:spacing w:after="0"/>
              <w:rPr>
                <w:sz w:val="12"/>
                <w:szCs w:val="12"/>
                <w:color w:val="auto"/>
              </w:rPr>
            </w:pPr>
          </w:p>
        </w:tc>
        <w:tc>
          <w:tcPr>
            <w:tcW w:w="3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position, results of operations, cash flows and disclosures.</w:t>
            </w: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That Is a Service Contract</w:t>
            </w:r>
          </w:p>
        </w:tc>
        <w:tc>
          <w:tcPr>
            <w:tcW w:w="3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capitalized implementation costs and related amortization</w:t>
            </w:r>
          </w:p>
        </w:tc>
        <w:tc>
          <w:tcPr>
            <w:tcW w:w="178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rPr>
                <w:sz w:val="12"/>
                <w:szCs w:val="12"/>
                <w:color w:val="auto"/>
              </w:rPr>
            </w:pPr>
          </w:p>
        </w:tc>
        <w:tc>
          <w:tcPr>
            <w:tcW w:w="3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expense and requires additional quantitative and qualitative</w:t>
            </w:r>
          </w:p>
        </w:tc>
        <w:tc>
          <w:tcPr>
            <w:tcW w:w="178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rPr>
                <w:sz w:val="12"/>
                <w:szCs w:val="12"/>
                <w:color w:val="auto"/>
              </w:rPr>
            </w:pPr>
          </w:p>
        </w:tc>
        <w:tc>
          <w:tcPr>
            <w:tcW w:w="3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disclosures.</w:t>
            </w:r>
          </w:p>
        </w:tc>
        <w:tc>
          <w:tcPr>
            <w:tcW w:w="178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spacing w:after="0"/>
              <w:rPr>
                <w:sz w:val="16"/>
                <w:szCs w:val="16"/>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4"/>
                <w:szCs w:val="14"/>
                <w:b w:val="1"/>
                <w:bCs w:val="1"/>
                <w:i w:val="1"/>
                <w:iCs w:val="1"/>
                <w:color w:val="auto"/>
              </w:rPr>
              <w:t>Transition method</w:t>
            </w:r>
            <w:r>
              <w:rPr>
                <w:rFonts w:ascii="Arial" w:cs="Arial" w:eastAsia="Arial" w:hAnsi="Arial"/>
                <w:sz w:val="14"/>
                <w:szCs w:val="14"/>
                <w:color w:val="auto"/>
              </w:rPr>
              <w:t>: retrospective or prospective</w:t>
            </w:r>
          </w:p>
        </w:tc>
        <w:tc>
          <w:tcPr>
            <w:tcW w:w="178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other recently adopted standards and recently issued standards that are not yet effective will not have a material impact on the Registrants’ financial position, results of operations or cash flows upon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Mergers and Acquisitions (CenterPoint Energy)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Merger with Vectren. </w:t>
      </w:r>
      <w:r>
        <w:rPr>
          <w:rFonts w:ascii="Arial" w:cs="Arial" w:eastAsia="Arial" w:hAnsi="Arial"/>
          <w:sz w:val="18"/>
          <w:szCs w:val="18"/>
          <w:color w:val="auto"/>
        </w:rPr>
        <w:t>On the Merger Date, pursuant to the Merger Agreement, CenterPoint Energy consummated the previously announced Merger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Vectren for approximately $6 billion in cash. Each share of Vectren common stock issued and outstanding immediately prior to the closing was canceled and converted into the right to receive $72.00 in cash per share, without interest. At the closing, each stock unit payable in Vectren common stock or whose value is determined with reference to the value of Vectren common stock, whether vested or unvested, was canceled with cash consideration paid in accordance with the terms of the Merger Agreement. These amounts did not include a stub period cash dividend of $0.41145 per share, which was declared, with CenterPoint Energy’s consent, by Vectren’s board of directors on January 16, 2019, and paid to Vectren stockholders as of the record date of February 1, 2019.</w:t>
      </w:r>
    </w:p>
    <w:p>
      <w:pPr>
        <w:spacing w:after="0" w:line="189"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Pursuant to the Merger Agreement and immediately subsequent to the close of the Merger, CenterPoint Energy cash settled $78 million in outstanding share-based awards issued prior to the Merger Date by Vectren to its employees. As a result of the Merger, CenterPoint Energy assumed a liability for these share-based awards of $41 million and recorded an incremental cost of $37 million in Operation and maintenance expenses on its Condensed Statements of Consolidated Income during the six months ended June 30, 2019 for the accelerated vesting of the awards in accordance with the Merger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Subsequent to the close of the Merger, CenterPoint Energy recognized severance totaling $61 million to employees terminated immediately subsequent to the Merger close, inclusive of change of control severance payments to executives of Vectren under existing agreements, and which is included in Operation and maintenance expenses on its Condensed Statements of Consolidated Income during the six months ended June 30, 2019.</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Merger, VUHI and VCC made offers to prepay certain outstanding guaranteed senior notes as required pursuant to certain note purchase agreements previously entered into by VUHI and VCC. See Note 12 for further details.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closing, shares of Vectren common stock, which previously traded under the ticker symbol “VVC” on the NYSE, ceased trading on and were delisted from the NYSE.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Merger is being accounted for in accordance with ASC 805, Business Combinations, with CenterPoint Energy as the accounting acquirer of Vectren.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acquired and liabilities assumed have been recorded at their estimated fair values on the Merger Date.</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Vectren’s regulated operations, comprised of electric generation and electric and natural gas energy delivery services, are subject to the rate-setting authority of the FERC, the IURC and the PUCO, and are accounted for pursuant to U.S. generally accepted accounting principles for regulated operations. The rate-setting and cost-recovery provisions currently in place for Vectren’s regulated operations provide revenues derived from costs including a return on investment of assets and liabilities included in rate base. Thus, the fair values of Vectren’s tangible and intangible assets and liabilities subject to these rate-setting provisions approximate their carrying values. Accordingly, neither the assets and liabilities acquired, nor the unaudited pro forma financial information, reflect any adjustments related to these amounts. The fair value of regulatory assets not earning a return have been determined using the income approach and are considered Level 3 fair value measurements due to the use of significant judgmental and unobservable inputs.</w:t>
      </w:r>
    </w:p>
    <w:p>
      <w:pPr>
        <w:spacing w:after="0" w:line="1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fair value of Vectren’s assets acquired and liabilities assumed that are not subject to the rate-setting provisions, including identifiable intangibles, have been determined using the income approach and the market approach. The valuation of Vectren’s long-term debt is primarily considered a Level 2 fair value measurement. All other valuations are considered Level 3 fair value measurements due to the use of significant judgmental and unobservable inputs, including projected timing and amount of future cash flows and discount rates reflecting risk inherent in the future market prices.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340"/>
              <w:spacing w:after="0"/>
              <w:rPr>
                <w:sz w:val="20"/>
                <w:szCs w:val="20"/>
                <w:color w:val="auto"/>
              </w:rPr>
            </w:pPr>
            <w:r>
              <w:rPr>
                <w:rFonts w:ascii="Arial" w:cs="Arial" w:eastAsia="Arial" w:hAnsi="Arial"/>
                <w:sz w:val="18"/>
                <w:szCs w:val="18"/>
                <w:color w:val="auto"/>
              </w:rPr>
              <w:t>The following table presents the preliminary purchase price allocation as of June 30, 2019 (in millions):</w:t>
            </w: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35"/>
        </w:trPr>
        <w:tc>
          <w:tcPr>
            <w:tcW w:w="9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598</w:t>
            </w:r>
          </w:p>
        </w:tc>
      </w:tr>
      <w:tr>
        <w:trPr>
          <w:trHeight w:val="27"/>
        </w:trPr>
        <w:tc>
          <w:tcPr>
            <w:tcW w:w="9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Identifiable intangibles</w:t>
            </w: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9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9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6,571</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9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9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8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4,895</w:t>
            </w:r>
          </w:p>
        </w:tc>
      </w:tr>
      <w:tr>
        <w:trPr>
          <w:trHeight w:val="27"/>
        </w:trPr>
        <w:tc>
          <w:tcPr>
            <w:tcW w:w="9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4,306</w:t>
            </w:r>
          </w:p>
        </w:tc>
      </w:tr>
      <w:tr>
        <w:trPr>
          <w:trHeight w:val="27"/>
        </w:trPr>
        <w:tc>
          <w:tcPr>
            <w:tcW w:w="9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 consideration</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5,982</w:t>
            </w:r>
          </w:p>
        </w:tc>
      </w:tr>
      <w:tr>
        <w:trPr>
          <w:trHeight w:val="20"/>
        </w:trPr>
        <w:tc>
          <w:tcPr>
            <w:tcW w:w="9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CenterPoint Energy has not completed a final valuation analysis necessary to determine the fair market values of all of Vectren’s assets and liabilities or the allocation of its purchase price. The final allocation could differ materially from this preliminary purchase price allocation and, as such, no assurances can be provided regarding the preliminary purchase accounting. The final allocation may include changes in the fair value of (1) property, plant and equipment,</w:t>
      </w:r>
    </w:p>
    <w:p>
      <w:pPr>
        <w:jc w:val="both"/>
        <w:ind w:firstLine="8"/>
        <w:spacing w:after="0" w:line="255"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intangible assets and goodwill, (3) deferred taxes, (4) regulatory assets and liabilities, (5) long-term debt and (6) other assets and liabilities. Changes in the preliminary purchase price allocation since the initial estimates reported in the first quarter of 2019 primarily included additional information obtained related to intangible assets.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excess of the purchase price over the estimated fair values of the assets acquired and liabilities assumed is recognized as goodwill, which is primarily attributable to significant potential strategic benefits to CenterPoint Energy, including growth opportunities for more rate-regulated investment, more customers for existing products and services and additional products and services for existing customers. Additionally, CenterPoint Energy believes the Merger will increase geographic and business diversity as well as scale in attractive jurisdictions and economies. CenterPoint Energy anticipates that the value assigned to goodwill will not be deductible for tax purposes.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estimated fair value of the identifiable intangible assets and related useful lives as included in the preliminary purchase price allocation include: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1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1"/>
                <w:szCs w:val="21"/>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 and maintenance agreements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backlog</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Amortization expense related to the operation and maintenance agreements and construction backlog was $3 million and $12 million, inclusive of a $4 million benefit related to a cumulative catch-up for remeasurement of the purchase price allocation, for the three and six months ended June 30, 2019, respectively, and is included in Non-utility cost of revenues, including natural gas on CenterPoint Energy’s Condensed Statements of Consolidated Income. Amortization expense related to customer relationships and trade names was $5 million and $8 million for the three and six months ended June 30, 2019, respectively, and is included in Depreciation and amortization expense on CenterPoint Energy’s Condensed Statements of Consolidated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results of operations for Vectren included in CenterPoint Energy’s Interim Condensed Financial Statements from the Merger Date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740" w:type="dxa"/>
            <w:vAlign w:val="bottom"/>
          </w:tcPr>
          <w:p>
            <w:pPr>
              <w:jc w:val="center"/>
              <w:ind w:left="322"/>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jc w:val="right"/>
              <w:ind w:right="439"/>
              <w:spacing w:after="0"/>
              <w:rPr>
                <w:sz w:val="20"/>
                <w:szCs w:val="20"/>
                <w:color w:val="auto"/>
              </w:rPr>
            </w:pPr>
            <w:r>
              <w:rPr>
                <w:rFonts w:ascii="Arial" w:cs="Arial" w:eastAsia="Arial" w:hAnsi="Arial"/>
                <w:sz w:val="14"/>
                <w:szCs w:val="14"/>
                <w:b w:val="1"/>
                <w:bCs w:val="1"/>
                <w:color w:val="auto"/>
                <w:w w:val="98"/>
              </w:rPr>
              <w:t>Six Months Ended</w:t>
            </w:r>
          </w:p>
        </w:tc>
      </w:tr>
      <w:tr>
        <w:trPr>
          <w:trHeight w:val="192"/>
        </w:trPr>
        <w:tc>
          <w:tcPr>
            <w:tcW w:w="7000" w:type="dxa"/>
            <w:vAlign w:val="bottom"/>
          </w:tcPr>
          <w:p>
            <w:pPr>
              <w:spacing w:after="0"/>
              <w:rPr>
                <w:sz w:val="16"/>
                <w:szCs w:val="16"/>
                <w:color w:val="auto"/>
              </w:rPr>
            </w:pPr>
          </w:p>
        </w:tc>
        <w:tc>
          <w:tcPr>
            <w:tcW w:w="1740" w:type="dxa"/>
            <w:vAlign w:val="bottom"/>
            <w:tcBorders>
              <w:bottom w:val="single" w:sz="8" w:color="auto"/>
            </w:tcBorders>
          </w:tcPr>
          <w:p>
            <w:pPr>
              <w:jc w:val="center"/>
              <w:ind w:left="362"/>
              <w:spacing w:after="0"/>
              <w:rPr>
                <w:sz w:val="20"/>
                <w:szCs w:val="20"/>
                <w:color w:val="auto"/>
              </w:rPr>
            </w:pPr>
            <w:r>
              <w:rPr>
                <w:rFonts w:ascii="Arial" w:cs="Arial" w:eastAsia="Arial" w:hAnsi="Arial"/>
                <w:sz w:val="14"/>
                <w:szCs w:val="14"/>
                <w:b w:val="1"/>
                <w:bCs w:val="1"/>
                <w:color w:val="auto"/>
                <w:w w:val="90"/>
              </w:rPr>
              <w:t>June 30, 2019</w:t>
            </w:r>
          </w:p>
        </w:tc>
        <w:tc>
          <w:tcPr>
            <w:tcW w:w="4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70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740" w:type="dxa"/>
            <w:vAlign w:val="bottom"/>
          </w:tcPr>
          <w:p>
            <w:pPr>
              <w:spacing w:after="0"/>
              <w:rPr>
                <w:sz w:val="21"/>
                <w:szCs w:val="21"/>
                <w:color w:val="auto"/>
              </w:rPr>
            </w:pPr>
          </w:p>
        </w:tc>
      </w:tr>
      <w:tr>
        <w:trPr>
          <w:trHeight w:val="256"/>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740" w:type="dxa"/>
            <w:vAlign w:val="bottom"/>
            <w:tcBorders>
              <w:bottom w:val="single" w:sz="8" w:color="CCEEFF"/>
            </w:tcBorders>
            <w:shd w:val="clear" w:color="auto" w:fill="CCEEFF"/>
          </w:tcPr>
          <w:p>
            <w:pPr>
              <w:jc w:val="right"/>
              <w:ind w:right="156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3"/>
              </w:rPr>
              <w:t>688</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1,161</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rPr>
                <w:sz w:val="21"/>
                <w:szCs w:val="21"/>
                <w:color w:val="auto"/>
              </w:rPr>
            </w:pPr>
          </w:p>
        </w:tc>
        <w:tc>
          <w:tcPr>
            <w:tcW w:w="420" w:type="dxa"/>
            <w:vAlign w:val="bottom"/>
          </w:tcPr>
          <w:p>
            <w:pPr>
              <w:jc w:val="right"/>
              <w:ind w:right="36"/>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21"/>
                <w:szCs w:val="21"/>
                <w:color w:val="auto"/>
              </w:rPr>
            </w:pPr>
          </w:p>
        </w:tc>
        <w:tc>
          <w:tcPr>
            <w:tcW w:w="1740" w:type="dxa"/>
            <w:vAlign w:val="bottom"/>
          </w:tcPr>
          <w:p>
            <w:pPr>
              <w:jc w:val="right"/>
              <w:ind w:right="19"/>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unaudited pro forma financial information reflects the consolidated results of operations of CenterPoint Energy, assuming the Merger had taken place on January 1, 2018. The unaudited pro forma financial information has been presented for illustrative purposes only and is not necessarily indicative of the consolidated results of operations that would have been achieved had the Merger taken place on the dates indicated or of the future consolidated results of operations of the combined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4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22"/>
                <w:szCs w:val="22"/>
                <w:color w:val="auto"/>
              </w:rPr>
            </w:pPr>
          </w:p>
        </w:tc>
      </w:tr>
      <w:tr>
        <w:trPr>
          <w:trHeight w:val="250"/>
        </w:trPr>
        <w:tc>
          <w:tcPr>
            <w:tcW w:w="4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2,798</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2,830</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7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6,644</w:t>
            </w:r>
          </w:p>
        </w:tc>
        <w:tc>
          <w:tcPr>
            <w:tcW w:w="440" w:type="dxa"/>
            <w:vAlign w:val="bottom"/>
            <w:tcBorders>
              <w:bottom w:val="single" w:sz="8" w:color="CCEEFF"/>
            </w:tcBorders>
            <w:shd w:val="clear" w:color="auto" w:fill="CCEEFF"/>
          </w:tcPr>
          <w:p>
            <w:pPr>
              <w:spacing w:after="0"/>
              <w:rPr>
                <w:sz w:val="22"/>
                <w:szCs w:val="22"/>
                <w:color w:val="auto"/>
              </w:rPr>
            </w:pPr>
          </w:p>
        </w:tc>
      </w:tr>
      <w:tr>
        <w:trPr>
          <w:trHeight w:val="375"/>
        </w:trPr>
        <w:tc>
          <w:tcPr>
            <w:tcW w:w="4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4"/>
                <w:szCs w:val="24"/>
                <w:color w:val="auto"/>
              </w:rPr>
            </w:pPr>
          </w:p>
        </w:tc>
        <w:tc>
          <w:tcPr>
            <w:tcW w:w="1160" w:type="dxa"/>
            <w:vAlign w:val="bottom"/>
          </w:tcPr>
          <w:p>
            <w:pPr>
              <w:jc w:val="right"/>
              <w:ind w:right="219"/>
              <w:spacing w:after="0"/>
              <w:rPr>
                <w:sz w:val="20"/>
                <w:szCs w:val="20"/>
                <w:color w:val="auto"/>
              </w:rPr>
            </w:pPr>
            <w:r>
              <w:rPr>
                <w:rFonts w:ascii="Arial" w:cs="Arial" w:eastAsia="Arial" w:hAnsi="Arial"/>
                <w:sz w:val="18"/>
                <w:szCs w:val="18"/>
                <w:color w:val="auto"/>
              </w:rPr>
              <w:t>199</w:t>
            </w:r>
          </w:p>
        </w:tc>
        <w:tc>
          <w:tcPr>
            <w:tcW w:w="56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28"/>
                <w:szCs w:val="28"/>
                <w:color w:val="auto"/>
                <w:vertAlign w:val="subscript"/>
              </w:rPr>
              <w:t>(1)</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c>
          <w:tcPr>
            <w:tcW w:w="780" w:type="dxa"/>
            <w:vAlign w:val="bottom"/>
          </w:tcPr>
          <w:p>
            <w:pPr>
              <w:jc w:val="right"/>
              <w:ind w:right="479"/>
              <w:spacing w:after="0"/>
              <w:rPr>
                <w:sz w:val="20"/>
                <w:szCs w:val="20"/>
                <w:color w:val="auto"/>
              </w:rPr>
            </w:pPr>
            <w:r>
              <w:rPr>
                <w:rFonts w:ascii="Arial" w:cs="Arial" w:eastAsia="Arial" w:hAnsi="Arial"/>
                <w:sz w:val="14"/>
                <w:szCs w:val="14"/>
                <w:color w:val="auto"/>
              </w:rPr>
              <w:t>(2)</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83</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(3)</w:t>
            </w:r>
          </w:p>
        </w:tc>
      </w:tr>
    </w:tbl>
    <w:p>
      <w:pPr>
        <w:spacing w:after="0" w:line="313"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 forma net income was adjusted to exclude $10 million and $27 million, respectively, of Vectren and CenterPoint Energy Merger-related transaction costs incurred in 2018 and reflected in the historical income statements.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 forma net income was adjusted to exclude $37 million of Vectren Merger-related transaction costs incurred in 2019.</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 forma net income was adjusted to include $46 million and $1 million, respectively, of Vectren and CenterPoint Energy Merger-related transaction costs incurred from July 1, 2018 to June 30,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CenterPoint Energy incurred integration costs in connection with the Merger of $40 million and $48 million for the three and six months ended June 30, 2019, respectively, which were included in Operation and maintenance expenses in CenterPoint Energy’s Condensed Statements of Consolidated Income.</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Acquisition of Utility Pipeline Construction Company. </w:t>
      </w:r>
      <w:r>
        <w:rPr>
          <w:rFonts w:ascii="Arial" w:cs="Arial" w:eastAsia="Arial" w:hAnsi="Arial"/>
          <w:sz w:val="17"/>
          <w:szCs w:val="17"/>
          <w:color w:val="auto"/>
        </w:rPr>
        <w:t>An acquisition was made during the six months ended June 30, 2019 by CenterPoint Energy’s</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Services reportable segment, resulting in goodwill and intangible assets of approximately $6 million and $8 million, respectively. The intangible assets primarily relate to backlog and customer relationships. The initial purchase price of $21 million is subject to change due to a working capital adjustment clause, and the purchase price allocation also is preliminary and subject to change. The results of operations for the acquired company have been included in the consolidated financial statements from the date of acquisition and are not significant to the consolidated financial results of CenterPoint Energy. Pro forma results of operations have not been presented for the acquisition because the effects of the acquisition were not significant to CenterPoint Energy’s consolidated financial results for all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23495</wp:posOffset>
            </wp:positionV>
            <wp:extent cx="6003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Indiana</w:t>
            </w:r>
          </w:p>
        </w:tc>
        <w:tc>
          <w:tcPr>
            <w:tcW w:w="1340" w:type="dxa"/>
            <w:vAlign w:val="bottom"/>
            <w:gridSpan w:val="3"/>
          </w:tcPr>
          <w:p>
            <w:pPr>
              <w:ind w:left="40"/>
              <w:spacing w:after="0"/>
              <w:rPr>
                <w:sz w:val="20"/>
                <w:szCs w:val="20"/>
                <w:color w:val="auto"/>
              </w:rPr>
            </w:pPr>
            <w:r>
              <w:rPr>
                <w:rFonts w:ascii="Arial" w:cs="Arial" w:eastAsia="Arial" w:hAnsi="Arial"/>
                <w:sz w:val="11"/>
                <w:szCs w:val="11"/>
                <w:b w:val="1"/>
                <w:bCs w:val="1"/>
                <w:color w:val="auto"/>
              </w:rPr>
              <w:t>Natural Gas Distribution</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Energy</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Infrastructure Services</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0"/>
        </w:trPr>
        <w:tc>
          <w:tcPr>
            <w:tcW w:w="1960" w:type="dxa"/>
            <w:vAlign w:val="bottom"/>
          </w:tcPr>
          <w:p>
            <w:pPr>
              <w:spacing w:after="0"/>
              <w:rPr>
                <w:sz w:val="12"/>
                <w:szCs w:val="12"/>
                <w:color w:val="auto"/>
              </w:rPr>
            </w:pP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Houston Electric T&amp;D (1)</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Electric Integrated (1)</w:t>
            </w:r>
          </w:p>
        </w:tc>
        <w:tc>
          <w:tcPr>
            <w:tcW w:w="280" w:type="dxa"/>
            <w:vAlign w:val="bottom"/>
          </w:tcPr>
          <w:p>
            <w:pPr>
              <w:spacing w:after="0"/>
              <w:rPr>
                <w:sz w:val="12"/>
                <w:szCs w:val="12"/>
                <w:color w:val="auto"/>
              </w:rPr>
            </w:pPr>
          </w:p>
        </w:tc>
        <w:tc>
          <w:tcPr>
            <w:tcW w:w="960" w:type="dxa"/>
            <w:vAlign w:val="bottom"/>
          </w:tcPr>
          <w:p>
            <w:pPr>
              <w:jc w:val="right"/>
              <w:ind w:right="491"/>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Services (2)</w:t>
            </w:r>
          </w:p>
        </w:tc>
        <w:tc>
          <w:tcPr>
            <w:tcW w:w="360" w:type="dxa"/>
            <w:vAlign w:val="bottom"/>
          </w:tcPr>
          <w:p>
            <w:pPr>
              <w:spacing w:after="0"/>
              <w:rPr>
                <w:sz w:val="12"/>
                <w:szCs w:val="12"/>
                <w:color w:val="auto"/>
              </w:rPr>
            </w:pPr>
          </w:p>
        </w:tc>
        <w:tc>
          <w:tcPr>
            <w:tcW w:w="880" w:type="dxa"/>
            <w:vAlign w:val="bottom"/>
          </w:tcPr>
          <w:p>
            <w:pPr>
              <w:jc w:val="right"/>
              <w:ind w:right="491"/>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2"/>
                <w:szCs w:val="12"/>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Corporate and Other (2)</w:t>
            </w:r>
          </w:p>
        </w:tc>
        <w:tc>
          <w:tcPr>
            <w:tcW w:w="300" w:type="dxa"/>
            <w:vAlign w:val="bottom"/>
          </w:tcPr>
          <w:p>
            <w:pPr>
              <w:spacing w:after="0"/>
              <w:rPr>
                <w:sz w:val="12"/>
                <w:szCs w:val="12"/>
                <w:color w:val="auto"/>
              </w:rPr>
            </w:pPr>
          </w:p>
        </w:tc>
        <w:tc>
          <w:tcPr>
            <w:tcW w:w="940" w:type="dxa"/>
            <w:vAlign w:val="bottom"/>
          </w:tcPr>
          <w:p>
            <w:pPr>
              <w:jc w:val="right"/>
              <w:ind w:right="431"/>
              <w:spacing w:after="0"/>
              <w:rPr>
                <w:sz w:val="20"/>
                <w:szCs w:val="20"/>
                <w:color w:val="auto"/>
              </w:rPr>
            </w:pPr>
            <w:r>
              <w:rPr>
                <w:rFonts w:ascii="Arial" w:cs="Arial" w:eastAsia="Arial" w:hAnsi="Arial"/>
                <w:sz w:val="11"/>
                <w:szCs w:val="11"/>
                <w:b w:val="1"/>
                <w:bCs w:val="1"/>
                <w:color w:val="auto"/>
              </w:rPr>
              <w:t>Total</w:t>
            </w:r>
          </w:p>
        </w:tc>
      </w:tr>
      <w:tr>
        <w:trPr>
          <w:trHeight w:val="22"/>
        </w:trPr>
        <w:tc>
          <w:tcPr>
            <w:tcW w:w="1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1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from contracts</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2,056</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Derivatives income</w:t>
            </w:r>
          </w:p>
        </w:tc>
        <w:tc>
          <w:tcPr>
            <w:tcW w:w="48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768</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(3)</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Eliminations</w:t>
            </w:r>
          </w:p>
        </w:tc>
        <w:tc>
          <w:tcPr>
            <w:tcW w:w="48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0"/>
        </w:trPr>
        <w:tc>
          <w:tcPr>
            <w:tcW w:w="1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4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765</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140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838</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325</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2,798</w:t>
            </w:r>
          </w:p>
        </w:tc>
      </w:tr>
      <w:tr>
        <w:trPr>
          <w:trHeight w:val="20"/>
        </w:trPr>
        <w:tc>
          <w:tcPr>
            <w:tcW w:w="1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4"/>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8"/>
        </w:trPr>
        <w:tc>
          <w:tcPr>
            <w:tcW w:w="1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451"/>
              <w:spacing w:after="0"/>
              <w:rPr>
                <w:sz w:val="20"/>
                <w:szCs w:val="20"/>
                <w:color w:val="auto"/>
              </w:rPr>
            </w:pPr>
            <w:r>
              <w:rPr>
                <w:rFonts w:ascii="Arial" w:cs="Arial" w:eastAsia="Arial" w:hAnsi="Arial"/>
                <w:sz w:val="14"/>
                <w:szCs w:val="14"/>
                <w:b w:val="1"/>
                <w:bCs w:val="1"/>
                <w:color w:val="auto"/>
                <w:w w:val="93"/>
              </w:rPr>
              <w:t>Six Months Ended June 30, 2019</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34"/>
        </w:trPr>
        <w:tc>
          <w:tcPr>
            <w:tcW w:w="1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Indiana</w:t>
            </w:r>
          </w:p>
        </w:tc>
        <w:tc>
          <w:tcPr>
            <w:tcW w:w="1340" w:type="dxa"/>
            <w:vAlign w:val="bottom"/>
            <w:gridSpan w:val="3"/>
          </w:tcPr>
          <w:p>
            <w:pPr>
              <w:ind w:left="40"/>
              <w:spacing w:after="0"/>
              <w:rPr>
                <w:sz w:val="20"/>
                <w:szCs w:val="20"/>
                <w:color w:val="auto"/>
              </w:rPr>
            </w:pPr>
            <w:r>
              <w:rPr>
                <w:rFonts w:ascii="Arial" w:cs="Arial" w:eastAsia="Arial" w:hAnsi="Arial"/>
                <w:sz w:val="11"/>
                <w:szCs w:val="11"/>
                <w:b w:val="1"/>
                <w:bCs w:val="1"/>
                <w:color w:val="auto"/>
              </w:rPr>
              <w:t>Natural Gas Distribution</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Energy</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Infrastructure Services</w:t>
            </w:r>
          </w:p>
        </w:tc>
        <w:tc>
          <w:tcPr>
            <w:tcW w:w="13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Corporate and Other (2)</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0"/>
        </w:trPr>
        <w:tc>
          <w:tcPr>
            <w:tcW w:w="1960" w:type="dxa"/>
            <w:vAlign w:val="bottom"/>
          </w:tcPr>
          <w:p>
            <w:pPr>
              <w:spacing w:after="0"/>
              <w:rPr>
                <w:sz w:val="12"/>
                <w:szCs w:val="12"/>
                <w:color w:val="auto"/>
              </w:rPr>
            </w:pP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Houston Electric T&amp;D (1)</w:t>
            </w:r>
          </w:p>
        </w:tc>
        <w:tc>
          <w:tcPr>
            <w:tcW w:w="14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Electric Integrated (1) (4)</w:t>
            </w:r>
          </w:p>
        </w:tc>
        <w:tc>
          <w:tcPr>
            <w:tcW w:w="280" w:type="dxa"/>
            <w:vAlign w:val="bottom"/>
          </w:tcPr>
          <w:p>
            <w:pPr>
              <w:spacing w:after="0"/>
              <w:rPr>
                <w:sz w:val="12"/>
                <w:szCs w:val="12"/>
                <w:color w:val="auto"/>
              </w:rPr>
            </w:pPr>
          </w:p>
        </w:tc>
        <w:tc>
          <w:tcPr>
            <w:tcW w:w="960" w:type="dxa"/>
            <w:vAlign w:val="bottom"/>
          </w:tcPr>
          <w:p>
            <w:pPr>
              <w:jc w:val="right"/>
              <w:ind w:right="411"/>
              <w:spacing w:after="0"/>
              <w:rPr>
                <w:sz w:val="20"/>
                <w:szCs w:val="20"/>
                <w:color w:val="auto"/>
              </w:rPr>
            </w:pPr>
            <w:r>
              <w:rPr>
                <w:rFonts w:ascii="Arial" w:cs="Arial" w:eastAsia="Arial" w:hAnsi="Arial"/>
                <w:sz w:val="11"/>
                <w:szCs w:val="11"/>
                <w:b w:val="1"/>
                <w:bCs w:val="1"/>
                <w:color w:val="auto"/>
              </w:rPr>
              <w:t>(1) (4)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Services (2)</w:t>
            </w:r>
          </w:p>
        </w:tc>
        <w:tc>
          <w:tcPr>
            <w:tcW w:w="360" w:type="dxa"/>
            <w:vAlign w:val="bottom"/>
          </w:tcPr>
          <w:p>
            <w:pPr>
              <w:spacing w:after="0"/>
              <w:rPr>
                <w:sz w:val="12"/>
                <w:szCs w:val="12"/>
                <w:color w:val="auto"/>
              </w:rPr>
            </w:pPr>
          </w:p>
        </w:tc>
        <w:tc>
          <w:tcPr>
            <w:tcW w:w="880" w:type="dxa"/>
            <w:vAlign w:val="bottom"/>
          </w:tcPr>
          <w:p>
            <w:pPr>
              <w:jc w:val="right"/>
              <w:ind w:right="411"/>
              <w:spacing w:after="0"/>
              <w:rPr>
                <w:sz w:val="20"/>
                <w:szCs w:val="20"/>
                <w:color w:val="auto"/>
              </w:rPr>
            </w:pPr>
            <w:r>
              <w:rPr>
                <w:rFonts w:ascii="Arial" w:cs="Arial" w:eastAsia="Arial" w:hAnsi="Arial"/>
                <w:sz w:val="11"/>
                <w:szCs w:val="11"/>
                <w:b w:val="1"/>
                <w:bCs w:val="1"/>
                <w:color w:val="auto"/>
              </w:rPr>
              <w:t>(2) (4)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center"/>
              <w:ind w:right="250"/>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431"/>
              <w:spacing w:after="0"/>
              <w:rPr>
                <w:sz w:val="20"/>
                <w:szCs w:val="20"/>
                <w:color w:val="auto"/>
              </w:rPr>
            </w:pPr>
            <w:r>
              <w:rPr>
                <w:rFonts w:ascii="Arial" w:cs="Arial" w:eastAsia="Arial" w:hAnsi="Arial"/>
                <w:sz w:val="11"/>
                <w:szCs w:val="11"/>
                <w:b w:val="1"/>
                <w:bCs w:val="1"/>
                <w:color w:val="auto"/>
              </w:rPr>
              <w:t>Total</w:t>
            </w:r>
          </w:p>
        </w:tc>
      </w:tr>
      <w:tr>
        <w:trPr>
          <w:trHeight w:val="22"/>
        </w:trPr>
        <w:tc>
          <w:tcPr>
            <w:tcW w:w="1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1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from contracts</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4,595</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Derivatives income</w:t>
            </w:r>
          </w:p>
        </w:tc>
        <w:tc>
          <w:tcPr>
            <w:tcW w:w="48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1,841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1,844</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0"/>
                <w:szCs w:val="10"/>
                <w:color w:val="auto"/>
              </w:rPr>
              <w:t>(3)</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Eliminations</w:t>
            </w:r>
          </w:p>
        </w:tc>
        <w:tc>
          <w:tcPr>
            <w:tcW w:w="48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43"/>
        </w:trPr>
        <w:tc>
          <w:tcPr>
            <w:tcW w:w="1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4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6,329</w:t>
            </w:r>
          </w:p>
        </w:tc>
      </w:tr>
      <w:tr>
        <w:trPr>
          <w:trHeight w:val="20"/>
        </w:trPr>
        <w:tc>
          <w:tcPr>
            <w:tcW w:w="1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23495</wp:posOffset>
            </wp:positionV>
            <wp:extent cx="6003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ind w:left="360"/>
              <w:spacing w:after="0"/>
              <w:rPr>
                <w:sz w:val="20"/>
                <w:szCs w:val="20"/>
                <w:color w:val="auto"/>
              </w:rPr>
            </w:pPr>
            <w:r>
              <w:rPr>
                <w:rFonts w:ascii="Arial" w:cs="Arial" w:eastAsia="Arial" w:hAnsi="Arial"/>
                <w:sz w:val="11"/>
                <w:szCs w:val="11"/>
                <w:b w:val="1"/>
                <w:bCs w:val="1"/>
                <w:color w:val="auto"/>
              </w:rPr>
              <w:t>Indiana</w:t>
            </w:r>
          </w:p>
        </w:tc>
        <w:tc>
          <w:tcPr>
            <w:tcW w:w="1340" w:type="dxa"/>
            <w:vAlign w:val="bottom"/>
            <w:gridSpan w:val="3"/>
          </w:tcPr>
          <w:p>
            <w:pPr>
              <w:ind w:left="40"/>
              <w:spacing w:after="0"/>
              <w:rPr>
                <w:sz w:val="20"/>
                <w:szCs w:val="20"/>
                <w:color w:val="auto"/>
              </w:rPr>
            </w:pPr>
            <w:r>
              <w:rPr>
                <w:rFonts w:ascii="Arial" w:cs="Arial" w:eastAsia="Arial" w:hAnsi="Arial"/>
                <w:sz w:val="11"/>
                <w:szCs w:val="11"/>
                <w:b w:val="1"/>
                <w:bCs w:val="1"/>
                <w:color w:val="auto"/>
              </w:rPr>
              <w:t>Natural Gas Distribution</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Energy</w:t>
            </w:r>
          </w:p>
        </w:tc>
        <w:tc>
          <w:tcPr>
            <w:tcW w:w="13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Infrastructure Services</w:t>
            </w: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0"/>
        </w:trPr>
        <w:tc>
          <w:tcPr>
            <w:tcW w:w="1960" w:type="dxa"/>
            <w:vAlign w:val="bottom"/>
          </w:tcPr>
          <w:p>
            <w:pPr>
              <w:spacing w:after="0"/>
              <w:rPr>
                <w:sz w:val="12"/>
                <w:szCs w:val="12"/>
                <w:color w:val="auto"/>
              </w:rPr>
            </w:pP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Houston Electric T&amp;D (1)</w:t>
            </w:r>
          </w:p>
        </w:tc>
        <w:tc>
          <w:tcPr>
            <w:tcW w:w="100" w:type="dxa"/>
            <w:vAlign w:val="bottom"/>
          </w:tcPr>
          <w:p>
            <w:pPr>
              <w:spacing w:after="0"/>
              <w:rPr>
                <w:sz w:val="12"/>
                <w:szCs w:val="1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0"/>
              </w:rPr>
              <w:t>Electric Integrated (1)</w:t>
            </w:r>
          </w:p>
        </w:tc>
        <w:tc>
          <w:tcPr>
            <w:tcW w:w="320" w:type="dxa"/>
            <w:vAlign w:val="bottom"/>
          </w:tcPr>
          <w:p>
            <w:pPr>
              <w:spacing w:after="0"/>
              <w:rPr>
                <w:sz w:val="12"/>
                <w:szCs w:val="12"/>
                <w:color w:val="auto"/>
              </w:rPr>
            </w:pPr>
          </w:p>
        </w:tc>
        <w:tc>
          <w:tcPr>
            <w:tcW w:w="920" w:type="dxa"/>
            <w:vAlign w:val="bottom"/>
          </w:tcPr>
          <w:p>
            <w:pPr>
              <w:jc w:val="right"/>
              <w:ind w:right="491"/>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Services (2)</w:t>
            </w:r>
          </w:p>
        </w:tc>
        <w:tc>
          <w:tcPr>
            <w:tcW w:w="400" w:type="dxa"/>
            <w:vAlign w:val="bottom"/>
          </w:tcPr>
          <w:p>
            <w:pPr>
              <w:spacing w:after="0"/>
              <w:rPr>
                <w:sz w:val="12"/>
                <w:szCs w:val="12"/>
                <w:color w:val="auto"/>
              </w:rPr>
            </w:pPr>
          </w:p>
        </w:tc>
        <w:tc>
          <w:tcPr>
            <w:tcW w:w="840" w:type="dxa"/>
            <w:vAlign w:val="bottom"/>
          </w:tcPr>
          <w:p>
            <w:pPr>
              <w:jc w:val="center"/>
              <w:ind w:right="331"/>
              <w:spacing w:after="0"/>
              <w:rPr>
                <w:sz w:val="20"/>
                <w:szCs w:val="20"/>
                <w:color w:val="auto"/>
              </w:rPr>
            </w:pPr>
            <w:r>
              <w:rPr>
                <w:rFonts w:ascii="Arial" w:cs="Arial" w:eastAsia="Arial" w:hAnsi="Arial"/>
                <w:sz w:val="11"/>
                <w:szCs w:val="11"/>
                <w:b w:val="1"/>
                <w:bCs w:val="1"/>
                <w:color w:val="auto"/>
                <w:w w:val="88"/>
              </w:rPr>
              <w:t>(2)</w:t>
            </w:r>
          </w:p>
        </w:tc>
        <w:tc>
          <w:tcPr>
            <w:tcW w:w="100" w:type="dxa"/>
            <w:vAlign w:val="bottom"/>
          </w:tcPr>
          <w:p>
            <w:pPr>
              <w:spacing w:after="0"/>
              <w:rPr>
                <w:sz w:val="12"/>
                <w:szCs w:val="12"/>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Corporate and Other (2)</w:t>
            </w:r>
          </w:p>
        </w:tc>
        <w:tc>
          <w:tcPr>
            <w:tcW w:w="300" w:type="dxa"/>
            <w:vAlign w:val="bottom"/>
          </w:tcPr>
          <w:p>
            <w:pPr>
              <w:spacing w:after="0"/>
              <w:rPr>
                <w:sz w:val="12"/>
                <w:szCs w:val="12"/>
                <w:color w:val="auto"/>
              </w:rPr>
            </w:pPr>
          </w:p>
        </w:tc>
        <w:tc>
          <w:tcPr>
            <w:tcW w:w="940" w:type="dxa"/>
            <w:vAlign w:val="bottom"/>
          </w:tcPr>
          <w:p>
            <w:pPr>
              <w:jc w:val="right"/>
              <w:ind w:right="431"/>
              <w:spacing w:after="0"/>
              <w:rPr>
                <w:sz w:val="20"/>
                <w:szCs w:val="20"/>
                <w:color w:val="auto"/>
              </w:rPr>
            </w:pPr>
            <w:r>
              <w:rPr>
                <w:rFonts w:ascii="Arial" w:cs="Arial" w:eastAsia="Arial" w:hAnsi="Arial"/>
                <w:sz w:val="11"/>
                <w:szCs w:val="11"/>
                <w:b w:val="1"/>
                <w:bCs w:val="1"/>
                <w:color w:val="auto"/>
              </w:rPr>
              <w:t>Total</w:t>
            </w:r>
          </w:p>
        </w:tc>
      </w:tr>
      <w:tr>
        <w:trPr>
          <w:trHeight w:val="22"/>
        </w:trPr>
        <w:tc>
          <w:tcPr>
            <w:tcW w:w="1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1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from contracts</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94"/>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1,449</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Derivatives income</w:t>
            </w:r>
          </w:p>
        </w:tc>
        <w:tc>
          <w:tcPr>
            <w:tcW w:w="48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782</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(3)</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7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841</w:t>
            </w:r>
          </w:p>
        </w:tc>
        <w:tc>
          <w:tcPr>
            <w:tcW w:w="1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2,186</w:t>
            </w:r>
          </w:p>
        </w:tc>
      </w:tr>
      <w:tr>
        <w:trPr>
          <w:trHeight w:val="20"/>
        </w:trPr>
        <w:tc>
          <w:tcPr>
            <w:tcW w:w="1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8"/>
        </w:trPr>
        <w:tc>
          <w:tcPr>
            <w:tcW w:w="1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371"/>
              <w:spacing w:after="0"/>
              <w:rPr>
                <w:sz w:val="20"/>
                <w:szCs w:val="20"/>
                <w:color w:val="auto"/>
              </w:rPr>
            </w:pPr>
            <w:r>
              <w:rPr>
                <w:rFonts w:ascii="Arial" w:cs="Arial" w:eastAsia="Arial" w:hAnsi="Arial"/>
                <w:sz w:val="14"/>
                <w:szCs w:val="14"/>
                <w:b w:val="1"/>
                <w:bCs w:val="1"/>
                <w:color w:val="auto"/>
                <w:w w:val="93"/>
              </w:rPr>
              <w:t>Six Months Ended June 30, 2018</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34"/>
        </w:trPr>
        <w:tc>
          <w:tcPr>
            <w:tcW w:w="1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ind w:left="360"/>
              <w:spacing w:after="0"/>
              <w:rPr>
                <w:sz w:val="20"/>
                <w:szCs w:val="20"/>
                <w:color w:val="auto"/>
              </w:rPr>
            </w:pPr>
            <w:r>
              <w:rPr>
                <w:rFonts w:ascii="Arial" w:cs="Arial" w:eastAsia="Arial" w:hAnsi="Arial"/>
                <w:sz w:val="11"/>
                <w:szCs w:val="11"/>
                <w:b w:val="1"/>
                <w:bCs w:val="1"/>
                <w:color w:val="auto"/>
              </w:rPr>
              <w:t>Indiana</w:t>
            </w:r>
          </w:p>
        </w:tc>
        <w:tc>
          <w:tcPr>
            <w:tcW w:w="1340" w:type="dxa"/>
            <w:vAlign w:val="bottom"/>
            <w:gridSpan w:val="3"/>
          </w:tcPr>
          <w:p>
            <w:pPr>
              <w:ind w:left="40"/>
              <w:spacing w:after="0"/>
              <w:rPr>
                <w:sz w:val="20"/>
                <w:szCs w:val="20"/>
                <w:color w:val="auto"/>
              </w:rPr>
            </w:pPr>
            <w:r>
              <w:rPr>
                <w:rFonts w:ascii="Arial" w:cs="Arial" w:eastAsia="Arial" w:hAnsi="Arial"/>
                <w:sz w:val="11"/>
                <w:szCs w:val="11"/>
                <w:b w:val="1"/>
                <w:bCs w:val="1"/>
                <w:color w:val="auto"/>
              </w:rPr>
              <w:t>Natural Gas Distribution</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Energy</w:t>
            </w:r>
          </w:p>
        </w:tc>
        <w:tc>
          <w:tcPr>
            <w:tcW w:w="13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Infrastructure Services</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0"/>
        </w:trPr>
        <w:tc>
          <w:tcPr>
            <w:tcW w:w="1960" w:type="dxa"/>
            <w:vAlign w:val="bottom"/>
          </w:tcPr>
          <w:p>
            <w:pPr>
              <w:spacing w:after="0"/>
              <w:rPr>
                <w:sz w:val="12"/>
                <w:szCs w:val="12"/>
                <w:color w:val="auto"/>
              </w:rPr>
            </w:pP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Houston Electric T&amp;D (1)</w:t>
            </w:r>
          </w:p>
        </w:tc>
        <w:tc>
          <w:tcPr>
            <w:tcW w:w="100" w:type="dxa"/>
            <w:vAlign w:val="bottom"/>
          </w:tcPr>
          <w:p>
            <w:pPr>
              <w:spacing w:after="0"/>
              <w:rPr>
                <w:sz w:val="12"/>
                <w:szCs w:val="1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0"/>
              </w:rPr>
              <w:t>Electric Integrated (1)</w:t>
            </w:r>
          </w:p>
        </w:tc>
        <w:tc>
          <w:tcPr>
            <w:tcW w:w="320" w:type="dxa"/>
            <w:vAlign w:val="bottom"/>
          </w:tcPr>
          <w:p>
            <w:pPr>
              <w:spacing w:after="0"/>
              <w:rPr>
                <w:sz w:val="12"/>
                <w:szCs w:val="12"/>
                <w:color w:val="auto"/>
              </w:rPr>
            </w:pPr>
          </w:p>
        </w:tc>
        <w:tc>
          <w:tcPr>
            <w:tcW w:w="920" w:type="dxa"/>
            <w:vAlign w:val="bottom"/>
          </w:tcPr>
          <w:p>
            <w:pPr>
              <w:jc w:val="right"/>
              <w:ind w:right="491"/>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Services (2)</w:t>
            </w:r>
          </w:p>
        </w:tc>
        <w:tc>
          <w:tcPr>
            <w:tcW w:w="400" w:type="dxa"/>
            <w:vAlign w:val="bottom"/>
          </w:tcPr>
          <w:p>
            <w:pPr>
              <w:spacing w:after="0"/>
              <w:rPr>
                <w:sz w:val="12"/>
                <w:szCs w:val="12"/>
                <w:color w:val="auto"/>
              </w:rPr>
            </w:pPr>
          </w:p>
        </w:tc>
        <w:tc>
          <w:tcPr>
            <w:tcW w:w="840" w:type="dxa"/>
            <w:vAlign w:val="bottom"/>
          </w:tcPr>
          <w:p>
            <w:pPr>
              <w:jc w:val="center"/>
              <w:ind w:right="331"/>
              <w:spacing w:after="0"/>
              <w:rPr>
                <w:sz w:val="20"/>
                <w:szCs w:val="20"/>
                <w:color w:val="auto"/>
              </w:rPr>
            </w:pPr>
            <w:r>
              <w:rPr>
                <w:rFonts w:ascii="Arial" w:cs="Arial" w:eastAsia="Arial" w:hAnsi="Arial"/>
                <w:sz w:val="11"/>
                <w:szCs w:val="11"/>
                <w:b w:val="1"/>
                <w:bCs w:val="1"/>
                <w:color w:val="auto"/>
                <w:w w:val="88"/>
              </w:rPr>
              <w:t>(2)</w:t>
            </w:r>
          </w:p>
        </w:tc>
        <w:tc>
          <w:tcPr>
            <w:tcW w:w="100" w:type="dxa"/>
            <w:vAlign w:val="bottom"/>
          </w:tcPr>
          <w:p>
            <w:pPr>
              <w:spacing w:after="0"/>
              <w:rPr>
                <w:sz w:val="12"/>
                <w:szCs w:val="12"/>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Corporate and Other (2)</w:t>
            </w:r>
          </w:p>
        </w:tc>
        <w:tc>
          <w:tcPr>
            <w:tcW w:w="300" w:type="dxa"/>
            <w:vAlign w:val="bottom"/>
          </w:tcPr>
          <w:p>
            <w:pPr>
              <w:spacing w:after="0"/>
              <w:rPr>
                <w:sz w:val="12"/>
                <w:szCs w:val="12"/>
                <w:color w:val="auto"/>
              </w:rPr>
            </w:pPr>
          </w:p>
        </w:tc>
        <w:tc>
          <w:tcPr>
            <w:tcW w:w="940" w:type="dxa"/>
            <w:vAlign w:val="bottom"/>
          </w:tcPr>
          <w:p>
            <w:pPr>
              <w:jc w:val="right"/>
              <w:ind w:right="431"/>
              <w:spacing w:after="0"/>
              <w:rPr>
                <w:sz w:val="20"/>
                <w:szCs w:val="20"/>
                <w:color w:val="auto"/>
              </w:rPr>
            </w:pPr>
            <w:r>
              <w:rPr>
                <w:rFonts w:ascii="Arial" w:cs="Arial" w:eastAsia="Arial" w:hAnsi="Arial"/>
                <w:sz w:val="11"/>
                <w:szCs w:val="11"/>
                <w:b w:val="1"/>
                <w:bCs w:val="1"/>
                <w:color w:val="auto"/>
              </w:rPr>
              <w:t>Total</w:t>
            </w:r>
          </w:p>
        </w:tc>
      </w:tr>
      <w:tr>
        <w:trPr>
          <w:trHeight w:val="22"/>
        </w:trPr>
        <w:tc>
          <w:tcPr>
            <w:tcW w:w="1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1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from contracts</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94"/>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3,575</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Derivatives income</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1,889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1,885</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0"/>
                <w:szCs w:val="10"/>
                <w:color w:val="auto"/>
              </w:rPr>
              <w:t>(3)</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94"/>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5,341</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Reflected in Utility revenues in the Condensed Statements of Consolidated Income.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Reflected in Non-utility revenues in the Condensed Statements of Consolidated Income.</w:t>
      </w:r>
    </w:p>
    <w:p>
      <w:pPr>
        <w:spacing w:after="0" w:line="22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revenues from Vectren subsidiaries for the period from February 1, 2019 to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from contracts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768</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1,621</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0"/>
                <w:szCs w:val="10"/>
                <w:color w:val="auto"/>
              </w:rPr>
              <w:t>(1)</w:t>
            </w: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43"/>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1,609</w:t>
            </w: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19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43"/>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Energy</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Energy</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Natural Gas</w:t>
            </w: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Services</w:t>
            </w: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 Operations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Natural Gas</w:t>
            </w:r>
          </w:p>
        </w:tc>
        <w:tc>
          <w:tcPr>
            <w:tcW w:w="1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Services</w:t>
            </w:r>
          </w:p>
        </w:tc>
        <w:tc>
          <w:tcPr>
            <w:tcW w:w="11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9"/>
              </w:rPr>
              <w:t>Other Operations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4"/>
        </w:trPr>
        <w:tc>
          <w:tcPr>
            <w:tcW w:w="1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0"/>
              </w:rPr>
              <w:t>Distribution (1)</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7"/>
              </w:rPr>
              <w:t>(2)</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7"/>
              </w:rPr>
              <w:t>(2)</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Distribution (1)</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7"/>
              </w:rPr>
              <w:t>(2)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Total</w:t>
            </w:r>
          </w:p>
        </w:tc>
      </w:tr>
      <w:tr>
        <w:trPr>
          <w:trHeight w:val="251"/>
        </w:trPr>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from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510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587</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Derivatives income</w:t>
            </w:r>
          </w:p>
        </w:tc>
        <w:tc>
          <w:tcPr>
            <w:tcW w:w="16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782</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0"/>
                <w:szCs w:val="10"/>
                <w:color w:val="auto"/>
              </w:rPr>
              <w:t>(3)</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43"/>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503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1,328</w:t>
            </w: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28"/>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19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43"/>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Natural Gas</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Energy</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Corporate and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Natural Gas</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Energy</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4" w:lineRule="exact"/>
              <w:rPr>
                <w:sz w:val="20"/>
                <w:szCs w:val="20"/>
                <w:color w:val="auto"/>
              </w:rPr>
            </w:pPr>
            <w:r>
              <w:rPr>
                <w:rFonts w:ascii="Arial" w:cs="Arial" w:eastAsia="Arial" w:hAnsi="Arial"/>
                <w:sz w:val="13"/>
                <w:szCs w:val="13"/>
                <w:b w:val="1"/>
                <w:bCs w:val="1"/>
                <w:color w:val="auto"/>
                <w:w w:val="85"/>
              </w:rPr>
              <w:t>Corporate and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4"/>
        </w:trPr>
        <w:tc>
          <w:tcPr>
            <w:tcW w:w="1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0"/>
              </w:rPr>
              <w:t>Distribution (1)</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4"/>
              </w:rPr>
              <w:t>Services (2)</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Other (2)</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Distribution (1)</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4"/>
              </w:rPr>
              <w:t>Services (2)</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Other (2)</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Total</w:t>
            </w:r>
          </w:p>
        </w:tc>
      </w:tr>
      <w:tr>
        <w:trPr>
          <w:trHeight w:val="251"/>
        </w:trPr>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from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1,708</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1,951</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Derivatives income</w:t>
            </w:r>
          </w:p>
        </w:tc>
        <w:tc>
          <w:tcPr>
            <w:tcW w:w="16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1,841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1,841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1,889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1,889</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0"/>
                <w:szCs w:val="10"/>
                <w:color w:val="auto"/>
              </w:rPr>
              <w:t>(3)</w:t>
            </w: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1,688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3,728</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Reflected in Utility revenues in the Condensed Statements of Consolidated Income.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Reflected in Non-utility revenues in the Condensed Statements of Consolidated Income.</w:t>
      </w:r>
    </w:p>
    <w:p>
      <w:pPr>
        <w:spacing w:after="0" w:line="22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Houston Electric T&amp;D (CenterPoint Energy and Houston Electric). </w:t>
      </w:r>
      <w:r>
        <w:rPr>
          <w:rFonts w:ascii="Arial" w:cs="Arial" w:eastAsia="Arial" w:hAnsi="Arial"/>
          <w:sz w:val="17"/>
          <w:szCs w:val="17"/>
          <w:color w:val="auto"/>
        </w:rPr>
        <w:t>Houston Electric distributes electricity to customers over time and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 the electricity when delivered. Revenue, consisting of both volumetric and fixed tariff rates set by state regulators, is recognized as electricity is delivered and represents amounts both billed and unbilled. Discretionary services requested by customers are provided at a point in time with control transferring upon the completion of the service. Revenue for discretionary services is recognized upon completion of service based on the tariff rates set by state regulators.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state regulators. Payments are received on a monthly basis.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Indiana Electric Integrated (CenterPoint Energy). </w:t>
      </w:r>
      <w:r>
        <w:rPr>
          <w:rFonts w:ascii="Arial" w:cs="Arial" w:eastAsia="Arial" w:hAnsi="Arial"/>
          <w:sz w:val="18"/>
          <w:szCs w:val="18"/>
          <w:color w:val="auto"/>
        </w:rPr>
        <w:t>Indiana Electric generates, distributes and transmits electricity to customers over time, and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 the electricity when delivered. Revenue, consisting of both volumetric and fixed tariff rates set by state regulators, is recognized as electricity is delivered and represents amounts both billed and unbilled. Customers are billed monthly and payment terms, set by the regulator, require payment within a month of billing.</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b w:val="1"/>
          <w:bCs w:val="1"/>
          <w:i w:val="1"/>
          <w:iCs w:val="1"/>
          <w:color w:val="auto"/>
        </w:rPr>
        <w:t xml:space="preserve">Natural Gas Distribution (CenterPoint Energy and CERC). </w:t>
      </w:r>
      <w:r>
        <w:rPr>
          <w:rFonts w:ascii="Arial" w:cs="Arial" w:eastAsia="Arial" w:hAnsi="Arial"/>
          <w:sz w:val="17"/>
          <w:szCs w:val="17"/>
          <w:color w:val="auto"/>
        </w:rPr>
        <w:t>Natural gas is distributed and transported to customers over time, and customers consume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Energy Services (CenterPoint Energy and CERC). </w:t>
      </w:r>
      <w:r>
        <w:rPr>
          <w:rFonts w:ascii="Arial" w:cs="Arial" w:eastAsia="Arial" w:hAnsi="Arial"/>
          <w:sz w:val="18"/>
          <w:szCs w:val="18"/>
          <w:color w:val="auto"/>
        </w:rPr>
        <w:t>The majority of CES natural gas sales contracts are considered a derivative, as the contracts typically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stated minimum or contractual volume of delivery.</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contracts in which CES delivers the full requirement of the natural gas needed by the customer and a volume is not stated, a contract as defined under ASC 606 is created upon the customer’s exercise of its option to take natural gas. CES supplies natural gas to retail customers over time as customers consume the natural gas when delivered. For wholesale customers, CES supplies natural gas at a point in time because the wholesale customer is presumed to have storage capabilities. Control is transferred to both types of customers upon delivery of natural gas. Revenue is recognized on a monthly basis based on the estimated volume of natural gas delivered and the price agreed upon with the customer. Payments are received on a monthly basis.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AMAs are natural gas sales contracts under which CES also assumes management of a customer’s physical storage and/or transportation capacity. AMAs have two distinct performance obligations, which consist of natural gas sales and natural gas delivery because delivery could occur separate from the sale of natural gas (e.g., from storage to customer premises). Most AMAs’ natural gas sales performance obligations are accounted for as embedded derivatives. The transaction price is allocated between the sale of natural gas and the delivery based on the stand-alone selling price as stated in the contract. CES performs natural gas delivery over time as customers take delivery of the natural gas and recognizes revenue on an aggregated monthly basis based on the volume of natural gas delivered and the fees stated within the contract. Payments are received on a monthly basis.</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Infrastructure Services (CenterPoint Energy). </w:t>
      </w:r>
      <w:r>
        <w:rPr>
          <w:rFonts w:ascii="Arial" w:cs="Arial" w:eastAsia="Arial" w:hAnsi="Arial"/>
          <w:sz w:val="16"/>
          <w:szCs w:val="16"/>
          <w:color w:val="auto"/>
        </w:rPr>
        <w:t>Infrastructure Services provides u</w:t>
      </w:r>
      <w:r>
        <w:rPr>
          <w:rFonts w:ascii="Arial" w:cs="Arial" w:eastAsia="Arial" w:hAnsi="Arial"/>
          <w:sz w:val="16"/>
          <w:szCs w:val="16"/>
          <w:color w:val="221F1F"/>
        </w:rPr>
        <w:t>nderground pipeline construction and repair services. The contracts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21F1F"/>
        </w:rPr>
        <w:t>generally less than one year in duration and consist of fixed price, unit, and time and material customer contracts. Under unit or time and material contracts, Infrastructure Services performs construction and repair services under specific work-orders at prices established by master service agreements. The performance obligation is defined at the work-order level. These services are billed to customers monthly or more frequently for work completed based on units completed or the costs of time and material incurred and generally require payment within 30 days of billing. Infrastructure Services has the right to consideration from customers in an amount that corresponds directly with the performance obligation satisfied, and therefore recognizes revenue at a point in time in the amount to which it has the right to invoice, which results in accrued unbilled revenues at the end of each accounting period.</w:t>
      </w:r>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21F1F"/>
        </w:rPr>
        <w:t>Under fixed price contracts, Infrastructure Services performs larger scale construction and repair services. Each contract is typically accounted for as a single performance obligation. Services performed under fixed price contracts are typically billed per the terms of the contract, which can range from completion of specific milestones to scheduled billing intervals. Billings occur monthly or more frequently for work completed and generally require payment within 30 days of billing. Revenue for fixed price contracts is recognized over time as control is transferred using the input method, considering costs incurred relative to total expected cost. Total expected cost is therefore a significant judgment affecting the amount and timing of revenue recognition. Infrastructure Services’ revenues are not subject to significant returns, refunds or warranty obligations.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221F1F"/>
        </w:rPr>
        <w:t xml:space="preserve">Contract Balances. </w:t>
      </w:r>
      <w:r>
        <w:rPr>
          <w:rFonts w:ascii="Arial" w:cs="Arial" w:eastAsia="Arial" w:hAnsi="Arial"/>
          <w:sz w:val="18"/>
          <w:szCs w:val="18"/>
          <w:color w:val="221F1F"/>
        </w:rPr>
        <w:t>When the timing of delivery of service is different from the timing of the payments made by customers and when the right to</w:t>
      </w:r>
      <w:r>
        <w:rPr>
          <w:rFonts w:ascii="Arial" w:cs="Arial" w:eastAsia="Arial" w:hAnsi="Arial"/>
          <w:sz w:val="18"/>
          <w:szCs w:val="18"/>
          <w:b w:val="1"/>
          <w:bCs w:val="1"/>
          <w:i w:val="1"/>
          <w:iCs w:val="1"/>
          <w:color w:val="221F1F"/>
        </w:rPr>
        <w:t xml:space="preserve"> </w:t>
      </w:r>
      <w:r>
        <w:rPr>
          <w:rFonts w:ascii="Arial" w:cs="Arial" w:eastAsia="Arial" w:hAnsi="Arial"/>
          <w:sz w:val="18"/>
          <w:szCs w:val="18"/>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On an aggregate basis as of June 30, 2019, the Registrants’ contract assets primarily relate to contracts in the Infrastructure Services segment where revenue is recognized using the input method. The Registrants’ contract liabilities are included in Accounts payable and Other current liabilities in their Condensed Consolidated Balance Sheets. On an aggregate basis as of June 30, 2019, the Registrants’ contract liabilities primarily relate to ESG contracts where revenue is recognized using the input method.</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21F1F"/>
        </w:rPr>
        <w:t>The opening and closing balances of accounts receivable, other accrued unbilled revenue, contract assets and contract liabilities from contracts with customers for the six months ended June 30, 2019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38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Contract</w:t>
            </w:r>
          </w:p>
        </w:tc>
        <w:tc>
          <w:tcPr>
            <w:tcW w:w="140" w:type="dxa"/>
            <w:vAlign w:val="bottom"/>
          </w:tcPr>
          <w:p>
            <w:pPr>
              <w:spacing w:after="0"/>
              <w:rPr>
                <w:sz w:val="14"/>
                <w:szCs w:val="1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 Revenues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Opening balance as of December 31, 2018 </w:t>
            </w: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Closing balance as of June 30, 2019</w:t>
            </w:r>
          </w:p>
        </w:tc>
        <w:tc>
          <w:tcPr>
            <w:tcW w:w="1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(decrease)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221F1F"/>
        </w:rPr>
        <w:t>(1)  Opening balances related to Vectren are as of February 1,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21F1F"/>
        </w:rPr>
        <w:t>The amount of revenue recognized in the six-month period ended June 30, 2019 that was included in the opening contract liability was $38 million. The difference between the opening and closing balances of the contract liabilities primarily results from the timing difference between CenterPoint Energy’s performance and the customer’s payment.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140" w:type="dxa"/>
            <w:vAlign w:val="bottom"/>
          </w:tcPr>
          <w:p>
            <w:pPr>
              <w:spacing w:after="0"/>
              <w:rPr>
                <w:sz w:val="14"/>
                <w:szCs w:val="1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 Revenues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as of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Closing balance as of June 30, 2019</w:t>
            </w:r>
          </w:p>
        </w:tc>
        <w:tc>
          <w:tcPr>
            <w:tcW w:w="1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21F1F"/>
        </w:rPr>
        <w:t>The amount of revenue recognized in the six-month period ended June 30, 2019 that was included in the opening contract liability was $2 million. The difference between the opening and closing balances of the contract liabilities primarily results from the timing difference between Houston Electric’s performance and the customer’s payment.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340" w:type="dxa"/>
            <w:vAlign w:val="bottom"/>
          </w:tcPr>
          <w:p>
            <w:pPr>
              <w:jc w:val="right"/>
              <w:ind w:right="197"/>
              <w:spacing w:after="0"/>
              <w:rPr>
                <w:sz w:val="20"/>
                <w:szCs w:val="20"/>
                <w:color w:val="auto"/>
              </w:rPr>
            </w:pPr>
            <w:r>
              <w:rPr>
                <w:rFonts w:ascii="Arial" w:cs="Arial" w:eastAsia="Arial" w:hAnsi="Arial"/>
                <w:sz w:val="14"/>
                <w:szCs w:val="14"/>
                <w:b w:val="1"/>
                <w:bCs w:val="1"/>
                <w:color w:val="auto"/>
              </w:rPr>
              <w:t>Other Accrued</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2"/>
              </w:rPr>
              <w:t>Unbilled Revenues</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4"/>
          </w:tcPr>
          <w:p>
            <w:pPr>
              <w:jc w:val="right"/>
              <w:ind w:right="107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as of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Closing balance as of June 30, 2019</w:t>
            </w:r>
          </w:p>
        </w:tc>
        <w:tc>
          <w:tcPr>
            <w:tcW w:w="1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Decrease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221F1F"/>
        </w:rPr>
        <w:t>CERC does not have any opening or closing contract asset or contract liability balances.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221E1F"/>
        </w:rPr>
        <w:t xml:space="preserve">Remaining Performance Obligations (CenterPoint Energy). </w:t>
      </w:r>
      <w:r>
        <w:rPr>
          <w:rFonts w:ascii="Arial" w:cs="Arial" w:eastAsia="Arial" w:hAnsi="Arial"/>
          <w:sz w:val="17"/>
          <w:szCs w:val="17"/>
          <w:color w:val="221F1F"/>
        </w:rPr>
        <w:t>The table below discloses (1) the aggregate amount of the transaction price allocated to</w:t>
      </w:r>
      <w:r>
        <w:rPr>
          <w:rFonts w:ascii="Arial" w:cs="Arial" w:eastAsia="Arial" w:hAnsi="Arial"/>
          <w:sz w:val="17"/>
          <w:szCs w:val="17"/>
          <w:b w:val="1"/>
          <w:bCs w:val="1"/>
          <w:i w:val="1"/>
          <w:iCs w:val="1"/>
          <w:color w:val="221E1F"/>
        </w:rPr>
        <w:t xml:space="preserve"> </w:t>
      </w:r>
      <w:r>
        <w:rPr>
          <w:rFonts w:ascii="Arial" w:cs="Arial" w:eastAsia="Arial" w:hAnsi="Arial"/>
          <w:sz w:val="17"/>
          <w:szCs w:val="17"/>
          <w:color w:val="221F1F"/>
        </w:rPr>
        <w:t>performance obligations that are unsatisfied (or partially unsatisfied) as of the end of the reporting period for contracts and (2) when CenterPoint Energy expects to recognize this revenue. Such contracts include fixed price contracts in the Infrastructure Services reportable segment.</w:t>
      </w:r>
    </w:p>
    <w:p>
      <w:pPr>
        <w:spacing w:after="0" w:line="171" w:lineRule="exact"/>
        <w:rPr>
          <w:sz w:val="20"/>
          <w:szCs w:val="20"/>
          <w:color w:val="auto"/>
        </w:rPr>
      </w:pPr>
    </w:p>
    <w:p>
      <w:pPr>
        <w:ind w:left="7500"/>
        <w:spacing w:after="0"/>
        <w:tabs>
          <w:tab w:leader="none" w:pos="9080" w:val="left"/>
          <w:tab w:leader="none" w:pos="10620" w:val="left"/>
        </w:tabs>
        <w:rPr>
          <w:sz w:val="20"/>
          <w:szCs w:val="20"/>
          <w:color w:val="auto"/>
        </w:rPr>
      </w:pPr>
      <w:r>
        <w:rPr>
          <w:rFonts w:ascii="Arial" w:cs="Arial" w:eastAsia="Arial" w:hAnsi="Arial"/>
          <w:sz w:val="14"/>
          <w:szCs w:val="14"/>
          <w:b w:val="1"/>
          <w:bCs w:val="1"/>
          <w:color w:val="auto"/>
        </w:rPr>
        <w:t>Rolling 12 Months</w:t>
      </w:r>
      <w:r>
        <w:rPr>
          <w:sz w:val="20"/>
          <w:szCs w:val="20"/>
          <w:color w:val="auto"/>
        </w:rPr>
        <w:tab/>
      </w:r>
      <w:r>
        <w:rPr>
          <w:rFonts w:ascii="Arial" w:cs="Arial" w:eastAsia="Arial" w:hAnsi="Arial"/>
          <w:sz w:val="14"/>
          <w:szCs w:val="14"/>
          <w:b w:val="1"/>
          <w:bCs w:val="1"/>
          <w:color w:val="auto"/>
        </w:rPr>
        <w:t>Thereafter</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9"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Revenue expected to be recognized on contracts in place as of June 30, 2019:</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Fixed price (bid)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37"/>
        </w:trPr>
        <w:tc>
          <w:tcPr>
            <w:tcW w:w="744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7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which revenue from the satisfaction of the performance obligations is recognized in the amount invoiced, the practical expedient was elected and revenue expected to be recognized on these contracts has not been disclosed.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Merger, CenterPoint Energy now maintains three additional qualified defined benefit pension plans which are closed to new participants, a non-qualified SERP and a postretirement benefit plan. The defined benefit pension plans cover eligible full-time regular employees of Vectren and are primarily non-contributory. The postretirement benefit plan provides health care and life insurance benefits to certain Vectren retirees, which are a combination of self-insured and fully insured programs, to eligible retirees on both a contributory and non-contributory basis.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CenterPoint Energy, through its Infrastructure Services reportable segment, participates in several industry wide multi-employer pension plans for its collective bargaining employees which provide for monthly benefits based on length of service. The risks of participating in multi-employer pension plans are different from the risks of participating in single-employer pension plans in the following respects: (1) assets contributed to the multi-employer plan by one employer may be used to provide benefits to employees of other participating employers, (2) if a participating employer stops contributing to the plan, the unfunded obligations</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the plan allocable to such withdrawing employer may be borne by the remaining participating employers and (3) if CenterPoint Energy stops participation in some of its multi-employer pension plans, CenterPoint Energy may be required to pay those plans an amount based on its allocable share of the underfunded status of the plan, referred to as a withdrawal liability.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through Vectren, also acquired additional defined contribution retirement savings plans qualified under sections 401(a) and 401(k) of the Internal Revenue Code.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 (1)</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Interest cost (2)</w:t>
            </w:r>
          </w:p>
        </w:tc>
        <w:tc>
          <w:tcPr>
            <w:tcW w:w="960" w:type="dxa"/>
            <w:vAlign w:val="bottom"/>
          </w:tcPr>
          <w:p>
            <w:pPr>
              <w:spacing w:after="0"/>
              <w:rPr>
                <w:sz w:val="22"/>
                <w:szCs w:val="22"/>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return on plan assets (2)</w:t>
            </w: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Amortization of prior service cost (2)</w:t>
            </w:r>
          </w:p>
        </w:tc>
        <w:tc>
          <w:tcPr>
            <w:tcW w:w="960" w:type="dxa"/>
            <w:vAlign w:val="bottom"/>
          </w:tcPr>
          <w:p>
            <w:pPr>
              <w:spacing w:after="0"/>
              <w:rPr>
                <w:sz w:val="22"/>
                <w:szCs w:val="22"/>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net loss (2)</w:t>
            </w: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Settlement cost (3)</w:t>
            </w:r>
          </w:p>
        </w:tc>
        <w:tc>
          <w:tcPr>
            <w:tcW w:w="960" w:type="dxa"/>
            <w:vAlign w:val="bottom"/>
          </w:tcPr>
          <w:p>
            <w:pPr>
              <w:spacing w:after="0"/>
              <w:rPr>
                <w:sz w:val="22"/>
                <w:szCs w:val="22"/>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Curtailment gain (4)</w:t>
            </w:r>
          </w:p>
        </w:tc>
        <w:tc>
          <w:tcPr>
            <w:tcW w:w="9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4"/>
                <w:szCs w:val="14"/>
                <w:color w:val="auto"/>
              </w:rPr>
              <w:t>Net periodic cost</w:t>
            </w: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each of the Registrants’ respective Condensed Statements of Consolidated Income, net of amounts capitalized and regulatory deferrals.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(expense), net in each of the Registrants’ respective Condensed Statements of Consolidated Income, net of regulatory deferrals.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one-time, non-cash settlement cost is required when the total lump sum distributions or other settlements of plan benefit obligations during a plan year exceed the service cost and interest cost components of the net periodic cost for that year. In June 2019, CenterPoint Energy recognized a non-cash settlement cost of $1 million due to lump sum settlement payments from Vectren pension plans.</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curtailment gain or loss is required when the expected future services of a significant number of employees are reduced or eliminated for the accrual of benefits. In February 2019, CenterPoint Energy recognized a pension curtailment gain of $1 million related to Vectren employees whose employment was terminated after the Merger closed.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Houston Electric</w:t>
            </w:r>
          </w:p>
        </w:tc>
        <w:tc>
          <w:tcPr>
            <w:tcW w:w="16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3"/>
                <w:szCs w:val="13"/>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Energy</w:t>
            </w:r>
          </w:p>
        </w:tc>
        <w:tc>
          <w:tcPr>
            <w:tcW w:w="13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 (1)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Interest cost (2)</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return on plan assets (2)</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Amortization of prior service cost (credit) (2)</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periodic cost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Six Months Ended June 30,</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Houston Electric</w:t>
            </w:r>
          </w:p>
        </w:tc>
        <w:tc>
          <w:tcPr>
            <w:tcW w:w="16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3"/>
                <w:szCs w:val="13"/>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Energy</w:t>
            </w:r>
          </w:p>
        </w:tc>
        <w:tc>
          <w:tcPr>
            <w:tcW w:w="13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 (1)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Interest cost (2)</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return on plan assets (2)</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Amortization of prior service cost (credit) (2)</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periodic cost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reflects the expected contributions to be made to the pension and postretirement benefit plans during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2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CenterPoint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Houston Electric</w:t>
            </w:r>
          </w:p>
        </w:tc>
        <w:tc>
          <w:tcPr>
            <w:tcW w:w="360" w:type="dxa"/>
            <w:vAlign w:val="bottom"/>
          </w:tcPr>
          <w:p>
            <w:pPr>
              <w:spacing w:after="0"/>
              <w:rPr>
                <w:sz w:val="14"/>
                <w:szCs w:val="14"/>
                <w:color w:val="auto"/>
              </w:rPr>
            </w:pPr>
          </w:p>
        </w:tc>
        <w:tc>
          <w:tcPr>
            <w:tcW w:w="9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0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2"/>
              </w:rPr>
              <w:t>Energy</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minimum contribution to pension plans during 2019</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94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Expected contribution to postretirement benefit plans in 2019</w:t>
            </w:r>
          </w:p>
        </w:tc>
        <w:tc>
          <w:tcPr>
            <w:tcW w:w="102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76"/>
              </w:rPr>
              <w:t>20</w:t>
            </w:r>
          </w:p>
        </w:tc>
        <w:tc>
          <w:tcPr>
            <w:tcW w:w="20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reflects the contributions made to the pension and postretirement benefit plans during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w w:val="94"/>
              </w:rPr>
              <w:t>Three Months Ended June 30, 2019</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5"/>
              </w:rPr>
              <w:t>Six Months Ended June 30, 2019</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CenterPoint</w:t>
            </w:r>
          </w:p>
        </w:tc>
        <w:tc>
          <w:tcPr>
            <w:tcW w:w="220" w:type="dxa"/>
            <w:vAlign w:val="bottom"/>
          </w:tcPr>
          <w:p>
            <w:pPr>
              <w:spacing w:after="0"/>
              <w:rPr>
                <w:sz w:val="13"/>
                <w:szCs w:val="13"/>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Houston Electric</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80" w:type="dxa"/>
            <w:vAlign w:val="bottom"/>
          </w:tcPr>
          <w:p>
            <w:pPr>
              <w:spacing w:after="0"/>
              <w:rPr>
                <w:sz w:val="13"/>
                <w:szCs w:val="13"/>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Houston Electric</w:t>
            </w:r>
          </w:p>
        </w:tc>
        <w:tc>
          <w:tcPr>
            <w:tcW w:w="460" w:type="dxa"/>
            <w:vAlign w:val="bottom"/>
          </w:tcPr>
          <w:p>
            <w:pPr>
              <w:spacing w:after="0"/>
              <w:rPr>
                <w:sz w:val="13"/>
                <w:szCs w:val="13"/>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9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6"/>
              </w:rPr>
              <w:t>Energy</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2"/>
              </w:rPr>
              <w:t>Energy</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Pension plans</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3340" w:type="dxa"/>
            <w:vAlign w:val="bottom"/>
          </w:tcPr>
          <w:p>
            <w:pPr>
              <w:ind w:left="40"/>
              <w:spacing w:after="0"/>
              <w:rPr>
                <w:sz w:val="20"/>
                <w:szCs w:val="20"/>
                <w:color w:val="auto"/>
              </w:rPr>
            </w:pPr>
            <w:r>
              <w:rPr>
                <w:rFonts w:ascii="Arial" w:cs="Arial" w:eastAsia="Arial" w:hAnsi="Arial"/>
                <w:sz w:val="14"/>
                <w:szCs w:val="14"/>
                <w:color w:val="auto"/>
              </w:rPr>
              <w:t>Postretirement benefit plans</w:t>
            </w:r>
          </w:p>
        </w:tc>
        <w:tc>
          <w:tcPr>
            <w:tcW w:w="90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960" w:type="dxa"/>
            <w:vAlign w:val="bottom"/>
          </w:tcPr>
          <w:p>
            <w:pPr>
              <w:spacing w:after="0"/>
              <w:rPr>
                <w:sz w:val="22"/>
                <w:szCs w:val="22"/>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Regulatory Accounting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regulatory assets and liabilities reflected on the Registrants’ respective Condensed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December 31, 2018</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200" w:type="dxa"/>
            <w:vAlign w:val="bottom"/>
          </w:tcPr>
          <w:p>
            <w:pPr>
              <w:spacing w:after="0"/>
              <w:rPr>
                <w:sz w:val="13"/>
                <w:szCs w:val="13"/>
                <w:color w:val="auto"/>
              </w:rPr>
            </w:pPr>
          </w:p>
        </w:tc>
        <w:tc>
          <w:tcPr>
            <w:tcW w:w="9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Houston</w:t>
            </w:r>
          </w:p>
        </w:tc>
        <w:tc>
          <w:tcPr>
            <w:tcW w:w="20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9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8"/>
              </w:rPr>
              <w:t>CenterPoint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Houston</w:t>
            </w:r>
          </w:p>
        </w:tc>
        <w:tc>
          <w:tcPr>
            <w:tcW w:w="200" w:type="dxa"/>
            <w:vAlign w:val="bottom"/>
          </w:tcPr>
          <w:p>
            <w:pPr>
              <w:spacing w:after="0"/>
              <w:rPr>
                <w:sz w:val="13"/>
                <w:szCs w:val="13"/>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Energy</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Electric</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Regulatory Assets: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Current regulatory assets </w:t>
            </w:r>
            <w:r>
              <w:rPr>
                <w:rFonts w:ascii="Arial" w:cs="Arial" w:eastAsia="Arial" w:hAnsi="Arial"/>
                <w:sz w:val="10"/>
                <w:szCs w:val="10"/>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58"/>
        </w:trPr>
        <w:tc>
          <w:tcPr>
            <w:tcW w:w="4460" w:type="dxa"/>
            <w:vAlign w:val="bottom"/>
          </w:tcPr>
          <w:p>
            <w:pPr>
              <w:ind w:left="40"/>
              <w:spacing w:after="0"/>
              <w:rPr>
                <w:sz w:val="20"/>
                <w:szCs w:val="20"/>
                <w:color w:val="auto"/>
              </w:rPr>
            </w:pPr>
            <w:r>
              <w:rPr>
                <w:rFonts w:ascii="Arial" w:cs="Arial" w:eastAsia="Arial" w:hAnsi="Arial"/>
                <w:sz w:val="14"/>
                <w:szCs w:val="14"/>
                <w:color w:val="auto"/>
              </w:rPr>
              <w:t>Non-current regulatory assets: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Securitized regulatory assets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4"/>
                <w:szCs w:val="14"/>
                <w:color w:val="auto"/>
              </w:rPr>
              <w:t xml:space="preserve">Unrecognized equity return </w:t>
            </w:r>
            <w:r>
              <w:rPr>
                <w:rFonts w:ascii="Arial" w:cs="Arial" w:eastAsia="Arial" w:hAnsi="Arial"/>
                <w:sz w:val="10"/>
                <w:szCs w:val="10"/>
                <w:color w:val="auto"/>
              </w:rPr>
              <w:t>(2)</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xml:space="preserve">Unamortized loss on reacquired debt </w:t>
            </w:r>
            <w:r>
              <w:rPr>
                <w:rFonts w:ascii="Arial" w:cs="Arial" w:eastAsia="Arial" w:hAnsi="Arial"/>
                <w:sz w:val="10"/>
                <w:szCs w:val="10"/>
                <w:color w:val="auto"/>
              </w:rPr>
              <w:t>(3)</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4"/>
                <w:szCs w:val="14"/>
                <w:color w:val="auto"/>
              </w:rPr>
              <w:t xml:space="preserve">Pension and postretirement-related regulatory asset </w:t>
            </w:r>
            <w:r>
              <w:rPr>
                <w:rFonts w:ascii="Arial" w:cs="Arial" w:eastAsia="Arial" w:hAnsi="Arial"/>
                <w:sz w:val="10"/>
                <w:szCs w:val="10"/>
                <w:color w:val="auto"/>
              </w:rPr>
              <w:t>(3)</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725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xml:space="preserve">Hurricane Harvey restoration costs </w:t>
            </w:r>
            <w:r>
              <w:rPr>
                <w:rFonts w:ascii="Arial" w:cs="Arial" w:eastAsia="Arial" w:hAnsi="Arial"/>
                <w:sz w:val="10"/>
                <w:szCs w:val="10"/>
                <w:color w:val="auto"/>
              </w:rPr>
              <w:t>(3)</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4"/>
                <w:szCs w:val="14"/>
                <w:color w:val="auto"/>
              </w:rPr>
              <w:t xml:space="preserve">Regulatory assets related to TCJA </w:t>
            </w:r>
            <w:r>
              <w:rPr>
                <w:rFonts w:ascii="Arial" w:cs="Arial" w:eastAsia="Arial" w:hAnsi="Arial"/>
                <w:sz w:val="10"/>
                <w:szCs w:val="10"/>
                <w:color w:val="auto"/>
              </w:rPr>
              <w:t>(3) (4)</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xml:space="preserve">Asset retirement obligation </w:t>
            </w:r>
            <w:r>
              <w:rPr>
                <w:rFonts w:ascii="Arial" w:cs="Arial" w:eastAsia="Arial" w:hAnsi="Arial"/>
                <w:sz w:val="10"/>
                <w:szCs w:val="10"/>
                <w:color w:val="auto"/>
              </w:rPr>
              <w:t>(3)</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4"/>
                <w:szCs w:val="14"/>
                <w:color w:val="auto"/>
              </w:rPr>
              <w:t>Other regulatory assets-not earning a return (5)</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regulatory assets</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non-current regulatory assets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1,967</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56"/>
        </w:trPr>
        <w:tc>
          <w:tcPr>
            <w:tcW w:w="44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regulatory assets</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1,016</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2,044</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58"/>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Regulatory Liabilities: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regulatory liabilities (6)</w:t>
            </w: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8"/>
        </w:trPr>
        <w:tc>
          <w:tcPr>
            <w:tcW w:w="4460" w:type="dxa"/>
            <w:vAlign w:val="bottom"/>
          </w:tcPr>
          <w:p>
            <w:pPr>
              <w:ind w:left="40"/>
              <w:spacing w:after="0"/>
              <w:rPr>
                <w:sz w:val="20"/>
                <w:szCs w:val="20"/>
                <w:color w:val="auto"/>
              </w:rPr>
            </w:pPr>
            <w:r>
              <w:rPr>
                <w:rFonts w:ascii="Arial" w:cs="Arial" w:eastAsia="Arial" w:hAnsi="Arial"/>
                <w:sz w:val="14"/>
                <w:szCs w:val="14"/>
                <w:color w:val="auto"/>
              </w:rPr>
              <w:t>Non-current regulatory liabilities: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Regulatory liabilities related to TCJA (4)</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1,323</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4"/>
                <w:szCs w:val="14"/>
                <w:color w:val="auto"/>
              </w:rPr>
              <w:t>Estimated removal costs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886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regulatory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non-current regulatory liabilities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2,525</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regulatory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2,563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243"/>
        </w:trPr>
        <w:tc>
          <w:tcPr>
            <w:tcW w:w="4460" w:type="dxa"/>
            <w:vAlign w:val="bottom"/>
          </w:tcPr>
          <w:p>
            <w:pPr>
              <w:ind w:left="1580"/>
              <w:spacing w:after="0"/>
              <w:rPr>
                <w:sz w:val="20"/>
                <w:szCs w:val="20"/>
                <w:color w:val="auto"/>
              </w:rPr>
            </w:pPr>
            <w:r>
              <w:rPr>
                <w:rFonts w:ascii="Arial" w:cs="Arial" w:eastAsia="Arial" w:hAnsi="Arial"/>
                <w:sz w:val="14"/>
                <w:szCs w:val="14"/>
                <w:color w:val="auto"/>
              </w:rPr>
              <w:t>Total regulatory assets and liabilities,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(519)</w:t>
            </w:r>
          </w:p>
        </w:tc>
        <w:tc>
          <w:tcPr>
            <w:tcW w:w="3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regulatory assets are included in Prepaid expenses and other current assets in the Registrants’ respective Condensed Consolidated Balance Sheets.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unrecognized equity return will be recognized as it is recovered in rates through 2024. The timing of CenterPoint Energy’s and Houston Electric’s recognition of the equity return will vary each period based on amounts actually collected during the period. The actual amounts recognized are adjusted at least annually to correct any over-collections or under-collections during the preceding 12 months.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w w:val="94"/>
              </w:rPr>
              <w:t>Three Months Ended June 30,</w:t>
            </w: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4"/>
              </w:rPr>
              <w:t>Six Months Ended June 30,</w:t>
            </w:r>
          </w:p>
        </w:tc>
        <w:tc>
          <w:tcPr>
            <w:tcW w:w="6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89"/>
              </w:rPr>
              <w:t>2018</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2019</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2018</w:t>
            </w:r>
          </w:p>
        </w:tc>
        <w:tc>
          <w:tcPr>
            <w:tcW w:w="580" w:type="dxa"/>
            <w:vAlign w:val="bottom"/>
            <w:tcBorders>
              <w:bottom w:val="single" w:sz="8" w:color="auto"/>
            </w:tcBorders>
          </w:tcPr>
          <w:p>
            <w:pPr>
              <w:spacing w:after="0"/>
              <w:rPr>
                <w:sz w:val="22"/>
                <w:szCs w:val="22"/>
                <w:color w:val="auto"/>
              </w:rPr>
            </w:pPr>
          </w:p>
        </w:tc>
      </w:tr>
      <w:tr>
        <w:trPr>
          <w:trHeight w:val="143"/>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CenterPoint</w:t>
            </w: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w w:val="92"/>
              </w:rPr>
              <w:t>CenterPoint</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CenterPoint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CenterPoint</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Energy</w:t>
            </w:r>
          </w:p>
        </w:tc>
        <w:tc>
          <w:tcPr>
            <w:tcW w:w="14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Houston Electric</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Energy</w:t>
            </w:r>
          </w:p>
        </w:tc>
        <w:tc>
          <w:tcPr>
            <w:tcW w:w="134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Houston Electric</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Energy</w:t>
            </w:r>
          </w:p>
        </w:tc>
        <w:tc>
          <w:tcPr>
            <w:tcW w:w="132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rPr>
              <w:t>Houston Electric</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Energy</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Houston Electric</w:t>
            </w:r>
          </w:p>
        </w:tc>
      </w:tr>
      <w:tr>
        <w:trPr>
          <w:trHeight w:val="251"/>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60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4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Substantially all of these regulatory assets are not earning a return.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EDIT and deferred revenues will be recovered or refunded to customers as required by tax and regulatory authorities.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assets acquired in the Merger and not earning a return were recorded at fair value as of the Merger Date. Such fair value adjustments are recognized over time until the regulatory asset is recovered.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Current regulatory liabilities are included in Other current liabilities in each of the Registrants’ respective Condensed Consolidated Balance Sheets.</w:t>
      </w:r>
    </w:p>
    <w:p>
      <w:pPr>
        <w:spacing w:after="0" w:line="244" w:lineRule="exact"/>
        <w:rPr>
          <w:rFonts w:ascii="Arial" w:cs="Arial" w:eastAsia="Arial" w:hAnsi="Arial"/>
          <w:sz w:val="16"/>
          <w:szCs w:val="16"/>
          <w:color w:val="auto"/>
        </w:rPr>
      </w:pPr>
    </w:p>
    <w:p>
      <w:pPr>
        <w:ind w:left="260" w:hanging="252"/>
        <w:spacing w:after="0"/>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physical forward contracts, swaps and options to mitigate the impact of changes in commodity prices, weather and interest rates on operating results and cash flows.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Commodity Derivative Instruments (CenterPoint Energy and CERC). </w:t>
      </w:r>
      <w:r>
        <w:rPr>
          <w:rFonts w:ascii="Arial" w:cs="Arial" w:eastAsia="Arial" w:hAnsi="Arial"/>
          <w:sz w:val="16"/>
          <w:szCs w:val="16"/>
          <w:color w:val="auto"/>
        </w:rPr>
        <w:t>CenterPoint Energy, through its Indiana Utilities, and CERC, through CES, enter</w:t>
      </w:r>
      <w:r>
        <w:rPr>
          <w:rFonts w:ascii="Arial" w:cs="Arial" w:eastAsia="Arial" w:hAnsi="Arial"/>
          <w:sz w:val="16"/>
          <w:szCs w:val="16"/>
          <w:i w:val="1"/>
          <w:iCs w:val="1"/>
          <w:color w:val="auto"/>
        </w:rPr>
        <w:t xml:space="preserve"> </w:t>
      </w:r>
      <w:r>
        <w:rPr>
          <w:rFonts w:ascii="Arial" w:cs="Arial" w:eastAsia="Arial" w:hAnsi="Arial"/>
          <w:sz w:val="16"/>
          <w:szCs w:val="16"/>
          <w:color w:val="auto"/>
        </w:rPr>
        <w:t>into certain derivative instruments to mitigate the effects of commodity price movements. Certain financial instruments used to hedge portions of the natural gas inventory of the Energy Services reportable segment are designated as fair value hedges for accounting purposes. Outstanding derivative instruments designated as economic hedges at the acquired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 All other financial instruments do not qualify or are not designated as cash flow or fair value hedges.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Interest Rate Risk Derivative Instruments. </w:t>
      </w:r>
      <w:r>
        <w:rPr>
          <w:rFonts w:ascii="Arial" w:cs="Arial" w:eastAsia="Arial" w:hAnsi="Arial"/>
          <w:sz w:val="18"/>
          <w:szCs w:val="18"/>
          <w:color w:val="auto"/>
        </w:rPr>
        <w:t>From time to time, the Registrants may enter into interest rate derivatives that are designated as economic or</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 For the impacts of cash flow hedges to Accumulated other comprehensive income, see Note 20.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Registrants’ outstanding interest rate hedging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 2019</w:t>
            </w:r>
          </w:p>
        </w:tc>
        <w:tc>
          <w:tcPr>
            <w:tcW w:w="17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2018</w:t>
            </w:r>
          </w:p>
        </w:tc>
        <w:tc>
          <w:tcPr>
            <w:tcW w:w="1140" w:type="dxa"/>
            <w:vAlign w:val="bottom"/>
            <w:tcBorders>
              <w:bottom w:val="single" w:sz="8" w:color="auto"/>
            </w:tcBorders>
          </w:tcPr>
          <w:p>
            <w:pPr>
              <w:spacing w:after="0"/>
              <w:rPr>
                <w:sz w:val="16"/>
                <w:szCs w:val="16"/>
                <w:color w:val="auto"/>
              </w:rPr>
            </w:pPr>
          </w:p>
        </w:tc>
      </w:tr>
      <w:tr>
        <w:trPr>
          <w:trHeight w:val="250"/>
        </w:trPr>
        <w:tc>
          <w:tcPr>
            <w:tcW w:w="1300" w:type="dxa"/>
            <w:vAlign w:val="bottom"/>
          </w:tcPr>
          <w:p>
            <w:pPr>
              <w:spacing w:after="0"/>
              <w:rPr>
                <w:sz w:val="21"/>
                <w:szCs w:val="21"/>
                <w:color w:val="auto"/>
              </w:rPr>
            </w:pPr>
          </w:p>
        </w:tc>
        <w:tc>
          <w:tcPr>
            <w:tcW w:w="3260" w:type="dxa"/>
            <w:vAlign w:val="bottom"/>
            <w:gridSpan w:val="3"/>
          </w:tcPr>
          <w:p>
            <w:pPr>
              <w:jc w:val="right"/>
              <w:ind w:right="1800"/>
              <w:spacing w:after="0"/>
              <w:rPr>
                <w:sz w:val="20"/>
                <w:szCs w:val="20"/>
                <w:color w:val="auto"/>
              </w:rPr>
            </w:pPr>
            <w:r>
              <w:rPr>
                <w:rFonts w:ascii="Arial" w:cs="Arial" w:eastAsia="Arial" w:hAnsi="Arial"/>
                <w:sz w:val="14"/>
                <w:szCs w:val="14"/>
                <w:b w:val="1"/>
                <w:bCs w:val="1"/>
                <w:color w:val="auto"/>
                <w:w w:val="95"/>
              </w:rPr>
              <w:t>Hedging Classification</w:t>
            </w: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700" w:type="dxa"/>
            <w:vAlign w:val="bottom"/>
            <w:gridSpan w:val="2"/>
          </w:tcPr>
          <w:p>
            <w:pPr>
              <w:jc w:val="center"/>
              <w:ind w:right="1081"/>
              <w:spacing w:after="0"/>
              <w:rPr>
                <w:sz w:val="20"/>
                <w:szCs w:val="20"/>
                <w:color w:val="auto"/>
              </w:rPr>
            </w:pPr>
            <w:r>
              <w:rPr>
                <w:rFonts w:ascii="Arial" w:cs="Arial" w:eastAsia="Arial" w:hAnsi="Arial"/>
                <w:sz w:val="14"/>
                <w:szCs w:val="14"/>
                <w:b w:val="1"/>
                <w:bCs w:val="1"/>
                <w:color w:val="auto"/>
                <w:w w:val="95"/>
              </w:rPr>
              <w:t>Notional Principal</w:t>
            </w:r>
          </w:p>
        </w:tc>
        <w:tc>
          <w:tcPr>
            <w:tcW w:w="1140" w:type="dxa"/>
            <w:vAlign w:val="bottom"/>
          </w:tcPr>
          <w:p>
            <w:pPr>
              <w:spacing w:after="0"/>
              <w:rPr>
                <w:sz w:val="21"/>
                <w:szCs w:val="21"/>
                <w:color w:val="auto"/>
              </w:rPr>
            </w:pPr>
          </w:p>
        </w:tc>
      </w:tr>
      <w:tr>
        <w:trPr>
          <w:trHeight w:val="152"/>
        </w:trPr>
        <w:tc>
          <w:tcPr>
            <w:tcW w:w="130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21"/>
              <w:spacing w:after="0" w:line="153" w:lineRule="exact"/>
              <w:rPr>
                <w:sz w:val="20"/>
                <w:szCs w:val="20"/>
                <w:color w:val="auto"/>
              </w:rPr>
            </w:pPr>
            <w:r>
              <w:rPr>
                <w:rFonts w:ascii="Arial" w:cs="Arial" w:eastAsia="Arial" w:hAnsi="Arial"/>
                <w:sz w:val="14"/>
                <w:szCs w:val="14"/>
                <w:b w:val="1"/>
                <w:bCs w:val="1"/>
                <w:color w:val="auto"/>
              </w:rPr>
              <w:t>CenterPoint</w:t>
            </w:r>
          </w:p>
        </w:tc>
        <w:tc>
          <w:tcPr>
            <w:tcW w:w="5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ind w:right="1022"/>
              <w:spacing w:after="0" w:line="153" w:lineRule="exact"/>
              <w:rPr>
                <w:sz w:val="20"/>
                <w:szCs w:val="20"/>
                <w:color w:val="auto"/>
              </w:rPr>
            </w:pPr>
            <w:r>
              <w:rPr>
                <w:rFonts w:ascii="Arial" w:cs="Arial" w:eastAsia="Arial" w:hAnsi="Arial"/>
                <w:sz w:val="14"/>
                <w:szCs w:val="14"/>
                <w:b w:val="1"/>
                <w:bCs w:val="1"/>
                <w:color w:val="auto"/>
              </w:rPr>
              <w:t>Houston</w:t>
            </w:r>
          </w:p>
        </w:tc>
        <w:tc>
          <w:tcPr>
            <w:tcW w:w="1980" w:type="dxa"/>
            <w:vAlign w:val="bottom"/>
            <w:tcBorders>
              <w:top w:val="single" w:sz="8" w:color="auto"/>
            </w:tcBorders>
          </w:tcPr>
          <w:p>
            <w:pPr>
              <w:jc w:val="center"/>
              <w:ind w:right="981"/>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140" w:type="dxa"/>
            <w:vAlign w:val="bottom"/>
            <w:tcBorders>
              <w:top w:val="single" w:sz="8" w:color="auto"/>
            </w:tcBorders>
          </w:tcPr>
          <w:p>
            <w:pPr>
              <w:jc w:val="right"/>
              <w:ind w:right="519"/>
              <w:spacing w:after="0" w:line="153" w:lineRule="exact"/>
              <w:rPr>
                <w:sz w:val="20"/>
                <w:szCs w:val="20"/>
                <w:color w:val="auto"/>
              </w:rPr>
            </w:pPr>
            <w:r>
              <w:rPr>
                <w:rFonts w:ascii="Arial" w:cs="Arial" w:eastAsia="Arial" w:hAnsi="Arial"/>
                <w:sz w:val="14"/>
                <w:szCs w:val="14"/>
                <w:b w:val="1"/>
                <w:bCs w:val="1"/>
                <w:color w:val="auto"/>
                <w:w w:val="91"/>
              </w:rPr>
              <w:t>Houston</w:t>
            </w:r>
          </w:p>
        </w:tc>
      </w:tr>
      <w:tr>
        <w:trPr>
          <w:trHeight w:val="192"/>
        </w:trPr>
        <w:tc>
          <w:tcPr>
            <w:tcW w:w="1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 xml:space="preserve">Energy </w:t>
            </w:r>
            <w:r>
              <w:rPr>
                <w:rFonts w:ascii="Arial" w:cs="Arial" w:eastAsia="Arial" w:hAnsi="Arial"/>
                <w:sz w:val="10"/>
                <w:szCs w:val="10"/>
                <w:b w:val="1"/>
                <w:bCs w:val="1"/>
                <w:color w:val="auto"/>
              </w:rPr>
              <w:t>(1)</w:t>
            </w: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Electric</w:t>
            </w:r>
          </w:p>
        </w:tc>
        <w:tc>
          <w:tcPr>
            <w:tcW w:w="1980" w:type="dxa"/>
            <w:vAlign w:val="bottom"/>
            <w:tcBorders>
              <w:bottom w:val="single" w:sz="8" w:color="auto"/>
            </w:tcBorders>
          </w:tcPr>
          <w:p>
            <w:pPr>
              <w:jc w:val="center"/>
              <w:ind w:right="941"/>
              <w:spacing w:after="0"/>
              <w:rPr>
                <w:sz w:val="20"/>
                <w:szCs w:val="20"/>
                <w:color w:val="auto"/>
              </w:rPr>
            </w:pPr>
            <w:r>
              <w:rPr>
                <w:rFonts w:ascii="Arial" w:cs="Arial" w:eastAsia="Arial" w:hAnsi="Arial"/>
                <w:sz w:val="14"/>
                <w:szCs w:val="14"/>
                <w:b w:val="1"/>
                <w:bCs w:val="1"/>
                <w:color w:val="auto"/>
                <w:w w:val="92"/>
              </w:rPr>
              <w:t>Energy</w:t>
            </w: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Electric</w:t>
            </w:r>
          </w:p>
        </w:tc>
      </w:tr>
      <w:tr>
        <w:trPr>
          <w:trHeight w:val="250"/>
        </w:trPr>
        <w:tc>
          <w:tcPr>
            <w:tcW w:w="13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20" w:type="dxa"/>
            <w:vAlign w:val="bottom"/>
          </w:tcPr>
          <w:p>
            <w:pPr>
              <w:jc w:val="center"/>
              <w:ind w:left="742"/>
              <w:spacing w:after="0"/>
              <w:rPr>
                <w:sz w:val="20"/>
                <w:szCs w:val="20"/>
                <w:color w:val="auto"/>
              </w:rPr>
            </w:pPr>
            <w:r>
              <w:rPr>
                <w:rFonts w:ascii="Arial" w:cs="Arial" w:eastAsia="Arial" w:hAnsi="Arial"/>
                <w:sz w:val="14"/>
                <w:szCs w:val="14"/>
                <w:b w:val="1"/>
                <w:bCs w:val="1"/>
                <w:color w:val="auto"/>
                <w:w w:val="94"/>
              </w:rPr>
              <w:t>(in millions)</w:t>
            </w:r>
          </w:p>
        </w:tc>
        <w:tc>
          <w:tcPr>
            <w:tcW w:w="19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Economic hedge</w:t>
            </w:r>
          </w:p>
        </w:tc>
        <w:tc>
          <w:tcPr>
            <w:tcW w:w="3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84</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98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w w:val="92"/>
              </w:rPr>
              <w:t>Cash flow hedge</w:t>
            </w: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720" w:type="dxa"/>
            <w:vAlign w:val="bottom"/>
          </w:tcPr>
          <w:p>
            <w:pPr>
              <w:ind w:left="94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01"/>
              <w:spacing w:after="0"/>
              <w:rPr>
                <w:sz w:val="20"/>
                <w:szCs w:val="20"/>
                <w:color w:val="auto"/>
              </w:rPr>
            </w:pPr>
            <w:r>
              <w:rPr>
                <w:rFonts w:ascii="Arial" w:cs="Arial" w:eastAsia="Arial" w:hAnsi="Arial"/>
                <w:sz w:val="18"/>
                <w:szCs w:val="18"/>
                <w:color w:val="auto"/>
              </w:rPr>
              <w:t>450</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450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Relates to interest rate derivative instruments at SIGECO.</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Weather Hedges (CenterPoint Energy and CERC). </w:t>
      </w:r>
      <w:r>
        <w:rPr>
          <w:rFonts w:ascii="Arial" w:cs="Arial" w:eastAsia="Arial" w:hAnsi="Arial"/>
          <w:sz w:val="18"/>
          <w:szCs w:val="18"/>
          <w:color w:val="auto"/>
        </w:rPr>
        <w:t>CenterPoint Energy and CERC have weather normalization or other rate mechanisms that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the impact of weather on NGD in Arkansas, Indiana, Louisiana, Mississippi, Minnesota, Ohio and Oklahoma, as applicable. CenterPoint Energy’s and CERC’s NGD in Texas and CenterPoint Energy’s electric operations in Texas and Indiana do not have such mechanisms, although fixed customer charges are historically higher in Texas for NGD compared to its other jurisdictions. As a result, fluctuations from normal weather may have a positive or negative effect on CenterPoint Energy’s and CERC’s NGD’s results in Texas and on CenterPoint Energy’s electric operations’ results in its Texas and Indiana service territories.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CenterPoint Energy and CERC, as applicable, enter into winter season weather hedges from time to time for certain NGD jurisdictions and electric operations’ service territory to mitigate the effect of fluctuations from normal weather on results of operations and cash flows. These weather hedges are based on heating degree days at 10-year normal weather. Houston Electric and Indiana Electric do not enter into weather hedges.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summarize CenterPoint Energy’s and CERC’s current weather hedge gain (loss)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8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18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Texas Operations</w:t>
            </w:r>
          </w:p>
        </w:tc>
        <w:tc>
          <w:tcPr>
            <w:tcW w:w="106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4"/>
              </w:rPr>
              <w:t>Winter Season</w:t>
            </w:r>
          </w:p>
        </w:tc>
        <w:tc>
          <w:tcPr>
            <w:tcW w:w="104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Bilateral Cap</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4"/>
          </w:tcPr>
          <w:p>
            <w:pPr>
              <w:ind w:left="40"/>
              <w:spacing w:after="0" w:line="153" w:lineRule="exact"/>
              <w:rPr>
                <w:sz w:val="20"/>
                <w:szCs w:val="20"/>
                <w:color w:val="auto"/>
              </w:rPr>
            </w:pPr>
            <w:r>
              <w:rPr>
                <w:rFonts w:ascii="Arial" w:cs="Arial" w:eastAsia="Arial" w:hAnsi="Arial"/>
                <w:sz w:val="14"/>
                <w:szCs w:val="14"/>
                <w:b w:val="1"/>
                <w:bCs w:val="1"/>
                <w:color w:val="auto"/>
              </w:rPr>
              <w:t>CenterPoint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Winter Season</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Bilateral Cap</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220" w:type="dxa"/>
            <w:vAlign w:val="bottom"/>
          </w:tcPr>
          <w:p>
            <w:pPr>
              <w:spacing w:after="0"/>
              <w:rPr>
                <w:sz w:val="13"/>
                <w:szCs w:val="13"/>
                <w:color w:val="auto"/>
              </w:rPr>
            </w:pP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218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Energy</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6"/>
              </w:rPr>
              <w:t>Energy</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80" w:type="dxa"/>
            <w:vAlign w:val="bottom"/>
            <w:tcBorders>
              <w:top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NGD</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 – 2019</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7"/>
              </w:rPr>
              <w:t>2017 – 2018</w:t>
            </w: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60" w:type="dxa"/>
            <w:vAlign w:val="bottom"/>
            <w:gridSpan w:val="3"/>
            <w:shd w:val="clear" w:color="auto" w:fill="CCEEFF"/>
          </w:tcPr>
          <w:p>
            <w:pPr>
              <w:jc w:val="center"/>
              <w:ind w:left="48"/>
              <w:spacing w:after="0"/>
              <w:rPr>
                <w:sz w:val="20"/>
                <w:szCs w:val="20"/>
                <w:color w:val="auto"/>
              </w:rPr>
            </w:pPr>
            <w:r>
              <w:rPr>
                <w:rFonts w:ascii="Arial" w:cs="Arial" w:eastAsia="Arial" w:hAnsi="Arial"/>
                <w:sz w:val="14"/>
                <w:szCs w:val="14"/>
                <w:color w:val="auto"/>
                <w:w w:val="76"/>
              </w:rPr>
              <w:t>$</w:t>
            </w: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Electric operations</w:t>
            </w:r>
          </w:p>
        </w:tc>
        <w:tc>
          <w:tcPr>
            <w:tcW w:w="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2018 – 2019</w:t>
            </w:r>
          </w:p>
        </w:tc>
        <w:tc>
          <w:tcPr>
            <w:tcW w:w="50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8</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w w:val="97"/>
              </w:rPr>
              <w:t>2017 – 2018</w:t>
            </w:r>
          </w:p>
        </w:tc>
        <w:tc>
          <w:tcPr>
            <w:tcW w:w="5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3"/>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1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4"/>
                <w:szCs w:val="14"/>
                <w:b w:val="1"/>
                <w:bCs w:val="1"/>
                <w:color w:val="auto"/>
              </w:rPr>
              <w:t>Total (1)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3"/>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center"/>
              <w:ind w:right="768"/>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1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Texas Operations</w:t>
            </w:r>
          </w:p>
        </w:tc>
        <w:tc>
          <w:tcPr>
            <w:tcW w:w="8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Winter Season</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Bilateral Cap</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CenterPoint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Winter Season</w:t>
            </w:r>
          </w:p>
        </w:tc>
        <w:tc>
          <w:tcPr>
            <w:tcW w:w="10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Bilateral Cap</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220" w:type="dxa"/>
            <w:vAlign w:val="bottom"/>
          </w:tcPr>
          <w:p>
            <w:pPr>
              <w:spacing w:after="0"/>
              <w:rPr>
                <w:sz w:val="13"/>
                <w:szCs w:val="13"/>
                <w:color w:val="auto"/>
              </w:rPr>
            </w:pP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21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Energy</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80" w:type="dxa"/>
            <w:vAlign w:val="bottom"/>
            <w:tcBorders>
              <w:top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NGD</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2018 – 2019</w:t>
            </w:r>
          </w:p>
        </w:tc>
        <w:tc>
          <w:tcPr>
            <w:tcW w:w="5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2017 – 2018</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Electric operations</w:t>
            </w:r>
          </w:p>
        </w:tc>
        <w:tc>
          <w:tcPr>
            <w:tcW w:w="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2018 – 2019</w:t>
            </w:r>
          </w:p>
        </w:tc>
        <w:tc>
          <w:tcPr>
            <w:tcW w:w="50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2017 – 2018</w:t>
            </w:r>
          </w:p>
        </w:tc>
        <w:tc>
          <w:tcPr>
            <w:tcW w:w="5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180" w:type="dxa"/>
            <w:vAlign w:val="bottom"/>
            <w:gridSpan w:val="3"/>
            <w:shd w:val="clear" w:color="auto" w:fill="CCEEFF"/>
          </w:tcPr>
          <w:p>
            <w:pPr>
              <w:ind w:left="360"/>
              <w:spacing w:after="0"/>
              <w:rPr>
                <w:sz w:val="20"/>
                <w:szCs w:val="20"/>
                <w:color w:val="auto"/>
              </w:rPr>
            </w:pPr>
            <w:r>
              <w:rPr>
                <w:rFonts w:ascii="Arial" w:cs="Arial" w:eastAsia="Arial" w:hAnsi="Arial"/>
                <w:sz w:val="14"/>
                <w:szCs w:val="14"/>
                <w:b w:val="1"/>
                <w:bCs w:val="1"/>
                <w:color w:val="auto"/>
              </w:rPr>
              <w:t>Total (1)</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Weather hedge gains (losses) are recorded in Revenues in the Condensed Statements of Consolidated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Derivative Fair Values and Income Statement Impacts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three tables provide a balance sheet overview of Derivative Assets and Liabilities, while the last two tables provide a breakdown of the related income statement impacts.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96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400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9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3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54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Derivatives designated as cash flow hedges: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derivatives</w:t>
            </w:r>
          </w:p>
        </w:tc>
        <w:tc>
          <w:tcPr>
            <w:tcW w:w="40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Current Liabilities: Non-trading derivative liabilities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0"/>
        </w:trPr>
        <w:tc>
          <w:tcPr>
            <w:tcW w:w="2540" w:type="dxa"/>
            <w:vAlign w:val="bottom"/>
            <w:shd w:val="clear" w:color="auto" w:fill="CCEEFF"/>
          </w:tcPr>
          <w:p>
            <w:pPr>
              <w:spacing w:after="0"/>
              <w:rPr>
                <w:sz w:val="6"/>
                <w:szCs w:val="6"/>
                <w:color w:val="auto"/>
              </w:rPr>
            </w:pPr>
          </w:p>
        </w:tc>
        <w:tc>
          <w:tcPr>
            <w:tcW w:w="400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54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Derivatives designated as fair value hedges: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derivatives (1) (2) (3)</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 Non-trading derivative liabilities</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654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derivatives (1) (2) (3)</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Assets: Non-trading derivative assets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Natural gas derivatives (1) (2) (3)</w:t>
            </w: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Other Assets: Non-trading derivative assets</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derivatives (1) (2) (3)</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 Non-trading derivative liabilities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Natural gas derivatives (1) (2) (3)</w:t>
            </w: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Other Liabilities: Non-trading derivative liabilities</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derivatives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Indexed debt securities derivative</w:t>
            </w: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43"/>
        </w:trPr>
        <w:tc>
          <w:tcPr>
            <w:tcW w:w="2540" w:type="dxa"/>
            <w:vAlign w:val="bottom"/>
            <w:tcBorders>
              <w:top w:val="single" w:sz="8" w:color="CCEEFF"/>
              <w:bottom w:val="single" w:sz="8" w:color="CCEEFF"/>
            </w:tcBorders>
            <w:shd w:val="clear" w:color="auto" w:fill="CCEEFF"/>
          </w:tcPr>
          <w:p>
            <w:pPr>
              <w:spacing w:after="0"/>
              <w:rPr>
                <w:sz w:val="21"/>
                <w:szCs w:val="21"/>
                <w:color w:val="auto"/>
              </w:rPr>
            </w:pPr>
          </w:p>
        </w:tc>
        <w:tc>
          <w:tcPr>
            <w:tcW w:w="40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CenterPoint Energy</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fair value shown for natural gas contracts is comprised of derivative gross volumes totaling 2,186 Bcf or a net 355 Bcf long position and 1,674 Bcf or a net 140 Bcf long position as of June 30, 2019 and December 31, 2018, respectively. Certain natural gas contracts hedge basis risk only and lack a fixed price exposure.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gas contracts are presented on a net basis in CenterPoint Energy’s Condensed Consolidated Balance Sheets as they are subject to master netting arrangements. This netting applies to all undisputed amounts due or past due and causes derivative assets (liabilities) to be ultimately presented net in a liability (asset) account within CenterPoint Energy’s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79"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Condensed Consolidated Balance Sheets. The net of total non-trading natural gas derivative assets and liabilities is detailed in the Offsetting of Natural Gas Derivative Assets and Liabilities table below.</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Derivative Assets and Derivative Liabilities include no material amounts related to physical forward transactions with Enable.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96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398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Assets</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3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3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50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designated as cash flow hedges: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252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derivatives</w:t>
            </w:r>
          </w:p>
        </w:tc>
        <w:tc>
          <w:tcPr>
            <w:tcW w:w="39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Current Liabilities: Non-trading derivative liabilities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79"/>
        </w:trPr>
        <w:tc>
          <w:tcPr>
            <w:tcW w:w="2520" w:type="dxa"/>
            <w:vAlign w:val="bottom"/>
            <w:shd w:val="clear" w:color="auto" w:fill="CCEEFF"/>
          </w:tcPr>
          <w:p>
            <w:pPr>
              <w:spacing w:after="0"/>
              <w:rPr>
                <w:sz w:val="6"/>
                <w:szCs w:val="6"/>
                <w:color w:val="auto"/>
              </w:rPr>
            </w:pPr>
          </w:p>
        </w:tc>
        <w:tc>
          <w:tcPr>
            <w:tcW w:w="3980" w:type="dxa"/>
            <w:vAlign w:val="bottom"/>
            <w:gridSpan w:val="2"/>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398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Houston Electric</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96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400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9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3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54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Derivatives designated as fair value hedges: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derivatives (1) (2) (3)</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 Non-trading derivative liabilities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654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derivatives (1) (2) (3)</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Assets: Non-trading derivative assets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Natural gas derivatives (1) (2) (3)</w:t>
            </w: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Other Assets: Non-trading derivative assets</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derivatives (1) (2) (3)</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 Non-trading derivative liabilities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Natural gas derivatives (1) (2) (3)</w:t>
            </w:r>
          </w:p>
        </w:tc>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 Non-trading derivative liabilities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43"/>
        </w:trPr>
        <w:tc>
          <w:tcPr>
            <w:tcW w:w="254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CERC</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fair value shown for natural gas contracts is comprised of derivative gross volumes totaling 2,186 Bcf or a net 355 Bcf long position and 1,674 Bcf or a net 140 Bcf long position as of June 30, 2019 and December 31, 2018, respectively. Certain natural gas contracts hedge basis risk only and lack a fixed price exposure.</w:t>
      </w:r>
    </w:p>
    <w:p>
      <w:pPr>
        <w:spacing w:after="0" w:line="18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Natural gas contracts are presented on a net basis in CERC’s Condensed Consolidated Balance Sheets as they are subject to master netting arrangements. This netting applies to all undisputed amounts due or past due and causes derivative assets (liabilities) to be ultimately presented net in a liability (asset) account within CERC’s Condensed Consolidated Balance Sheets. The net of total non-trading natural gas derivative assets and liabilities is detailed in the Offsetting of Natural Gas Derivative Assets and Liabilities table below.</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Derivative Assets and Derivative Liabilities include no material amounts related to physical forward transactions with Enable.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Basis Adjustment for Fair Value Hedges (CenterPoint Energy and CERC)</w:t>
      </w:r>
    </w:p>
    <w:p>
      <w:pPr>
        <w:spacing w:after="0" w:line="234" w:lineRule="exact"/>
        <w:rPr>
          <w:sz w:val="20"/>
          <w:szCs w:val="20"/>
          <w:color w:val="auto"/>
        </w:rPr>
      </w:pPr>
    </w:p>
    <w:tbl>
      <w:tblPr>
        <w:tblLayout w:type="fixed"/>
        <w:tblInd w:w="208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June 30, 2019</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Carrying Amount of Hedged</w:t>
            </w:r>
          </w:p>
        </w:tc>
        <w:tc>
          <w:tcPr>
            <w:tcW w:w="23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2"/>
                <w:szCs w:val="12"/>
                <w:color w:val="auto"/>
              </w:rPr>
            </w:pPr>
          </w:p>
        </w:tc>
        <w:tc>
          <w:tcPr>
            <w:tcW w:w="2540" w:type="dxa"/>
            <w:vAlign w:val="bottom"/>
            <w:gridSpan w:val="3"/>
            <w:vMerge w:val="continue"/>
          </w:tcPr>
          <w:p>
            <w:pPr>
              <w:spacing w:after="0"/>
              <w:rPr>
                <w:sz w:val="12"/>
                <w:szCs w:val="12"/>
                <w:color w:val="auto"/>
              </w:rPr>
            </w:pPr>
          </w:p>
        </w:tc>
        <w:tc>
          <w:tcPr>
            <w:tcW w:w="2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Hedging Adjustment Included in the</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Assets/(Liabilities)</w:t>
            </w:r>
          </w:p>
        </w:tc>
        <w:tc>
          <w:tcPr>
            <w:tcW w:w="120" w:type="dxa"/>
            <w:vAlign w:val="bottom"/>
          </w:tcPr>
          <w:p>
            <w:pPr>
              <w:spacing w:after="0"/>
              <w:rPr>
                <w:sz w:val="16"/>
                <w:szCs w:val="16"/>
                <w:color w:val="auto"/>
              </w:rPr>
            </w:pP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Carrying Amount of Hedged Item</w:t>
            </w: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CenterPoint</w:t>
            </w: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CERC</w:t>
            </w:r>
          </w:p>
        </w:tc>
        <w:tc>
          <w:tcPr>
            <w:tcW w:w="126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0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ind w:left="360"/>
              <w:spacing w:after="0"/>
              <w:rPr>
                <w:sz w:val="20"/>
                <w:szCs w:val="20"/>
                <w:color w:val="auto"/>
              </w:rPr>
            </w:pPr>
            <w:r>
              <w:rPr>
                <w:rFonts w:ascii="Arial" w:cs="Arial" w:eastAsia="Arial" w:hAnsi="Arial"/>
                <w:sz w:val="14"/>
                <w:szCs w:val="14"/>
                <w:b w:val="1"/>
                <w:bCs w:val="1"/>
                <w:color w:val="auto"/>
              </w:rPr>
              <w:t>Energy</w:t>
            </w:r>
          </w:p>
        </w:tc>
        <w:tc>
          <w:tcPr>
            <w:tcW w:w="1240" w:type="dxa"/>
            <w:vAlign w:val="bottom"/>
            <w:gridSpan w:val="2"/>
            <w:vMerge w:val="continue"/>
          </w:tcPr>
          <w:p>
            <w:pPr>
              <w:spacing w:after="0"/>
              <w:rPr>
                <w:sz w:val="16"/>
                <w:szCs w:val="16"/>
                <w:color w:val="auto"/>
              </w:rPr>
            </w:pPr>
          </w:p>
        </w:tc>
        <w:tc>
          <w:tcPr>
            <w:tcW w:w="126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Energy</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7620</wp:posOffset>
            </wp:positionV>
            <wp:extent cx="3095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0"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(in millions)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Hedged items in fair value hedge relationship:</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Natural gas inventory</w:t>
            </w:r>
          </w:p>
        </w:tc>
        <w:tc>
          <w:tcPr>
            <w:tcW w:w="2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7"/>
              </w:rPr>
              <w:t>Current Assets: Natural gas inventory</w:t>
            </w: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gridSpan w:val="3"/>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80" w:type="dxa"/>
            <w:vAlign w:val="bottom"/>
          </w:tcPr>
          <w:p>
            <w:pPr>
              <w:ind w:left="80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8"/>
            <w:vMerge w:val="restart"/>
          </w:tcPr>
          <w:p>
            <w:pPr>
              <w:jc w:val="right"/>
              <w:ind w:right="230"/>
              <w:spacing w:after="0"/>
              <w:rPr>
                <w:sz w:val="20"/>
                <w:szCs w:val="20"/>
                <w:color w:val="auto"/>
              </w:rPr>
            </w:pPr>
            <w:r>
              <w:rPr>
                <w:rFonts w:ascii="Arial" w:cs="Arial" w:eastAsia="Arial" w:hAnsi="Arial"/>
                <w:sz w:val="14"/>
                <w:szCs w:val="14"/>
                <w:b w:val="1"/>
                <w:bCs w:val="1"/>
                <w:color w:val="auto"/>
              </w:rPr>
              <w:t>Carrying Amount of Hedged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7"/>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60" w:type="dxa"/>
            <w:vAlign w:val="bottom"/>
            <w:gridSpan w:val="7"/>
            <w:vMerge w:val="restart"/>
          </w:tcPr>
          <w:p>
            <w:pPr>
              <w:ind w:left="1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3"/>
              </w:rPr>
              <w:t>Hedging Adjustment Included in the</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jc w:val="right"/>
              <w:ind w:right="550"/>
              <w:spacing w:after="0"/>
              <w:rPr>
                <w:sz w:val="20"/>
                <w:szCs w:val="20"/>
                <w:color w:val="auto"/>
              </w:rPr>
            </w:pPr>
            <w:r>
              <w:rPr>
                <w:rFonts w:ascii="Arial" w:cs="Arial" w:eastAsia="Arial" w:hAnsi="Arial"/>
                <w:sz w:val="14"/>
                <w:szCs w:val="14"/>
                <w:b w:val="1"/>
                <w:bCs w:val="1"/>
                <w:color w:val="auto"/>
              </w:rPr>
              <w:t>Assets/(Liabilities)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4"/>
              </w:rPr>
              <w:t>Carrying Amount of Hedged Item</w:t>
            </w: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ind w:right="5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Energy</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6"/>
              </w:rPr>
              <w:t>Energy</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360" w:type="dxa"/>
            <w:vAlign w:val="bottom"/>
            <w:gridSpan w:val="3"/>
          </w:tcPr>
          <w:p>
            <w:pPr>
              <w:ind w:left="40"/>
              <w:spacing w:after="0"/>
              <w:rPr>
                <w:sz w:val="20"/>
                <w:szCs w:val="20"/>
                <w:color w:val="auto"/>
              </w:rPr>
            </w:pPr>
            <w:r>
              <w:rPr>
                <w:rFonts w:ascii="Arial" w:cs="Arial" w:eastAsia="Arial" w:hAnsi="Arial"/>
                <w:sz w:val="14"/>
                <w:szCs w:val="14"/>
                <w:b w:val="1"/>
                <w:bCs w:val="1"/>
                <w:color w:val="auto"/>
              </w:rPr>
              <w:t>Hedged items in fair value hedge relationship:</w:t>
            </w: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96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gridSpan w:val="2"/>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Natural gas inventory</w:t>
            </w:r>
          </w:p>
        </w:tc>
        <w:tc>
          <w:tcPr>
            <w:tcW w:w="2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7"/>
              </w:rPr>
              <w:t>Current Assets: Natural gas inventory</w:t>
            </w: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gridSpan w:val="3"/>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80" w:type="dxa"/>
            <w:vAlign w:val="bottom"/>
          </w:tcPr>
          <w:p>
            <w:pPr>
              <w:ind w:left="80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820" w:type="dxa"/>
            <w:vAlign w:val="bottom"/>
            <w:gridSpan w:val="21"/>
          </w:tcPr>
          <w:p>
            <w:pPr>
              <w:spacing w:after="0"/>
              <w:rPr>
                <w:sz w:val="20"/>
                <w:szCs w:val="20"/>
                <w:color w:val="auto"/>
              </w:rPr>
            </w:pPr>
            <w:r>
              <w:rPr>
                <w:rFonts w:ascii="Arial" w:cs="Arial" w:eastAsia="Arial" w:hAnsi="Arial"/>
                <w:sz w:val="18"/>
                <w:szCs w:val="18"/>
                <w:b w:val="1"/>
                <w:bCs w:val="1"/>
                <w:color w:val="auto"/>
              </w:rPr>
              <w:t>Offsetting of Natural Gas Derivative Assets and Liabilities (CenterPoint Energy and CERC)</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80" w:type="dxa"/>
            <w:vAlign w:val="bottom"/>
            <w:gridSpan w:val="2"/>
          </w:tcPr>
          <w:p>
            <w:pPr>
              <w:ind w:left="60"/>
              <w:spacing w:after="0"/>
              <w:rPr>
                <w:sz w:val="20"/>
                <w:szCs w:val="20"/>
                <w:color w:val="auto"/>
              </w:rPr>
            </w:pPr>
            <w:r>
              <w:rPr>
                <w:rFonts w:ascii="Arial" w:cs="Arial" w:eastAsia="Arial" w:hAnsi="Arial"/>
                <w:sz w:val="18"/>
                <w:szCs w:val="18"/>
                <w:b w:val="1"/>
                <w:bCs w:val="1"/>
                <w:color w:val="auto"/>
              </w:rPr>
              <w:t>CenterPoint Energy</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Gross Amounts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Net Amount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Gross Amounts</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Net Amount</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4"/>
          </w:tcPr>
          <w:p>
            <w:pPr>
              <w:jc w:val="center"/>
              <w:ind w:right="440"/>
              <w:spacing w:after="0" w:line="135" w:lineRule="exact"/>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Presented in the</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00" w:type="dxa"/>
            <w:vAlign w:val="bottom"/>
          </w:tcPr>
          <w:p>
            <w:pPr>
              <w:spacing w:after="0"/>
              <w:rPr>
                <w:sz w:val="11"/>
                <w:szCs w:val="11"/>
                <w:color w:val="auto"/>
              </w:rPr>
            </w:pPr>
          </w:p>
        </w:tc>
        <w:tc>
          <w:tcPr>
            <w:tcW w:w="10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Presented in the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Amounts Recognized</w:t>
            </w:r>
          </w:p>
        </w:tc>
        <w:tc>
          <w:tcPr>
            <w:tcW w:w="100" w:type="dxa"/>
            <w:vAlign w:val="bottom"/>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6"/>
              </w:rPr>
              <w:t>Gross Amounts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Consolidated</w:t>
            </w:r>
          </w:p>
        </w:tc>
        <w:tc>
          <w:tcPr>
            <w:tcW w:w="100" w:type="dxa"/>
            <w:vAlign w:val="bottom"/>
          </w:tcPr>
          <w:p>
            <w:pPr>
              <w:spacing w:after="0"/>
              <w:rPr>
                <w:sz w:val="11"/>
                <w:szCs w:val="11"/>
                <w:color w:val="auto"/>
              </w:rPr>
            </w:pPr>
          </w:p>
        </w:tc>
        <w:tc>
          <w:tcPr>
            <w:tcW w:w="10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center"/>
              <w:ind w:right="231"/>
              <w:spacing w:after="0"/>
              <w:rPr>
                <w:sz w:val="20"/>
                <w:szCs w:val="20"/>
                <w:color w:val="auto"/>
              </w:rPr>
            </w:pPr>
            <w:r>
              <w:rPr>
                <w:rFonts w:ascii="Arial" w:cs="Arial" w:eastAsia="Arial" w:hAnsi="Arial"/>
                <w:sz w:val="13"/>
                <w:szCs w:val="13"/>
                <w:b w:val="1"/>
                <w:bCs w:val="1"/>
                <w:color w:val="auto"/>
                <w:w w:val="87"/>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3"/>
              </w:rPr>
              <w:t>Balance Sheets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4"/>
              </w:rPr>
              <w:t>Balance Sheets (2)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50"/>
              <w:spacing w:after="0"/>
              <w:rPr>
                <w:sz w:val="20"/>
                <w:szCs w:val="20"/>
                <w:color w:val="auto"/>
              </w:rPr>
            </w:pPr>
            <w:r>
              <w:rPr>
                <w:rFonts w:ascii="Arial" w:cs="Arial" w:eastAsia="Arial" w:hAnsi="Arial"/>
                <w:sz w:val="13"/>
                <w:szCs w:val="13"/>
                <w:b w:val="1"/>
                <w:bCs w:val="1"/>
                <w:color w:val="auto"/>
                <w:w w:val="86"/>
              </w:rPr>
              <w:t>Recognized (1)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3"/>
              </w:rPr>
              <w:t>Balance Sheets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1"/>
              </w:rPr>
              <w:t>Balance Sheets (2)</w:t>
            </w: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8"/>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Assets: Non-trading derivative assets</w:t>
            </w:r>
          </w:p>
        </w:tc>
        <w:tc>
          <w:tcPr>
            <w:tcW w:w="1020" w:type="dxa"/>
            <w:vAlign w:val="bottom"/>
            <w:gridSpan w:val="3"/>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w:t>
            </w:r>
          </w:p>
        </w:tc>
        <w:tc>
          <w:tcPr>
            <w:tcW w:w="4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260" w:type="dxa"/>
            <w:vAlign w:val="bottom"/>
            <w:gridSpan w:val="2"/>
          </w:tcPr>
          <w:p>
            <w:pPr>
              <w:ind w:left="20"/>
              <w:spacing w:after="0"/>
              <w:rPr>
                <w:sz w:val="20"/>
                <w:szCs w:val="20"/>
                <w:color w:val="auto"/>
              </w:rPr>
            </w:pPr>
            <w:r>
              <w:rPr>
                <w:rFonts w:ascii="Arial" w:cs="Arial" w:eastAsia="Arial" w:hAnsi="Arial"/>
                <w:sz w:val="14"/>
                <w:szCs w:val="14"/>
                <w:color w:val="auto"/>
              </w:rPr>
              <w:t>Other Assets: Non-trading derivative assets</w:t>
            </w: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 Non-trading derivative liabilities</w:t>
            </w: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 Non-trading derivative liabilities</w:t>
            </w:r>
          </w:p>
        </w:tc>
        <w:tc>
          <w:tcPr>
            <w:tcW w:w="6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w w:val="96"/>
              </w:rPr>
              <w:t>Total CenterPoint Energy</w:t>
            </w:r>
          </w:p>
        </w:tc>
        <w:tc>
          <w:tcPr>
            <w:tcW w:w="1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CERC</w:t>
            </w: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8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86"/>
              </w:rPr>
              <w:t>Gross Amounts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Net Amount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220"/>
              <w:spacing w:after="0" w:line="144" w:lineRule="exact"/>
              <w:rPr>
                <w:sz w:val="20"/>
                <w:szCs w:val="20"/>
                <w:color w:val="auto"/>
              </w:rPr>
            </w:pPr>
            <w:r>
              <w:rPr>
                <w:rFonts w:ascii="Arial" w:cs="Arial" w:eastAsia="Arial" w:hAnsi="Arial"/>
                <w:sz w:val="13"/>
                <w:szCs w:val="13"/>
                <w:b w:val="1"/>
                <w:bCs w:val="1"/>
                <w:color w:val="auto"/>
                <w:w w:val="84"/>
              </w:rPr>
              <w:t>Gross Amounts</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Net Amount</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4"/>
          </w:tcPr>
          <w:p>
            <w:pPr>
              <w:ind w:left="120"/>
              <w:spacing w:after="0" w:line="135"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Presented in the</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Presented in the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5"/>
          </w:tcPr>
          <w:p>
            <w:pPr>
              <w:spacing w:after="0" w:line="135" w:lineRule="exact"/>
              <w:rPr>
                <w:sz w:val="20"/>
                <w:szCs w:val="20"/>
                <w:color w:val="auto"/>
              </w:rPr>
            </w:pPr>
            <w:r>
              <w:rPr>
                <w:rFonts w:ascii="Arial" w:cs="Arial" w:eastAsia="Arial" w:hAnsi="Arial"/>
                <w:sz w:val="13"/>
                <w:szCs w:val="13"/>
                <w:b w:val="1"/>
                <w:bCs w:val="1"/>
                <w:color w:val="auto"/>
                <w:w w:val="99"/>
              </w:rPr>
              <w:t>Amounts Recognized</w:t>
            </w:r>
          </w:p>
        </w:tc>
        <w:tc>
          <w:tcPr>
            <w:tcW w:w="10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6"/>
              </w:rPr>
              <w:t>Gross Amounts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Consolidated</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83"/>
              </w:rPr>
              <w:t>Balance Sheets</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84"/>
              </w:rPr>
              <w:t>Balance Sheets (2)</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6"/>
              </w:rPr>
              <w:t>Recognized (1)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3"/>
                <w:szCs w:val="13"/>
                <w:b w:val="1"/>
                <w:bCs w:val="1"/>
                <w:color w:val="auto"/>
                <w:w w:val="85"/>
              </w:rPr>
              <w:t>Balance Sheets</w:t>
            </w:r>
          </w:p>
        </w:tc>
        <w:tc>
          <w:tcPr>
            <w:tcW w:w="1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4"/>
              </w:rPr>
              <w:t>Balance Sheets (2)</w:t>
            </w: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8"/>
          </w:tcPr>
          <w:p>
            <w:pPr>
              <w:jc w:val="right"/>
              <w:ind w:right="77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00" w:type="dxa"/>
            <w:vAlign w:val="bottom"/>
            <w:tcBorders>
              <w:right w:val="single" w:sz="8" w:color="CCEEFF"/>
            </w:tcBorders>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Assets: Non-trading derivative assets</w:t>
            </w:r>
          </w:p>
        </w:tc>
        <w:tc>
          <w:tcPr>
            <w:tcW w:w="102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w:t>
            </w:r>
          </w:p>
        </w:tc>
        <w:tc>
          <w:tcPr>
            <w:tcW w:w="4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260" w:type="dxa"/>
            <w:vAlign w:val="bottom"/>
            <w:gridSpan w:val="2"/>
          </w:tcPr>
          <w:p>
            <w:pPr>
              <w:spacing w:after="0"/>
              <w:rPr>
                <w:sz w:val="20"/>
                <w:szCs w:val="20"/>
                <w:color w:val="auto"/>
              </w:rPr>
            </w:pPr>
            <w:r>
              <w:rPr>
                <w:rFonts w:ascii="Arial" w:cs="Arial" w:eastAsia="Arial" w:hAnsi="Arial"/>
                <w:sz w:val="14"/>
                <w:szCs w:val="14"/>
                <w:color w:val="auto"/>
              </w:rPr>
              <w:t>Other Assets: Non-trading derivative assets</w:t>
            </w: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0" w:type="dxa"/>
            <w:vAlign w:val="bottom"/>
            <w:tcBorders>
              <w:right w:val="single" w:sz="8" w:color="CCEEFF"/>
            </w:tcBorders>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Liabilities: Non-trading derivative liabilities</w:t>
            </w: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Liabilities: Non-trading derivative liabilities</w:t>
            </w:r>
          </w:p>
        </w:tc>
        <w:tc>
          <w:tcPr>
            <w:tcW w:w="6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(30)</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Borders>
              <w:right w:val="single" w:sz="8" w:color="CCEEFF"/>
            </w:tcBorders>
          </w:tcPr>
          <w:p>
            <w:pPr>
              <w:spacing w:after="0"/>
              <w:rPr>
                <w:sz w:val="21"/>
                <w:szCs w:val="21"/>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Total CERC</w:t>
            </w:r>
          </w:p>
        </w:tc>
        <w:tc>
          <w:tcPr>
            <w:tcW w:w="12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Gross amounts recognized include some derivative assets and liabilities that are not subject to master netting arrangements.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derivative assets and liabilities on the Registrant’s respective Condensed Consolidated Balance Sheets exclude accounts receivable or accounts payable that, should they exist, could be used as offsets to these balances in the event of a default.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 and CERC)</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b w:val="1"/>
                <w:bCs w:val="1"/>
                <w:color w:val="auto"/>
                <w:w w:val="93"/>
              </w:rPr>
              <w:t>Three Months Ended June 30,</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20" w:type="dxa"/>
            <w:vAlign w:val="bottom"/>
            <w:gridSpan w:val="7"/>
          </w:tcPr>
          <w:p>
            <w:pPr>
              <w:jc w:val="center"/>
              <w:ind w:right="68"/>
              <w:spacing w:after="0" w:line="153" w:lineRule="exact"/>
              <w:rPr>
                <w:sz w:val="20"/>
                <w:szCs w:val="20"/>
                <w:color w:val="auto"/>
              </w:rPr>
            </w:pPr>
            <w:r>
              <w:rPr>
                <w:rFonts w:ascii="Arial" w:cs="Arial" w:eastAsia="Arial" w:hAnsi="Arial"/>
                <w:sz w:val="14"/>
                <w:szCs w:val="14"/>
                <w:b w:val="1"/>
                <w:bCs w:val="1"/>
                <w:color w:val="auto"/>
                <w:w w:val="92"/>
              </w:rPr>
              <w:t>Location and Amount of Gain (Loss) recognized in Income on Hedging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b w:val="1"/>
                <w:bCs w:val="1"/>
                <w:color w:val="auto"/>
                <w:w w:val="93"/>
              </w:rPr>
              <w:t xml:space="preserve">Relationship </w:t>
            </w:r>
            <w:r>
              <w:rPr>
                <w:rFonts w:ascii="Arial" w:cs="Arial" w:eastAsia="Arial" w:hAnsi="Arial"/>
                <w:sz w:val="10"/>
                <w:szCs w:val="10"/>
                <w:b w:val="1"/>
                <w:bCs w:val="1"/>
                <w:color w:val="auto"/>
                <w:w w:val="93"/>
              </w:rPr>
              <w:t>(1)</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6"/>
          </w:tcPr>
          <w:p>
            <w:pPr>
              <w:jc w:val="center"/>
              <w:ind w:left="628"/>
              <w:spacing w:after="0"/>
              <w:rPr>
                <w:sz w:val="20"/>
                <w:szCs w:val="20"/>
                <w:color w:val="auto"/>
              </w:rPr>
            </w:pPr>
            <w:r>
              <w:rPr>
                <w:rFonts w:ascii="Arial" w:cs="Arial" w:eastAsia="Arial" w:hAnsi="Arial"/>
                <w:sz w:val="14"/>
                <w:szCs w:val="14"/>
                <w:b w:val="1"/>
                <w:bCs w:val="1"/>
                <w:color w:val="auto"/>
                <w:w w:val="91"/>
              </w:rPr>
              <w:t>Non-utility cost of revenues, including natural gas</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260" w:type="dxa"/>
            <w:vAlign w:val="bottom"/>
          </w:tcPr>
          <w:p>
            <w:pPr>
              <w:spacing w:after="0"/>
              <w:rPr>
                <w:sz w:val="13"/>
                <w:szCs w:val="13"/>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CERC</w:t>
            </w:r>
          </w:p>
        </w:tc>
        <w:tc>
          <w:tcPr>
            <w:tcW w:w="220" w:type="dxa"/>
            <w:vAlign w:val="bottom"/>
          </w:tcPr>
          <w:p>
            <w:pPr>
              <w:spacing w:after="0"/>
              <w:rPr>
                <w:sz w:val="13"/>
                <w:szCs w:val="13"/>
                <w:color w:val="auto"/>
              </w:rPr>
            </w:pPr>
          </w:p>
        </w:tc>
        <w:tc>
          <w:tcPr>
            <w:tcW w:w="10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340" w:type="dxa"/>
            <w:vAlign w:val="bottom"/>
          </w:tcPr>
          <w:p>
            <w:pPr>
              <w:spacing w:after="0"/>
              <w:rPr>
                <w:sz w:val="13"/>
                <w:szCs w:val="13"/>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CERC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Energy</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Energy</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9"/>
              </w:rPr>
              <w:t>Total amounts presented in the statements of income in which the effects of hedges are recorded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910</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790</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500" w:type="dxa"/>
            <w:vAlign w:val="bottom"/>
          </w:tcPr>
          <w:p>
            <w:pPr>
              <w:ind w:left="200"/>
              <w:spacing w:after="0"/>
              <w:rPr>
                <w:sz w:val="20"/>
                <w:szCs w:val="20"/>
                <w:color w:val="auto"/>
              </w:rPr>
            </w:pPr>
            <w:r>
              <w:rPr>
                <w:rFonts w:ascii="Arial" w:cs="Arial" w:eastAsia="Arial" w:hAnsi="Arial"/>
                <w:sz w:val="14"/>
                <w:szCs w:val="14"/>
                <w:b w:val="1"/>
                <w:bCs w:val="1"/>
                <w:color w:val="auto"/>
              </w:rPr>
              <w:t>Gain (loss) on fair value hedging relationships: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65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Commodity contracts: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500" w:type="dxa"/>
            <w:vAlign w:val="bottom"/>
          </w:tcPr>
          <w:p>
            <w:pPr>
              <w:ind w:left="360"/>
              <w:spacing w:after="0"/>
              <w:rPr>
                <w:sz w:val="20"/>
                <w:szCs w:val="20"/>
                <w:color w:val="auto"/>
              </w:rPr>
            </w:pPr>
            <w:r>
              <w:rPr>
                <w:rFonts w:ascii="Arial" w:cs="Arial" w:eastAsia="Arial" w:hAnsi="Arial"/>
                <w:sz w:val="14"/>
                <w:szCs w:val="14"/>
                <w:color w:val="auto"/>
              </w:rPr>
              <w:t>Hedged items - Natural gas inventory</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22"/>
                <w:szCs w:val="22"/>
                <w:color w:val="auto"/>
              </w:rPr>
            </w:pPr>
          </w:p>
        </w:tc>
        <w:tc>
          <w:tcPr>
            <w:tcW w:w="1000" w:type="dxa"/>
            <w:vAlign w:val="bottom"/>
          </w:tcPr>
          <w:p>
            <w:pPr>
              <w:jc w:val="center"/>
              <w:ind w:left="528"/>
              <w:spacing w:after="0"/>
              <w:rPr>
                <w:sz w:val="20"/>
                <w:szCs w:val="20"/>
                <w:color w:val="auto"/>
              </w:rPr>
            </w:pPr>
            <w:r>
              <w:rPr>
                <w:rFonts w:ascii="Arial" w:cs="Arial" w:eastAsia="Arial" w:hAnsi="Arial"/>
                <w:sz w:val="14"/>
                <w:szCs w:val="14"/>
                <w:color w:val="auto"/>
                <w:w w:val="93"/>
              </w:rPr>
              <w:t>(4)</w:t>
            </w: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3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6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Derivatives designated as hedging instruments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500" w:type="dxa"/>
            <w:vAlign w:val="bottom"/>
          </w:tcPr>
          <w:p>
            <w:pPr>
              <w:ind w:left="360"/>
              <w:spacing w:after="0"/>
              <w:rPr>
                <w:sz w:val="20"/>
                <w:szCs w:val="20"/>
                <w:color w:val="auto"/>
              </w:rPr>
            </w:pPr>
            <w:r>
              <w:rPr>
                <w:rFonts w:ascii="Arial" w:cs="Arial" w:eastAsia="Arial" w:hAnsi="Arial"/>
                <w:sz w:val="14"/>
                <w:szCs w:val="14"/>
                <w:color w:val="auto"/>
              </w:rPr>
              <w:t>Amounts excluded from effectiveness testing recognized in earnings immediately</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2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69</w:t>
            </w:r>
          </w:p>
        </w:tc>
        <w:tc>
          <w:tcPr>
            <w:tcW w:w="3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right="148"/>
              <w:spacing w:after="0"/>
              <w:rPr>
                <w:sz w:val="20"/>
                <w:szCs w:val="20"/>
                <w:color w:val="auto"/>
              </w:rPr>
            </w:pPr>
            <w:r>
              <w:rPr>
                <w:rFonts w:ascii="Arial" w:cs="Arial" w:eastAsia="Arial" w:hAnsi="Arial"/>
                <w:sz w:val="14"/>
                <w:szCs w:val="14"/>
                <w:b w:val="1"/>
                <w:bCs w:val="1"/>
                <w:color w:val="auto"/>
                <w:w w:val="93"/>
              </w:rPr>
              <w:t>Six Months Ended June 30,</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20" w:type="dxa"/>
            <w:vAlign w:val="bottom"/>
            <w:gridSpan w:val="7"/>
          </w:tcPr>
          <w:p>
            <w:pPr>
              <w:jc w:val="center"/>
              <w:ind w:right="28"/>
              <w:spacing w:after="0" w:line="153" w:lineRule="exact"/>
              <w:rPr>
                <w:sz w:val="20"/>
                <w:szCs w:val="20"/>
                <w:color w:val="auto"/>
              </w:rPr>
            </w:pPr>
            <w:r>
              <w:rPr>
                <w:rFonts w:ascii="Arial" w:cs="Arial" w:eastAsia="Arial" w:hAnsi="Arial"/>
                <w:sz w:val="14"/>
                <w:szCs w:val="14"/>
                <w:b w:val="1"/>
                <w:bCs w:val="1"/>
                <w:color w:val="auto"/>
                <w:w w:val="92"/>
              </w:rPr>
              <w:t>Location and Amount of Gain (Loss) recognized in Income on Hedging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center"/>
              <w:ind w:right="148"/>
              <w:spacing w:after="0"/>
              <w:rPr>
                <w:sz w:val="20"/>
                <w:szCs w:val="20"/>
                <w:color w:val="auto"/>
              </w:rPr>
            </w:pPr>
            <w:r>
              <w:rPr>
                <w:rFonts w:ascii="Arial" w:cs="Arial" w:eastAsia="Arial" w:hAnsi="Arial"/>
                <w:sz w:val="14"/>
                <w:szCs w:val="14"/>
                <w:b w:val="1"/>
                <w:bCs w:val="1"/>
                <w:color w:val="auto"/>
                <w:w w:val="93"/>
              </w:rPr>
              <w:t xml:space="preserve">Relationship </w:t>
            </w:r>
            <w:r>
              <w:rPr>
                <w:rFonts w:ascii="Arial" w:cs="Arial" w:eastAsia="Arial" w:hAnsi="Arial"/>
                <w:sz w:val="10"/>
                <w:szCs w:val="10"/>
                <w:b w:val="1"/>
                <w:bCs w:val="1"/>
                <w:color w:val="auto"/>
                <w:w w:val="93"/>
              </w:rPr>
              <w:t>(1)</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w w:val="91"/>
              </w:rPr>
              <w:t>Non-utility cost of revenues, including natural gas</w:t>
            </w: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3"/>
              </w:rPr>
              <w:t>CenterPoint</w:t>
            </w:r>
          </w:p>
        </w:tc>
        <w:tc>
          <w:tcPr>
            <w:tcW w:w="260" w:type="dxa"/>
            <w:vAlign w:val="bottom"/>
          </w:tcPr>
          <w:p>
            <w:pPr>
              <w:spacing w:after="0"/>
              <w:rPr>
                <w:sz w:val="13"/>
                <w:szCs w:val="13"/>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CERC</w:t>
            </w:r>
          </w:p>
        </w:tc>
        <w:tc>
          <w:tcPr>
            <w:tcW w:w="220" w:type="dxa"/>
            <w:vAlign w:val="bottom"/>
          </w:tcPr>
          <w:p>
            <w:pPr>
              <w:spacing w:after="0"/>
              <w:rPr>
                <w:sz w:val="13"/>
                <w:szCs w:val="13"/>
                <w:color w:val="auto"/>
              </w:rPr>
            </w:pPr>
          </w:p>
        </w:tc>
        <w:tc>
          <w:tcPr>
            <w:tcW w:w="10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CenterPoint</w:t>
            </w:r>
          </w:p>
        </w:tc>
        <w:tc>
          <w:tcPr>
            <w:tcW w:w="340" w:type="dxa"/>
            <w:vAlign w:val="bottom"/>
          </w:tcPr>
          <w:p>
            <w:pPr>
              <w:spacing w:after="0"/>
              <w:rPr>
                <w:sz w:val="13"/>
                <w:szCs w:val="13"/>
                <w:color w:val="auto"/>
              </w:rPr>
            </w:pPr>
          </w:p>
        </w:tc>
        <w:tc>
          <w:tcPr>
            <w:tcW w:w="8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Energy</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Energy</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9"/>
              </w:rPr>
              <w:t>Total amounts presented in the statements of income in which the effects of hedges are recorded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2,063</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500" w:type="dxa"/>
            <w:vAlign w:val="bottom"/>
          </w:tcPr>
          <w:p>
            <w:pPr>
              <w:ind w:left="160"/>
              <w:spacing w:after="0"/>
              <w:rPr>
                <w:sz w:val="20"/>
                <w:szCs w:val="20"/>
                <w:color w:val="auto"/>
              </w:rPr>
            </w:pPr>
            <w:r>
              <w:rPr>
                <w:rFonts w:ascii="Arial" w:cs="Arial" w:eastAsia="Arial" w:hAnsi="Arial"/>
                <w:sz w:val="14"/>
                <w:szCs w:val="14"/>
                <w:b w:val="1"/>
                <w:bCs w:val="1"/>
                <w:color w:val="auto"/>
              </w:rPr>
              <w:t>Gain (loss) on fair value hedging relationships: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650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Commodity contracts: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500" w:type="dxa"/>
            <w:vAlign w:val="bottom"/>
          </w:tcPr>
          <w:p>
            <w:pPr>
              <w:ind w:left="320"/>
              <w:spacing w:after="0"/>
              <w:rPr>
                <w:sz w:val="20"/>
                <w:szCs w:val="20"/>
                <w:color w:val="auto"/>
              </w:rPr>
            </w:pPr>
            <w:r>
              <w:rPr>
                <w:rFonts w:ascii="Arial" w:cs="Arial" w:eastAsia="Arial" w:hAnsi="Arial"/>
                <w:sz w:val="14"/>
                <w:szCs w:val="14"/>
                <w:color w:val="auto"/>
              </w:rPr>
              <w:t>Hedged items - Natural gas inventory</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22"/>
                <w:szCs w:val="22"/>
                <w:color w:val="auto"/>
              </w:rPr>
            </w:pPr>
          </w:p>
        </w:tc>
        <w:tc>
          <w:tcPr>
            <w:tcW w:w="1000" w:type="dxa"/>
            <w:vAlign w:val="bottom"/>
          </w:tcPr>
          <w:p>
            <w:pPr>
              <w:jc w:val="center"/>
              <w:ind w:left="528"/>
              <w:spacing w:after="0"/>
              <w:rPr>
                <w:sz w:val="20"/>
                <w:szCs w:val="20"/>
                <w:color w:val="auto"/>
              </w:rPr>
            </w:pPr>
            <w:r>
              <w:rPr>
                <w:rFonts w:ascii="Arial" w:cs="Arial" w:eastAsia="Arial" w:hAnsi="Arial"/>
                <w:sz w:val="14"/>
                <w:szCs w:val="14"/>
                <w:color w:val="auto"/>
                <w:w w:val="96"/>
              </w:rPr>
              <w:t>(10)</w:t>
            </w:r>
          </w:p>
        </w:tc>
        <w:tc>
          <w:tcPr>
            <w:tcW w:w="2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6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Derivatives designated as hedging instruments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w w:val="89"/>
              </w:rPr>
              <w:t>10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500" w:type="dxa"/>
            <w:vAlign w:val="bottom"/>
          </w:tcPr>
          <w:p>
            <w:pPr>
              <w:ind w:left="320"/>
              <w:spacing w:after="0"/>
              <w:rPr>
                <w:sz w:val="20"/>
                <w:szCs w:val="20"/>
                <w:color w:val="auto"/>
              </w:rPr>
            </w:pPr>
            <w:r>
              <w:rPr>
                <w:rFonts w:ascii="Arial" w:cs="Arial" w:eastAsia="Arial" w:hAnsi="Arial"/>
                <w:sz w:val="14"/>
                <w:szCs w:val="14"/>
                <w:color w:val="auto"/>
              </w:rPr>
              <w:t>Amounts excluded from effectiveness testing recognized in earnings immediately</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260" w:type="dxa"/>
            <w:vAlign w:val="bottom"/>
          </w:tcPr>
          <w:p>
            <w:pPr>
              <w:spacing w:after="0"/>
              <w:rPr>
                <w:sz w:val="22"/>
                <w:szCs w:val="22"/>
                <w:color w:val="auto"/>
              </w:rPr>
            </w:pPr>
          </w:p>
        </w:tc>
        <w:tc>
          <w:tcPr>
            <w:tcW w:w="1000" w:type="dxa"/>
            <w:vAlign w:val="bottom"/>
          </w:tcPr>
          <w:p>
            <w:pPr>
              <w:jc w:val="center"/>
              <w:ind w:left="528"/>
              <w:spacing w:after="0"/>
              <w:rPr>
                <w:sz w:val="20"/>
                <w:szCs w:val="20"/>
                <w:color w:val="auto"/>
              </w:rPr>
            </w:pPr>
            <w:r>
              <w:rPr>
                <w:rFonts w:ascii="Arial" w:cs="Arial" w:eastAsia="Arial" w:hAnsi="Arial"/>
                <w:sz w:val="14"/>
                <w:szCs w:val="14"/>
                <w:color w:val="auto"/>
                <w:w w:val="96"/>
              </w:rPr>
              <w:t>(79)</w:t>
            </w:r>
          </w:p>
        </w:tc>
        <w:tc>
          <w:tcPr>
            <w:tcW w:w="2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Income statement impact associated with cash flow hedge activity is related to gains and losses reclassified from Accumulated other comprehensive income into income. Amounts are immaterial for each Registrant in the three and six months ended June 30, 2019 and 2018,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20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264"/>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60" w:type="dxa"/>
            <w:vAlign w:val="bottom"/>
            <w:gridSpan w:val="2"/>
          </w:tcPr>
          <w:p>
            <w:pPr>
              <w:ind w:left="920"/>
              <w:spacing w:after="0"/>
              <w:rPr>
                <w:sz w:val="20"/>
                <w:szCs w:val="20"/>
                <w:color w:val="auto"/>
              </w:rPr>
            </w:pPr>
            <w:r>
              <w:rPr>
                <w:rFonts w:ascii="Arial" w:cs="Arial" w:eastAsia="Arial" w:hAnsi="Arial"/>
                <w:sz w:val="14"/>
                <w:szCs w:val="14"/>
                <w:b w:val="1"/>
                <w:bCs w:val="1"/>
                <w:color w:val="auto"/>
              </w:rPr>
              <w:t>Income Statement Location</w:t>
            </w: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8"/>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gridSpan w:val="4"/>
          </w:tcPr>
          <w:p>
            <w:pPr>
              <w:ind w:left="20"/>
              <w:spacing w:after="0"/>
              <w:rPr>
                <w:sz w:val="20"/>
                <w:szCs w:val="20"/>
                <w:color w:val="auto"/>
              </w:rPr>
            </w:pPr>
            <w:r>
              <w:rPr>
                <w:rFonts w:ascii="Arial" w:cs="Arial" w:eastAsia="Arial" w:hAnsi="Arial"/>
                <w:sz w:val="14"/>
                <w:szCs w:val="14"/>
                <w:b w:val="1"/>
                <w:bCs w:val="1"/>
                <w:color w:val="auto"/>
              </w:rPr>
              <w:t>Effects of derivatives not designated as hedging instruments on the income statement:</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4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Gains (losses) in Non-utility revenues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80"/>
        </w:trPr>
        <w:tc>
          <w:tcPr>
            <w:tcW w:w="19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80" w:type="dxa"/>
            <w:vAlign w:val="bottom"/>
          </w:tcPr>
          <w:p>
            <w:pPr>
              <w:ind w:left="20"/>
              <w:spacing w:after="0"/>
              <w:rPr>
                <w:sz w:val="20"/>
                <w:szCs w:val="20"/>
                <w:color w:val="auto"/>
              </w:rPr>
            </w:pPr>
            <w:r>
              <w:rPr>
                <w:rFonts w:ascii="Arial" w:cs="Arial" w:eastAsia="Arial" w:hAnsi="Arial"/>
                <w:sz w:val="14"/>
                <w:szCs w:val="14"/>
                <w:color w:val="auto"/>
                <w:w w:val="93"/>
              </w:rPr>
              <w:t>Indexed debt securities derivative</w:t>
            </w:r>
          </w:p>
        </w:tc>
        <w:tc>
          <w:tcPr>
            <w:tcW w:w="420" w:type="dxa"/>
            <w:vAlign w:val="bottom"/>
          </w:tcPr>
          <w:p>
            <w:pPr>
              <w:spacing w:after="0"/>
              <w:rPr>
                <w:sz w:val="16"/>
                <w:szCs w:val="16"/>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Loss on indexed debt securities</w:t>
            </w:r>
          </w:p>
        </w:tc>
        <w:tc>
          <w:tcPr>
            <w:tcW w:w="24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74"/>
        </w:trPr>
        <w:tc>
          <w:tcPr>
            <w:tcW w:w="198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35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98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Total CenterPoint Energy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246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660" w:type="dxa"/>
            <w:vAlign w:val="bottom"/>
            <w:gridSpan w:val="2"/>
          </w:tcPr>
          <w:p>
            <w:pPr>
              <w:ind w:left="920"/>
              <w:spacing w:after="0"/>
              <w:rPr>
                <w:sz w:val="20"/>
                <w:szCs w:val="20"/>
                <w:color w:val="auto"/>
              </w:rPr>
            </w:pPr>
            <w:r>
              <w:rPr>
                <w:rFonts w:ascii="Arial" w:cs="Arial" w:eastAsia="Arial" w:hAnsi="Arial"/>
                <w:sz w:val="14"/>
                <w:szCs w:val="14"/>
                <w:b w:val="1"/>
                <w:bCs w:val="1"/>
                <w:color w:val="auto"/>
              </w:rPr>
              <w:t>Income Statement Location</w:t>
            </w:r>
          </w:p>
        </w:tc>
        <w:tc>
          <w:tcPr>
            <w:tcW w:w="132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740" w:type="dxa"/>
            <w:vAlign w:val="bottom"/>
            <w:gridSpan w:val="3"/>
          </w:tcPr>
          <w:p>
            <w:pPr>
              <w:ind w:left="920"/>
              <w:spacing w:after="0"/>
              <w:rPr>
                <w:sz w:val="20"/>
                <w:szCs w:val="20"/>
                <w:color w:val="auto"/>
              </w:rPr>
            </w:pPr>
            <w:r>
              <w:rPr>
                <w:rFonts w:ascii="Arial" w:cs="Arial" w:eastAsia="Arial" w:hAnsi="Arial"/>
                <w:sz w:val="14"/>
                <w:szCs w:val="14"/>
                <w:b w:val="1"/>
                <w:bCs w:val="1"/>
                <w:color w:val="auto"/>
              </w:rPr>
              <w:t>2019</w:t>
            </w:r>
          </w:p>
        </w:tc>
        <w:tc>
          <w:tcPr>
            <w:tcW w:w="12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58"/>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Borders>
              <w:top w:val="single" w:sz="8" w:color="auto"/>
            </w:tcBorders>
          </w:tcPr>
          <w:p>
            <w:pPr>
              <w:spacing w:after="0"/>
              <w:rPr>
                <w:sz w:val="22"/>
                <w:szCs w:val="22"/>
                <w:color w:val="auto"/>
              </w:rPr>
            </w:pPr>
          </w:p>
        </w:tc>
      </w:tr>
    </w:tbl>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Effects of derivatives not designated as hedging instruments on the income statement:</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4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Gains (losses) in Non-utility revenues</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243"/>
        </w:trPr>
        <w:tc>
          <w:tcPr>
            <w:tcW w:w="1620" w:type="dxa"/>
            <w:vAlign w:val="bottom"/>
          </w:tcPr>
          <w:p>
            <w:pPr>
              <w:spacing w:after="0"/>
              <w:rPr>
                <w:sz w:val="21"/>
                <w:szCs w:val="21"/>
                <w:color w:val="auto"/>
              </w:rPr>
            </w:pPr>
          </w:p>
        </w:tc>
        <w:tc>
          <w:tcPr>
            <w:tcW w:w="4440" w:type="dxa"/>
            <w:vAlign w:val="bottom"/>
          </w:tcPr>
          <w:p>
            <w:pPr>
              <w:ind w:left="360"/>
              <w:spacing w:after="0"/>
              <w:rPr>
                <w:sz w:val="20"/>
                <w:szCs w:val="20"/>
                <w:color w:val="auto"/>
              </w:rPr>
            </w:pPr>
            <w:r>
              <w:rPr>
                <w:rFonts w:ascii="Arial" w:cs="Arial" w:eastAsia="Arial" w:hAnsi="Arial"/>
                <w:sz w:val="14"/>
                <w:szCs w:val="14"/>
                <w:b w:val="1"/>
                <w:bCs w:val="1"/>
                <w:color w:val="auto"/>
              </w:rPr>
              <w:t>Total CERC</w:t>
            </w: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w:t>
            </w:r>
          </w:p>
        </w:tc>
      </w:tr>
      <w:tr>
        <w:trPr>
          <w:trHeight w:val="20"/>
        </w:trPr>
        <w:tc>
          <w:tcPr>
            <w:tcW w:w="1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Credit Risk Contingent Features (CenterPoint Energy and CERC)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CenterPoint Energy and CERC enter into financial derivative contracts containing material adverse change provisions.  These provisions could require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CenterPoint Energy or CERC to post additional collateral if the S&amp;P or Moody’s credit ratings of CenterPoint Energy, Inc. or its subsidiaries, including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CERC Corp., are downgraded.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w w:val="92"/>
              </w:rPr>
              <w:t>June 30, 2019</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1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CenterPoint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320" w:type="dxa"/>
            <w:vAlign w:val="bottom"/>
          </w:tcPr>
          <w:p>
            <w:pPr>
              <w:spacing w:after="0"/>
              <w:rPr>
                <w:sz w:val="13"/>
                <w:szCs w:val="13"/>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8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Energy</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Energy</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Aggregate fair value of derivatives containing material adverse change provisions in a net liability position</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Fair value of collateral already posted</w:t>
            </w:r>
          </w:p>
        </w:tc>
        <w:tc>
          <w:tcPr>
            <w:tcW w:w="800" w:type="dxa"/>
            <w:vAlign w:val="bottom"/>
          </w:tcPr>
          <w:p>
            <w:pPr>
              <w:spacing w:after="0"/>
              <w:rPr>
                <w:sz w:val="22"/>
                <w:szCs w:val="22"/>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collateral required to be posted if credit risk contingent features triggered</w:t>
            </w: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 as well as natural gas inventory that has been designated as the hedged item in a fair value hedge.</w:t>
      </w:r>
    </w:p>
    <w:p>
      <w:pPr>
        <w:spacing w:after="0" w:line="18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17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 A market approach is utilized to value the Registrants’ Level 3 assets or liabilities. As of June 30, 2019, CenterPoint Energy’s and CERC’s Level 3 assets and liabilities are comprised of physical natural gas forward contracts and options. Level 3 physical natural gas forward contracts and options are valued using a discounted cash flow model which includes illiquid forward price curve locations (ranging from $1.62 to $5.64 per MMBtu for CenterPoint Energy and from $1.62 to $5.64 per MMBtu for CERC) as an unobservable input. CenterPoint Energy’s and CERC’s Level 3 physical natural gas forward contracts and options derivative assets and liabilities consist of both long and short positions (forwards and options). Forward price decreases (increases) as of June 30, 2019 would have resulted in lower (higher) values, respectively, for long forwards and options and higher (lower) values, respectively, for short forwards and options.</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Registrants determine the appropriate level for each financial asset and liability on a quarterly basis. The Registrants also recognize purchases of Level 3 financial assets and liabilities at their fair market value at the end of the reporting period.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information about the Registrants’ assets and liabilities (including derivatives that are presented net) measured at fair value on a recurring basis as of June 30, 2019 and December 31, 2018 and indicate the fair value hierarchy of the valuation techniques utilized by the Registrants to determine such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Netting</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Netting</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5"/>
              </w:rPr>
              <w:t>Level 2</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Level 2</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(1)</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equities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57"/>
        </w:trPr>
        <w:tc>
          <w:tcPr>
            <w:tcW w:w="2420" w:type="dxa"/>
            <w:vAlign w:val="bottom"/>
          </w:tcPr>
          <w:p>
            <w:pPr>
              <w:ind w:left="180"/>
              <w:spacing w:after="0" w:line="157" w:lineRule="exact"/>
              <w:rPr>
                <w:sz w:val="20"/>
                <w:szCs w:val="20"/>
                <w:color w:val="auto"/>
              </w:rPr>
            </w:pPr>
            <w:r>
              <w:rPr>
                <w:rFonts w:ascii="Arial" w:cs="Arial" w:eastAsia="Arial" w:hAnsi="Arial"/>
                <w:sz w:val="14"/>
                <w:szCs w:val="14"/>
                <w:color w:val="auto"/>
                <w:w w:val="96"/>
              </w:rPr>
              <w:t>Investments, including money market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340"/>
              <w:spacing w:after="0"/>
              <w:rPr>
                <w:sz w:val="20"/>
                <w:szCs w:val="20"/>
                <w:color w:val="auto"/>
              </w:rPr>
            </w:pPr>
            <w:r>
              <w:rPr>
                <w:rFonts w:ascii="Arial" w:cs="Arial" w:eastAsia="Arial" w:hAnsi="Arial"/>
                <w:sz w:val="14"/>
                <w:szCs w:val="14"/>
                <w:color w:val="auto"/>
              </w:rPr>
              <w:t>funds (2)</w:t>
            </w:r>
          </w:p>
        </w:tc>
        <w:tc>
          <w:tcPr>
            <w:tcW w:w="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gas derivatives (3)(4)</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57"/>
        </w:trPr>
        <w:tc>
          <w:tcPr>
            <w:tcW w:w="2420" w:type="dxa"/>
            <w:vAlign w:val="bottom"/>
          </w:tcPr>
          <w:p>
            <w:pPr>
              <w:ind w:left="180"/>
              <w:spacing w:after="0" w:line="157" w:lineRule="exact"/>
              <w:rPr>
                <w:sz w:val="20"/>
                <w:szCs w:val="20"/>
                <w:color w:val="auto"/>
              </w:rPr>
            </w:pPr>
            <w:r>
              <w:rPr>
                <w:rFonts w:ascii="Arial" w:cs="Arial" w:eastAsia="Arial" w:hAnsi="Arial"/>
                <w:sz w:val="14"/>
                <w:szCs w:val="14"/>
                <w:color w:val="auto"/>
              </w:rPr>
              <w:t>Hedged portion of natural gas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inventory</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Indexed debt securities derivative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64"/>
        </w:trPr>
        <w:tc>
          <w:tcPr>
            <w:tcW w:w="2420" w:type="dxa"/>
            <w:vAlign w:val="bottom"/>
          </w:tcPr>
          <w:p>
            <w:pPr>
              <w:ind w:left="180"/>
              <w:spacing w:after="0"/>
              <w:rPr>
                <w:sz w:val="20"/>
                <w:szCs w:val="20"/>
                <w:color w:val="auto"/>
              </w:rPr>
            </w:pPr>
            <w:r>
              <w:rPr>
                <w:rFonts w:ascii="Arial" w:cs="Arial" w:eastAsia="Arial" w:hAnsi="Arial"/>
                <w:sz w:val="14"/>
                <w:szCs w:val="14"/>
                <w:color w:val="auto"/>
              </w:rPr>
              <w:t>Interest rate derivatives</w:t>
            </w:r>
          </w:p>
        </w:tc>
        <w:tc>
          <w:tcPr>
            <w:tcW w:w="16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gas derivatives (3)(4)</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7"/>
        </w:trPr>
        <w:tc>
          <w:tcPr>
            <w:tcW w:w="2420" w:type="dxa"/>
            <w:vAlign w:val="bottom"/>
          </w:tcPr>
          <w:p>
            <w:pPr>
              <w:ind w:left="180"/>
              <w:spacing w:after="0" w:line="157" w:lineRule="exact"/>
              <w:rPr>
                <w:sz w:val="20"/>
                <w:szCs w:val="20"/>
                <w:color w:val="auto"/>
              </w:rPr>
            </w:pPr>
            <w:r>
              <w:rPr>
                <w:rFonts w:ascii="Arial" w:cs="Arial" w:eastAsia="Arial" w:hAnsi="Arial"/>
                <w:sz w:val="14"/>
                <w:szCs w:val="14"/>
                <w:color w:val="auto"/>
              </w:rPr>
              <w:t>Hedged portion of natural gas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inventory</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317"/>
        </w:trPr>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Level 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Netting</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Level 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Netting</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Total</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63"/>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Investments, including money market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88"/>
        </w:trPr>
        <w:tc>
          <w:tcPr>
            <w:tcW w:w="2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funds (2)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w:t>
            </w:r>
          </w:p>
        </w:tc>
      </w:tr>
      <w:tr>
        <w:trPr>
          <w:trHeight w:val="283"/>
        </w:trPr>
        <w:tc>
          <w:tcPr>
            <w:tcW w:w="242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ind w:left="4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380"/>
              <w:spacing w:after="0"/>
              <w:rPr>
                <w:sz w:val="20"/>
                <w:szCs w:val="20"/>
                <w:color w:val="auto"/>
              </w:rPr>
            </w:pPr>
            <w:r>
              <w:rPr>
                <w:rFonts w:ascii="Arial" w:cs="Arial" w:eastAsia="Arial" w:hAnsi="Arial"/>
                <w:sz w:val="14"/>
                <w:szCs w:val="14"/>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48</w:t>
            </w:r>
          </w:p>
        </w:tc>
      </w:tr>
      <w:tr>
        <w:trPr>
          <w:trHeight w:val="231"/>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4"/>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rate derivatives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24</w:t>
            </w:r>
          </w:p>
        </w:tc>
      </w:tr>
      <w:tr>
        <w:trPr>
          <w:trHeight w:val="243"/>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9"/>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Netting</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Netting</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5"/>
              </w:rPr>
              <w:t>Level 2</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Level 2</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(1)</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equities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w w:val="94"/>
              </w:rPr>
              <w:t>Investments, including money market</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340"/>
              <w:spacing w:after="0"/>
              <w:rPr>
                <w:sz w:val="20"/>
                <w:szCs w:val="20"/>
                <w:color w:val="auto"/>
              </w:rPr>
            </w:pPr>
            <w:r>
              <w:rPr>
                <w:rFonts w:ascii="Arial" w:cs="Arial" w:eastAsia="Arial" w:hAnsi="Arial"/>
                <w:sz w:val="14"/>
                <w:szCs w:val="14"/>
                <w:color w:val="auto"/>
              </w:rPr>
              <w:t>funds (2)</w:t>
            </w:r>
          </w:p>
        </w:tc>
        <w:tc>
          <w:tcPr>
            <w:tcW w:w="14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gas derivatives (3)(4)</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rPr>
              <w:t>Hedged portion of natural gas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inventory</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gas derivatives (3)(4)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rPr>
              <w:t>Hedged portion of natural gas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inventory</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represent the impact of legally enforceable master netting arrangements that allow CenterPoint Energy and CERC to settle positive and negative positions and also include cash collateral posted with the same counterparties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4"/>
                <w:szCs w:val="14"/>
                <w:b w:val="1"/>
                <w:bCs w:val="1"/>
                <w:color w:val="auto"/>
              </w:rPr>
              <w:t>June 30, 2019</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620" w:type="dxa"/>
            <w:vAlign w:val="bottom"/>
          </w:tcPr>
          <w:p>
            <w:pPr>
              <w:spacing w:after="0"/>
              <w:rPr>
                <w:sz w:val="22"/>
                <w:szCs w:val="22"/>
                <w:color w:val="auto"/>
              </w:rPr>
            </w:pPr>
          </w:p>
        </w:tc>
        <w:tc>
          <w:tcPr>
            <w:tcW w:w="14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w w:val="97"/>
              </w:rPr>
              <w:t>CenterPoint Energy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CERC</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7"/>
              </w:rPr>
              <w:t>CenterPoint Energy</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CERC</w:t>
            </w:r>
          </w:p>
        </w:tc>
      </w:tr>
      <w:tr>
        <w:trPr>
          <w:trHeight w:val="250"/>
        </w:trPr>
        <w:tc>
          <w:tcPr>
            <w:tcW w:w="5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collateral posted with the same counterparties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36</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r>
      <w:tr>
        <w:trPr>
          <w:trHeight w:val="27"/>
        </w:trPr>
        <w:tc>
          <w:tcPr>
            <w:tcW w:w="56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are included in Prepaid expenses and other current assets in the Condensed Consolidated Balance Sheets.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gas derivatives include no material amounts related to physical forward transactions with Enable.</w:t>
      </w:r>
    </w:p>
    <w:p>
      <w:pPr>
        <w:spacing w:after="0" w:line="225" w:lineRule="exact"/>
        <w:rPr>
          <w:rFonts w:ascii="Arial" w:cs="Arial" w:eastAsia="Arial" w:hAnsi="Arial"/>
          <w:sz w:val="18"/>
          <w:szCs w:val="18"/>
          <w:color w:val="auto"/>
        </w:rPr>
      </w:pPr>
    </w:p>
    <w:p>
      <w:pPr>
        <w:jc w:val="both"/>
        <w:ind w:left="660" w:hanging="328"/>
        <w:spacing w:after="0" w:line="29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1 natural gas derivatives include exchange-traded derivatives cleared by the CME, which deems that financial instruments cleared by the CME are settled daily in connection with posted cash payments. As a result of this exchange rule, CME-related derivatives are considered to have no fair value at the balance sheet date for financial reporting purposes and are presented in Level 1 net of posted cash;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additional information about assets or liabilities, including derivatives that are measured at fair value on a recurring basis for which CenterPoint Energy and CERC have utilized Level 3 inputs to determine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6"/>
              </w:rPr>
              <w:t>Three Months Ended June 30,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2019</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w w:val="96"/>
              </w:rPr>
              <w:t>2018</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3"/>
                <w:szCs w:val="13"/>
                <w:color w:val="auto"/>
              </w:rPr>
            </w:pPr>
          </w:p>
        </w:tc>
        <w:tc>
          <w:tcPr>
            <w:tcW w:w="88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20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220" w:type="dxa"/>
            <w:vAlign w:val="bottom"/>
          </w:tcPr>
          <w:p>
            <w:pPr>
              <w:spacing w:after="0"/>
              <w:rPr>
                <w:sz w:val="13"/>
                <w:szCs w:val="13"/>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Energy</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Energy</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Energy</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gridSpan w:val="5"/>
          </w:tcPr>
          <w:p>
            <w:pPr>
              <w:ind w:left="5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3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4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Total gains (losses)</w:t>
            </w:r>
          </w:p>
        </w:tc>
        <w:tc>
          <w:tcPr>
            <w:tcW w:w="12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settlements</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Transfers into Level 3</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Transfers out of Level 3</w:t>
            </w: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4"/>
                <w:szCs w:val="14"/>
                <w:color w:val="auto"/>
              </w:rPr>
              <w:t>Ending balance (1)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10300" w:type="dxa"/>
            <w:vAlign w:val="bottom"/>
            <w:gridSpan w:val="24"/>
          </w:tcPr>
          <w:p>
            <w:pPr>
              <w:ind w:left="40"/>
              <w:spacing w:after="0"/>
              <w:rPr>
                <w:sz w:val="20"/>
                <w:szCs w:val="20"/>
                <w:color w:val="auto"/>
              </w:rPr>
            </w:pPr>
            <w:r>
              <w:rPr>
                <w:rFonts w:ascii="Arial" w:cs="Arial" w:eastAsia="Arial" w:hAnsi="Arial"/>
                <w:sz w:val="14"/>
                <w:szCs w:val="14"/>
                <w:color w:val="auto"/>
                <w:w w:val="96"/>
              </w:rPr>
              <w:t>The amount of total gains (losses) for the period included in earnings attributable to the change in unrealized gains or losses relating to assets still held at the reporting date: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3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CenterPoint Energy and CERC did not have significant Level 3 sales or purchases during the three or six months ended June 30, 2019 or 2018.</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values of cash and cash equivalents, investments in debt and equity securities classified as “trading” and short-term borrowings are estimated to be approximately equivalent to carrying amounts and have been excluded from the table below. The carrying amounts of non-trading derivative assets and liabilities, CenterPoint Energy’s ZENS indexed debt securities derivative and hedging instruments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96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920" w:type="dxa"/>
            <w:vAlign w:val="bottom"/>
          </w:tcPr>
          <w:p>
            <w:pPr>
              <w:spacing w:after="0" w:line="153"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3"/>
                <w:szCs w:val="13"/>
                <w:color w:val="auto"/>
              </w:rPr>
            </w:pPr>
          </w:p>
        </w:tc>
        <w:tc>
          <w:tcPr>
            <w:tcW w:w="98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Value</w:t>
            </w:r>
          </w:p>
        </w:tc>
      </w:tr>
      <w:tr>
        <w:trPr>
          <w:trHeight w:val="244"/>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CenterPoint Energy</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14"/>
                <w:szCs w:val="14"/>
                <w:color w:val="auto"/>
              </w:rPr>
              <w:t>(1)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14,587</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9,140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Houston Electric</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14"/>
                <w:szCs w:val="14"/>
                <w:color w:val="auto"/>
              </w:rPr>
              <w:t>(1)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5,165</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4,717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4,770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CERC</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2,397</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2,371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2,488</w:t>
            </w:r>
          </w:p>
        </w:tc>
      </w:tr>
      <w:tr>
        <w:trPr>
          <w:trHeight w:val="27"/>
        </w:trPr>
        <w:tc>
          <w:tcPr>
            <w:tcW w:w="6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Includes Securitization Bonds debt.</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Unconsolidated Affiliates (CenterPoint Energy and CERC)</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CenterPoint Energy has the ability to significantly influence the operating and financial policies of Enable, a publicly traded MLP, and, accordingly, accounts for its investment in Enable’s common units using the equity method of accounting. Enable is considered to be a VIE because the power to direct the activities that most significantly impact Enable’s economic performance does not reside with the holders of equity investment at risk. However, CenterPoint Energy is not considered the primary beneficiary of Enable since it does not have the power to direct the activities of Enable that are considered most significant to the economic performance of Enable. As of June 30, 2019, CenterPoint Energy’s maximum exposure to loss related to Enable is limited to its investment in unconsolidated affiliate, its investment in Enable Series A Preferred Units and outstanding current accounts receivable from Enable.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Unconsolidated Affiliates (CenterPoint Energy):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580" w:type="dxa"/>
            <w:vAlign w:val="bottom"/>
            <w:gridSpan w:val="3"/>
          </w:tcPr>
          <w:p>
            <w:pPr>
              <w:ind w:left="460"/>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0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Enable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2,469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92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2,470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648"/>
        <w:spacing w:after="0" w:line="264" w:lineRule="auto"/>
        <w:tabs>
          <w:tab w:leader="none" w:pos="6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equity investment in ProLiance Holdings, LLC related primarily to an investment in LA Storage, LLC, a joint venture in a development project for salt-cavern natural gas storage, which was acquired in the Merger. This presentation reflects preliminary fair value of the equity investment and is subject to change. See Note 3.</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Limited Partner Interest and Units Held in Enable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June 30, 2019</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80" w:type="dxa"/>
            <w:vAlign w:val="bottom"/>
          </w:tcPr>
          <w:p>
            <w:pPr>
              <w:spacing w:after="0"/>
              <w:rPr>
                <w:sz w:val="15"/>
                <w:szCs w:val="15"/>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Limited Partner Interest</w:t>
            </w:r>
          </w:p>
        </w:tc>
        <w:tc>
          <w:tcPr>
            <w:tcW w:w="16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xml:space="preserve">Common Units </w:t>
            </w:r>
            <w:r>
              <w:rPr>
                <w:rFonts w:ascii="Arial" w:cs="Arial" w:eastAsia="Arial" w:hAnsi="Arial"/>
                <w:sz w:val="10"/>
                <w:szCs w:val="10"/>
                <w:b w:val="1"/>
                <w:bCs w:val="1"/>
                <w:color w:val="auto"/>
              </w:rPr>
              <w:t>(2)</w:t>
            </w:r>
          </w:p>
        </w:tc>
        <w:tc>
          <w:tcPr>
            <w:tcW w:w="1580" w:type="dxa"/>
            <w:vAlign w:val="bottom"/>
          </w:tcPr>
          <w:p>
            <w:pPr>
              <w:jc w:val="right"/>
              <w:ind w:right="216"/>
              <w:spacing w:after="0"/>
              <w:rPr>
                <w:sz w:val="20"/>
                <w:szCs w:val="20"/>
                <w:color w:val="auto"/>
              </w:rPr>
            </w:pPr>
            <w:r>
              <w:rPr>
                <w:rFonts w:ascii="Arial" w:cs="Arial" w:eastAsia="Arial" w:hAnsi="Arial"/>
                <w:sz w:val="14"/>
                <w:szCs w:val="14"/>
                <w:b w:val="1"/>
                <w:bCs w:val="1"/>
                <w:color w:val="auto"/>
              </w:rPr>
              <w:t>Enable Series A</w:t>
            </w:r>
          </w:p>
        </w:tc>
        <w:tc>
          <w:tcPr>
            <w:tcW w:w="0" w:type="dxa"/>
            <w:vAlign w:val="bottom"/>
          </w:tcPr>
          <w:p>
            <w:pPr>
              <w:spacing w:after="0"/>
              <w:rPr>
                <w:sz w:val="1"/>
                <w:szCs w:val="1"/>
                <w:color w:val="auto"/>
              </w:rPr>
            </w:pPr>
          </w:p>
        </w:tc>
      </w:tr>
      <w:tr>
        <w:trPr>
          <w:trHeight w:val="176"/>
        </w:trPr>
        <w:tc>
          <w:tcPr>
            <w:tcW w:w="6380" w:type="dxa"/>
            <w:vAlign w:val="bottom"/>
          </w:tcPr>
          <w:p>
            <w:pPr>
              <w:spacing w:after="0"/>
              <w:rPr>
                <w:sz w:val="15"/>
                <w:szCs w:val="15"/>
                <w:color w:val="auto"/>
              </w:rPr>
            </w:pPr>
          </w:p>
        </w:tc>
        <w:tc>
          <w:tcPr>
            <w:tcW w:w="1660" w:type="dxa"/>
            <w:vAlign w:val="bottom"/>
          </w:tcPr>
          <w:p>
            <w:pPr>
              <w:jc w:val="right"/>
              <w:ind w:right="67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80" w:type="dxa"/>
            <w:vAlign w:val="bottom"/>
          </w:tcPr>
          <w:p>
            <w:pPr>
              <w:jc w:val="right"/>
              <w:ind w:right="156"/>
              <w:spacing w:after="0"/>
              <w:rPr>
                <w:sz w:val="20"/>
                <w:szCs w:val="20"/>
                <w:color w:val="auto"/>
              </w:rPr>
            </w:pPr>
            <w:r>
              <w:rPr>
                <w:rFonts w:ascii="Arial" w:cs="Arial" w:eastAsia="Arial" w:hAnsi="Arial"/>
                <w:sz w:val="14"/>
                <w:szCs w:val="14"/>
                <w:b w:val="1"/>
                <w:bCs w:val="1"/>
                <w:color w:val="auto"/>
              </w:rPr>
              <w:t xml:space="preserve">Preferred Units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244"/>
        </w:trPr>
        <w:tc>
          <w:tcPr>
            <w:tcW w:w="6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233,856,623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OGE</w:t>
            </w:r>
          </w:p>
        </w:tc>
        <w:tc>
          <w:tcPr>
            <w:tcW w:w="16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110,982,805</w:t>
            </w:r>
          </w:p>
        </w:tc>
        <w:tc>
          <w:tcPr>
            <w:tcW w:w="10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unitholders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90,233,873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380" w:type="dxa"/>
            <w:vAlign w:val="bottom"/>
          </w:tcPr>
          <w:p>
            <w:pPr>
              <w:ind w:left="400"/>
              <w:spacing w:after="0"/>
              <w:rPr>
                <w:sz w:val="20"/>
                <w:szCs w:val="20"/>
                <w:color w:val="auto"/>
              </w:rPr>
            </w:pPr>
            <w:r>
              <w:rPr>
                <w:rFonts w:ascii="Arial" w:cs="Arial" w:eastAsia="Arial" w:hAnsi="Arial"/>
                <w:sz w:val="18"/>
                <w:szCs w:val="18"/>
                <w:color w:val="auto"/>
              </w:rPr>
              <w:t>Total units outstanding</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435,073,301</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the Enable Series A Preferred Units owned by CenterPoint Energy.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Held indirectly through CNP Midstream by CenterPoint Energy.</w:t>
      </w:r>
    </w:p>
    <w:p>
      <w:pPr>
        <w:spacing w:after="0" w:line="225" w:lineRule="exact"/>
        <w:rPr>
          <w:rFonts w:ascii="Arial" w:cs="Arial" w:eastAsia="Arial" w:hAnsi="Arial"/>
          <w:sz w:val="18"/>
          <w:szCs w:val="18"/>
          <w:color w:val="auto"/>
        </w:rPr>
      </w:pPr>
    </w:p>
    <w:p>
      <w:pPr>
        <w:ind w:left="980" w:hanging="648"/>
        <w:spacing w:after="0" w:line="286" w:lineRule="auto"/>
        <w:tabs>
          <w:tab w:leader="none" w:pos="6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carrying amount of the Enable Series A Preferred Units, reflected as Preferred units - unconsolidated affiliate on CenterPoint Energy’s Condensed Consolidated Balance Sheets, was $363 million as of June 30, 2019 and $363 million as of December 31, 2018. No impairment charges or adjustment due to observable price changes were made during the current or prior reporting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sales to any person or entity (including a series of sales to the same person or entity) of more than 5% of the aggregate of the common units CenterPoint Energy owns in Enable or sales to any person or entity (including a series of sales to the same person or entity) by OGE of more than 5% of the aggregate of the common units it owns in Enable are subject to mutual rights of first offer and first refusal set forth in Enable’s Agreement of Limited Partnership.</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Interests Held in Enable GP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22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52"/>
        </w:trPr>
        <w:tc>
          <w:tcPr>
            <w:tcW w:w="8200" w:type="dxa"/>
            <w:vAlign w:val="bottom"/>
          </w:tcPr>
          <w:p>
            <w:pPr>
              <w:spacing w:after="0"/>
              <w:rPr>
                <w:sz w:val="13"/>
                <w:szCs w:val="1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Management Rights </w:t>
            </w:r>
            <w:r>
              <w:rPr>
                <w:rFonts w:ascii="Arial" w:cs="Arial" w:eastAsia="Arial" w:hAnsi="Arial"/>
                <w:sz w:val="10"/>
                <w:szCs w:val="10"/>
                <w:b w:val="1"/>
                <w:bCs w:val="1"/>
                <w:color w:val="auto"/>
              </w:rPr>
              <w:t>(1)</w:t>
            </w:r>
          </w:p>
        </w:tc>
        <w:tc>
          <w:tcPr>
            <w:tcW w:w="156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Incentive Distribution</w:t>
            </w:r>
          </w:p>
        </w:tc>
        <w:tc>
          <w:tcPr>
            <w:tcW w:w="0" w:type="dxa"/>
            <w:vAlign w:val="bottom"/>
          </w:tcPr>
          <w:p>
            <w:pPr>
              <w:spacing w:after="0"/>
              <w:rPr>
                <w:sz w:val="1"/>
                <w:szCs w:val="1"/>
                <w:color w:val="auto"/>
              </w:rPr>
            </w:pPr>
          </w:p>
        </w:tc>
      </w:tr>
      <w:tr>
        <w:trPr>
          <w:trHeight w:val="192"/>
        </w:trPr>
        <w:tc>
          <w:tcPr>
            <w:tcW w:w="82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419"/>
              <w:spacing w:after="0"/>
              <w:rPr>
                <w:sz w:val="20"/>
                <w:szCs w:val="20"/>
                <w:color w:val="auto"/>
              </w:rPr>
            </w:pPr>
            <w:r>
              <w:rPr>
                <w:rFonts w:ascii="Arial" w:cs="Arial" w:eastAsia="Arial" w:hAnsi="Arial"/>
                <w:sz w:val="14"/>
                <w:szCs w:val="14"/>
                <w:b w:val="1"/>
                <w:bCs w:val="1"/>
                <w:color w:val="auto"/>
              </w:rPr>
              <w:t xml:space="preserve">Rights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50"/>
        </w:trPr>
        <w:tc>
          <w:tcPr>
            <w:tcW w:w="8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1560" w:type="dxa"/>
            <w:vAlign w:val="bottom"/>
            <w:tcBorders>
              <w:top w:val="single" w:sz="8" w:color="auto"/>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w w:val="99"/>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OGE</w:t>
            </w:r>
          </w:p>
        </w:tc>
        <w:tc>
          <w:tcPr>
            <w:tcW w:w="1560" w:type="dxa"/>
            <w:vAlign w:val="bottom"/>
          </w:tcPr>
          <w:p>
            <w:pPr>
              <w:ind w:left="1180"/>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hanging="648"/>
        <w:spacing w:after="0" w:line="264"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Enable is controlled jointly by CenterPoint Energy and OGE. Sale of CenterPoint Energy’s or OGE’s ownership interests in Enable GP to a third party is subject to mutual rights of first offer and first refusal, and CenterPoint Energy is not permitted to dispose of less than all of its interest in Enable GP.</w:t>
      </w:r>
    </w:p>
    <w:p>
      <w:pPr>
        <w:spacing w:after="0" w:line="181" w:lineRule="exact"/>
        <w:rPr>
          <w:rFonts w:ascii="Arial" w:cs="Arial" w:eastAsia="Arial" w:hAnsi="Arial"/>
          <w:sz w:val="18"/>
          <w:szCs w:val="18"/>
          <w:color w:val="auto"/>
        </w:rPr>
      </w:pPr>
    </w:p>
    <w:p>
      <w:pPr>
        <w:ind w:left="980" w:hanging="648"/>
        <w:spacing w:after="0" w:line="272" w:lineRule="auto"/>
        <w:tabs>
          <w:tab w:leader="none" w:pos="6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Enable is expected to pay a minimum quarterly distribution of $0.2875 per common unit on its outstanding common units to the extent it has sufficient cash from operations after establishment of cash reserves and payment of fees and expenses, including payments to Enable GP and its affiliates, within 60 days after the end of each quarter. If cash distributions to Enable’s unitholders exceed $0.330625 per common unit in any quarter, Enable GP will receive increasing percentages or incentive distributions rights, up to 50%, of the cash Enable distributes in excess of that amount. In certain circumstances Enable GP will have the right to reset the minimum quarterly distribution and the target distribution levels at which the incentive distributions receive increasing percentages to higher levels based on Enable’s cash distributions at the time of the exercise of this reset election. To date, no incentive distributions have been made.</w:t>
      </w:r>
    </w:p>
    <w:p>
      <w:pPr>
        <w:spacing w:after="0" w:line="177"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Held indirectly through CNP Midstream.</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Distributions Received from Enable (CenterPoint Energy and CERC):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 Unit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 Unit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Distribution</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Distribution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Distribution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500" w:type="dxa"/>
            <w:vAlign w:val="bottom"/>
            <w:gridSpan w:val="8"/>
          </w:tcPr>
          <w:p>
            <w:pPr>
              <w:ind w:left="40"/>
              <w:spacing w:after="0"/>
              <w:rPr>
                <w:sz w:val="20"/>
                <w:szCs w:val="20"/>
                <w:color w:val="auto"/>
              </w:rPr>
            </w:pPr>
            <w:r>
              <w:rPr>
                <w:rFonts w:ascii="Arial" w:cs="Arial" w:eastAsia="Arial" w:hAnsi="Arial"/>
                <w:sz w:val="14"/>
                <w:szCs w:val="14"/>
                <w:b w:val="1"/>
                <w:bCs w:val="1"/>
                <w:color w:val="auto"/>
                <w:w w:val="98"/>
              </w:rPr>
              <w:t>(in millions, except per unit amounts)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Enable common units </w:t>
            </w:r>
            <w:r>
              <w:rPr>
                <w:rFonts w:ascii="Arial" w:cs="Arial" w:eastAsia="Arial" w:hAnsi="Arial"/>
                <w:sz w:val="10"/>
                <w:szCs w:val="10"/>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0.3180</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0.3180</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0.6360</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0.6360</w:t>
            </w: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Enable Series A Preferred Units</w:t>
            </w:r>
          </w:p>
        </w:tc>
        <w:tc>
          <w:tcPr>
            <w:tcW w:w="1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0.6250</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0.6250</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1.2500</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1.2500</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Total CenterPoint Energy</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34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 2018</w:t>
            </w:r>
          </w:p>
        </w:tc>
      </w:tr>
      <w:tr>
        <w:trPr>
          <w:trHeight w:val="264"/>
        </w:trPr>
        <w:tc>
          <w:tcPr>
            <w:tcW w:w="47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Unit</w:t>
            </w:r>
          </w:p>
        </w:tc>
        <w:tc>
          <w:tcPr>
            <w:tcW w:w="5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Cash Distribution</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Per Unit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Cash Distribution</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Enable common units </w:t>
            </w:r>
            <w:r>
              <w:rPr>
                <w:rFonts w:ascii="Arial" w:cs="Arial" w:eastAsia="Arial" w:hAnsi="Arial"/>
                <w:sz w:val="10"/>
                <w:szCs w:val="10"/>
                <w:color w:val="auto"/>
              </w:rPr>
              <w:t>(1)</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0.3180</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0.6360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r>
      <w:tr>
        <w:trPr>
          <w:trHeight w:val="243"/>
        </w:trPr>
        <w:tc>
          <w:tcPr>
            <w:tcW w:w="4700" w:type="dxa"/>
            <w:vAlign w:val="bottom"/>
          </w:tcPr>
          <w:p>
            <w:pPr>
              <w:ind w:left="460"/>
              <w:spacing w:after="0"/>
              <w:rPr>
                <w:sz w:val="20"/>
                <w:szCs w:val="20"/>
                <w:color w:val="auto"/>
              </w:rPr>
            </w:pPr>
            <w:r>
              <w:rPr>
                <w:rFonts w:ascii="Arial" w:cs="Arial" w:eastAsia="Arial" w:hAnsi="Arial"/>
                <w:sz w:val="14"/>
                <w:szCs w:val="14"/>
                <w:b w:val="1"/>
                <w:bCs w:val="1"/>
                <w:color w:val="auto"/>
              </w:rPr>
              <w:t>Total CERC</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w:t>
            </w:r>
          </w:p>
        </w:tc>
      </w:tr>
      <w:tr>
        <w:trPr>
          <w:trHeight w:val="20"/>
        </w:trPr>
        <w:tc>
          <w:tcPr>
            <w:tcW w:w="4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the Internal Spin in September 2018, distributions from Enable were received by CERC. After such date, distributions from Enable were received by CenterPoint Energy.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Transactions with Enable (CenterPoint Energy and CERC):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44"/>
        </w:trPr>
        <w:tc>
          <w:tcPr>
            <w:tcW w:w="6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CenterPoint Energy</w:t>
            </w: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Natural gas expenses, including transportation and storage costs </w:t>
            </w:r>
            <w:r>
              <w:rPr>
                <w:rFonts w:ascii="Arial" w:cs="Arial" w:eastAsia="Arial" w:hAnsi="Arial"/>
                <w:sz w:val="14"/>
                <w:szCs w:val="14"/>
                <w:color w:val="auto"/>
              </w:rPr>
              <w:t>(1)</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Reimbursement of support services </w:t>
            </w:r>
            <w:r>
              <w:rPr>
                <w:rFonts w:ascii="Arial" w:cs="Arial" w:eastAsia="Arial" w:hAnsi="Arial"/>
                <w:sz w:val="14"/>
                <w:szCs w:val="14"/>
                <w:color w:val="auto"/>
              </w:rPr>
              <w:t>(2)</w:t>
            </w:r>
          </w:p>
        </w:tc>
        <w:tc>
          <w:tcPr>
            <w:tcW w:w="8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1"/>
                <w:szCs w:val="21"/>
                <w:color w:val="auto"/>
              </w:rPr>
            </w:pPr>
          </w:p>
        </w:tc>
        <w:tc>
          <w:tcPr>
            <w:tcW w:w="3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CERC</w:t>
            </w: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Natural gas expenses, including transportation and storage costs </w:t>
            </w:r>
            <w:r>
              <w:rPr>
                <w:rFonts w:ascii="Arial" w:cs="Arial" w:eastAsia="Arial" w:hAnsi="Arial"/>
                <w:sz w:val="14"/>
                <w:szCs w:val="14"/>
                <w:color w:val="auto"/>
              </w:rPr>
              <w:t>(1)</w:t>
            </w:r>
          </w:p>
        </w:tc>
        <w:tc>
          <w:tcPr>
            <w:tcW w:w="8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0" w:type="dxa"/>
            <w:vAlign w:val="bottom"/>
          </w:tcPr>
          <w:p>
            <w:pPr>
              <w:spacing w:after="0"/>
              <w:rPr>
                <w:sz w:val="21"/>
                <w:szCs w:val="21"/>
                <w:color w:val="auto"/>
              </w:rPr>
            </w:pPr>
          </w:p>
        </w:tc>
        <w:tc>
          <w:tcPr>
            <w:tcW w:w="36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66</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Reimbursement of support services </w:t>
            </w:r>
            <w:r>
              <w:rPr>
                <w:rFonts w:ascii="Arial" w:cs="Arial" w:eastAsia="Arial" w:hAnsi="Arial"/>
                <w:sz w:val="14"/>
                <w:szCs w:val="14"/>
                <w:color w:val="auto"/>
              </w:rPr>
              <w:t>(2)</w:t>
            </w:r>
          </w:p>
        </w:tc>
        <w:tc>
          <w:tcPr>
            <w:tcW w:w="8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980" w:hanging="648"/>
        <w:spacing w:after="0" w:line="277"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Included in Non-utility costs of revenues, including natural gas on CenterPoint Energy’s and CERC’s respective Condensed Statements of Consolidated Income.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amounts billed for certain support services provided to Enable. Actual support services costs are recorded net of reimbursement.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80" w:type="dxa"/>
            <w:vAlign w:val="bottom"/>
          </w:tcPr>
          <w:p>
            <w:pPr>
              <w:jc w:val="center"/>
              <w:ind w:left="302"/>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15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December 31, 2018</w:t>
            </w:r>
          </w:p>
        </w:tc>
      </w:tr>
      <w:tr>
        <w:trPr>
          <w:trHeight w:val="192"/>
        </w:trPr>
        <w:tc>
          <w:tcPr>
            <w:tcW w:w="8340" w:type="dxa"/>
            <w:vAlign w:val="bottom"/>
          </w:tcPr>
          <w:p>
            <w:pPr>
              <w:spacing w:after="0"/>
              <w:rPr>
                <w:sz w:val="16"/>
                <w:szCs w:val="16"/>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44"/>
        </w:trPr>
        <w:tc>
          <w:tcPr>
            <w:tcW w:w="8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21"/>
                <w:szCs w:val="21"/>
                <w:color w:val="auto"/>
              </w:rPr>
            </w:pP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CenterPoint Energy</w:t>
            </w: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for natural gas purchases from Enable</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8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for amounts billed for services provided to Enable</w:t>
            </w:r>
          </w:p>
        </w:tc>
        <w:tc>
          <w:tcPr>
            <w:tcW w:w="108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CERC</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for natural gas purchases from Enable</w:t>
            </w:r>
          </w:p>
        </w:tc>
        <w:tc>
          <w:tcPr>
            <w:tcW w:w="108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8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for amounts billed for services provided to Enable</w:t>
            </w:r>
          </w:p>
        </w:tc>
        <w:tc>
          <w:tcPr>
            <w:tcW w:w="10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CERC’s continuing involvement with Enable subsequent to the Internal Spin described below is limited to its natural gas purchases from Enable.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unaudited consolidated income information for Enable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819</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265</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Enable common units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Reconciliation of Equity in Earnings (Losses), net:</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CenterPoint Energy’s interest</w:t>
            </w: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Basis difference amortization (1)</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dilution, net of proportional basis difference recognition</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CenterPoint Energy’s equity in earnings, net</w:t>
            </w: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127</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Equity in earnings of unconsolidated affiliate includes CenterPoint Energy’s share of Enable earnings adjusted for the amortization of the basis difference of CenterPoint Energy’s original investment in Enable and its underlying equity in net assets of Enable. The basis difference is being amortized through the year 2048.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unaudited consolidated balance sheet information for Enable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80" w:type="dxa"/>
            <w:vAlign w:val="bottom"/>
            <w:gridSpan w:val="4"/>
          </w:tcPr>
          <w:p>
            <w:pPr>
              <w:jc w:val="right"/>
              <w:ind w:right="105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12,033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Preferred equity</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Enable partners’ equity</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Investment in Enable: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CenterPoint Energy’s ownership interest in Enable partners’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CenterPoint Energy’s basis difference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CenterPoint Energy’s equity method investment in Enable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Discontinued Operations (CERC):</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4, 2018, CERC completed the Internal Spin. CERC executed the Internal Spin to, among other things, enhance the access of CERC and CenterPoint Energy to low cost debt and equity through increased transparency and understandability of the financial statements, improve CERC’s credit quality by eliminating the exposure to Enable’s midstream business and provide clarity of internal reporting and performance metrics to enhance management’s decision making for CERC and CNP Midstream.</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Internal Spin represents a significant strategic shift that has a material effect on CERC’s operations and financial results and, as a result, CERC’s distribution of its equity investment in Enable met the criteria for discontinued operations classification. CERC has no continuing involvement in the equity investment of Enable. Therefore, CERC’s equity in earnings and related income taxes have been classified as Income from discontinued operations, net of tax, in CERC’s Condensed Statements of Consolidated Income for the periods presented. The following table presents amounts included in Income from discontinued operations, net of tax in CERC’s Condensed Statements of Consolidated Income.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Three months ended June</w:t>
            </w: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30, 2018</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gridSpan w:val="3"/>
          </w:tcPr>
          <w:p>
            <w:pPr>
              <w:ind w:left="10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 net</w:t>
            </w:r>
          </w:p>
        </w:tc>
        <w:tc>
          <w:tcPr>
            <w:tcW w:w="36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6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43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Other Intangibles (CenterPoint Energy and CERC)</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CenterPoint Energy’s goodwill by reportable segment as of December 31, 2018 and changes in the carrying amount of goodwill as of June 30, 2019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Additions </w:t>
            </w:r>
            <w:r>
              <w:rPr>
                <w:rFonts w:ascii="Arial" w:cs="Arial" w:eastAsia="Arial" w:hAnsi="Arial"/>
                <w:sz w:val="10"/>
                <w:szCs w:val="10"/>
                <w:b w:val="1"/>
                <w:bCs w:val="1"/>
                <w:color w:val="auto"/>
              </w:rPr>
              <w:t>(1)</w:t>
            </w:r>
          </w:p>
        </w:tc>
        <w:tc>
          <w:tcPr>
            <w:tcW w:w="300" w:type="dxa"/>
            <w:vAlign w:val="bottom"/>
          </w:tcPr>
          <w:p>
            <w:pPr>
              <w:spacing w:after="0"/>
              <w:rPr>
                <w:sz w:val="14"/>
                <w:szCs w:val="14"/>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Indiana Electric Integrated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 Distribution</w:t>
            </w:r>
          </w:p>
        </w:tc>
        <w:tc>
          <w:tcPr>
            <w:tcW w:w="1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Energy Services </w:t>
            </w:r>
            <w:r>
              <w:rPr>
                <w:rFonts w:ascii="Arial" w:cs="Arial" w:eastAsia="Arial" w:hAnsi="Arial"/>
                <w:sz w:val="14"/>
                <w:szCs w:val="14"/>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Infrastructure Services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CenterPoint Energy is currently assessing the allocation of goodwill to reportable segments subsequent to the Merger. See Note 3.</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presented is net of the accumulated goodwill impairment charge of $252 million recorded in 2012.</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CERC’s goodwill by reportable segment as of June 30, 2019 and December 31, 2018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8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w w:val="99"/>
              </w:rPr>
              <w:t>(in millions)</w:t>
            </w:r>
          </w:p>
        </w:tc>
        <w:tc>
          <w:tcPr>
            <w:tcW w:w="8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Distribution</w:t>
            </w:r>
          </w:p>
        </w:tc>
        <w:tc>
          <w:tcPr>
            <w:tcW w:w="122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Energy Services </w:t>
            </w:r>
            <w:r>
              <w:rPr>
                <w:rFonts w:ascii="Arial" w:cs="Arial" w:eastAsia="Arial" w:hAnsi="Arial"/>
                <w:sz w:val="14"/>
                <w:szCs w:val="14"/>
                <w:color w:val="auto"/>
              </w:rPr>
              <w:t>(1)</w:t>
            </w:r>
          </w:p>
        </w:tc>
        <w:tc>
          <w:tcPr>
            <w:tcW w:w="1220" w:type="dxa"/>
            <w:vAlign w:val="bottom"/>
          </w:tcPr>
          <w:p>
            <w:pPr>
              <w:spacing w:after="0"/>
              <w:rPr>
                <w:sz w:val="21"/>
                <w:szCs w:val="21"/>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w w:val="86"/>
              </w:rPr>
              <w:t>110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8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6"/>
              </w:rPr>
              <w:t>867</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867</w:t>
            </w:r>
          </w:p>
        </w:tc>
      </w:tr>
      <w:tr>
        <w:trPr>
          <w:trHeight w:val="20"/>
        </w:trPr>
        <w:tc>
          <w:tcPr>
            <w:tcW w:w="8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Amount presented is net of the accumulated goodwill impairment charge of $252 million recorded in 2012.</w:t>
      </w:r>
    </w:p>
    <w:p>
      <w:pPr>
        <w:spacing w:after="0" w:line="3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tables below present information on CenterPoint Energy’s other intangible assets recorded in Intangible assets, net on CenterPoint Energy’s Condensed Consolidated Balance Sheets and the related amortization expense included in Depreciation and amortization on CenterPoint Energy’s Condensed Statements of Consolidated Income, unless otherwise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3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Balance</w:t>
            </w:r>
          </w:p>
        </w:tc>
        <w:tc>
          <w:tcPr>
            <w:tcW w:w="11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Net Balance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4"/>
                <w:szCs w:val="14"/>
                <w:color w:val="auto"/>
              </w:rPr>
              <w:t>(1)</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Covenants not to compete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Trade names </w:t>
            </w:r>
            <w:r>
              <w:rPr>
                <w:rFonts w:ascii="Arial" w:cs="Arial" w:eastAsia="Arial" w:hAnsi="Arial"/>
                <w:sz w:val="14"/>
                <w:szCs w:val="14"/>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 xml:space="preserve">Construction backlog </w:t>
            </w:r>
            <w:r>
              <w:rPr>
                <w:rFonts w:ascii="Arial" w:cs="Arial" w:eastAsia="Arial" w:hAnsi="Arial"/>
                <w:sz w:val="14"/>
                <w:szCs w:val="14"/>
                <w:color w:val="auto"/>
              </w:rPr>
              <w:t>(1) (2)</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 (2)</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fair value of intangible assets acquired through acquisitions is preliminary and subject to change. See Note 3.</w:t>
      </w:r>
    </w:p>
    <w:p>
      <w:pPr>
        <w:spacing w:after="0" w:line="13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and construction backlog is included in Non-utility cost of revenues, including natural gas on CenterPoint Energy’s Condensed Statements of Consolidated Income.</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820" w:type="dxa"/>
            <w:vAlign w:val="bottom"/>
          </w:tcPr>
          <w:p>
            <w:pPr>
              <w:spacing w:after="0"/>
              <w:rPr>
                <w:sz w:val="22"/>
                <w:szCs w:val="22"/>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50"/>
        </w:trPr>
        <w:tc>
          <w:tcPr>
            <w:tcW w:w="5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w w:val="94"/>
              </w:rPr>
              <w:t>(in millions)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5"/>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expense of intangible assets recorded in Depreciation and</w:t>
            </w: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7"/>
        </w:trPr>
        <w:tc>
          <w:tcPr>
            <w:tcW w:w="5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amortization </w:t>
            </w:r>
            <w:r>
              <w:rPr>
                <w:rFonts w:ascii="Arial" w:cs="Arial" w:eastAsia="Arial" w:hAnsi="Arial"/>
                <w:sz w:val="14"/>
                <w:szCs w:val="14"/>
                <w:color w:val="auto"/>
              </w:rPr>
              <w:t>(1)</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r>
      <w:tr>
        <w:trPr>
          <w:trHeight w:val="229"/>
        </w:trPr>
        <w:tc>
          <w:tcPr>
            <w:tcW w:w="5820" w:type="dxa"/>
            <w:vAlign w:val="bottom"/>
          </w:tcPr>
          <w:p>
            <w:pPr>
              <w:ind w:left="40"/>
              <w:spacing w:after="0"/>
              <w:rPr>
                <w:sz w:val="20"/>
                <w:szCs w:val="20"/>
                <w:color w:val="auto"/>
              </w:rPr>
            </w:pPr>
            <w:r>
              <w:rPr>
                <w:rFonts w:ascii="Arial" w:cs="Arial" w:eastAsia="Arial" w:hAnsi="Arial"/>
                <w:sz w:val="18"/>
                <w:szCs w:val="18"/>
                <w:color w:val="auto"/>
              </w:rPr>
              <w:t>Amortization expense of intangible assets recorded in Non-utility cost of</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 xml:space="preserve">revenues, including natural gas </w:t>
            </w:r>
            <w:r>
              <w:rPr>
                <w:rFonts w:ascii="Arial" w:cs="Arial" w:eastAsia="Arial" w:hAnsi="Arial"/>
                <w:sz w:val="14"/>
                <w:szCs w:val="14"/>
                <w:color w:val="auto"/>
              </w:rPr>
              <w:t>(2)</w:t>
            </w: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$5 million and $8 million for the three and six months ended June 30, 2019, respectively, of amortization expense related to intangibles acquired in the Merger. The fair value of intangible assets, and related amortization assumptions, acquired through acquisitions during the six months ended June 30, 2019, is preliminary and subject to change. See Note 3.</w:t>
      </w:r>
    </w:p>
    <w:p>
      <w:pPr>
        <w:spacing w:after="0" w:line="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 $4 million benefit related to a cumulative catch-up for remeasurement of the purchase price allocation for the three months ended June 30, 2019 related to the operation and maintenance agreements and construction backlog intangibles acquired in the Merger. The fair value of intangible assets, and related amortization assumptions, acquired through acquisitions during the six months ended June 30, 2019, is preliminary and subject to change. See Note 3.</w:t>
      </w:r>
    </w:p>
    <w:p>
      <w:pPr>
        <w:spacing w:after="0" w:line="9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tables below present information on CERC’s other intangible assets recorded in Other non-current assets on CERC’s Condensed Consolidated Balance Sheets and the related amortization expense included in Depreciation and amortization on CERC’s Condensed Statements of Consolidated Income.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0"/>
              </w:rPr>
              <w:t>June 30, 2019</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w w:val="91"/>
              </w:rPr>
              <w:t>December 31, 2018</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12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Balance</w:t>
            </w:r>
          </w:p>
        </w:tc>
        <w:tc>
          <w:tcPr>
            <w:tcW w:w="1220" w:type="dxa"/>
            <w:vAlign w:val="bottom"/>
            <w:gridSpan w:val="6"/>
          </w:tcPr>
          <w:p>
            <w:pPr>
              <w:ind w:left="80"/>
              <w:spacing w:after="0" w:line="153" w:lineRule="exact"/>
              <w:rPr>
                <w:sz w:val="20"/>
                <w:szCs w:val="20"/>
                <w:color w:val="auto"/>
              </w:rPr>
            </w:pPr>
            <w:r>
              <w:rPr>
                <w:rFonts w:ascii="Arial" w:cs="Arial" w:eastAsia="Arial" w:hAnsi="Arial"/>
                <w:sz w:val="14"/>
                <w:szCs w:val="14"/>
                <w:b w:val="1"/>
                <w:bCs w:val="1"/>
                <w:color w:val="auto"/>
              </w:rPr>
              <w:t>Gross Carrying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78"/>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Net Balance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Covenants not to compete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1"/>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3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2"/>
              </w:rPr>
              <w:t>Amortization expense of intangible assets recorded in Depreciation and</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CenterPoint Energy and CERC estimate that amortization expense of intangible assets with finite lives for the next five years will be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91"/>
              </w:rPr>
              <w:t>Amortization Expense</w:t>
            </w:r>
          </w:p>
        </w:tc>
        <w:tc>
          <w:tcPr>
            <w:tcW w:w="1060" w:type="dxa"/>
            <w:vAlign w:val="bottom"/>
            <w:tcBorders>
              <w:bottom w:val="single" w:sz="8" w:color="auto"/>
            </w:tcBorders>
          </w:tcPr>
          <w:p>
            <w:pPr>
              <w:spacing w:after="0"/>
              <w:rPr>
                <w:sz w:val="16"/>
                <w:szCs w:val="16"/>
                <w:color w:val="auto"/>
              </w:rPr>
            </w:pPr>
          </w:p>
        </w:tc>
      </w:tr>
      <w:tr>
        <w:trPr>
          <w:trHeight w:val="264"/>
        </w:trPr>
        <w:tc>
          <w:tcPr>
            <w:tcW w:w="39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CenterPoint Energy</w:t>
            </w: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CERC</w:t>
            </w:r>
          </w:p>
        </w:tc>
      </w:tr>
      <w:tr>
        <w:trPr>
          <w:trHeight w:val="250"/>
        </w:trPr>
        <w:tc>
          <w:tcPr>
            <w:tcW w:w="39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60" w:type="dxa"/>
            <w:vAlign w:val="bottom"/>
            <w:gridSpan w:val="2"/>
          </w:tcPr>
          <w:p>
            <w:pPr>
              <w:ind w:left="122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six months of 2019</w:t>
            </w:r>
          </w:p>
        </w:tc>
        <w:tc>
          <w:tcPr>
            <w:tcW w:w="4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29</w:t>
            </w:r>
          </w:p>
        </w:tc>
        <w:tc>
          <w:tcPr>
            <w:tcW w:w="7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2020</w:t>
            </w:r>
          </w:p>
        </w:tc>
        <w:tc>
          <w:tcPr>
            <w:tcW w:w="3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ind w:left="124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3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31</w:t>
            </w: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2022</w:t>
            </w:r>
          </w:p>
        </w:tc>
        <w:tc>
          <w:tcPr>
            <w:tcW w:w="3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ind w:left="124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3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31</w:t>
            </w: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2024</w:t>
            </w:r>
          </w:p>
        </w:tc>
        <w:tc>
          <w:tcPr>
            <w:tcW w:w="3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ind w:left="1240"/>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918"/>
        </w:trPr>
        <w:tc>
          <w:tcPr>
            <w:tcW w:w="3940" w:type="dxa"/>
            <w:vAlign w:val="bottom"/>
          </w:tcPr>
          <w:p>
            <w:pPr>
              <w:spacing w:after="0"/>
              <w:rPr>
                <w:sz w:val="24"/>
                <w:szCs w:val="24"/>
                <w:color w:val="auto"/>
              </w:rPr>
            </w:pPr>
          </w:p>
        </w:tc>
        <w:tc>
          <w:tcPr>
            <w:tcW w:w="3860" w:type="dxa"/>
            <w:vAlign w:val="bottom"/>
          </w:tcPr>
          <w:p>
            <w:pPr>
              <w:jc w:val="right"/>
              <w:ind w:right="191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Indexed Debt Securities (ZENS) and Securities Related to ZENS (CenterPoint Energy)</w:t>
      </w:r>
    </w:p>
    <w:p>
      <w:pPr>
        <w:spacing w:after="0" w:line="229" w:lineRule="exact"/>
        <w:rPr>
          <w:rFonts w:ascii="Arial" w:cs="Arial" w:eastAsia="Arial" w:hAnsi="Arial"/>
          <w:sz w:val="18"/>
          <w:szCs w:val="18"/>
          <w:b w:val="1"/>
          <w:bCs w:val="1"/>
          <w:color w:val="auto"/>
        </w:rPr>
      </w:pPr>
    </w:p>
    <w:p>
      <w:pPr>
        <w:ind w:left="420" w:hanging="250"/>
        <w:spacing w:after="0"/>
        <w:tabs>
          <w:tab w:leader="none" w:pos="420"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Securities Related to ZENS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subsidiary of CenterPoint Energy holds shares of certain securities detailed in the table below, which are classified as trading securities and are expected to be held to facilitate CenterPoint Energy’s ability to meet its obligation under the ZENS. Unrealized gains and losses resulting from changes in the market value of the ZENS-Related Securities are recorded in CenterPoint Energy’s Condensed Statements of Consolidated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1296"/>
              <w:spacing w:after="0"/>
              <w:rPr>
                <w:sz w:val="20"/>
                <w:szCs w:val="20"/>
                <w:color w:val="auto"/>
              </w:rPr>
            </w:pPr>
            <w:r>
              <w:rPr>
                <w:rFonts w:ascii="Arial" w:cs="Arial" w:eastAsia="Arial" w:hAnsi="Arial"/>
                <w:sz w:val="14"/>
                <w:szCs w:val="14"/>
                <w:b w:val="1"/>
                <w:bCs w:val="1"/>
                <w:color w:val="auto"/>
              </w:rPr>
              <w:t>Shares Held</w:t>
            </w:r>
          </w:p>
        </w:tc>
      </w:tr>
      <w:tr>
        <w:trPr>
          <w:trHeight w:val="217"/>
        </w:trPr>
        <w:tc>
          <w:tcPr>
            <w:tcW w:w="7900" w:type="dxa"/>
            <w:vAlign w:val="bottom"/>
          </w:tcPr>
          <w:p>
            <w:pPr>
              <w:spacing w:after="0"/>
              <w:rPr>
                <w:sz w:val="18"/>
                <w:szCs w:val="18"/>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 2019</w:t>
            </w:r>
          </w:p>
        </w:tc>
        <w:tc>
          <w:tcPr>
            <w:tcW w:w="1700" w:type="dxa"/>
            <w:vAlign w:val="bottom"/>
          </w:tcPr>
          <w:p>
            <w:pPr>
              <w:jc w:val="right"/>
              <w:ind w:right="176"/>
              <w:spacing w:after="0"/>
              <w:rPr>
                <w:sz w:val="20"/>
                <w:szCs w:val="20"/>
                <w:color w:val="auto"/>
              </w:rPr>
            </w:pPr>
            <w:r>
              <w:rPr>
                <w:rFonts w:ascii="Arial" w:cs="Arial" w:eastAsia="Arial" w:hAnsi="Arial"/>
                <w:sz w:val="14"/>
                <w:szCs w:val="14"/>
                <w:b w:val="1"/>
                <w:bCs w:val="1"/>
                <w:color w:val="auto"/>
              </w:rPr>
              <w:t>December 31, 2018</w:t>
            </w:r>
          </w:p>
        </w:tc>
      </w:tr>
      <w:tr>
        <w:trPr>
          <w:trHeight w:val="53"/>
        </w:trPr>
        <w:tc>
          <w:tcPr>
            <w:tcW w:w="790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AT&amp;T Common</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10,212,945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10,212,945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Charter Common</w:t>
            </w:r>
          </w:p>
        </w:tc>
        <w:tc>
          <w:tcPr>
            <w:tcW w:w="1720" w:type="dxa"/>
            <w:vAlign w:val="bottom"/>
          </w:tcPr>
          <w:p>
            <w:pPr>
              <w:jc w:val="right"/>
              <w:ind w:right="39"/>
              <w:spacing w:after="0"/>
              <w:rPr>
                <w:sz w:val="20"/>
                <w:szCs w:val="20"/>
                <w:color w:val="auto"/>
              </w:rPr>
            </w:pPr>
            <w:r>
              <w:rPr>
                <w:rFonts w:ascii="Arial" w:cs="Arial" w:eastAsia="Arial" w:hAnsi="Arial"/>
                <w:sz w:val="18"/>
                <w:szCs w:val="18"/>
                <w:color w:val="auto"/>
              </w:rPr>
              <w:t>872,503</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872,912</w:t>
            </w:r>
          </w:p>
        </w:tc>
      </w:tr>
    </w:tbl>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ZENS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1999, CenterPoint Energy issued ZENS having an original principal amount of $1.0 billion of which $828 million remained outstanding as of June 30, 2019.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June 30, 2019</w:t>
            </w:r>
          </w:p>
        </w:tc>
        <w:tc>
          <w:tcPr>
            <w:tcW w:w="1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900" w:type="dxa"/>
            <w:vAlign w:val="bottom"/>
          </w:tcPr>
          <w:p>
            <w:pPr>
              <w:spacing w:after="0"/>
              <w:rPr>
                <w:sz w:val="21"/>
                <w:szCs w:val="21"/>
                <w:color w:val="auto"/>
              </w:rPr>
            </w:pPr>
          </w:p>
        </w:tc>
        <w:tc>
          <w:tcPr>
            <w:tcW w:w="3520" w:type="dxa"/>
            <w:vAlign w:val="bottom"/>
            <w:gridSpan w:val="2"/>
          </w:tcPr>
          <w:p>
            <w:pPr>
              <w:jc w:val="right"/>
              <w:ind w:right="1336"/>
              <w:spacing w:after="0"/>
              <w:rPr>
                <w:sz w:val="20"/>
                <w:szCs w:val="20"/>
                <w:color w:val="auto"/>
              </w:rPr>
            </w:pPr>
            <w:r>
              <w:rPr>
                <w:rFonts w:ascii="Arial" w:cs="Arial" w:eastAsia="Arial" w:hAnsi="Arial"/>
                <w:sz w:val="14"/>
                <w:szCs w:val="14"/>
                <w:b w:val="1"/>
                <w:bCs w:val="1"/>
                <w:color w:val="auto"/>
              </w:rPr>
              <w:t>(in shares)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AT&amp;T Common</w:t>
            </w:r>
          </w:p>
        </w:tc>
        <w:tc>
          <w:tcPr>
            <w:tcW w:w="18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0.7185</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0.7185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Charter Common</w:t>
            </w:r>
          </w:p>
        </w:tc>
        <w:tc>
          <w:tcPr>
            <w:tcW w:w="1840" w:type="dxa"/>
            <w:vAlign w:val="bottom"/>
          </w:tcPr>
          <w:p>
            <w:pPr>
              <w:jc w:val="right"/>
              <w:ind w:right="159"/>
              <w:spacing w:after="0"/>
              <w:rPr>
                <w:sz w:val="20"/>
                <w:szCs w:val="20"/>
                <w:color w:val="auto"/>
              </w:rPr>
            </w:pPr>
            <w:r>
              <w:rPr>
                <w:rFonts w:ascii="Arial" w:cs="Arial" w:eastAsia="Arial" w:hAnsi="Arial"/>
                <w:sz w:val="18"/>
                <w:szCs w:val="18"/>
                <w:color w:val="auto"/>
              </w:rPr>
              <w:t>0.061382</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0.061382</w:t>
            </w: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CenterPoint Energy pays interest on the ZENS at an annual rate of 2% plus the amount of any quarterly cash dividends paid in respect of the ZENS-Related Securities. The principal amount of the ZENS is subject to increases or decreases to the extent that the annual yield from interest and cash dividends on the ZENS-Related Securities is less than or more than 2.309%. The adjusted principal amount is defined in the ZENS instrument as “contingent principal.” As of June 30, 2019, the ZENS, having an original principal amount of $828 million and a contingent principal amount of $84 million, were outstanding and were exchangeable at the option of the holders for cash equal to 95% of the market value of the ZENS-Related Securities.</w:t>
      </w:r>
    </w:p>
    <w:p>
      <w:pPr>
        <w:spacing w:after="0" w:line="154"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 and Long-term Debt</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Short-term Borrowings (CenterPoint Energy and CERC)</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Inventory Financing</w:t>
      </w:r>
      <w:r>
        <w:rPr>
          <w:rFonts w:ascii="Arial" w:cs="Arial" w:eastAsia="Arial" w:hAnsi="Arial"/>
          <w:sz w:val="16"/>
          <w:szCs w:val="16"/>
          <w:color w:val="auto"/>
        </w:rPr>
        <w:t>. NGD has AMAs associated with its utility distribution service in Arkansas, Louisiana, Mississippi, Oklahoma and Texas. The</w:t>
      </w:r>
      <w:r>
        <w:rPr>
          <w:rFonts w:ascii="Arial" w:cs="Arial" w:eastAsia="Arial" w:hAnsi="Arial"/>
          <w:sz w:val="16"/>
          <w:szCs w:val="16"/>
          <w:i w:val="1"/>
          <w:iCs w:val="1"/>
          <w:color w:val="auto"/>
        </w:rPr>
        <w:t xml:space="preserve"> </w:t>
      </w:r>
      <w:r>
        <w:rPr>
          <w:rFonts w:ascii="Arial" w:cs="Arial" w:eastAsia="Arial" w:hAnsi="Arial"/>
          <w:sz w:val="16"/>
          <w:szCs w:val="16"/>
          <w:color w:val="auto"/>
        </w:rPr>
        <w:t>AMAs have varying terms, the longest of which expires in 2021. Pursuant to the provisions of the agreements, NGD sells natural gas and agrees to repurchase an equivalent amount of natural gas during the winter heating seasons at the same cost. These transactions are accounted for as an inventory financing. CenterPoint Energy and CERC had no outstanding obligations related to the AMAs as of both June 30, 2019 and December 31, 2018.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Long-term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Debt Transactions. </w:t>
      </w:r>
      <w:r>
        <w:rPr>
          <w:rFonts w:ascii="Arial" w:cs="Arial" w:eastAsia="Arial" w:hAnsi="Arial"/>
          <w:sz w:val="18"/>
          <w:szCs w:val="18"/>
          <w:color w:val="auto"/>
        </w:rPr>
        <w:t>During the six months ended June 30, 2019, the following debt instruments were issued or incurred: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7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Issuance Date</w:t>
            </w:r>
          </w:p>
        </w:tc>
        <w:tc>
          <w:tcPr>
            <w:tcW w:w="100" w:type="dxa"/>
            <w:vAlign w:val="bottom"/>
            <w:vMerge w:val="restart"/>
          </w:tcPr>
          <w:p>
            <w:pPr>
              <w:spacing w:after="0"/>
              <w:rPr>
                <w:sz w:val="14"/>
                <w:szCs w:val="14"/>
                <w:color w:val="auto"/>
              </w:rPr>
            </w:pPr>
          </w:p>
        </w:tc>
        <w:tc>
          <w:tcPr>
            <w:tcW w:w="26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Debt Instrument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Aggregate Principal</w:t>
            </w: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 Rate as of</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Houston Electric</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2019</w:t>
            </w: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mortgage bonds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2049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February 2019</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Variable rate term loan</w:t>
            </w: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2019</w:t>
            </w: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Variable rate term loan</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Draw down by VCC on its variable rate term loan.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Proceeds from Houston Electric’s debt issuance were used for general limited liability company purposes, including capital expenditures. Proceeds from VCC’s draw down of its term loan were used for general corporate purposes. Proceeds from CenterPoint Energy’s term loan were used for general corporate purposes, including the repayment of commercial paper.</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Acquired Debt (CenterPoint Energy). </w:t>
      </w:r>
      <w:r>
        <w:rPr>
          <w:rFonts w:ascii="Arial" w:cs="Arial" w:eastAsia="Arial" w:hAnsi="Arial"/>
          <w:sz w:val="18"/>
          <w:szCs w:val="18"/>
          <w:color w:val="auto"/>
        </w:rPr>
        <w:t>The table below summarizes the long-term external debt of Vectren and its subsidiaries that remained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June 30,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97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Senior notes due 2020 to 2045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w:t>
            </w:r>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 xml:space="preserve">Variable rate term loan due 2020 </w:t>
            </w:r>
            <w:r>
              <w:rPr>
                <w:rFonts w:ascii="Arial" w:cs="Arial" w:eastAsia="Arial" w:hAnsi="Arial"/>
                <w:sz w:val="14"/>
                <w:szCs w:val="14"/>
                <w:color w:val="auto"/>
              </w:rPr>
              <w:t>(2)</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Variable rate term loan due 2020 </w:t>
            </w: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 xml:space="preserve">First mortgage bonds due 2022 to 2055 </w:t>
            </w:r>
            <w:r>
              <w:rPr>
                <w:rFonts w:ascii="Arial" w:cs="Arial" w:eastAsia="Arial" w:hAnsi="Arial"/>
                <w:sz w:val="14"/>
                <w:szCs w:val="14"/>
                <w:color w:val="auto"/>
              </w:rPr>
              <w:t>(4)</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293</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Commercial paper </w:t>
            </w:r>
            <w:r>
              <w:rPr>
                <w:rFonts w:ascii="Arial" w:cs="Arial" w:eastAsia="Arial" w:hAnsi="Arial"/>
                <w:sz w:val="14"/>
                <w:szCs w:val="14"/>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 xml:space="preserve">Bank revolver </w:t>
            </w:r>
            <w:r>
              <w:rPr>
                <w:rFonts w:ascii="Arial" w:cs="Arial" w:eastAsia="Arial" w:hAnsi="Arial"/>
                <w:sz w:val="14"/>
                <w:szCs w:val="14"/>
                <w:color w:val="auto"/>
              </w:rPr>
              <w:t>(6)</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9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Vectren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1,862</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9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Consists of $532 million of senior notes issued by VUHI, $96 million of senior notes issues by Indiana Gas, and $9 million of senior notes issued by VCC. The senior notes have stated interest rates that range from 3.33% to 7.08%. The senior notes issued by VUHI are guaranteed by SIGECO, Indiana Gas and VEDO. The senior notes issued by VCC are guaranteed by Vectren. In connection with the Merger, two of CenterPoint Energy’s acquired wholly-owned subsidiaries, VUHI and VCC, made offers to prepay certain outstanding guaranteed senior notes as required pursuant to certain note purchase agreements previously entered into by VUHI and VCC. In turn, VUHI and VCC borrowed $568 million and $191 million, respectively, from CenterPoint Energy to fund note redemptions effected pursuant to these prepayment offers. To fund these prepayments and payments of approximately $5 million of accrued interest, CenterPoint Energy issued approximately $764 million of commercial paper.</w:t>
      </w:r>
    </w:p>
    <w:p>
      <w:pPr>
        <w:spacing w:after="0" w:line="167"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Issued by VUHI and guaranteed by SIGECO, Indiana Gas and VEDO. As of June 30, 2019, the term loan was fully drawn upon. The term loan’s interest rate is currently priced at one-month LIBOR, plus a credit spread ranging from 70 to 90 basis points depending on credit rating.</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Issued by VCC and guaranteed by Vectren. As of June 30, 2019, the term loan was fully drawn upon, exclusive of any potential incremental term loans under the related facility’s accordion feature. The term loan’s interest rate is currently priced at one-month LIBOR, plus a credit spread of 70 basis points.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first mortgage bonds issued by SIGECO subject SIGECO’s properties to a lien under the related mortgage indenture. The first mortgage bonds have stated interest rates that range from 2.375% to 6.72%.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Issued by VUHI with maturities up to 30 days.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borrowings under the VCC credit facility, which is guaranteed by Vectren.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Maturities (CenterPoint Energy). </w:t>
      </w:r>
      <w:r>
        <w:rPr>
          <w:rFonts w:ascii="Arial" w:cs="Arial" w:eastAsia="Arial" w:hAnsi="Arial"/>
          <w:sz w:val="18"/>
          <w:szCs w:val="18"/>
          <w:color w:val="auto"/>
        </w:rPr>
        <w:t>As of June 30, 2019, maturities of CenterPoint Energy’s long-term debt were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320" w:type="dxa"/>
            <w:vAlign w:val="bottom"/>
          </w:tcPr>
          <w:p>
            <w:pPr>
              <w:jc w:val="right"/>
              <w:ind w:right="33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six months of 2019</w:t>
            </w:r>
          </w:p>
        </w:tc>
        <w:tc>
          <w:tcPr>
            <w:tcW w:w="6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2020</w:t>
            </w:r>
          </w:p>
        </w:tc>
        <w:tc>
          <w:tcPr>
            <w:tcW w:w="6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831</w:t>
            </w:r>
          </w:p>
        </w:tc>
      </w:tr>
      <w:tr>
        <w:trPr>
          <w:trHeight w:val="27"/>
        </w:trPr>
        <w:tc>
          <w:tcPr>
            <w:tcW w:w="39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2,761</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2022</w:t>
            </w:r>
          </w:p>
        </w:tc>
        <w:tc>
          <w:tcPr>
            <w:tcW w:w="6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3,769</w:t>
            </w:r>
          </w:p>
        </w:tc>
      </w:tr>
      <w:tr>
        <w:trPr>
          <w:trHeight w:val="27"/>
        </w:trPr>
        <w:tc>
          <w:tcPr>
            <w:tcW w:w="39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2024</w:t>
            </w:r>
          </w:p>
        </w:tc>
        <w:tc>
          <w:tcPr>
            <w:tcW w:w="6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684</w:t>
            </w:r>
          </w:p>
        </w:tc>
      </w:tr>
      <w:tr>
        <w:trPr>
          <w:trHeight w:val="27"/>
        </w:trPr>
        <w:tc>
          <w:tcPr>
            <w:tcW w:w="39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6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5,752</w:t>
            </w:r>
          </w:p>
        </w:tc>
      </w:tr>
      <w:tr>
        <w:trPr>
          <w:trHeight w:val="891"/>
        </w:trPr>
        <w:tc>
          <w:tcPr>
            <w:tcW w:w="3900" w:type="dxa"/>
            <w:vAlign w:val="bottom"/>
          </w:tcPr>
          <w:p>
            <w:pPr>
              <w:spacing w:after="0"/>
              <w:rPr>
                <w:sz w:val="24"/>
                <w:szCs w:val="24"/>
                <w:color w:val="auto"/>
              </w:rPr>
            </w:pPr>
          </w:p>
        </w:tc>
        <w:tc>
          <w:tcPr>
            <w:tcW w:w="6140" w:type="dxa"/>
            <w:vAlign w:val="bottom"/>
          </w:tcPr>
          <w:p>
            <w:pPr>
              <w:jc w:val="right"/>
              <w:ind w:right="4210"/>
              <w:spacing w:after="0"/>
              <w:rPr>
                <w:sz w:val="20"/>
                <w:szCs w:val="20"/>
                <w:color w:val="auto"/>
              </w:rPr>
            </w:pPr>
            <w:r>
              <w:rPr>
                <w:rFonts w:ascii="Arial" w:cs="Arial" w:eastAsia="Arial" w:hAnsi="Arial"/>
                <w:sz w:val="18"/>
                <w:szCs w:val="18"/>
                <w:color w:val="auto"/>
              </w:rPr>
              <w:t>47</w:t>
            </w: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The Registrants had the following revolving credit facilities as of June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34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Debt for</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Covenant Limit</w:t>
            </w:r>
          </w:p>
        </w:tc>
        <w:tc>
          <w:tcPr>
            <w:tcW w:w="3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 Debt for</w:t>
            </w:r>
          </w:p>
        </w:tc>
        <w:tc>
          <w:tcPr>
            <w:tcW w:w="34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Borrowed Money</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Execution</w:t>
            </w: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88"/>
              </w:rPr>
              <w:t>Size of</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Draw Rate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Borrowed</w:t>
            </w:r>
          </w:p>
        </w:tc>
        <w:tc>
          <w:tcPr>
            <w:tcW w:w="34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to Capital</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gridSpan w:val="2"/>
            <w:vMerge w:val="continue"/>
          </w:tcPr>
          <w:p>
            <w:pPr>
              <w:spacing w:after="0"/>
              <w:rPr>
                <w:sz w:val="12"/>
                <w:szCs w:val="12"/>
                <w:color w:val="auto"/>
              </w:rPr>
            </w:pPr>
          </w:p>
        </w:tc>
        <w:tc>
          <w:tcPr>
            <w:tcW w:w="276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Registrant</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Money to</w:t>
            </w:r>
          </w:p>
        </w:tc>
        <w:tc>
          <w:tcPr>
            <w:tcW w:w="34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Ratio as of</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92"/>
        </w:trPr>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2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xml:space="preserve">LIBOR plus </w:t>
            </w:r>
            <w:r>
              <w:rPr>
                <w:rFonts w:ascii="Arial" w:cs="Arial" w:eastAsia="Arial" w:hAnsi="Arial"/>
                <w:sz w:val="10"/>
                <w:szCs w:val="10"/>
                <w:b w:val="1"/>
                <w:bCs w:val="1"/>
                <w:color w:val="auto"/>
                <w:w w:val="99"/>
              </w:rPr>
              <w:t>(1)</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34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June 30, 2019 </w:t>
            </w:r>
            <w:r>
              <w:rPr>
                <w:rFonts w:ascii="Arial" w:cs="Arial" w:eastAsia="Arial" w:hAnsi="Arial"/>
                <w:sz w:val="10"/>
                <w:szCs w:val="10"/>
                <w:b w:val="1"/>
                <w:bCs w:val="1"/>
                <w:color w:val="auto"/>
                <w:w w:val="91"/>
              </w:rPr>
              <w:t>(2)</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3,300</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2"/>
              </w:rPr>
              <w:t>1.500%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58.1%</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64"/>
        </w:trPr>
        <w:tc>
          <w:tcPr>
            <w:tcW w:w="17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July 14, 2017</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(4)</w:t>
            </w:r>
          </w:p>
        </w:tc>
        <w:tc>
          <w:tcPr>
            <w:tcW w:w="2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1.125%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3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52.0%</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3"/>
              </w:rPr>
              <w:t>July 14, 2022</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July 14, 2017</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(5)</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2"/>
              </w:rPr>
              <w:t>1.250%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58.0%</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July 14, 2022</w:t>
            </w:r>
          </w:p>
        </w:tc>
        <w:tc>
          <w:tcPr>
            <w:tcW w:w="0" w:type="dxa"/>
            <w:vAlign w:val="bottom"/>
          </w:tcPr>
          <w:p>
            <w:pPr>
              <w:spacing w:after="0"/>
              <w:rPr>
                <w:sz w:val="1"/>
                <w:szCs w:val="1"/>
                <w:color w:val="auto"/>
              </w:rPr>
            </w:pPr>
          </w:p>
        </w:tc>
      </w:tr>
      <w:tr>
        <w:trPr>
          <w:trHeight w:val="264"/>
        </w:trPr>
        <w:tc>
          <w:tcPr>
            <w:tcW w:w="1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Houston Electric</w:t>
            </w:r>
          </w:p>
        </w:tc>
        <w:tc>
          <w:tcPr>
            <w:tcW w:w="2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1.125%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49.4%</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70"/>
        </w:trPr>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CERC</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2"/>
              </w:rPr>
              <w:t>1.250%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46.5%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2"/>
          </w:tcPr>
          <w:p>
            <w:pPr>
              <w:ind w:left="3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CenterPoint Energy and Houston Electric, the financial covenant limit will temporarily increase from 65%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19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credit facility was issued by VUHI, is guaranteed by SIGECO, Indiana Gas and VEDO and includes a $10 million swing line sublimit and a $20 million letter of credit sublimit. This credit facility backstops VUHI’s commercial paper program.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credit facility was issued by VCC, is guaranteed by Vectren and includes a $40 million swing line sublimit and an $80 million letter of credit sublimit.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Letters</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Commercial</w:t>
            </w: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Letters</w:t>
            </w:r>
          </w:p>
        </w:tc>
        <w:tc>
          <w:tcPr>
            <w:tcW w:w="140" w:type="dxa"/>
            <w:vAlign w:val="bottom"/>
          </w:tcPr>
          <w:p>
            <w:pPr>
              <w:spacing w:after="0"/>
              <w:rPr>
                <w:sz w:val="13"/>
                <w:szCs w:val="13"/>
                <w:color w:val="auto"/>
              </w:rPr>
            </w:pPr>
          </w:p>
        </w:tc>
        <w:tc>
          <w:tcPr>
            <w:tcW w:w="98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Registrant</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Loans</w:t>
            </w:r>
          </w:p>
        </w:tc>
        <w:tc>
          <w:tcPr>
            <w:tcW w:w="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Loans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of Credit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Paper</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of Credit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Paper</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500" w:type="dxa"/>
            <w:vAlign w:val="bottom"/>
            <w:gridSpan w:val="10"/>
          </w:tcPr>
          <w:p>
            <w:pPr>
              <w:ind w:left="540"/>
              <w:spacing w:after="0"/>
              <w:rPr>
                <w:sz w:val="20"/>
                <w:szCs w:val="20"/>
                <w:color w:val="auto"/>
              </w:rPr>
            </w:pPr>
            <w:r>
              <w:rPr>
                <w:rFonts w:ascii="Arial" w:cs="Arial" w:eastAsia="Arial" w:hAnsi="Arial"/>
                <w:sz w:val="14"/>
                <w:szCs w:val="14"/>
                <w:b w:val="1"/>
                <w:bCs w:val="1"/>
                <w:color w:val="auto"/>
              </w:rPr>
              <w:t>(in millions, except weighted average interest rates)</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(2)</w:t>
            </w:r>
          </w:p>
        </w:tc>
        <w:tc>
          <w:tcPr>
            <w:tcW w:w="22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(3)</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Houston Electric</w:t>
            </w:r>
          </w:p>
        </w:tc>
        <w:tc>
          <w:tcPr>
            <w:tcW w:w="22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CERC</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4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2,607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4"/>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CenterPoint Energy’s outstanding commercial paper generally has maturities of 60 days or less. Approximately $1.7 billion was issued to refinance commercial paper used to fund a portion of the cash consideration for the Merger, pay related fees and expenses, pay Vectren’s stub period cash dividend and long-term incentive payments and repay indebtedness of Vectren subsidiaries redeemed at the option of the holder as a result of the closing of the Merger.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credit facility was issued by VUHI and is guaranteed by SIGECO, Indiana Gas and VEDO.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credit facility was issued by VCC and is guaranteed by Vectren.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As of June 30, 2019, certain financial institutions agreed to issue, from time to time, up to $50 million of letters of credit on behalf of Vectren and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its subsidiaries in exchange for customary fees. These agreements to issue letters of credit expire on December 31, 2019. As of June 30, 2019, such financial institutions had issued $21 million of letters of credit on behalf of Vectren and certain of its subsidiaries.</w:t>
      </w:r>
    </w:p>
    <w:p>
      <w:pPr>
        <w:spacing w:after="0" w:line="16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Houston Electric had issued $68 million and $68 million of general mortgage bonds as of June 30, 2019 and December 31, 2018, respectively, as collateral for long-term debt of CenterPoint Energy that matures in 2028. These bonds are not reflected in Houston Electric’s consolidated financial statements because of the contingent nature of the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w w:val="91"/>
              </w:rPr>
              <w:t>Six Months Ended June 30,</w:t>
            </w:r>
          </w:p>
        </w:tc>
        <w:tc>
          <w:tcPr>
            <w:tcW w:w="580" w:type="dxa"/>
            <w:vAlign w:val="bottom"/>
            <w:tcBorders>
              <w:bottom w:val="single" w:sz="8" w:color="auto"/>
            </w:tcBorders>
          </w:tcPr>
          <w:p>
            <w:pPr>
              <w:spacing w:after="0"/>
              <w:rPr>
                <w:sz w:val="16"/>
                <w:szCs w:val="16"/>
                <w:color w:val="auto"/>
              </w:rPr>
            </w:pPr>
          </w:p>
        </w:tc>
      </w:tr>
      <w:tr>
        <w:trPr>
          <w:trHeight w:val="264"/>
        </w:trPr>
        <w:tc>
          <w:tcPr>
            <w:tcW w:w="368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14"/>
                <w:szCs w:val="14"/>
                <w:color w:val="auto"/>
              </w:rPr>
              <w:t>(2)</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CERC - Continuing operations </w:t>
            </w:r>
            <w:r>
              <w:rPr>
                <w:rFonts w:ascii="Arial" w:cs="Arial" w:eastAsia="Arial" w:hAnsi="Arial"/>
                <w:sz w:val="14"/>
                <w:szCs w:val="14"/>
                <w:color w:val="auto"/>
              </w:rPr>
              <w:t>(3)</w:t>
            </w:r>
          </w:p>
        </w:tc>
        <w:tc>
          <w:tcPr>
            <w:tcW w:w="1980" w:type="dxa"/>
            <w:vAlign w:val="bottom"/>
            <w:tcBorders>
              <w:bottom w:val="single" w:sz="8" w:color="CCEEFF"/>
            </w:tcBorders>
            <w:gridSpan w:val="3"/>
            <w:shd w:val="clear" w:color="auto" w:fill="CCEEFF"/>
          </w:tcPr>
          <w:p>
            <w:pPr>
              <w:jc w:val="right"/>
              <w:ind w:right="13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 xml:space="preserve">CERC - Discontinued operations </w:t>
            </w:r>
            <w:r>
              <w:rPr>
                <w:rFonts w:ascii="Arial" w:cs="Arial" w:eastAsia="Arial" w:hAnsi="Arial"/>
                <w:sz w:val="14"/>
                <w:szCs w:val="14"/>
                <w:color w:val="auto"/>
              </w:rPr>
              <w:t>(4)</w:t>
            </w:r>
          </w:p>
        </w:tc>
        <w:tc>
          <w:tcPr>
            <w:tcW w:w="1980" w:type="dxa"/>
            <w:vAlign w:val="bottom"/>
            <w:gridSpan w:val="3"/>
          </w:tcPr>
          <w:p>
            <w:pPr>
              <w:jc w:val="right"/>
              <w:ind w:right="1508"/>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60" w:type="dxa"/>
            <w:vAlign w:val="bottom"/>
            <w:gridSpan w:val="3"/>
          </w:tcPr>
          <w:p>
            <w:pPr>
              <w:jc w:val="right"/>
              <w:ind w:right="1508"/>
              <w:spacing w:after="0"/>
              <w:rPr>
                <w:sz w:val="20"/>
                <w:szCs w:val="20"/>
                <w:color w:val="auto"/>
              </w:rPr>
            </w:pPr>
            <w:r>
              <w:rPr>
                <w:rFonts w:ascii="Arial" w:cs="Arial" w:eastAsia="Arial" w:hAnsi="Arial"/>
                <w:sz w:val="18"/>
                <w:szCs w:val="18"/>
                <w:color w:val="auto"/>
              </w:rPr>
              <w:t>n/a</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29" w:lineRule="exact"/>
        <w:rPr>
          <w:sz w:val="20"/>
          <w:szCs w:val="20"/>
          <w:color w:val="auto"/>
        </w:rPr>
      </w:pPr>
    </w:p>
    <w:p>
      <w:pPr>
        <w:jc w:val="both"/>
        <w:ind w:left="660" w:hanging="328"/>
        <w:spacing w:after="0" w:line="279"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CenterPoint Energy’s lower effective tax rate for the three and six months ended June 30, 2019 compared to the same periods for 2018 was primarily due to the following: an increase in the amount of amortization of the net regulatory EDIT liability as decreed by regulators in certain jurisdictions; the impact of state tax law changes that resulted in the remeasurement of state deferred taxes; and the release of a valuation allowance on certain state net operating losses that are now expected to be utilized prior to expiration due to a current period law change.</w:t>
      </w:r>
    </w:p>
    <w:p>
      <w:pPr>
        <w:spacing w:after="0" w:line="17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Houston Electric’s lower effective tax rate for the three and six months ended June 30, 2019 compared to the same periods for 2018 was primarily due to an increase in the amount of amortization of the net regulatory EDIT liability as decreed by regulators.</w:t>
      </w:r>
    </w:p>
    <w:p>
      <w:pPr>
        <w:spacing w:after="0" w:line="170"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CERC’s lower effective tax rate on income from continuing operations for the three and six months ended June 30, 2019 compared to the same periods for 2018 was primarily due to the following: an increase in the amount of amortization of the net regulatory EDIT liability as decreed by regulators in certain jurisdictions; the impact of state tax law changes that resulted in the remeasurement of state deferred taxes; and the release of a valuation allowance on certain state net operating losses that are now expected to be utilized prior to expiration due to a current period law change. The state law changes and valuation allowance release resulted in a lower than expected effective tax rate for the three months ended June 30, 2019 as compared to the three months ended June 30, 2018.</w:t>
      </w:r>
    </w:p>
    <w:p>
      <w:pPr>
        <w:spacing w:after="0" w:line="19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CERC’s effective tax rate on income from discontinued operations for the three and six months ended June 30, 2018 was a result of the 21% federal income tax rate plus allocable state income taxes. There are no comparable periods in 2019 since the Internal Spin was completed in the third quarter of 2018.</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Registrants reported a net uncertain tax liability inclusive of interest and penalties of less than $1 million for the three months ended June 30, 2019, which reflects a release of approximately $1 million following the anticipated completion of Vectren’s 2016 IRS audit. No significant changes to the uncertain tax liability are expected over the next twelve months. For legacy CenterPoint Energy, tax years through 2016 have been audited and settled with the IRS; however, during 2018, CenterPoint Energy filed an amended 2014 tax return to claim additional tax credits that is currently under review by the IRS. For the 2017 – 2019 tax years, CenterPoint Energy is a participant in the IRS’s Compliance Assurance Process.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Obligations (CenterPoint Energy and CERC)</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Commitments include minimum purchase obligations related to CenterPoint Energy’s and CERC’s Natural Gas Distribution and Energy Services reportable segments and CenterPoint Energy’s Indiana Electric Integrated reportable segment. Contracts with minimum payment provisions have various quantity requirements and durations and are not classified as non-trading derivative assets and liabilities in CenterPoint Energy’s and CERC’s Condensed Consolidated Balance Sheets as of June 30, 2019 and December 31, 2018. These contracts meet an exception as “normal purchases contracts” or do not meet the definition of a derivative. Natural gas and coal supply commitments also include transportation contracts that do not meet the definition of a derivative.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minimum purchase obligations are approximately: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CenterPoint Energy</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CERC</w:t>
            </w:r>
          </w:p>
        </w:tc>
      </w:tr>
      <w:tr>
        <w:trPr>
          <w:trHeight w:val="250"/>
        </w:trPr>
        <w:tc>
          <w:tcPr>
            <w:tcW w:w="8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six months of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658</w:t>
            </w: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459</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576</w:t>
            </w: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402</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228</w:t>
            </w: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132</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 and beyond</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1,639</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1,276</w:t>
            </w:r>
          </w:p>
        </w:tc>
      </w:tr>
      <w:tr>
        <w:trPr>
          <w:trHeight w:val="27"/>
        </w:trPr>
        <w:tc>
          <w:tcPr>
            <w:tcW w:w="8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Indiana Electric Integrated also has other purchased power agreements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normal course of business, ESG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Specific to ESG’s role as a general contractor in the performance contracting industry, as of June 30, 2019, there were 68 open surety bonds supporting future performance with an aggregate face amount of approximately $705 million. ESG’s exposure is less than the face amount of the surety bonds and is limited to the level of uncompleted work under the contracts. As of June 30, 2019, approximately 40% of the work was yet to be completed on projects with open surety bonds. Further, various subcontractors issue surety bonds to ESG. In addition to these performance obligations, ESG also warrants the functionality of certain installed infrastructure generally for one year and the associated energy savings over a specified number of years. Since ESG’s inception in 1994, CenterPoint Energy believes ESG has had a history of generally meeting its performance obligations and energy savings guarantees and its installed products operating effectively. CenterPoint Energy assessed the fair value of its obligation for such guarantees as of June 30, 2019 and no amounts were recorded on CenterPoint Energy’s Condensed Consolidated Balance Sheets. The Merger purchase price allocation, including the fair value of liabilities for guarantees on the Merger Date, remains preliminary. See Note 3.</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CenterPoint Energy issues parent company level guarantees to certain vendors, customers and other commercial counterparties of ESG. These guarantees do not represent incremental consolidated obligations, but rather, represent guarantees of subsidiary obligations to allow those subsidiaries to conduct business without posting other forms of assurance. As of June 30, 2019, CenterPoint Energy, primarily through Vectren, has issued parent company level guarantees supporting ESG’s obligations. For those obligations where potential exposure can be estimated, management estimates the maximum exposure under these guarantees to be approximately $489 million as of June 30, 2019.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right="7720" w:firstLine="152"/>
        <w:spacing w:after="0" w:line="501" w:lineRule="auto"/>
        <w:tabs>
          <w:tab w:leader="none" w:pos="666"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jc w:val="both"/>
        <w:ind w:firstLine="324"/>
        <w:spacing w:after="0" w:line="272" w:lineRule="auto"/>
        <w:rPr>
          <w:sz w:val="20"/>
          <w:szCs w:val="20"/>
          <w:color w:val="auto"/>
        </w:rPr>
      </w:pPr>
      <w:r>
        <w:rPr>
          <w:rFonts w:ascii="Arial" w:cs="Arial" w:eastAsia="Arial" w:hAnsi="Arial"/>
          <w:sz w:val="17"/>
          <w:szCs w:val="17"/>
          <w:i w:val="1"/>
          <w:iCs w:val="1"/>
          <w:color w:val="auto"/>
        </w:rPr>
        <w:t>Gas Market Manipulation Cases (CenterPoint Energy and CERC)</w:t>
      </w:r>
      <w:r>
        <w:rPr>
          <w:rFonts w:ascii="Arial" w:cs="Arial" w:eastAsia="Arial" w:hAnsi="Arial"/>
          <w:sz w:val="17"/>
          <w:szCs w:val="17"/>
          <w:color w:val="auto"/>
        </w:rPr>
        <w:t>. CenterPoint Energy, its predecessor, Reliant Energy, and certain of their former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were named as defendants in a large number of lawsuits filed against numerous gas market participants in a number of federal and western state courts in connection with the operation of the natural gas markets in 2000-2002. CenterPoint Energy and its affiliates were released or dismissed from all such cases, except for one case pending in federal court in Nevada in which CES, a subsidiary of CERC, is a defendant. Plaintiffs in that case allege a conspiracy to inflate Wisconsin natural gas prices in 2000-2002. In May 2016, the district court granted CES’s motion for summary judgment, dismissing CES from the case. In August 2018, the Ninth Circuit Court of Appeals reversed that ruling, and CES requested further appellate review of that decision (which review has been stayed pending approval of the settlement agreement described below).</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a master separation agreement between CenterPoint Energy and a former subsidiary, RRI, CenterPoint Energy and its subsidiaries are entitled to be indemnified by RRI and its successors for any losses, including certain attorneys’ fees and other costs, arising out of these lawsuits. Through a series of transactions, RRI became known as GenOn and a wholly-owned subsidiary of NRG. None of those transactions alters GenOn’s contractual obligations to indemnify CenterPoint Energy and its subsidiaries for certain liabilities, including their indemnification obligations regarding the gas market manipulation litigation. In June 2017, however, GenOn and various affiliates filed for protection under Chapter 11 of the U.S. Bankruptcy Code. In December 2018, GenOn completed its reorganization and emerged from Chapter 11. CenterPoint Energy, CERC, and CES submitted proofs of claim in the bankruptcy proceedings to protect their indemnity rights. In October 2018, CES, GenOn, and the plaintiffs reached an agreement to settle all claims against CES and CES’s indemnity claims against GenOn, subject to approvals by the bankruptcy court and the federal district court. In January 2019, the bankruptcy court approved the settlement between CES and GenOn, and in August 2019, the federal district court issued final approval. CES will now complete the settlement payments, and the matter should be concluded later this year. This settlement did not have a material adverse effect on CenterPoint Energy’s or CERC’s financial condition, results of operations or cash flows.</w:t>
      </w:r>
    </w:p>
    <w:p>
      <w:pPr>
        <w:spacing w:after="0" w:line="18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Minnehaha Academy (CenterPoint Energy and CERC). </w:t>
      </w:r>
      <w:r>
        <w:rPr>
          <w:rFonts w:ascii="Arial" w:cs="Arial" w:eastAsia="Arial" w:hAnsi="Arial"/>
          <w:sz w:val="16"/>
          <w:szCs w:val="16"/>
          <w:color w:val="auto"/>
        </w:rPr>
        <w:t>On August 2, 2017, a natural gas explosion occurred at the Minnehaha Academy in Minneapolis,</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resulting in the deaths of two school employees, serious injuries to others and significant property damage to the school. CenterPoint Energy, certain of its subsidiaries, including CERC, and the contractor company working in the school have been named in litigation arising out of this incident. CenterPoint Energy and CERC have reached confidential settlement agreements with some claimants. Additionally, CenterPoint Energy and CERC are cooperating with the ongoing investigation conducted by the National Transportation Safety Board. Further, CenterPoint Energy and CERC contested and have since reached a settlement regarding approximately $200,000 in fines imposed by the Minnesota Office of Pipeline Safety. In early 2018, the Minnesota Occupational Safety and Health Administration concluded its investigation without any adverse findings against CenterPoint Energy or CERC. CenterPoint Energy’s and CERC’s general and excess liability insurance policies provide coverage for third party bodily injury and property damage claims.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Litigation Related to the Merger (CenterPoint Energy). </w:t>
      </w:r>
      <w:r>
        <w:rPr>
          <w:rFonts w:ascii="Arial" w:cs="Arial" w:eastAsia="Arial" w:hAnsi="Arial"/>
          <w:sz w:val="16"/>
          <w:szCs w:val="16"/>
          <w:color w:val="auto"/>
        </w:rPr>
        <w:t>With respect to the Merger, in July 2018, seven separate lawsuits were filed against Vectren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individual directors of Vectren’s Board of Directors in the U.S. District Court for the Southern District of Indiana. These lawsuits allege violations of Sections 14(a) of the Exchange Act and SEC Rule 14a-9 on the grounds that the Vectren Proxy Statement filed on June 18, 2018 was materially incomplete because it omitted material information concerning the Merger. The lawsuits also seek certification as class actions. In August 2018, the seven lawsuits were consolidated, and the Court denied the plaintiffs’ request for a preliminary injunction. The plaintiffs filed their Consolidated Amended Class Action Complaint in October 2018, which the defendants have moved to dismiss and which motion remains pending. The plaintiffs filed their response in opposition to the motion to dismiss in January 2019, and Vectren filed its reply in support of the motion to dismiss in February 2019. In December 2018, two plaintiffs voluntarily dismissed their lawsuits, for which the Court entered an order approving the voluntary dismissal and dismissed without prejudice in January 2019. The defendants believe that the allegations asserted are without merit and intend to vigorously defend themselves against the claims raised. CenterPoint Energy does not expect the ultimate outcome of this matter to have a material adverse effect on its financial condition, results of operations or cash flows.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MGP Sites. </w:t>
      </w:r>
      <w:r>
        <w:rPr>
          <w:rFonts w:ascii="Arial" w:cs="Arial" w:eastAsia="Arial" w:hAnsi="Arial"/>
          <w:sz w:val="18"/>
          <w:szCs w:val="18"/>
          <w:color w:val="auto"/>
        </w:rPr>
        <w:t>CenterPoint Energy, CERC and their predecessors operated MGPs in the past. In addition, certain of CenterPoint Energy’s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through the Merger operated MGPs in the past. The costs CenterPoint 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costs which they presently expect to incur in connection with activities at these sites, it is possible that future events may require remedial activities which are not presently foreseen, and those costs may not be subject to PRP or insurance recovery.</w:t>
      </w:r>
    </w:p>
    <w:p>
      <w:pPr>
        <w:spacing w:after="0" w:line="170" w:lineRule="exact"/>
        <w:rPr>
          <w:sz w:val="20"/>
          <w:szCs w:val="20"/>
          <w:color w:val="auto"/>
        </w:rPr>
      </w:pPr>
    </w:p>
    <w:p>
      <w:pPr>
        <w:jc w:val="both"/>
        <w:ind w:left="660" w:hanging="328"/>
        <w:spacing w:after="0" w:line="25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Minnesota MGPs (CenterPoint Energy and CERC)</w:t>
      </w:r>
      <w:r>
        <w:rPr>
          <w:rFonts w:ascii="Arial" w:cs="Arial" w:eastAsia="Arial" w:hAnsi="Arial"/>
          <w:sz w:val="18"/>
          <w:szCs w:val="18"/>
          <w:color w:val="auto"/>
        </w:rPr>
        <w:t>. With respect to certain Minnesota MGP sites, CenterPoint Energy and CERC have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state-ordered remediation and continue state-ordered monitoring and water treatment. CenterPoint Energy and CERC recorded a liability as reflected in the table below for continued monitoring and any future remediation required by regulators in Minnesota. The estimated range of possible remediation costs for the sites for which CenterPoint Energy and CERC believe they may have responsibility was based on remediation continuing for the time frame given in the table below.</w:t>
      </w:r>
    </w:p>
    <w:p>
      <w:pPr>
        <w:spacing w:after="0" w:line="19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2"/>
          </w:tcPr>
          <w:p>
            <w:pPr>
              <w:jc w:val="center"/>
              <w:ind w:left="957"/>
              <w:spacing w:after="0"/>
              <w:rPr>
                <w:sz w:val="20"/>
                <w:szCs w:val="20"/>
                <w:color w:val="auto"/>
              </w:rPr>
            </w:pPr>
            <w:r>
              <w:rPr>
                <w:rFonts w:ascii="Arial" w:cs="Arial" w:eastAsia="Arial" w:hAnsi="Arial"/>
                <w:sz w:val="14"/>
                <w:szCs w:val="14"/>
                <w:b w:val="1"/>
                <w:bCs w:val="1"/>
                <w:color w:val="auto"/>
                <w:w w:val="92"/>
              </w:rPr>
              <w:t>June 30, 2019</w:t>
            </w:r>
          </w:p>
        </w:tc>
        <w:tc>
          <w:tcPr>
            <w:tcW w:w="1300" w:type="dxa"/>
            <w:vAlign w:val="bottom"/>
            <w:tcBorders>
              <w:bottom w:val="single" w:sz="8" w:color="auto"/>
            </w:tcBorders>
          </w:tcPr>
          <w:p>
            <w:pPr>
              <w:spacing w:after="0"/>
              <w:rPr>
                <w:sz w:val="16"/>
                <w:szCs w:val="16"/>
                <w:color w:val="auto"/>
              </w:rPr>
            </w:pPr>
          </w:p>
        </w:tc>
      </w:tr>
      <w:tr>
        <w:trPr>
          <w:trHeight w:val="264"/>
        </w:trPr>
        <w:tc>
          <w:tcPr>
            <w:tcW w:w="6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CenterPoint Energy</w:t>
            </w:r>
          </w:p>
        </w:tc>
        <w:tc>
          <w:tcPr>
            <w:tcW w:w="8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CERC</w:t>
            </w:r>
          </w:p>
        </w:tc>
      </w:tr>
      <w:tr>
        <w:trPr>
          <w:trHeight w:val="250"/>
        </w:trPr>
        <w:tc>
          <w:tcPr>
            <w:tcW w:w="6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gridSpan w:val="2"/>
          </w:tcPr>
          <w:p>
            <w:pPr>
              <w:jc w:val="center"/>
              <w:ind w:left="957"/>
              <w:spacing w:after="0"/>
              <w:rPr>
                <w:sz w:val="20"/>
                <w:szCs w:val="20"/>
                <w:color w:val="auto"/>
              </w:rPr>
            </w:pPr>
            <w:r>
              <w:rPr>
                <w:rFonts w:ascii="Arial" w:cs="Arial" w:eastAsia="Arial" w:hAnsi="Arial"/>
                <w:sz w:val="14"/>
                <w:szCs w:val="14"/>
                <w:b w:val="1"/>
                <w:bCs w:val="1"/>
                <w:color w:val="auto"/>
                <w:w w:val="91"/>
              </w:rPr>
              <w:t>(in millions, except years)</w:t>
            </w:r>
          </w:p>
        </w:tc>
        <w:tc>
          <w:tcPr>
            <w:tcW w:w="1300" w:type="dxa"/>
            <w:vAlign w:val="bottom"/>
          </w:tcPr>
          <w:p>
            <w:pPr>
              <w:spacing w:after="0"/>
              <w:rPr>
                <w:sz w:val="21"/>
                <w:szCs w:val="21"/>
                <w:color w:val="auto"/>
              </w:rPr>
            </w:pPr>
          </w:p>
        </w:tc>
      </w:tr>
      <w:tr>
        <w:trPr>
          <w:trHeight w:val="256"/>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accrued for remediation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c>
          <w:tcPr>
            <w:tcW w:w="8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Minimum estimated remediation costs</w:t>
            </w:r>
          </w:p>
        </w:tc>
        <w:tc>
          <w:tcPr>
            <w:tcW w:w="280" w:type="dxa"/>
            <w:vAlign w:val="bottom"/>
          </w:tcPr>
          <w:p>
            <w:pPr>
              <w:spacing w:after="0"/>
              <w:rPr>
                <w:sz w:val="21"/>
                <w:szCs w:val="21"/>
                <w:color w:val="auto"/>
              </w:rPr>
            </w:pP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estimated remediation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Minimum years of remediation</w:t>
            </w:r>
          </w:p>
        </w:tc>
        <w:tc>
          <w:tcPr>
            <w:tcW w:w="280" w:type="dxa"/>
            <w:vAlign w:val="bottom"/>
          </w:tcPr>
          <w:p>
            <w:pPr>
              <w:spacing w:after="0"/>
              <w:rPr>
                <w:sz w:val="21"/>
                <w:szCs w:val="21"/>
                <w:color w:val="auto"/>
              </w:rPr>
            </w:pP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30</w:t>
            </w:r>
          </w:p>
        </w:tc>
        <w:tc>
          <w:tcPr>
            <w:tcW w:w="8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years of remediation</w:t>
            </w:r>
          </w:p>
        </w:tc>
        <w:tc>
          <w:tcPr>
            <w:tcW w:w="28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7"/>
        </w:trPr>
        <w:tc>
          <w:tcPr>
            <w:tcW w:w="6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241" w:lineRule="exact"/>
        <w:rPr>
          <w:sz w:val="20"/>
          <w:szCs w:val="20"/>
          <w:color w:val="auto"/>
        </w:rPr>
      </w:pPr>
    </w:p>
    <w:p>
      <w:pPr>
        <w:jc w:val="both"/>
        <w:ind w:left="660" w:hanging="328"/>
        <w:spacing w:after="0" w:line="273"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Indiana MGPs (CenterPoint Energy)</w:t>
      </w:r>
      <w:r>
        <w:rPr>
          <w:rFonts w:ascii="Arial" w:cs="Arial" w:eastAsia="Arial" w:hAnsi="Arial"/>
          <w:sz w:val="17"/>
          <w:szCs w:val="17"/>
          <w:color w:val="auto"/>
        </w:rPr>
        <w:t>. In the Indiana Gas service territory, the existence, location and certain general characteristics of 26 gas</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and storage sites have been identified for which CenterPoint Energy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178"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As of June 30, 2019, approximately $2 million of accrued costs related to these sites are included in Other liabilities on CenterPoint Energy’s Condensed Consolidated Balance Sheets. Total costs that may be incurred in connection with addressing these sites cannot be determined at this time. The estimated accrued costs are limited to CenterPoint Energy’s share of the remediation efforts and are therefore net of exposures of other PRPs.</w:t>
      </w:r>
    </w:p>
    <w:p>
      <w:pPr>
        <w:spacing w:after="0" w:line="18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Other MGPs (CenterPoint Energy and CERC). </w:t>
      </w:r>
      <w:r>
        <w:rPr>
          <w:rFonts w:ascii="Arial" w:cs="Arial" w:eastAsia="Arial" w:hAnsi="Arial"/>
          <w:sz w:val="17"/>
          <w:szCs w:val="17"/>
          <w:color w:val="auto"/>
        </w:rPr>
        <w:t>In addition to the Minnesota and Indiana sites, the EPA and other regulators have investigated MGP</w:t>
      </w:r>
      <w:r>
        <w:rPr>
          <w:rFonts w:ascii="Arial" w:cs="Arial" w:eastAsia="Arial" w:hAnsi="Arial"/>
          <w:sz w:val="17"/>
          <w:szCs w:val="17"/>
          <w:i w:val="1"/>
          <w:iCs w:val="1"/>
          <w:color w:val="auto"/>
        </w:rPr>
        <w:t xml:space="preserve"> </w:t>
      </w:r>
      <w:r>
        <w:rPr>
          <w:rFonts w:ascii="Arial" w:cs="Arial" w:eastAsia="Arial" w:hAnsi="Arial"/>
          <w:sz w:val="17"/>
          <w:szCs w:val="17"/>
          <w:color w:val="auto"/>
        </w:rPr>
        <w:t>sites that were owned or operated by CenterPoint Energy or CERC or may have been owned by one of their former affiliates.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1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CCR Rule (CenterPoint Energy). </w:t>
      </w:r>
      <w:r>
        <w:rPr>
          <w:rFonts w:ascii="Arial" w:cs="Arial" w:eastAsia="Arial" w:hAnsi="Arial"/>
          <w:sz w:val="18"/>
          <w:szCs w:val="18"/>
          <w:color w:val="auto"/>
        </w:rPr>
        <w:t>In April 2015, the EPA finalized its CCR Rule, which regulates ash as non-hazardous material under the RCRA.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While the EPA Phase I Reconsideration moves forward, the existing CCR compliance obligations remain in effect.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with bottom ash handling conversions completed. Indiana Electric’s Warrick generating unit is not included in the scope of the CCR Rule as this unit has historically been part of a larger generating station that predominantly serves an adjacent industrial facility. In March 2018, Indiana Electric began posting ground water data monitoring reports annually to its public website in accordance with the requirements of the CCR Rule. This data preliminarily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and the A.B. Brown pond fail the aquifer placement location restriction. As a result of this failure, Indiana Electric is required to cease disposal of new ash in the ponds and commence closure of the ponds by October 31, 2020. CenterPoint Energy plans to seek extensions available under the CCR Rule that would allow Indiana Electric to continue to use the ponds through December 31, 2023. The inability to take these extensions may result in increased and potentially significant operational costs in connection with the accelerated implementation of an alternative ash disposal system or adversely impact Indiana Electric’s future operations. Failure to comply with these requirements could also result in an enforcement proceeding including the imposition of fines and penalties. On April 24, 2019, Indiana Electric received an order from the IURC approving recovery in rates of costs associated with the closure of one of the ponds at F.B. Culley. CenterPoint Energy believes the language in the IURC order is favorable for future recovery of closure costs for Indiana Electric’s remaining ponds.</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Indiana Electric continues to refine site specific estimates of closure costs. In March 2019, Indiana Electric entered into agreements with third parties for the excavation and beneficial reuse of the ash at the A.B. Brown ash pond. In July 2018, Indiana Electric filed a Complaint for Damages and Declaratory Relief against its insurers seeking reimbursement of defense, investigation and pond closure costs incurred to comply with the CCR Rule, and has since reached a confidential settlement agreement with one of the insurers. Any proceeds received will offset costs that have been and will be incurred to close the ponds.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2019, CenterPoint Energy has recorded an approximate $90 million ARO, which represents the discounted value of future cash flow estimates to close the ponds at A.B. Brown and F.B. Culley. The fair value of the ARO assumed on the Merger Date is preliminary. This estimate is also subject to change in the near term due to the contractual arrangements; continued assessments of the ash, closure methods, and the timing of closure; implications of Indiana Electric’s generation transition plan; changing environmental regulations; and the anticipated outcome of the aforementioned insurance proceeding. In addition to these removal costs, Indiana Electric also anticipates equipment purchases of between $60 million and $80 million to complete the A.B. Brown closure project.</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Other Environmental. </w:t>
      </w:r>
      <w:r>
        <w:rPr>
          <w:rFonts w:ascii="Arial" w:cs="Arial" w:eastAsia="Arial" w:hAnsi="Arial"/>
          <w:sz w:val="16"/>
          <w:szCs w:val="16"/>
          <w:color w:val="auto"/>
        </w:rPr>
        <w:t>From time to time, the Registrants identify the presence of environmental contaminants during operations or on property where</w:t>
      </w:r>
      <w:r>
        <w:rPr>
          <w:rFonts w:ascii="Arial" w:cs="Arial" w:eastAsia="Arial" w:hAnsi="Arial"/>
          <w:sz w:val="16"/>
          <w:szCs w:val="16"/>
          <w:i w:val="1"/>
          <w:iCs w:val="1"/>
          <w:color w:val="auto"/>
        </w:rPr>
        <w:t xml:space="preserve"> </w:t>
      </w:r>
      <w:r>
        <w:rPr>
          <w:rFonts w:ascii="Arial" w:cs="Arial" w:eastAsia="Arial" w:hAnsi="Arial"/>
          <w:sz w:val="16"/>
          <w:szCs w:val="16"/>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 (CenterPoint Energy)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reconciles numerators and denominators of CenterPoint Energy’s basic and diluted earnings per common share. Basic earnings per common share is determined by dividing Income available to common shareholders - basic by the Weighted average common shares outstanding - basic for the applicable period. Diluted earnings per common share is determined by the inclusion of potentially dilutive common stock equivalent shares that may occur if securities to issue Common Stock were exercised or converted into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7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44"/>
        </w:trPr>
        <w:tc>
          <w:tcPr>
            <w:tcW w:w="5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(in millions, except share and per share amounts)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available to common shareholders - 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 back: Series B Preferred Stock dividend</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available to common shareholders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502,200,000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431,523,000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501,862,000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431,378,000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 xml:space="preserve">Restricted stock </w:t>
            </w:r>
            <w:r>
              <w:rPr>
                <w:rFonts w:ascii="Arial" w:cs="Arial" w:eastAsia="Arial" w:hAnsi="Arial"/>
                <w:sz w:val="14"/>
                <w:szCs w:val="14"/>
                <w:color w:val="auto"/>
              </w:rPr>
              <w:t>(1)</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2,631,000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2,631,000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3,029,000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Series B Preferred Stock </w:t>
            </w: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504,831,000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431,523,000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504,493,000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434,407,000</w:t>
            </w:r>
          </w:p>
        </w:tc>
      </w:tr>
      <w:tr>
        <w:trPr>
          <w:trHeight w:val="271"/>
        </w:trPr>
        <w:tc>
          <w:tcPr>
            <w:tcW w:w="5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0.21</w:t>
            </w: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59"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potentially dilutive impact from restricted stock awards applies the treasury stock method. Under this method, an increase in the average fair market value of Common Stock can result in a greater dilutive impact from these securities. 3,029,000 incremental shares from assumed conversions of restricted stock have not been included in the computation of diluted earnings (loss) per share for the three months ended June 30, 2018, as their inclusion would be anti-dilutive.</w:t>
      </w:r>
    </w:p>
    <w:p>
      <w:pPr>
        <w:spacing w:after="0" w:line="186" w:lineRule="exact"/>
        <w:rPr>
          <w:rFonts w:ascii="Arial" w:cs="Arial" w:eastAsia="Arial" w:hAnsi="Arial"/>
          <w:sz w:val="18"/>
          <w:szCs w:val="18"/>
          <w:color w:val="auto"/>
        </w:rPr>
      </w:pPr>
    </w:p>
    <w:p>
      <w:pPr>
        <w:jc w:val="both"/>
        <w:ind w:left="660" w:hanging="328"/>
        <w:spacing w:after="0" w:line="297" w:lineRule="auto"/>
        <w:tabs>
          <w:tab w:leader="none" w:pos="6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potentially dilutive impact from Series B Preferred Stock applies the if-converted method in calculating diluted earnings per common share. Under this method, diluted earnings per common share is adjusted for the more dilutive effect of the Series B Preferred Stock as a result of either its accumulated dividend for the period in the numerator or the assumed-converted common share equivalent in the denominator. The computation of diluted earnings per common share outstanding for the three and six months ended June 30, 2019 excludes 32,121,000 and 32,121,000 potentially dilutive shares, respectively, because to include them would be anti-dilutive. However, these shares could be potentially dilutive in the future.</w:t>
      </w:r>
    </w:p>
    <w:p>
      <w:pPr>
        <w:spacing w:after="0" w:line="154" w:lineRule="exact"/>
        <w:rPr>
          <w:rFonts w:ascii="Arial" w:cs="Arial" w:eastAsia="Arial" w:hAnsi="Arial"/>
          <w:sz w:val="16"/>
          <w:szCs w:val="16"/>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Registrants’ determination of reportable segments considers the strategic operating units under which the Registrants manage sales, allocate resources and assess performance of various products and services to wholesale or retail customers in differing regulatory environments. The Registrants use operating income as the measure of profit or loss for the reportable segments other than Midstream Investments, where equity in earnings is used.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reportable segments by Registrant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Registrants</w:t>
            </w:r>
          </w:p>
        </w:tc>
        <w:tc>
          <w:tcPr>
            <w:tcW w:w="120" w:type="dxa"/>
            <w:vAlign w:val="bottom"/>
            <w:vMerge w:val="restart"/>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Houston Electric</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Indiana Electric</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Natural Gas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Midstream</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Corporate and</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T&amp;D</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Integrated</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5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CenterPoint Energy</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Houston Electric</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CERC</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Houston Electric T&amp;D reportable segment consists of electric transmission and distribution services in the Texas Gulf Coast area.</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Indiana Electric Integrated reportable segment consists of electric transmission and distribution services primarily to southwestern Indiana and includes power generation and wholesale power operations.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CenterPoint Energy’s Natural Gas Distribution reportable segment consists of intrastate natural gas sales to, and natural gas transportation and distribution for, residential, commercial, industrial and institutional customers in Arkansas, Indiana, Louisiana, Minnesota, Mississippi, Ohio, Oklahoma and Texas.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CERC’s Natural Gas Distribution reportable segment consists of intrastate natural gas sales to, and natural gas transportation and distribution for, residential, commercial, industrial and institutional customers in Arkansas, Louisiana, Minnesota, Mississippi, Oklahoma and Texas.</w:t>
      </w:r>
    </w:p>
    <w:p>
      <w:pPr>
        <w:spacing w:after="0" w:line="173" w:lineRule="exact"/>
        <w:rPr>
          <w:rFonts w:ascii="Arial" w:cs="Arial" w:eastAsia="Arial" w:hAnsi="Arial"/>
          <w:sz w:val="17"/>
          <w:szCs w:val="17"/>
          <w:color w:val="auto"/>
        </w:rPr>
      </w:pPr>
    </w:p>
    <w:p>
      <w:pPr>
        <w:ind w:left="720" w:hanging="388"/>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Energy Services reportable segment consists of non-rate regulated natural gas sales and services operations.</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Infrastructure Services reportable segment consists of underground pipeline construction and repair services.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Midstream Investments reportable segment consists of the equity investment in Enable (excluding the Enable Series A Preferred Units).</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CenterPoint Energy’s Corporate and Other reportable segment consists of energy performance contracting and sustainable infrastructure services through ESG and other corporate operations which support all of the business operations of CenterPoint Energy.</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CERC’s Corporate and Other reportable segment consists primarily of corporate operations which support all of the business operations of CERC.</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data for reportable segments is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3"/>
                <w:szCs w:val="13"/>
                <w:b w:val="1"/>
                <w:bCs w:val="1"/>
                <w:color w:val="auto"/>
                <w:w w:val="87"/>
              </w:rPr>
              <w:t>Three Months Ended June 30,</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64"/>
        </w:trPr>
        <w:tc>
          <w:tcPr>
            <w:tcW w:w="35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44"/>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87"/>
              </w:rPr>
              <w:t>Revenues from</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1"/>
              </w:rPr>
              <w:t>Operating</w:t>
            </w:r>
          </w:p>
        </w:tc>
        <w:tc>
          <w:tcPr>
            <w:tcW w:w="120" w:type="dxa"/>
            <w:vAlign w:val="bottom"/>
          </w:tcPr>
          <w:p>
            <w:pPr>
              <w:spacing w:after="0"/>
              <w:rPr>
                <w:sz w:val="12"/>
                <w:szCs w:val="12"/>
                <w:color w:val="auto"/>
              </w:rPr>
            </w:pPr>
          </w:p>
        </w:tc>
        <w:tc>
          <w:tcPr>
            <w:tcW w:w="1000" w:type="dxa"/>
            <w:vAlign w:val="bottom"/>
          </w:tcPr>
          <w:p>
            <w:pPr>
              <w:jc w:val="center"/>
              <w:ind w:right="70"/>
              <w:spacing w:after="0" w:line="144" w:lineRule="exact"/>
              <w:rPr>
                <w:sz w:val="20"/>
                <w:szCs w:val="20"/>
                <w:color w:val="auto"/>
              </w:rPr>
            </w:pPr>
            <w:r>
              <w:rPr>
                <w:rFonts w:ascii="Arial" w:cs="Arial" w:eastAsia="Arial" w:hAnsi="Arial"/>
                <w:sz w:val="13"/>
                <w:szCs w:val="13"/>
                <w:b w:val="1"/>
                <w:bCs w:val="1"/>
                <w:color w:val="auto"/>
                <w:w w:val="87"/>
              </w:rPr>
              <w:t>Revenues from</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Net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5"/>
        </w:trPr>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9"/>
              </w:rPr>
              <w:t>External</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Intersegment</w:t>
            </w: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1"/>
                <w:szCs w:val="11"/>
                <w:color w:val="auto"/>
              </w:rPr>
            </w:pPr>
          </w:p>
        </w:tc>
        <w:tc>
          <w:tcPr>
            <w:tcW w:w="10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9"/>
              </w:rPr>
              <w:t>External</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Intersegment</w:t>
            </w:r>
          </w:p>
        </w:tc>
        <w:tc>
          <w:tcPr>
            <w:tcW w:w="200" w:type="dxa"/>
            <w:vAlign w:val="bottom"/>
          </w:tcPr>
          <w:p>
            <w:pPr>
              <w:spacing w:after="0"/>
              <w:rPr>
                <w:sz w:val="11"/>
                <w:szCs w:val="11"/>
                <w:color w:val="auto"/>
              </w:rPr>
            </w:pPr>
          </w:p>
        </w:tc>
        <w:tc>
          <w:tcPr>
            <w:tcW w:w="92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91"/>
              </w:rPr>
              <w:t>Operating</w:t>
            </w:r>
          </w:p>
        </w:tc>
      </w:tr>
      <w:tr>
        <w:trPr>
          <w:trHeight w:val="174"/>
        </w:trPr>
        <w:tc>
          <w:tcPr>
            <w:tcW w:w="3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5"/>
              </w:rPr>
              <w:t>Customers</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4"/>
              </w:rPr>
              <w:t>Revenues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1"/>
              </w:rPr>
              <w:t>(Loss)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5"/>
              </w:rPr>
              <w:t>Customers</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1"/>
              </w:rPr>
              <w:t>Revenues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7"/>
              </w:rPr>
              <w:t>Income</w:t>
            </w:r>
          </w:p>
        </w:tc>
      </w:tr>
      <w:tr>
        <w:trPr>
          <w:trHeight w:val="24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4"/>
          </w:tcPr>
          <w:p>
            <w:pPr>
              <w:jc w:val="center"/>
              <w:ind w:right="210"/>
              <w:spacing w:after="0"/>
              <w:rPr>
                <w:sz w:val="20"/>
                <w:szCs w:val="20"/>
                <w:color w:val="auto"/>
              </w:rPr>
            </w:pPr>
            <w:r>
              <w:rPr>
                <w:rFonts w:ascii="Arial" w:cs="Arial" w:eastAsia="Arial" w:hAnsi="Arial"/>
                <w:sz w:val="13"/>
                <w:szCs w:val="13"/>
                <w:b w:val="1"/>
                <w:bCs w:val="1"/>
                <w:color w:val="auto"/>
                <w:w w:val="87"/>
              </w:rPr>
              <w:t>(in millions)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0"/>
        </w:trPr>
        <w:tc>
          <w:tcPr>
            <w:tcW w:w="3540" w:type="dxa"/>
            <w:vAlign w:val="bottom"/>
          </w:tcPr>
          <w:p>
            <w:pPr>
              <w:ind w:left="40"/>
              <w:spacing w:after="0"/>
              <w:rPr>
                <w:sz w:val="20"/>
                <w:szCs w:val="20"/>
                <w:color w:val="auto"/>
              </w:rPr>
            </w:pPr>
            <w:r>
              <w:rPr>
                <w:rFonts w:ascii="Arial" w:cs="Arial" w:eastAsia="Arial" w:hAnsi="Arial"/>
                <w:sz w:val="14"/>
                <w:szCs w:val="14"/>
                <w:color w:val="auto"/>
              </w:rPr>
              <w:t>Houston Electric T&amp;D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765</w:t>
            </w:r>
          </w:p>
        </w:tc>
        <w:tc>
          <w:tcPr>
            <w:tcW w:w="360" w:type="dxa"/>
            <w:vAlign w:val="bottom"/>
          </w:tcPr>
          <w:p>
            <w:pPr>
              <w:jc w:val="right"/>
              <w:ind w:right="146"/>
              <w:spacing w:after="0"/>
              <w:rPr>
                <w:sz w:val="20"/>
                <w:szCs w:val="20"/>
                <w:color w:val="auto"/>
              </w:rPr>
            </w:pPr>
            <w:r>
              <w:rPr>
                <w:rFonts w:ascii="Arial" w:cs="Arial" w:eastAsia="Arial" w:hAnsi="Arial"/>
                <w:sz w:val="11"/>
                <w:szCs w:val="11"/>
                <w:color w:val="auto"/>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854</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181</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Indiana Electric Integrated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140</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Natural Gas Distribution</w:t>
            </w: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650</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487</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7</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Energy Services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838</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841</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Infrastructure Services</w:t>
            </w: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325</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Midstream Investments </w:t>
            </w:r>
            <w:r>
              <w:rPr>
                <w:rFonts w:ascii="Arial" w:cs="Arial" w:eastAsia="Arial" w:hAnsi="Arial"/>
                <w:sz w:val="10"/>
                <w:szCs w:val="10"/>
                <w:color w:val="auto"/>
              </w:rPr>
              <w:t>(2)</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Corporate and Other</w:t>
            </w: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80</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4"/>
                <w:szCs w:val="14"/>
                <w:color w:val="auto"/>
              </w:rPr>
              <w:t>Consolidated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2,798</w:t>
            </w:r>
          </w:p>
        </w:tc>
        <w:tc>
          <w:tcPr>
            <w:tcW w:w="3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2,186</w:t>
            </w:r>
          </w:p>
        </w:tc>
        <w:tc>
          <w:tcPr>
            <w:tcW w:w="3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187</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79"/>
        </w:trPr>
        <w:tc>
          <w:tcPr>
            <w:tcW w:w="3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3"/>
                <w:szCs w:val="13"/>
                <w:b w:val="1"/>
                <w:bCs w:val="1"/>
                <w:color w:val="auto"/>
                <w:w w:val="87"/>
              </w:rPr>
              <w:t>Six Months Ended June 30,</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44"/>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87"/>
              </w:rPr>
              <w:t>Revenues from</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1"/>
              </w:rPr>
              <w:t>Operating</w:t>
            </w:r>
          </w:p>
        </w:tc>
        <w:tc>
          <w:tcPr>
            <w:tcW w:w="120" w:type="dxa"/>
            <w:vAlign w:val="bottom"/>
          </w:tcPr>
          <w:p>
            <w:pPr>
              <w:spacing w:after="0"/>
              <w:rPr>
                <w:sz w:val="12"/>
                <w:szCs w:val="12"/>
                <w:color w:val="auto"/>
              </w:rPr>
            </w:pPr>
          </w:p>
        </w:tc>
        <w:tc>
          <w:tcPr>
            <w:tcW w:w="1000" w:type="dxa"/>
            <w:vAlign w:val="bottom"/>
          </w:tcPr>
          <w:p>
            <w:pPr>
              <w:jc w:val="center"/>
              <w:ind w:right="70"/>
              <w:spacing w:after="0" w:line="144" w:lineRule="exact"/>
              <w:rPr>
                <w:sz w:val="20"/>
                <w:szCs w:val="20"/>
                <w:color w:val="auto"/>
              </w:rPr>
            </w:pPr>
            <w:r>
              <w:rPr>
                <w:rFonts w:ascii="Arial" w:cs="Arial" w:eastAsia="Arial" w:hAnsi="Arial"/>
                <w:sz w:val="13"/>
                <w:szCs w:val="13"/>
                <w:b w:val="1"/>
                <w:bCs w:val="1"/>
                <w:color w:val="auto"/>
                <w:w w:val="87"/>
              </w:rPr>
              <w:t>Revenues from</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Net</w:t>
            </w:r>
          </w:p>
        </w:tc>
        <w:tc>
          <w:tcPr>
            <w:tcW w:w="200" w:type="dxa"/>
            <w:vAlign w:val="bottom"/>
          </w:tcPr>
          <w:p>
            <w:pPr>
              <w:spacing w:after="0"/>
              <w:rPr>
                <w:sz w:val="12"/>
                <w:szCs w:val="12"/>
                <w:color w:val="auto"/>
              </w:rPr>
            </w:pPr>
          </w:p>
        </w:tc>
        <w:tc>
          <w:tcPr>
            <w:tcW w:w="920" w:type="dxa"/>
            <w:vAlign w:val="bottom"/>
          </w:tcPr>
          <w:p>
            <w:pPr>
              <w:jc w:val="center"/>
              <w:ind w:right="130"/>
              <w:spacing w:after="0" w:line="144" w:lineRule="exact"/>
              <w:rPr>
                <w:sz w:val="20"/>
                <w:szCs w:val="20"/>
                <w:color w:val="auto"/>
              </w:rPr>
            </w:pPr>
            <w:r>
              <w:rPr>
                <w:rFonts w:ascii="Arial" w:cs="Arial" w:eastAsia="Arial" w:hAnsi="Arial"/>
                <w:sz w:val="13"/>
                <w:szCs w:val="13"/>
                <w:b w:val="1"/>
                <w:bCs w:val="1"/>
                <w:color w:val="auto"/>
                <w:w w:val="91"/>
              </w:rPr>
              <w:t>Operating</w:t>
            </w:r>
          </w:p>
        </w:tc>
      </w:tr>
      <w:tr>
        <w:trPr>
          <w:trHeight w:val="135"/>
        </w:trPr>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9"/>
              </w:rPr>
              <w:t>External</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Intersegment</w:t>
            </w: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1"/>
                <w:szCs w:val="11"/>
                <w:color w:val="auto"/>
              </w:rPr>
            </w:pPr>
          </w:p>
        </w:tc>
        <w:tc>
          <w:tcPr>
            <w:tcW w:w="10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9"/>
              </w:rPr>
              <w:t>External</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Intersegment</w:t>
            </w:r>
          </w:p>
        </w:tc>
        <w:tc>
          <w:tcPr>
            <w:tcW w:w="200" w:type="dxa"/>
            <w:vAlign w:val="bottom"/>
          </w:tcPr>
          <w:p>
            <w:pPr>
              <w:spacing w:after="0"/>
              <w:rPr>
                <w:sz w:val="11"/>
                <w:szCs w:val="11"/>
                <w:color w:val="auto"/>
              </w:rPr>
            </w:pPr>
          </w:p>
        </w:tc>
        <w:tc>
          <w:tcPr>
            <w:tcW w:w="92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7"/>
              </w:rPr>
              <w:t>Income</w:t>
            </w:r>
          </w:p>
        </w:tc>
      </w:tr>
      <w:tr>
        <w:trPr>
          <w:trHeight w:val="174"/>
        </w:trPr>
        <w:tc>
          <w:tcPr>
            <w:tcW w:w="3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5"/>
              </w:rPr>
              <w:t>Customers</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4"/>
              </w:rPr>
              <w:t>Revenues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1"/>
              </w:rPr>
              <w:t>(Loss)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5"/>
              </w:rPr>
              <w:t>Customers</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1"/>
              </w:rPr>
              <w:t>Revenues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1"/>
              </w:rPr>
              <w:t>(Loss)</w:t>
            </w:r>
          </w:p>
        </w:tc>
      </w:tr>
      <w:tr>
        <w:trPr>
          <w:trHeight w:val="249"/>
        </w:trPr>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4"/>
          </w:tcPr>
          <w:p>
            <w:pPr>
              <w:jc w:val="center"/>
              <w:ind w:right="210"/>
              <w:spacing w:after="0"/>
              <w:rPr>
                <w:sz w:val="20"/>
                <w:szCs w:val="20"/>
                <w:color w:val="auto"/>
              </w:rPr>
            </w:pPr>
            <w:r>
              <w:rPr>
                <w:rFonts w:ascii="Arial" w:cs="Arial" w:eastAsia="Arial" w:hAnsi="Arial"/>
                <w:sz w:val="13"/>
                <w:szCs w:val="13"/>
                <w:b w:val="1"/>
                <w:bCs w:val="1"/>
                <w:color w:val="auto"/>
                <w:w w:val="87"/>
              </w:rPr>
              <w:t>(in millions)</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 Electric T&amp;D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1,454</w:t>
            </w:r>
          </w:p>
        </w:tc>
        <w:tc>
          <w:tcPr>
            <w:tcW w:w="36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1,605</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296</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Indiana Electric Integrated</w:t>
            </w: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223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2,039</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1,630</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163</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Energy Services</w:t>
            </w: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2,020</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2,098</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Services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471</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 xml:space="preserve">Midstream Investments </w:t>
            </w:r>
            <w:r>
              <w:rPr>
                <w:rFonts w:ascii="Arial" w:cs="Arial" w:eastAsia="Arial" w:hAnsi="Arial"/>
                <w:sz w:val="10"/>
                <w:szCs w:val="10"/>
                <w:color w:val="auto"/>
              </w:rPr>
              <w:t>(2)</w:t>
            </w: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122</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6,329</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5,341</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Houston Electric T&amp;D revenues from major external customers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Affiliates of NRG</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1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r>
      <w:tr>
        <w:trPr>
          <w:trHeight w:val="258"/>
        </w:trPr>
        <w:tc>
          <w:tcPr>
            <w:tcW w:w="5140" w:type="dxa"/>
            <w:vAlign w:val="bottom"/>
          </w:tcPr>
          <w:p>
            <w:pPr>
              <w:ind w:left="20"/>
              <w:spacing w:after="0"/>
              <w:rPr>
                <w:sz w:val="20"/>
                <w:szCs w:val="20"/>
                <w:color w:val="auto"/>
              </w:rPr>
            </w:pPr>
            <w:r>
              <w:rPr>
                <w:rFonts w:ascii="Arial" w:cs="Arial" w:eastAsia="Arial" w:hAnsi="Arial"/>
                <w:sz w:val="14"/>
                <w:szCs w:val="14"/>
                <w:color w:val="auto"/>
              </w:rPr>
              <w:t>Affiliates of Vistra Energy Corp.</w:t>
            </w:r>
          </w:p>
        </w:tc>
        <w:tc>
          <w:tcPr>
            <w:tcW w:w="102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12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4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w:t>
            </w:r>
          </w:p>
        </w:tc>
      </w:tr>
    </w:tbl>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CenterPoint Energy’s Midstream Investments’ equity earnings, net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Pr>
          <w:p>
            <w:pPr>
              <w:spacing w:after="0"/>
              <w:rPr>
                <w:sz w:val="22"/>
                <w:szCs w:val="22"/>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Enable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1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29" w:lineRule="exact"/>
        <w:rPr>
          <w:sz w:val="20"/>
          <w:szCs w:val="20"/>
          <w:color w:val="auto"/>
        </w:rPr>
      </w:pPr>
    </w:p>
    <w:p>
      <w:pPr>
        <w:ind w:right="2300" w:firstLine="324"/>
        <w:spacing w:after="0" w:line="277" w:lineRule="auto"/>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Houston Electric T&amp;D revenues from major external customers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Affiliates of NRG</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1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r>
      <w:tr>
        <w:trPr>
          <w:trHeight w:val="258"/>
        </w:trPr>
        <w:tc>
          <w:tcPr>
            <w:tcW w:w="5140" w:type="dxa"/>
            <w:vAlign w:val="bottom"/>
          </w:tcPr>
          <w:p>
            <w:pPr>
              <w:ind w:left="20"/>
              <w:spacing w:after="0"/>
              <w:rPr>
                <w:sz w:val="20"/>
                <w:szCs w:val="20"/>
                <w:color w:val="auto"/>
              </w:rPr>
            </w:pPr>
            <w:r>
              <w:rPr>
                <w:rFonts w:ascii="Arial" w:cs="Arial" w:eastAsia="Arial" w:hAnsi="Arial"/>
                <w:sz w:val="14"/>
                <w:szCs w:val="14"/>
                <w:color w:val="auto"/>
              </w:rPr>
              <w:t>Affiliates of Vistra Energy Corp.</w:t>
            </w:r>
          </w:p>
        </w:tc>
        <w:tc>
          <w:tcPr>
            <w:tcW w:w="102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12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4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3"/>
                <w:szCs w:val="13"/>
                <w:b w:val="1"/>
                <w:bCs w:val="1"/>
                <w:color w:val="auto"/>
                <w:w w:val="87"/>
              </w:rPr>
              <w:t>Three Months Ended June 30,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3"/>
                <w:szCs w:val="13"/>
                <w:b w:val="1"/>
                <w:bCs w:val="1"/>
                <w:color w:val="auto"/>
                <w:w w:val="89"/>
              </w:rPr>
              <w:t>2018</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1"/>
              <w:spacing w:after="0" w:line="144" w:lineRule="exact"/>
              <w:rPr>
                <w:sz w:val="20"/>
                <w:szCs w:val="20"/>
                <w:color w:val="auto"/>
              </w:rPr>
            </w:pPr>
            <w:r>
              <w:rPr>
                <w:rFonts w:ascii="Arial" w:cs="Arial" w:eastAsia="Arial" w:hAnsi="Arial"/>
                <w:sz w:val="13"/>
                <w:szCs w:val="13"/>
                <w:b w:val="1"/>
                <w:bCs w:val="1"/>
                <w:color w:val="auto"/>
                <w:w w:val="85"/>
              </w:rPr>
              <w:t>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32"/>
              <w:spacing w:after="0" w:line="144" w:lineRule="exact"/>
              <w:rPr>
                <w:sz w:val="20"/>
                <w:szCs w:val="20"/>
                <w:color w:val="auto"/>
              </w:rPr>
            </w:pPr>
            <w:r>
              <w:rPr>
                <w:rFonts w:ascii="Arial" w:cs="Arial" w:eastAsia="Arial" w:hAnsi="Arial"/>
                <w:sz w:val="13"/>
                <w:szCs w:val="13"/>
                <w:b w:val="1"/>
                <w:bCs w:val="1"/>
                <w:color w:val="auto"/>
                <w:w w:val="87"/>
              </w:rPr>
              <w:t>Operating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left="375"/>
              <w:spacing w:after="0" w:line="144" w:lineRule="exact"/>
              <w:rPr>
                <w:sz w:val="20"/>
                <w:szCs w:val="20"/>
                <w:color w:val="auto"/>
              </w:rPr>
            </w:pPr>
            <w:r>
              <w:rPr>
                <w:rFonts w:ascii="Arial" w:cs="Arial" w:eastAsia="Arial" w:hAnsi="Arial"/>
                <w:sz w:val="13"/>
                <w:szCs w:val="13"/>
                <w:b w:val="1"/>
                <w:bCs w:val="1"/>
                <w:color w:val="auto"/>
                <w:w w:val="85"/>
              </w:rPr>
              <w:t>Net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30"/>
              <w:spacing w:after="0" w:line="144" w:lineRule="exact"/>
              <w:rPr>
                <w:sz w:val="20"/>
                <w:szCs w:val="20"/>
                <w:color w:val="auto"/>
              </w:rPr>
            </w:pPr>
            <w:r>
              <w:rPr>
                <w:rFonts w:ascii="Arial" w:cs="Arial" w:eastAsia="Arial" w:hAnsi="Arial"/>
                <w:sz w:val="13"/>
                <w:szCs w:val="13"/>
                <w:b w:val="1"/>
                <w:bCs w:val="1"/>
                <w:color w:val="auto"/>
                <w:w w:val="91"/>
              </w:rPr>
              <w:t>Operating</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9"/>
              </w:rPr>
              <w:t>External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5"/>
              </w:rPr>
              <w:t>Intersegment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12"/>
              <w:spacing w:after="0" w:line="135"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30"/>
              <w:spacing w:after="0" w:line="135" w:lineRule="exact"/>
              <w:rPr>
                <w:sz w:val="20"/>
                <w:szCs w:val="20"/>
                <w:color w:val="auto"/>
              </w:rPr>
            </w:pPr>
            <w:r>
              <w:rPr>
                <w:rFonts w:ascii="Arial" w:cs="Arial" w:eastAsia="Arial" w:hAnsi="Arial"/>
                <w:sz w:val="13"/>
                <w:szCs w:val="13"/>
                <w:b w:val="1"/>
                <w:bCs w:val="1"/>
                <w:color w:val="auto"/>
                <w:w w:val="93"/>
              </w:rPr>
              <w:t>External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Intersegment</w:t>
            </w:r>
          </w:p>
        </w:tc>
        <w:tc>
          <w:tcPr>
            <w:tcW w:w="200" w:type="dxa"/>
            <w:vAlign w:val="bottom"/>
          </w:tcPr>
          <w:p>
            <w:pPr>
              <w:spacing w:after="0"/>
              <w:rPr>
                <w:sz w:val="11"/>
                <w:szCs w:val="11"/>
                <w:color w:val="auto"/>
              </w:rPr>
            </w:pPr>
          </w:p>
        </w:tc>
        <w:tc>
          <w:tcPr>
            <w:tcW w:w="92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5"/>
              </w:rPr>
              <w:t>Customers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1"/>
              </w:rPr>
              <w:t>Revenues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87"/>
              </w:rPr>
              <w:t>(Loss)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3"/>
                <w:szCs w:val="13"/>
                <w:b w:val="1"/>
                <w:bCs w:val="1"/>
                <w:color w:val="auto"/>
                <w:w w:val="85"/>
              </w:rPr>
              <w:t>Customers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81"/>
              </w:rPr>
              <w:t>Revenues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1"/>
              </w:rPr>
              <w:t>(Loss)</w:t>
            </w:r>
          </w:p>
        </w:tc>
        <w:tc>
          <w:tcPr>
            <w:tcW w:w="0" w:type="dxa"/>
            <w:vAlign w:val="bottom"/>
          </w:tcPr>
          <w:p>
            <w:pPr>
              <w:spacing w:after="0"/>
              <w:rPr>
                <w:sz w:val="1"/>
                <w:szCs w:val="1"/>
                <w:color w:val="auto"/>
              </w:rPr>
            </w:pPr>
          </w:p>
        </w:tc>
      </w:tr>
      <w:tr>
        <w:trPr>
          <w:trHeight w:val="24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7"/>
          </w:tcPr>
          <w:p>
            <w:pPr>
              <w:jc w:val="center"/>
              <w:ind w:right="110"/>
              <w:spacing w:after="0"/>
              <w:rPr>
                <w:sz w:val="20"/>
                <w:szCs w:val="20"/>
                <w:color w:val="auto"/>
              </w:rPr>
            </w:pPr>
            <w:r>
              <w:rPr>
                <w:rFonts w:ascii="Arial" w:cs="Arial" w:eastAsia="Arial" w:hAnsi="Arial"/>
                <w:sz w:val="13"/>
                <w:szCs w:val="13"/>
                <w:b w:val="1"/>
                <w:bCs w:val="1"/>
                <w:color w:val="auto"/>
                <w:w w:val="90"/>
              </w:rPr>
              <w:t>(in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00" w:type="dxa"/>
            <w:vAlign w:val="bottom"/>
          </w:tcPr>
          <w:p>
            <w:pPr>
              <w:ind w:left="40"/>
              <w:spacing w:after="0"/>
              <w:rPr>
                <w:sz w:val="20"/>
                <w:szCs w:val="20"/>
                <w:color w:val="auto"/>
              </w:rPr>
            </w:pPr>
            <w:r>
              <w:rPr>
                <w:rFonts w:ascii="Arial" w:cs="Arial" w:eastAsia="Arial" w:hAnsi="Arial"/>
                <w:sz w:val="14"/>
                <w:szCs w:val="14"/>
                <w:color w:val="auto"/>
              </w:rPr>
              <w:t>Natural Gas Distribution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503</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10</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487</w:t>
            </w:r>
          </w:p>
        </w:tc>
        <w:tc>
          <w:tcPr>
            <w:tcW w:w="880" w:type="dxa"/>
            <w:vAlign w:val="bottom"/>
            <w:gridSpan w:val="3"/>
          </w:tcPr>
          <w:p>
            <w:pPr>
              <w:jc w:val="right"/>
              <w:ind w:right="515"/>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Energy Services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Operations</w:t>
            </w:r>
          </w:p>
        </w:tc>
        <w:tc>
          <w:tcPr>
            <w:tcW w:w="14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Consolidated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1,342</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1,328</w:t>
            </w:r>
          </w:p>
        </w:tc>
        <w:tc>
          <w:tcPr>
            <w:tcW w:w="880" w:type="dxa"/>
            <w:vAlign w:val="bottom"/>
            <w:gridSpan w:val="3"/>
          </w:tcPr>
          <w:p>
            <w:pPr>
              <w:jc w:val="right"/>
              <w:ind w:right="515"/>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right="130"/>
              <w:spacing w:after="0"/>
              <w:rPr>
                <w:sz w:val="20"/>
                <w:szCs w:val="20"/>
                <w:color w:val="auto"/>
              </w:rPr>
            </w:pPr>
            <w:r>
              <w:rPr>
                <w:rFonts w:ascii="Arial" w:cs="Arial" w:eastAsia="Arial" w:hAnsi="Arial"/>
                <w:sz w:val="13"/>
                <w:szCs w:val="13"/>
                <w:b w:val="1"/>
                <w:bCs w:val="1"/>
                <w:color w:val="auto"/>
                <w:w w:val="87"/>
              </w:rPr>
              <w:t>Six Months Ended June 30,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3"/>
                <w:szCs w:val="13"/>
                <w:b w:val="1"/>
                <w:bCs w:val="1"/>
                <w:color w:val="auto"/>
                <w:w w:val="89"/>
              </w:rPr>
              <w:t>2018</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1"/>
              <w:spacing w:after="0" w:line="144" w:lineRule="exact"/>
              <w:rPr>
                <w:sz w:val="20"/>
                <w:szCs w:val="20"/>
                <w:color w:val="auto"/>
              </w:rPr>
            </w:pPr>
            <w:r>
              <w:rPr>
                <w:rFonts w:ascii="Arial" w:cs="Arial" w:eastAsia="Arial" w:hAnsi="Arial"/>
                <w:sz w:val="13"/>
                <w:szCs w:val="13"/>
                <w:b w:val="1"/>
                <w:bCs w:val="1"/>
                <w:color w:val="auto"/>
                <w:w w:val="85"/>
              </w:rPr>
              <w:t>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32"/>
              <w:spacing w:after="0" w:line="144" w:lineRule="exact"/>
              <w:rPr>
                <w:sz w:val="20"/>
                <w:szCs w:val="20"/>
                <w:color w:val="auto"/>
              </w:rPr>
            </w:pPr>
            <w:r>
              <w:rPr>
                <w:rFonts w:ascii="Arial" w:cs="Arial" w:eastAsia="Arial" w:hAnsi="Arial"/>
                <w:sz w:val="13"/>
                <w:szCs w:val="13"/>
                <w:b w:val="1"/>
                <w:bCs w:val="1"/>
                <w:color w:val="auto"/>
                <w:w w:val="87"/>
              </w:rPr>
              <w:t>Operating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left="375"/>
              <w:spacing w:after="0" w:line="144" w:lineRule="exact"/>
              <w:rPr>
                <w:sz w:val="20"/>
                <w:szCs w:val="20"/>
                <w:color w:val="auto"/>
              </w:rPr>
            </w:pPr>
            <w:r>
              <w:rPr>
                <w:rFonts w:ascii="Arial" w:cs="Arial" w:eastAsia="Arial" w:hAnsi="Arial"/>
                <w:sz w:val="13"/>
                <w:szCs w:val="13"/>
                <w:b w:val="1"/>
                <w:bCs w:val="1"/>
                <w:color w:val="auto"/>
                <w:w w:val="85"/>
              </w:rPr>
              <w:t>Net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30"/>
              <w:spacing w:after="0" w:line="144" w:lineRule="exact"/>
              <w:rPr>
                <w:sz w:val="20"/>
                <w:szCs w:val="20"/>
                <w:color w:val="auto"/>
              </w:rPr>
            </w:pPr>
            <w:r>
              <w:rPr>
                <w:rFonts w:ascii="Arial" w:cs="Arial" w:eastAsia="Arial" w:hAnsi="Arial"/>
                <w:sz w:val="13"/>
                <w:szCs w:val="13"/>
                <w:b w:val="1"/>
                <w:bCs w:val="1"/>
                <w:color w:val="auto"/>
                <w:w w:val="91"/>
              </w:rPr>
              <w:t>Operating</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9"/>
              </w:rPr>
              <w:t>External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5"/>
              </w:rPr>
              <w:t>Intersegment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12"/>
              <w:spacing w:after="0" w:line="135"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30"/>
              <w:spacing w:after="0" w:line="135" w:lineRule="exact"/>
              <w:rPr>
                <w:sz w:val="20"/>
                <w:szCs w:val="20"/>
                <w:color w:val="auto"/>
              </w:rPr>
            </w:pPr>
            <w:r>
              <w:rPr>
                <w:rFonts w:ascii="Arial" w:cs="Arial" w:eastAsia="Arial" w:hAnsi="Arial"/>
                <w:sz w:val="13"/>
                <w:szCs w:val="13"/>
                <w:b w:val="1"/>
                <w:bCs w:val="1"/>
                <w:color w:val="auto"/>
                <w:w w:val="93"/>
              </w:rPr>
              <w:t>External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Intersegment</w:t>
            </w:r>
          </w:p>
        </w:tc>
        <w:tc>
          <w:tcPr>
            <w:tcW w:w="200" w:type="dxa"/>
            <w:vAlign w:val="bottom"/>
          </w:tcPr>
          <w:p>
            <w:pPr>
              <w:spacing w:after="0"/>
              <w:rPr>
                <w:sz w:val="11"/>
                <w:szCs w:val="11"/>
                <w:color w:val="auto"/>
              </w:rPr>
            </w:pPr>
          </w:p>
        </w:tc>
        <w:tc>
          <w:tcPr>
            <w:tcW w:w="92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5"/>
              </w:rPr>
              <w:t>Customers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1"/>
              </w:rPr>
              <w:t>Revenues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87"/>
              </w:rPr>
              <w:t>(Loss)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3"/>
                <w:szCs w:val="13"/>
                <w:b w:val="1"/>
                <w:bCs w:val="1"/>
                <w:color w:val="auto"/>
                <w:w w:val="85"/>
              </w:rPr>
              <w:t>Customers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81"/>
              </w:rPr>
              <w:t>Revenues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1"/>
              </w:rPr>
              <w:t>(Loss)</w:t>
            </w:r>
          </w:p>
        </w:tc>
        <w:tc>
          <w:tcPr>
            <w:tcW w:w="0" w:type="dxa"/>
            <w:vAlign w:val="bottom"/>
          </w:tcPr>
          <w:p>
            <w:pPr>
              <w:spacing w:after="0"/>
              <w:rPr>
                <w:sz w:val="1"/>
                <w:szCs w:val="1"/>
                <w:color w:val="auto"/>
              </w:rPr>
            </w:pPr>
          </w:p>
        </w:tc>
      </w:tr>
      <w:tr>
        <w:trPr>
          <w:trHeight w:val="249"/>
        </w:trPr>
        <w:tc>
          <w:tcPr>
            <w:tcW w:w="4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7"/>
          </w:tcPr>
          <w:p>
            <w:pPr>
              <w:jc w:val="center"/>
              <w:ind w:right="110"/>
              <w:spacing w:after="0"/>
              <w:rPr>
                <w:sz w:val="20"/>
                <w:szCs w:val="20"/>
                <w:color w:val="auto"/>
              </w:rPr>
            </w:pPr>
            <w:r>
              <w:rPr>
                <w:rFonts w:ascii="Arial" w:cs="Arial" w:eastAsia="Arial" w:hAnsi="Arial"/>
                <w:sz w:val="13"/>
                <w:szCs w:val="13"/>
                <w:b w:val="1"/>
                <w:bCs w:val="1"/>
                <w:color w:val="auto"/>
                <w:w w:val="90"/>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1,688</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1,630</w:t>
            </w:r>
          </w:p>
        </w:tc>
        <w:tc>
          <w:tcPr>
            <w:tcW w:w="880" w:type="dxa"/>
            <w:vAlign w:val="bottom"/>
            <w:gridSpan w:val="3"/>
            <w:shd w:val="clear" w:color="auto" w:fill="CCEEFF"/>
          </w:tcPr>
          <w:p>
            <w:pPr>
              <w:jc w:val="right"/>
              <w:ind w:right="515"/>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Energy Services</w:t>
            </w:r>
          </w:p>
        </w:tc>
        <w:tc>
          <w:tcPr>
            <w:tcW w:w="14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3,710</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880" w:type="dxa"/>
            <w:vAlign w:val="bottom"/>
            <w:gridSpan w:val="3"/>
            <w:shd w:val="clear" w:color="auto" w:fill="CCEEFF"/>
          </w:tcPr>
          <w:p>
            <w:pPr>
              <w:jc w:val="right"/>
              <w:ind w:right="515"/>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CenterPoint Energy and CERC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3"/>
                <w:szCs w:val="13"/>
                <w:b w:val="1"/>
                <w:bCs w:val="1"/>
                <w:color w:val="auto"/>
                <w:w w:val="90"/>
              </w:rPr>
              <w:t>Total Assets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3"/>
                <w:szCs w:val="13"/>
                <w:b w:val="1"/>
                <w:bCs w:val="1"/>
                <w:color w:val="auto"/>
              </w:rPr>
              <w:t>June 30, 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3"/>
                <w:szCs w:val="13"/>
                <w:b w:val="1"/>
                <w:bCs w:val="1"/>
                <w:color w:val="auto"/>
              </w:rPr>
              <w:t>December 31, 2018</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291"/>
              <w:spacing w:after="0" w:line="144" w:lineRule="exact"/>
              <w:rPr>
                <w:sz w:val="20"/>
                <w:szCs w:val="20"/>
                <w:color w:val="auto"/>
              </w:rPr>
            </w:pPr>
            <w:r>
              <w:rPr>
                <w:rFonts w:ascii="Arial" w:cs="Arial" w:eastAsia="Arial" w:hAnsi="Arial"/>
                <w:sz w:val="13"/>
                <w:szCs w:val="13"/>
                <w:b w:val="1"/>
                <w:bCs w:val="1"/>
                <w:color w:val="auto"/>
                <w:w w:val="86"/>
              </w:rPr>
              <w:t>CenterPoint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4"/>
          </w:tcPr>
          <w:p>
            <w:pPr>
              <w:jc w:val="right"/>
              <w:ind w:right="295"/>
              <w:spacing w:after="0" w:line="144" w:lineRule="exact"/>
              <w:rPr>
                <w:sz w:val="20"/>
                <w:szCs w:val="20"/>
                <w:color w:val="auto"/>
              </w:rPr>
            </w:pPr>
            <w:r>
              <w:rPr>
                <w:rFonts w:ascii="Arial" w:cs="Arial" w:eastAsia="Arial" w:hAnsi="Arial"/>
                <w:sz w:val="13"/>
                <w:szCs w:val="13"/>
                <w:b w:val="1"/>
                <w:bCs w:val="1"/>
                <w:color w:val="auto"/>
              </w:rPr>
              <w:t>CenterPoint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Energy</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CERC</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3"/>
                <w:szCs w:val="13"/>
                <w:b w:val="1"/>
                <w:bCs w:val="1"/>
                <w:color w:val="auto"/>
                <w:w w:val="86"/>
              </w:rPr>
              <w:t>Energy</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CERC</w:t>
            </w:r>
          </w:p>
        </w:tc>
        <w:tc>
          <w:tcPr>
            <w:tcW w:w="0" w:type="dxa"/>
            <w:vAlign w:val="bottom"/>
          </w:tcPr>
          <w:p>
            <w:pPr>
              <w:spacing w:after="0"/>
              <w:rPr>
                <w:sz w:val="1"/>
                <w:szCs w:val="1"/>
                <w:color w:val="auto"/>
              </w:rPr>
            </w:pPr>
          </w:p>
        </w:tc>
      </w:tr>
      <w:tr>
        <w:trPr>
          <w:trHeight w:val="251"/>
        </w:trPr>
        <w:tc>
          <w:tcPr>
            <w:tcW w:w="4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 Electric T&amp;D</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11,478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7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10,509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 xml:space="preserve">Indiana Electric Integrated </w:t>
            </w:r>
            <w:r>
              <w:rPr>
                <w:rFonts w:ascii="Arial" w:cs="Arial" w:eastAsia="Arial" w:hAnsi="Arial"/>
                <w:sz w:val="10"/>
                <w:szCs w:val="10"/>
                <w:color w:val="auto"/>
              </w:rPr>
              <w:t>(1)</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2,989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Natural Gas Distribution </w:t>
            </w:r>
            <w:r>
              <w:rPr>
                <w:rFonts w:ascii="Arial" w:cs="Arial" w:eastAsia="Arial" w:hAnsi="Arial"/>
                <w:sz w:val="10"/>
                <w:szCs w:val="10"/>
                <w:color w:val="auto"/>
              </w:rPr>
              <w:t>(1)</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12,946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5"/>
              </w:rPr>
              <w:t>6,843</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6,956</w:t>
            </w: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Energy Services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1,262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w w:val="85"/>
              </w:rPr>
              <w:t>1,262</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gridSpan w:val="3"/>
          </w:tcPr>
          <w:p>
            <w:pPr>
              <w:jc w:val="right"/>
              <w:ind w:right="55"/>
              <w:spacing w:after="0"/>
              <w:rPr>
                <w:sz w:val="20"/>
                <w:szCs w:val="20"/>
                <w:color w:val="auto"/>
              </w:rPr>
            </w:pPr>
            <w:r>
              <w:rPr>
                <w:rFonts w:ascii="Arial" w:cs="Arial" w:eastAsia="Arial" w:hAnsi="Arial"/>
                <w:sz w:val="14"/>
                <w:szCs w:val="14"/>
                <w:color w:val="auto"/>
              </w:rPr>
              <w:t>1,558</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Infrastructure Services </w:t>
            </w:r>
            <w:r>
              <w:rPr>
                <w:rFonts w:ascii="Arial" w:cs="Arial" w:eastAsia="Arial" w:hAnsi="Arial"/>
                <w:sz w:val="10"/>
                <w:szCs w:val="10"/>
                <w:color w:val="auto"/>
              </w:rPr>
              <w:t>(1)</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1,303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Midstream Investments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2,915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gridSpan w:val="3"/>
          </w:tcPr>
          <w:p>
            <w:pPr>
              <w:jc w:val="right"/>
              <w:ind w:right="55"/>
              <w:spacing w:after="0"/>
              <w:rPr>
                <w:sz w:val="20"/>
                <w:szCs w:val="20"/>
                <w:color w:val="auto"/>
              </w:rPr>
            </w:pPr>
            <w:r>
              <w:rPr>
                <w:rFonts w:ascii="Arial" w:cs="Arial" w:eastAsia="Arial" w:hAnsi="Arial"/>
                <w:sz w:val="14"/>
                <w:szCs w:val="14"/>
                <w:color w:val="auto"/>
              </w:rPr>
              <w:t>2,482</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Corporate and Other </w:t>
            </w:r>
            <w:r>
              <w:rPr>
                <w:rFonts w:ascii="Arial" w:cs="Arial" w:eastAsia="Arial" w:hAnsi="Arial"/>
                <w:sz w:val="10"/>
                <w:szCs w:val="10"/>
                <w:color w:val="auto"/>
              </w:rPr>
              <w:t>(1)</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4,278</w:t>
            </w: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(2)</w:t>
            </w:r>
          </w:p>
        </w:tc>
        <w:tc>
          <w:tcPr>
            <w:tcW w:w="84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6,156</w:t>
            </w:r>
          </w:p>
        </w:tc>
        <w:tc>
          <w:tcPr>
            <w:tcW w:w="32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w w:val="88"/>
              </w:rPr>
              <w:t>(2)</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(2,982)</w:t>
            </w: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(398)</w:t>
            </w: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(652)</w:t>
            </w: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34,189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72"/>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5"/>
              </w:rPr>
              <w:t>7,815</w:t>
            </w:r>
          </w:p>
        </w:tc>
        <w:tc>
          <w:tcPr>
            <w:tcW w:w="860" w:type="dxa"/>
            <w:vAlign w:val="bottom"/>
            <w:gridSpan w:val="3"/>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27,009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8,214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assets by reportable segment include assets acquired in the Merger, which are based on preliminary estimates and allocations and are subject to change. See Note 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66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Includes pension and other postemployment-related regulatory assets of $639 million and $665 million, respectively, as of June 30, 2019 and December 31, 2018. Additionally, total assets as of December 31, 2018 included $3.9 billion of temporary investments included in Cash and cash equivalents on CenterPoint Energy’s Consolidated Balance Sheets.</w:t>
      </w:r>
    </w:p>
    <w:p>
      <w:pPr>
        <w:spacing w:after="0" w:line="177" w:lineRule="exact"/>
        <w:rPr>
          <w:rFonts w:ascii="Arial" w:cs="Arial" w:eastAsia="Arial" w:hAnsi="Arial"/>
          <w:sz w:val="18"/>
          <w:szCs w:val="18"/>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 of Cash Flow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provides supplemental disclosure of cash flow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w w:val="94"/>
              </w:rPr>
              <w:t>Six Months Ended June 30,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CenterPoint</w:t>
            </w:r>
          </w:p>
        </w:tc>
        <w:tc>
          <w:tcPr>
            <w:tcW w:w="300" w:type="dxa"/>
            <w:vAlign w:val="bottom"/>
          </w:tcPr>
          <w:p>
            <w:pPr>
              <w:spacing w:after="0"/>
              <w:rPr>
                <w:sz w:val="13"/>
                <w:szCs w:val="13"/>
                <w:color w:val="auto"/>
              </w:rPr>
            </w:pPr>
          </w:p>
        </w:tc>
        <w:tc>
          <w:tcPr>
            <w:tcW w:w="88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Houston</w:t>
            </w:r>
          </w:p>
        </w:tc>
        <w:tc>
          <w:tcPr>
            <w:tcW w:w="24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00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8"/>
              </w:rPr>
              <w:t>CenterPoint</w:t>
            </w:r>
          </w:p>
        </w:tc>
        <w:tc>
          <w:tcPr>
            <w:tcW w:w="260" w:type="dxa"/>
            <w:vAlign w:val="bottom"/>
          </w:tcPr>
          <w:p>
            <w:pPr>
              <w:spacing w:after="0"/>
              <w:rPr>
                <w:sz w:val="13"/>
                <w:szCs w:val="13"/>
                <w:color w:val="auto"/>
              </w:rPr>
            </w:pPr>
          </w:p>
        </w:tc>
        <w:tc>
          <w:tcPr>
            <w:tcW w:w="86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Energy</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60" w:type="dxa"/>
            <w:vAlign w:val="bottom"/>
          </w:tcPr>
          <w:p>
            <w:pPr>
              <w:ind w:left="180"/>
              <w:spacing w:after="0"/>
              <w:rPr>
                <w:sz w:val="20"/>
                <w:szCs w:val="20"/>
                <w:color w:val="auto"/>
              </w:rPr>
            </w:pPr>
            <w:r>
              <w:rPr>
                <w:rFonts w:ascii="Arial" w:cs="Arial" w:eastAsia="Arial" w:hAnsi="Arial"/>
                <w:sz w:val="14"/>
                <w:szCs w:val="14"/>
                <w:b w:val="1"/>
                <w:bCs w:val="1"/>
                <w:color w:val="auto"/>
              </w:rPr>
              <w:t>Cash Payments/Receipts: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net of capitalized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4460" w:type="dxa"/>
            <w:vAlign w:val="bottom"/>
          </w:tcPr>
          <w:p>
            <w:pPr>
              <w:ind w:left="280"/>
              <w:spacing w:after="0"/>
              <w:rPr>
                <w:sz w:val="20"/>
                <w:szCs w:val="20"/>
                <w:color w:val="auto"/>
              </w:rPr>
            </w:pPr>
            <w:r>
              <w:rPr>
                <w:rFonts w:ascii="Arial" w:cs="Arial" w:eastAsia="Arial" w:hAnsi="Arial"/>
                <w:sz w:val="14"/>
                <w:szCs w:val="14"/>
                <w:color w:val="auto"/>
              </w:rPr>
              <w:t>Income taxes (refunds), net</w:t>
            </w:r>
          </w:p>
        </w:tc>
        <w:tc>
          <w:tcPr>
            <w:tcW w:w="1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142</w:t>
            </w: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Non-cash transactions: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Pr>
          <w:p>
            <w:pPr>
              <w:ind w:left="280"/>
              <w:spacing w:after="0"/>
              <w:rPr>
                <w:sz w:val="20"/>
                <w:szCs w:val="20"/>
                <w:color w:val="auto"/>
              </w:rPr>
            </w:pPr>
            <w:r>
              <w:rPr>
                <w:rFonts w:ascii="Arial" w:cs="Arial" w:eastAsia="Arial" w:hAnsi="Arial"/>
                <w:sz w:val="14"/>
                <w:szCs w:val="14"/>
                <w:color w:val="auto"/>
              </w:rPr>
              <w:t>Accounts payable related to capital expenditures</w:t>
            </w:r>
          </w:p>
        </w:tc>
        <w:tc>
          <w:tcPr>
            <w:tcW w:w="1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173</w:t>
            </w: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86</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ROU assets obtained in exchange for lease liabilities </w:t>
            </w:r>
            <w:r>
              <w:rPr>
                <w:rFonts w:ascii="Arial" w:cs="Arial" w:eastAsia="Arial" w:hAnsi="Arial"/>
                <w:sz w:val="10"/>
                <w:szCs w:val="10"/>
                <w:color w:val="auto"/>
              </w:rPr>
              <w:t>(1)</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the transition impact of adoption of ASU 2016-02 Leases.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2019</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2018</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Houston Electric</w:t>
            </w:r>
          </w:p>
        </w:tc>
        <w:tc>
          <w:tcPr>
            <w:tcW w:w="26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106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CenterPoint</w:t>
            </w:r>
          </w:p>
        </w:tc>
        <w:tc>
          <w:tcPr>
            <w:tcW w:w="100" w:type="dxa"/>
            <w:vAlign w:val="bottom"/>
          </w:tcPr>
          <w:p>
            <w:pPr>
              <w:spacing w:after="0"/>
              <w:rPr>
                <w:sz w:val="13"/>
                <w:szCs w:val="13"/>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Houston Electric</w:t>
            </w:r>
          </w:p>
        </w:tc>
        <w:tc>
          <w:tcPr>
            <w:tcW w:w="260" w:type="dxa"/>
            <w:vAlign w:val="bottom"/>
          </w:tcPr>
          <w:p>
            <w:pPr>
              <w:spacing w:after="0"/>
              <w:rPr>
                <w:sz w:val="13"/>
                <w:szCs w:val="13"/>
                <w:color w:val="auto"/>
              </w:rPr>
            </w:pPr>
          </w:p>
        </w:tc>
        <w:tc>
          <w:tcPr>
            <w:tcW w:w="9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Energy</w:t>
            </w:r>
          </w:p>
        </w:tc>
        <w:tc>
          <w:tcPr>
            <w:tcW w:w="128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4"/>
          </w:tcPr>
          <w:p>
            <w:pPr>
              <w:jc w:val="right"/>
              <w:ind w:right="90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4,231</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7"/>
        </w:trPr>
        <w:tc>
          <w:tcPr>
            <w:tcW w:w="3540" w:type="dxa"/>
            <w:vAlign w:val="bottom"/>
          </w:tcPr>
          <w:p>
            <w:pPr>
              <w:ind w:left="180"/>
              <w:spacing w:after="0" w:line="157" w:lineRule="exact"/>
              <w:rPr>
                <w:sz w:val="20"/>
                <w:szCs w:val="20"/>
                <w:color w:val="auto"/>
              </w:rPr>
            </w:pPr>
            <w:r>
              <w:rPr>
                <w:rFonts w:ascii="Arial" w:cs="Arial" w:eastAsia="Arial" w:hAnsi="Arial"/>
                <w:sz w:val="14"/>
                <w:szCs w:val="14"/>
                <w:color w:val="auto"/>
                <w:w w:val="96"/>
              </w:rPr>
              <w:t>Restricted cash included in Prepaid expenses and other</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50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 included in Other</w:t>
            </w:r>
          </w:p>
        </w:tc>
        <w:tc>
          <w:tcPr>
            <w:tcW w:w="1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3540" w:type="dxa"/>
            <w:vAlign w:val="bottom"/>
          </w:tcPr>
          <w:p>
            <w:pPr>
              <w:ind w:left="360"/>
              <w:spacing w:after="0" w:line="137" w:lineRule="exact"/>
              <w:rPr>
                <w:sz w:val="20"/>
                <w:szCs w:val="20"/>
                <w:color w:val="auto"/>
              </w:rPr>
            </w:pPr>
            <w:r>
              <w:rPr>
                <w:rFonts w:ascii="Arial" w:cs="Arial" w:eastAsia="Arial" w:hAnsi="Arial"/>
                <w:sz w:val="14"/>
                <w:szCs w:val="14"/>
                <w:color w:val="auto"/>
                <w:w w:val="92"/>
              </w:rPr>
              <w:t>Total cash, cash equivalents and restricted cash shown</w:t>
            </w: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ind w:left="520"/>
              <w:spacing w:after="0" w:line="149" w:lineRule="exact"/>
              <w:rPr>
                <w:sz w:val="20"/>
                <w:szCs w:val="20"/>
                <w:color w:val="auto"/>
              </w:rPr>
            </w:pPr>
            <w:r>
              <w:rPr>
                <w:rFonts w:ascii="Arial" w:cs="Arial" w:eastAsia="Arial" w:hAnsi="Arial"/>
                <w:sz w:val="14"/>
                <w:szCs w:val="14"/>
                <w:color w:val="auto"/>
              </w:rPr>
              <w:t>in Condensed Statements of Consolidated Cash</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332</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4,278</w:t>
            </w:r>
          </w:p>
        </w:tc>
        <w:tc>
          <w:tcPr>
            <w:tcW w:w="56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1"/>
        </w:trPr>
        <w:tc>
          <w:tcPr>
            <w:tcW w:w="3540" w:type="dxa"/>
            <w:vAlign w:val="bottom"/>
          </w:tcPr>
          <w:p>
            <w:pPr>
              <w:ind w:left="520"/>
              <w:spacing w:after="0"/>
              <w:rPr>
                <w:sz w:val="20"/>
                <w:szCs w:val="20"/>
                <w:color w:val="auto"/>
              </w:rPr>
            </w:pPr>
            <w:r>
              <w:rPr>
                <w:rFonts w:ascii="Arial" w:cs="Arial" w:eastAsia="Arial" w:hAnsi="Arial"/>
                <w:sz w:val="14"/>
                <w:szCs w:val="14"/>
                <w:color w:val="auto"/>
              </w:rPr>
              <w:t>Flows</w:t>
            </w:r>
          </w:p>
        </w:tc>
        <w:tc>
          <w:tcPr>
            <w:tcW w:w="1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 (Houston Electric and CERC)</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Houston Electric and CERC participate in a money pool through which they can borrow or invest on a short-term basis. Funding needs are aggregated and external borrowing or investing is based on the net cash position. The net funding requirements of the money pool are expected to be met with borrowings under CenterPoint Energy’s revolving credit facility or the sale of CenterPoint Energy’s commercial paper.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money pool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55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3"/>
              </w:rPr>
              <w:t>Houston Electric</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CERC</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Houston Electric</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CERC</w:t>
            </w:r>
          </w:p>
        </w:tc>
      </w:tr>
      <w:tr>
        <w:trPr>
          <w:trHeight w:val="196"/>
        </w:trPr>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20" w:type="dxa"/>
            <w:vAlign w:val="bottom"/>
            <w:gridSpan w:val="4"/>
          </w:tcPr>
          <w:p>
            <w:pPr>
              <w:jc w:val="right"/>
              <w:ind w:right="1048"/>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Money pool investments (borrowings) </w:t>
            </w:r>
            <w:r>
              <w:rPr>
                <w:rFonts w:ascii="Arial" w:cs="Arial" w:eastAsia="Arial" w:hAnsi="Arial"/>
                <w:sz w:val="12"/>
                <w:szCs w:val="12"/>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794</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w:t>
            </w:r>
          </w:p>
        </w:tc>
      </w:tr>
      <w:tr>
        <w:trPr>
          <w:trHeight w:val="258"/>
        </w:trPr>
        <w:tc>
          <w:tcPr>
            <w:tcW w:w="5540" w:type="dxa"/>
            <w:vAlign w:val="bottom"/>
          </w:tcPr>
          <w:p>
            <w:pPr>
              <w:ind w:left="40"/>
              <w:spacing w:after="0"/>
              <w:rPr>
                <w:sz w:val="20"/>
                <w:szCs w:val="20"/>
                <w:color w:val="auto"/>
              </w:rPr>
            </w:pPr>
            <w:r>
              <w:rPr>
                <w:rFonts w:ascii="Arial" w:cs="Arial" w:eastAsia="Arial" w:hAnsi="Arial"/>
                <w:sz w:val="14"/>
                <w:szCs w:val="14"/>
                <w:color w:val="auto"/>
              </w:rPr>
              <w:t>Weighted average interest rate</w:t>
            </w:r>
          </w:p>
        </w:tc>
        <w:tc>
          <w:tcPr>
            <w:tcW w:w="14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2.42%</w:t>
            </w:r>
          </w:p>
        </w:tc>
      </w:tr>
    </w:tbl>
    <w:p>
      <w:pPr>
        <w:spacing w:after="0" w:line="214" w:lineRule="exact"/>
        <w:rPr>
          <w:sz w:val="20"/>
          <w:szCs w:val="20"/>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Houston Electric and CERC affiliate related net interest income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Three Months Ended June 30,</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8"/>
              </w:rPr>
              <w:t>Six Months Ended June 30,</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9"/>
              </w:rPr>
              <w:t>2018</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9"/>
              </w:rPr>
              <w:t>2019</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2018</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1"/>
              </w:rPr>
              <w:t>Houston</w:t>
            </w:r>
          </w:p>
        </w:tc>
        <w:tc>
          <w:tcPr>
            <w:tcW w:w="360" w:type="dxa"/>
            <w:vAlign w:val="bottom"/>
          </w:tcPr>
          <w:p>
            <w:pPr>
              <w:spacing w:after="0"/>
              <w:rPr>
                <w:sz w:val="13"/>
                <w:szCs w:val="13"/>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6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1"/>
              </w:rPr>
              <w:t>Houston</w:t>
            </w:r>
          </w:p>
        </w:tc>
        <w:tc>
          <w:tcPr>
            <w:tcW w:w="42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Houston</w:t>
            </w:r>
          </w:p>
        </w:tc>
        <w:tc>
          <w:tcPr>
            <w:tcW w:w="38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Houston</w:t>
            </w:r>
          </w:p>
        </w:tc>
        <w:tc>
          <w:tcPr>
            <w:tcW w:w="420" w:type="dxa"/>
            <w:vAlign w:val="bottom"/>
          </w:tcPr>
          <w:p>
            <w:pPr>
              <w:spacing w:after="0"/>
              <w:rPr>
                <w:sz w:val="13"/>
                <w:szCs w:val="13"/>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Electric</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Electric</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(expense) (1)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Interest income is included in Other income (expense), net and interest expense is included in Interest and other finance charges on Houston Electric’s and CERC’s respective Condensed Statements of Consolidated Income.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CenterPoint Energy provides some corporate services to Houston Electric and CERC. The costs of services have been charged directly to Houston Electric and CERC using methods that management believes are reasonable. These methods include negotiated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3"/>
              </w:rPr>
              <w:t>Three Months Ended June 30,</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4"/>
              </w:rPr>
              <w:t>Six Months Ended June 30,</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9"/>
              </w:rPr>
              <w:t>2018</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9"/>
              </w:rPr>
              <w:t>2019</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2018</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Houston</w:t>
            </w:r>
          </w:p>
        </w:tc>
        <w:tc>
          <w:tcPr>
            <w:tcW w:w="340" w:type="dxa"/>
            <w:vAlign w:val="bottom"/>
          </w:tcPr>
          <w:p>
            <w:pPr>
              <w:spacing w:after="0"/>
              <w:rPr>
                <w:sz w:val="13"/>
                <w:szCs w:val="13"/>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Houston</w:t>
            </w:r>
          </w:p>
        </w:tc>
        <w:tc>
          <w:tcPr>
            <w:tcW w:w="40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4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Houston</w:t>
            </w:r>
          </w:p>
        </w:tc>
        <w:tc>
          <w:tcPr>
            <w:tcW w:w="38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4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Houston</w:t>
            </w:r>
          </w:p>
        </w:tc>
        <w:tc>
          <w:tcPr>
            <w:tcW w:w="420" w:type="dxa"/>
            <w:vAlign w:val="bottom"/>
          </w:tcPr>
          <w:p>
            <w:pPr>
              <w:spacing w:after="0"/>
              <w:rPr>
                <w:sz w:val="13"/>
                <w:szCs w:val="13"/>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Electric</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Electric</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Electric</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Electric</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service charges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58"/>
        </w:trPr>
        <w:tc>
          <w:tcPr>
            <w:tcW w:w="2420" w:type="dxa"/>
            <w:vAlign w:val="bottom"/>
          </w:tcPr>
          <w:p>
            <w:pPr>
              <w:ind w:left="40"/>
              <w:spacing w:after="0"/>
              <w:rPr>
                <w:sz w:val="20"/>
                <w:szCs w:val="20"/>
                <w:color w:val="auto"/>
              </w:rPr>
            </w:pPr>
            <w:r>
              <w:rPr>
                <w:rFonts w:ascii="Arial" w:cs="Arial" w:eastAsia="Arial" w:hAnsi="Arial"/>
                <w:sz w:val="14"/>
                <w:szCs w:val="14"/>
                <w:color w:val="auto"/>
              </w:rPr>
              <w:t>Net affiliate service charges (billings)</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4"/>
                <w:szCs w:val="14"/>
                <w:color w:val="auto"/>
              </w:rPr>
              <w:t>(3)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268"/>
              <w:spacing w:after="0"/>
              <w:rPr>
                <w:sz w:val="20"/>
                <w:szCs w:val="20"/>
                <w:color w:val="auto"/>
              </w:rPr>
            </w:pPr>
            <w:r>
              <w:rPr>
                <w:rFonts w:ascii="Arial" w:cs="Arial" w:eastAsia="Arial" w:hAnsi="Arial"/>
                <w:sz w:val="14"/>
                <w:szCs w:val="14"/>
                <w:color w:val="auto"/>
              </w:rPr>
              <w:t>(4)</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4"/>
                <w:szCs w:val="14"/>
                <w:color w:val="auto"/>
              </w:rPr>
              <w:t>(5)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Infrastructure Services provides pipeline construction and repair services to CERC. Amounts charged for operation and maintenance expenses by Infrastructure Services to CERC were not significant from February 1, 2019 to June 30, 2019. Additionally, CERC, through CES, sells natural gas to Indiana Electric for use in electric generation activities. Amounts charged by CERC to Indiana Electric were not significant from February 1, 2019 to June 30, 2019.</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transactions among Houston Electric, CERC and their parent, Utility Holding.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3"/>
              </w:rPr>
              <w:t>Three Months Ended June 30,</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4"/>
              </w:rPr>
              <w:t>Six Months Ended June 30,</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9"/>
              </w:rPr>
              <w:t>2018</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9"/>
              </w:rPr>
              <w:t>2019</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2018</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Houston</w:t>
            </w:r>
          </w:p>
        </w:tc>
        <w:tc>
          <w:tcPr>
            <w:tcW w:w="360" w:type="dxa"/>
            <w:vAlign w:val="bottom"/>
          </w:tcPr>
          <w:p>
            <w:pPr>
              <w:spacing w:after="0"/>
              <w:rPr>
                <w:sz w:val="13"/>
                <w:szCs w:val="13"/>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Houston</w:t>
            </w:r>
          </w:p>
        </w:tc>
        <w:tc>
          <w:tcPr>
            <w:tcW w:w="40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4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Houston</w:t>
            </w:r>
          </w:p>
        </w:tc>
        <w:tc>
          <w:tcPr>
            <w:tcW w:w="38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4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Houston</w:t>
            </w:r>
          </w:p>
        </w:tc>
        <w:tc>
          <w:tcPr>
            <w:tcW w:w="420" w:type="dxa"/>
            <w:vAlign w:val="bottom"/>
          </w:tcPr>
          <w:p>
            <w:pPr>
              <w:spacing w:after="0"/>
              <w:rPr>
                <w:sz w:val="13"/>
                <w:szCs w:val="13"/>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Electric</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Electric</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Electric</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Electric</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to parent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58"/>
        </w:trPr>
        <w:tc>
          <w:tcPr>
            <w:tcW w:w="2420" w:type="dxa"/>
            <w:vAlign w:val="bottom"/>
          </w:tcPr>
          <w:p>
            <w:pPr>
              <w:ind w:left="40"/>
              <w:spacing w:after="0"/>
              <w:rPr>
                <w:sz w:val="20"/>
                <w:szCs w:val="20"/>
                <w:color w:val="auto"/>
              </w:rPr>
            </w:pPr>
            <w:r>
              <w:rPr>
                <w:rFonts w:ascii="Arial" w:cs="Arial" w:eastAsia="Arial" w:hAnsi="Arial"/>
                <w:sz w:val="14"/>
                <w:szCs w:val="14"/>
                <w:color w:val="auto"/>
              </w:rPr>
              <w:t>Cash contribution from parent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590</w:t>
            </w:r>
          </w:p>
        </w:tc>
        <w:tc>
          <w:tcPr>
            <w:tcW w:w="3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Leases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Registrants adopted ASC 842, Leases, and all related amendments on January 1, 2019 using the modified retrospective transition method and elected not to recast comparative periods in the year of adoption as permitted by the standard. There was no adjustment to retained earnings as a result of transition. As a result, disclosures for periods prior to adoption will be presented in accordance with accounting standards in effect for those periods. The Registrants also elected the package of practical expedients permitted under the transition guidance within the new standard, which among other things, allowed them to carry forward the historical lease classification. Additionally, the Registrants elected the practical expedient related to land easements, which allows the carry forward of the accounting treatment for land easements on existing agreements. The total ROU assets obtained in exchange for new operating lease liabilities at transition were $30 million, $1 million and $27 million for CenterPoint Energy, Houston Electric and CERC, respectively. The Merger was completed on February 1, 2019, and as such the amounts are exclusive of Vectren’s leases.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An arrangement is determined to be a lease at inception based on whether the Registrant has the right to control the use of an identified asset. ROU assets represent the Registrants’ right to use the underlying asset for the lease term and lease liabilities represent the Registrants’ obligation to make lease payments arising from the lease. ROU assets and liabilities are recognized at the lease commencement date based on the present value of lease payments over the lease term, including payments at commencement that depend on an index or rate. Most leases in which the Registrants are the lessee do not have a readily determinable implicit rate, so an incremental borrowing rate, based on the information available at the lease commencement date, is utilized to determine the present value of lease payments. When a secured borrowing rate is not readily available, unsecured borrowing rates are adjusted for the effects of collateral to determine the incremental borrowing rate. Each Registrant uses the implicit rate for agreements in which it is a lessor. Lease expense and lease income are recognized on a straight-line basis over the lease term for operating leases.</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Registrants have lease agreements with lease and non-lease components and have elected the practical expedient to combine lease and non-lease components for certain classes of leases, such as office buildings. For classes of leases in which lease and non-lease components are not combined, consideration is allocated between components based on the stand-alone prices. Variable payments are not significant to the Registrants.</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Registrants’ lease agreements do not contain any material residual value guarantees, material restrictions or material covenants. There are no material lease transactions with related parties. Agreements in which the Registrants are lessors do not include provisions for the lessee to purchase the assets. Because risk is minimal, the Registrants do not take any significant actions to manage risk associated with the residual value of their leased assets.</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Registrants’ lease agreements are primarily equipment and real property leases, including land and office facility leases. The Registrants’ lease terms may include options to extend or terminate a lease when it is reasonably certain that those options will be exercised. The Registrants have elected an accounting policy that exempts leases with terms of one year or less from the recognition requirements of ASU 842.</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lease cost, included in Operation and maintenance expense on the Registrants’ respective Condensed Statements of Consolidated Income,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6"/>
          </w:tcPr>
          <w:p>
            <w:pPr>
              <w:jc w:val="center"/>
              <w:ind w:left="659"/>
              <w:spacing w:after="0"/>
              <w:rPr>
                <w:sz w:val="20"/>
                <w:szCs w:val="20"/>
                <w:color w:val="auto"/>
              </w:rPr>
            </w:pPr>
            <w:r>
              <w:rPr>
                <w:rFonts w:ascii="Arial" w:cs="Arial" w:eastAsia="Arial" w:hAnsi="Arial"/>
                <w:sz w:val="16"/>
                <w:szCs w:val="16"/>
                <w:b w:val="1"/>
                <w:bCs w:val="1"/>
                <w:color w:val="auto"/>
                <w:w w:val="91"/>
              </w:rPr>
              <w:t>Three Months Ended June 30,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6"/>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90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CenterPoint</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Houston</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CenterPoint</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Electric</w:t>
            </w:r>
          </w:p>
        </w:tc>
        <w:tc>
          <w:tcPr>
            <w:tcW w:w="38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CERC</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Energy</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Houston Electric</w:t>
            </w:r>
          </w:p>
        </w:tc>
        <w:tc>
          <w:tcPr>
            <w:tcW w:w="3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CERC</w:t>
            </w:r>
          </w:p>
        </w:tc>
      </w:tr>
      <w:tr>
        <w:trPr>
          <w:trHeight w:val="33"/>
        </w:trPr>
        <w:tc>
          <w:tcPr>
            <w:tcW w:w="3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5"/>
          </w:tcPr>
          <w:p>
            <w:pPr>
              <w:ind w:left="46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Short-term lease cost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 2019</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CenterPoint</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Houston</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Electric</w:t>
            </w:r>
          </w:p>
        </w:tc>
        <w:tc>
          <w:tcPr>
            <w:tcW w:w="26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CERC</w:t>
            </w:r>
          </w:p>
        </w:tc>
      </w:tr>
      <w:tr>
        <w:trPr>
          <w:trHeight w:val="33"/>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7"/>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7"/>
          </w:tcPr>
          <w:p>
            <w:pPr>
              <w:jc w:val="center"/>
              <w:ind w:right="59"/>
              <w:spacing w:after="0"/>
              <w:rPr>
                <w:sz w:val="20"/>
                <w:szCs w:val="20"/>
                <w:color w:val="auto"/>
              </w:rPr>
            </w:pPr>
            <w:r>
              <w:rPr>
                <w:rFonts w:ascii="Arial" w:cs="Arial" w:eastAsia="Arial" w:hAnsi="Arial"/>
                <w:sz w:val="16"/>
                <w:szCs w:val="16"/>
                <w:b w:val="1"/>
                <w:bCs w:val="1"/>
                <w:color w:val="auto"/>
                <w:w w:val="90"/>
              </w:rPr>
              <w:t>(in millions, except lease term and discount rate)</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Operating ROU assets </w:t>
            </w:r>
            <w:r>
              <w:rPr>
                <w:rFonts w:ascii="Arial" w:cs="Arial" w:eastAsia="Arial" w:hAnsi="Arial"/>
                <w:sz w:val="12"/>
                <w:szCs w:val="12"/>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leased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26</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 xml:space="preserve">Current operating lease liability </w:t>
            </w:r>
            <w:r>
              <w:rPr>
                <w:rFonts w:ascii="Arial" w:cs="Arial" w:eastAsia="Arial" w:hAnsi="Arial"/>
                <w:sz w:val="12"/>
                <w:szCs w:val="12"/>
                <w:color w:val="auto"/>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w:t>
            </w: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Non-current operating lease liability </w:t>
            </w:r>
            <w:r>
              <w:rPr>
                <w:rFonts w:ascii="Arial" w:cs="Arial" w:eastAsia="Arial" w:hAnsi="Arial"/>
                <w:sz w:val="12"/>
                <w:szCs w:val="12"/>
                <w:color w:val="auto"/>
              </w:rPr>
              <w:t>(3)</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leased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26</w:t>
            </w:r>
          </w:p>
        </w:tc>
      </w:tr>
      <w:tr>
        <w:trPr>
          <w:trHeight w:val="311"/>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Weighted-average remaining lease term (in years) - operating leases</w:t>
            </w: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8.1</w:t>
            </w: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discount rate - operating leases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33"/>
        </w:trPr>
        <w:tc>
          <w:tcPr>
            <w:tcW w:w="7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Reported within Other assets in the Condensed Consolidated Balance Sheets.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Reported within Current other liabilities in the Condensed Consolidated Balance Sheets.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Reported within Other liabilities in the Condensed Consolidated Balance Sheets.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maturities of operating lease liabilities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Houston</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400" w:type="dxa"/>
            <w:vAlign w:val="bottom"/>
          </w:tcPr>
          <w:p>
            <w:pPr>
              <w:spacing w:after="0"/>
              <w:rPr>
                <w:sz w:val="18"/>
                <w:szCs w:val="18"/>
                <w:color w:val="auto"/>
              </w:rPr>
            </w:pPr>
          </w:p>
        </w:tc>
        <w:tc>
          <w:tcPr>
            <w:tcW w:w="1720" w:type="dxa"/>
            <w:vAlign w:val="bottom"/>
            <w:gridSpan w:val="3"/>
          </w:tcPr>
          <w:p>
            <w:pPr>
              <w:ind w:left="120"/>
              <w:spacing w:after="0"/>
              <w:rPr>
                <w:sz w:val="20"/>
                <w:szCs w:val="20"/>
                <w:color w:val="auto"/>
              </w:rPr>
            </w:pPr>
            <w:r>
              <w:rPr>
                <w:rFonts w:ascii="Arial" w:cs="Arial" w:eastAsia="Arial" w:hAnsi="Arial"/>
                <w:sz w:val="16"/>
                <w:szCs w:val="16"/>
                <w:b w:val="1"/>
                <w:bCs w:val="1"/>
                <w:color w:val="auto"/>
              </w:rPr>
              <w:t>CenterPoint Energy</w:t>
            </w:r>
          </w:p>
        </w:tc>
        <w:tc>
          <w:tcPr>
            <w:tcW w:w="2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Electric</w:t>
            </w:r>
          </w:p>
        </w:tc>
        <w:tc>
          <w:tcPr>
            <w:tcW w:w="340" w:type="dxa"/>
            <w:vAlign w:val="bottom"/>
          </w:tcPr>
          <w:p>
            <w:pPr>
              <w:spacing w:after="0"/>
              <w:rPr>
                <w:sz w:val="18"/>
                <w:szCs w:val="18"/>
                <w:color w:val="auto"/>
              </w:rPr>
            </w:pPr>
          </w:p>
        </w:tc>
        <w:tc>
          <w:tcPr>
            <w:tcW w:w="1260" w:type="dxa"/>
            <w:vAlign w:val="bottom"/>
          </w:tcPr>
          <w:p>
            <w:pPr>
              <w:jc w:val="right"/>
              <w:ind w:right="471"/>
              <w:spacing w:after="0"/>
              <w:rPr>
                <w:sz w:val="20"/>
                <w:szCs w:val="20"/>
                <w:color w:val="auto"/>
              </w:rPr>
            </w:pPr>
            <w:r>
              <w:rPr>
                <w:rFonts w:ascii="Arial" w:cs="Arial" w:eastAsia="Arial" w:hAnsi="Arial"/>
                <w:sz w:val="16"/>
                <w:szCs w:val="16"/>
                <w:b w:val="1"/>
                <w:bCs w:val="1"/>
                <w:color w:val="auto"/>
              </w:rPr>
              <w:t>CERC</w:t>
            </w:r>
          </w:p>
        </w:tc>
      </w:tr>
      <w:tr>
        <w:trPr>
          <w:trHeight w:val="33"/>
        </w:trPr>
        <w:tc>
          <w:tcPr>
            <w:tcW w:w="64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six months of 2019</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6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6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2024</w:t>
            </w:r>
          </w:p>
        </w:tc>
        <w:tc>
          <w:tcPr>
            <w:tcW w:w="7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6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and beyond</w:t>
            </w:r>
          </w:p>
        </w:tc>
        <w:tc>
          <w:tcPr>
            <w:tcW w:w="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7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6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Interest</w:t>
            </w: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64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information concerning the Registrants’ obligations under non-cancelable long-term operating leases as of December 31,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Houston</w:t>
            </w:r>
          </w:p>
        </w:tc>
        <w:tc>
          <w:tcPr>
            <w:tcW w:w="360" w:type="dxa"/>
            <w:vAlign w:val="bottom"/>
          </w:tcPr>
          <w:p>
            <w:pPr>
              <w:spacing w:after="0"/>
              <w:rPr>
                <w:sz w:val="14"/>
                <w:szCs w:val="14"/>
                <w:color w:val="auto"/>
              </w:rPr>
            </w:pPr>
          </w:p>
        </w:tc>
        <w:tc>
          <w:tcPr>
            <w:tcW w:w="12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Electric</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4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4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2024 and beyond</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4"/>
                <w:szCs w:val="14"/>
                <w:color w:val="auto"/>
              </w:rPr>
              <w:t>(1)</w:t>
            </w: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BFE4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auto"/>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080" w:hanging="8"/>
        <w:spacing w:after="0" w:line="528" w:lineRule="auto"/>
        <w:tabs>
          <w:tab w:leader="none" w:pos="6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Merger was completed on February 1, 2019. As such, these amounts are exclusive of Vectren’s leases. As of June 30, 2019, maturities of undiscounted operating lease payments to be received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Houston</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400" w:type="dxa"/>
            <w:vAlign w:val="bottom"/>
          </w:tcPr>
          <w:p>
            <w:pPr>
              <w:spacing w:after="0"/>
              <w:rPr>
                <w:sz w:val="18"/>
                <w:szCs w:val="18"/>
                <w:color w:val="auto"/>
              </w:rPr>
            </w:pPr>
          </w:p>
        </w:tc>
        <w:tc>
          <w:tcPr>
            <w:tcW w:w="1720" w:type="dxa"/>
            <w:vAlign w:val="bottom"/>
            <w:gridSpan w:val="3"/>
          </w:tcPr>
          <w:p>
            <w:pPr>
              <w:ind w:left="120"/>
              <w:spacing w:after="0"/>
              <w:rPr>
                <w:sz w:val="20"/>
                <w:szCs w:val="20"/>
                <w:color w:val="auto"/>
              </w:rPr>
            </w:pPr>
            <w:r>
              <w:rPr>
                <w:rFonts w:ascii="Arial" w:cs="Arial" w:eastAsia="Arial" w:hAnsi="Arial"/>
                <w:sz w:val="16"/>
                <w:szCs w:val="16"/>
                <w:b w:val="1"/>
                <w:bCs w:val="1"/>
                <w:color w:val="auto"/>
              </w:rPr>
              <w:t>CenterPoint Energy</w:t>
            </w:r>
          </w:p>
        </w:tc>
        <w:tc>
          <w:tcPr>
            <w:tcW w:w="2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Electric</w:t>
            </w:r>
          </w:p>
        </w:tc>
        <w:tc>
          <w:tcPr>
            <w:tcW w:w="340" w:type="dxa"/>
            <w:vAlign w:val="bottom"/>
          </w:tcPr>
          <w:p>
            <w:pPr>
              <w:spacing w:after="0"/>
              <w:rPr>
                <w:sz w:val="18"/>
                <w:szCs w:val="18"/>
                <w:color w:val="auto"/>
              </w:rPr>
            </w:pPr>
          </w:p>
        </w:tc>
        <w:tc>
          <w:tcPr>
            <w:tcW w:w="1260" w:type="dxa"/>
            <w:vAlign w:val="bottom"/>
          </w:tcPr>
          <w:p>
            <w:pPr>
              <w:ind w:left="240"/>
              <w:spacing w:after="0"/>
              <w:rPr>
                <w:sz w:val="20"/>
                <w:szCs w:val="20"/>
                <w:color w:val="auto"/>
              </w:rPr>
            </w:pPr>
            <w:r>
              <w:rPr>
                <w:rFonts w:ascii="Arial" w:cs="Arial" w:eastAsia="Arial" w:hAnsi="Arial"/>
                <w:sz w:val="16"/>
                <w:szCs w:val="16"/>
                <w:b w:val="1"/>
                <w:bCs w:val="1"/>
                <w:color w:val="auto"/>
              </w:rPr>
              <w:t>CERC</w:t>
            </w:r>
          </w:p>
        </w:tc>
      </w:tr>
      <w:tr>
        <w:trPr>
          <w:trHeight w:val="33"/>
        </w:trPr>
        <w:tc>
          <w:tcPr>
            <w:tcW w:w="64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six months of 2019</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2024</w:t>
            </w:r>
          </w:p>
        </w:tc>
        <w:tc>
          <w:tcPr>
            <w:tcW w:w="7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and beyond</w:t>
            </w:r>
          </w:p>
        </w:tc>
        <w:tc>
          <w:tcPr>
            <w:tcW w:w="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lease payments to be received</w:t>
            </w:r>
          </w:p>
        </w:tc>
        <w:tc>
          <w:tcPr>
            <w:tcW w:w="72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leases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center"/>
              <w:ind w:left="188"/>
              <w:spacing w:after="0"/>
              <w:rPr>
                <w:sz w:val="20"/>
                <w:szCs w:val="20"/>
                <w:color w:val="auto"/>
              </w:rPr>
            </w:pPr>
            <w:r>
              <w:rPr>
                <w:rFonts w:ascii="Arial" w:cs="Arial" w:eastAsia="Arial" w:hAnsi="Arial"/>
                <w:sz w:val="14"/>
                <w:szCs w:val="14"/>
                <w:b w:val="1"/>
                <w:bCs w:val="1"/>
                <w:color w:val="auto"/>
                <w:w w:val="93"/>
              </w:rPr>
              <w:t>Three Months Ended June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left="648"/>
              <w:spacing w:after="0"/>
              <w:rPr>
                <w:sz w:val="20"/>
                <w:szCs w:val="20"/>
                <w:color w:val="auto"/>
              </w:rPr>
            </w:pPr>
            <w:r>
              <w:rPr>
                <w:rFonts w:ascii="Arial" w:cs="Arial" w:eastAsia="Arial" w:hAnsi="Arial"/>
                <w:sz w:val="14"/>
                <w:szCs w:val="14"/>
                <w:b w:val="1"/>
                <w:bCs w:val="1"/>
                <w:color w:val="auto"/>
                <w:w w:val="92"/>
              </w:rPr>
              <w:t>Six Months Ended 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300" w:type="dxa"/>
            <w:vAlign w:val="bottom"/>
          </w:tcPr>
          <w:p>
            <w:pPr>
              <w:spacing w:after="0"/>
              <w:rPr>
                <w:sz w:val="13"/>
                <w:szCs w:val="13"/>
                <w:color w:val="auto"/>
              </w:rPr>
            </w:pPr>
          </w:p>
        </w:tc>
        <w:tc>
          <w:tcPr>
            <w:tcW w:w="88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1"/>
              </w:rPr>
              <w:t>Houston</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280" w:type="dxa"/>
            <w:vAlign w:val="bottom"/>
          </w:tcPr>
          <w:p>
            <w:pPr>
              <w:spacing w:after="0"/>
              <w:rPr>
                <w:sz w:val="13"/>
                <w:szCs w:val="13"/>
                <w:color w:val="auto"/>
              </w:rPr>
            </w:pPr>
          </w:p>
        </w:tc>
        <w:tc>
          <w:tcPr>
            <w:tcW w:w="84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1"/>
              </w:rPr>
              <w:t>Houston</w:t>
            </w:r>
          </w:p>
        </w:tc>
        <w:tc>
          <w:tcPr>
            <w:tcW w:w="4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Energy</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4"/>
              </w:rPr>
              <w:t>Electric</w:t>
            </w: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Energy</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4"/>
              </w:rPr>
              <w:t>Electric</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w w:val="91"/>
              </w:rPr>
              <w:t>(in millions)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Operating cash flows from operating leases included in the measurement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CenterPoint Energy paid dividends on its Common Stock during the six months ended June 30, 2019 and 2018 as presented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Declaration Date</w:t>
            </w:r>
          </w:p>
        </w:tc>
        <w:tc>
          <w:tcPr>
            <w:tcW w:w="120" w:type="dxa"/>
            <w:vAlign w:val="bottom"/>
            <w:vMerge w:val="restart"/>
          </w:tcPr>
          <w:p>
            <w:pPr>
              <w:spacing w:after="0"/>
              <w:rPr>
                <w:sz w:val="14"/>
                <w:szCs w:val="14"/>
                <w:color w:val="auto"/>
              </w:rPr>
            </w:pPr>
          </w:p>
        </w:tc>
        <w:tc>
          <w:tcPr>
            <w:tcW w:w="25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5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Per Share</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12, 2018</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21, 2019</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14, 2019</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0.2875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April 25, 2019</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May 16, 2019</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June 13, 2019</w:t>
            </w:r>
          </w:p>
        </w:tc>
        <w:tc>
          <w:tcPr>
            <w:tcW w:w="3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0.2875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Total 2019</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0.5750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13, 2017</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15, 2018</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8, 2018</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April 26, 2018</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May 17, 2018</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June 14, 2018</w:t>
            </w:r>
          </w:p>
        </w:tc>
        <w:tc>
          <w:tcPr>
            <w:tcW w:w="3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0.2775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Total 2018</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0.5550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declared no dividends on its Series A Preferred Stock or Series B Preferred Stock during the three or six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CenterPoint Energy paid dividends on its Series A Preferred Stock during the six months ended June 30, 2019 as presented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4"/>
                <w:szCs w:val="14"/>
                <w:color w:val="auto"/>
              </w:rPr>
            </w:pPr>
          </w:p>
        </w:tc>
        <w:tc>
          <w:tcPr>
            <w:tcW w:w="25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5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Per Share</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12, 2018</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15, 2019</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1, 2019</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32.1563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4"/>
        </w:trPr>
        <w:tc>
          <w:tcPr>
            <w:tcW w:w="2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Total 2019</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32.1563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CenterPoint Energy paid dividends on its Series B Preferred Stock during the six months ended June 30, 2019 as presented in the table below:</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4"/>
                <w:szCs w:val="14"/>
                <w:color w:val="auto"/>
              </w:rPr>
            </w:pPr>
          </w:p>
        </w:tc>
        <w:tc>
          <w:tcPr>
            <w:tcW w:w="26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5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Per Share</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6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12, 2018</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15, 2019</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1, 2019</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17.5000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April 25, 2019</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May 15, 2019</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June 3, 2019</w:t>
            </w:r>
          </w:p>
        </w:tc>
        <w:tc>
          <w:tcPr>
            <w:tcW w:w="3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17.5000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1"/>
              </w:rPr>
              <w:t>Total 2019</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Requirement on Preferred Stock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Pr>
          <w:p>
            <w:pPr>
              <w:spacing w:after="0"/>
              <w:rPr>
                <w:sz w:val="22"/>
                <w:szCs w:val="22"/>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4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gridSpan w:val="3"/>
          </w:tcPr>
          <w:p>
            <w:pPr>
              <w:ind w:left="16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Series B Preferred Stock</w:t>
            </w:r>
          </w:p>
        </w:tc>
        <w:tc>
          <w:tcPr>
            <w:tcW w:w="11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preferred stock dividend requirement</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 June 30,</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00" w:type="dxa"/>
            <w:vAlign w:val="bottom"/>
          </w:tcPr>
          <w:p>
            <w:pPr>
              <w:spacing w:after="0"/>
              <w:rPr>
                <w:sz w:val="13"/>
                <w:szCs w:val="13"/>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Houston Electric</w:t>
            </w:r>
          </w:p>
        </w:tc>
        <w:tc>
          <w:tcPr>
            <w:tcW w:w="260" w:type="dxa"/>
            <w:vAlign w:val="bottom"/>
          </w:tcPr>
          <w:p>
            <w:pPr>
              <w:spacing w:after="0"/>
              <w:rPr>
                <w:sz w:val="13"/>
                <w:szCs w:val="13"/>
                <w:color w:val="auto"/>
              </w:rPr>
            </w:pPr>
          </w:p>
        </w:tc>
        <w:tc>
          <w:tcPr>
            <w:tcW w:w="9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134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7"/>
        </w:trPr>
        <w:tc>
          <w:tcPr>
            <w:tcW w:w="3280" w:type="dxa"/>
            <w:vAlign w:val="bottom"/>
          </w:tcPr>
          <w:p>
            <w:pPr>
              <w:ind w:left="20"/>
              <w:spacing w:after="0" w:line="157" w:lineRule="exact"/>
              <w:rPr>
                <w:sz w:val="20"/>
                <w:szCs w:val="20"/>
                <w:color w:val="auto"/>
              </w:rPr>
            </w:pPr>
            <w:r>
              <w:rPr>
                <w:rFonts w:ascii="Arial" w:cs="Arial" w:eastAsia="Arial" w:hAnsi="Arial"/>
                <w:sz w:val="14"/>
                <w:szCs w:val="14"/>
                <w:color w:val="auto"/>
              </w:rPr>
              <w:t>Other comprehensive income (loss) before</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20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Deferred gain (loss) from interest rate derivatives</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80" w:type="dxa"/>
            <w:vAlign w:val="bottom"/>
          </w:tcPr>
          <w:p>
            <w:pPr>
              <w:ind w:left="20"/>
              <w:spacing w:after="0" w:line="157" w:lineRule="exact"/>
              <w:rPr>
                <w:sz w:val="20"/>
                <w:szCs w:val="20"/>
                <w:color w:val="auto"/>
              </w:rPr>
            </w:pPr>
            <w:r>
              <w:rPr>
                <w:rFonts w:ascii="Arial" w:cs="Arial" w:eastAsia="Arial" w:hAnsi="Arial"/>
                <w:sz w:val="14"/>
                <w:szCs w:val="14"/>
                <w:color w:val="auto"/>
              </w:rPr>
              <w:t>Amounts reclassified from accumulated other</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200"/>
              <w:spacing w:after="0"/>
              <w:rPr>
                <w:sz w:val="20"/>
                <w:szCs w:val="20"/>
                <w:color w:val="auto"/>
              </w:rPr>
            </w:pPr>
            <w:r>
              <w:rPr>
                <w:rFonts w:ascii="Arial" w:cs="Arial" w:eastAsia="Arial" w:hAnsi="Arial"/>
                <w:sz w:val="14"/>
                <w:szCs w:val="14"/>
                <w:color w:val="auto"/>
              </w:rPr>
              <w:t>comprehensive loss: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Prior service cost (2)</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80" w:type="dxa"/>
            <w:vAlign w:val="bottom"/>
          </w:tcPr>
          <w:p>
            <w:pPr>
              <w:ind w:left="360"/>
              <w:spacing w:after="0"/>
              <w:rPr>
                <w:sz w:val="20"/>
                <w:szCs w:val="20"/>
                <w:color w:val="auto"/>
              </w:rPr>
            </w:pPr>
            <w:r>
              <w:rPr>
                <w:rFonts w:ascii="Arial" w:cs="Arial" w:eastAsia="Arial" w:hAnsi="Arial"/>
                <w:sz w:val="14"/>
                <w:szCs w:val="14"/>
                <w:color w:val="auto"/>
              </w:rPr>
              <w:t>Actuarial losses (2)</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280" w:type="dxa"/>
            <w:vAlign w:val="bottom"/>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Six Months Ended June 30,</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00" w:type="dxa"/>
            <w:vAlign w:val="bottom"/>
          </w:tcPr>
          <w:p>
            <w:pPr>
              <w:spacing w:after="0"/>
              <w:rPr>
                <w:sz w:val="13"/>
                <w:szCs w:val="13"/>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Houston Electric</w:t>
            </w:r>
          </w:p>
        </w:tc>
        <w:tc>
          <w:tcPr>
            <w:tcW w:w="260" w:type="dxa"/>
            <w:vAlign w:val="bottom"/>
          </w:tcPr>
          <w:p>
            <w:pPr>
              <w:spacing w:after="0"/>
              <w:rPr>
                <w:sz w:val="13"/>
                <w:szCs w:val="13"/>
                <w:color w:val="auto"/>
              </w:rPr>
            </w:pPr>
          </w:p>
        </w:tc>
        <w:tc>
          <w:tcPr>
            <w:tcW w:w="9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134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7"/>
        </w:trPr>
        <w:tc>
          <w:tcPr>
            <w:tcW w:w="3280" w:type="dxa"/>
            <w:vAlign w:val="bottom"/>
          </w:tcPr>
          <w:p>
            <w:pPr>
              <w:ind w:left="20"/>
              <w:spacing w:after="0" w:line="157" w:lineRule="exact"/>
              <w:rPr>
                <w:sz w:val="20"/>
                <w:szCs w:val="20"/>
                <w:color w:val="auto"/>
              </w:rPr>
            </w:pPr>
            <w:r>
              <w:rPr>
                <w:rFonts w:ascii="Arial" w:cs="Arial" w:eastAsia="Arial" w:hAnsi="Arial"/>
                <w:sz w:val="14"/>
                <w:szCs w:val="14"/>
                <w:color w:val="auto"/>
              </w:rPr>
              <w:t>Other comprehensive income (loss) before</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20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Deferred gain (loss) from interest rate derivatives</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80" w:type="dxa"/>
            <w:vAlign w:val="bottom"/>
          </w:tcPr>
          <w:p>
            <w:pPr>
              <w:ind w:left="20"/>
              <w:spacing w:after="0" w:line="157" w:lineRule="exact"/>
              <w:rPr>
                <w:sz w:val="20"/>
                <w:szCs w:val="20"/>
                <w:color w:val="auto"/>
              </w:rPr>
            </w:pPr>
            <w:r>
              <w:rPr>
                <w:rFonts w:ascii="Arial" w:cs="Arial" w:eastAsia="Arial" w:hAnsi="Arial"/>
                <w:sz w:val="14"/>
                <w:szCs w:val="14"/>
                <w:color w:val="auto"/>
              </w:rPr>
              <w:t>Amounts reclassified from accumulated other</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200"/>
              <w:spacing w:after="0"/>
              <w:rPr>
                <w:sz w:val="20"/>
                <w:szCs w:val="20"/>
                <w:color w:val="auto"/>
              </w:rPr>
            </w:pPr>
            <w:r>
              <w:rPr>
                <w:rFonts w:ascii="Arial" w:cs="Arial" w:eastAsia="Arial" w:hAnsi="Arial"/>
                <w:sz w:val="14"/>
                <w:szCs w:val="14"/>
                <w:color w:val="auto"/>
              </w:rPr>
              <w:t>comprehensive loss: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Prior service cost (2)</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80" w:type="dxa"/>
            <w:vAlign w:val="bottom"/>
          </w:tcPr>
          <w:p>
            <w:pPr>
              <w:ind w:left="360"/>
              <w:spacing w:after="0"/>
              <w:rPr>
                <w:sz w:val="20"/>
                <w:szCs w:val="20"/>
                <w:color w:val="auto"/>
              </w:rPr>
            </w:pPr>
            <w:r>
              <w:rPr>
                <w:rFonts w:ascii="Arial" w:cs="Arial" w:eastAsia="Arial" w:hAnsi="Arial"/>
                <w:sz w:val="14"/>
                <w:szCs w:val="14"/>
                <w:color w:val="auto"/>
              </w:rPr>
              <w:t>Actuarial losses (2)</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9"/>
              </w:rPr>
              <w:t>Reclassification of deferred loss from cash flow</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hedges realized in net income</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Net current period other comprehensive income (loss)</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31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Gains and losses are reclassified from Accumulated other comprehensive income into income when the hedged transactions affect earnings. The reclassification amounts are included in Interest and other finance charges in each of the Registrants’ respective Statements of Consolidated Income. Over the next twelve months estimated amortization from Accumulated Comprehensive Income into income is expected to be immaterial.</w:t>
      </w:r>
    </w:p>
    <w:p>
      <w:pPr>
        <w:spacing w:after="0" w:line="14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(expense), net in each of the Registrants’ respective Statements of Consolidated Income.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7900"/>
        <w:spacing w:after="0"/>
        <w:rPr>
          <w:sz w:val="20"/>
          <w:szCs w:val="20"/>
          <w:color w:val="auto"/>
        </w:rPr>
      </w:pPr>
      <w:r>
        <w:rPr>
          <w:rFonts w:ascii="Arial" w:cs="Arial" w:eastAsia="Arial" w:hAnsi="Arial"/>
          <w:sz w:val="16"/>
          <w:szCs w:val="16"/>
          <w:b w:val="1"/>
          <w:bCs w:val="1"/>
          <w:color w:val="auto"/>
        </w:rPr>
        <w:t>(21) Subsequent Events (CenterPoint Energy)</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CenterPoint Energy Dividend Declarations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Equity Instrument</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Per Share</w:t>
            </w:r>
          </w:p>
        </w:tc>
      </w:tr>
      <w:tr>
        <w:trPr>
          <w:trHeight w:val="23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July 31, 2019</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August 15, 2019</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12, 2019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0.2875</w:t>
            </w: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Series A Preferred Stock</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July 31, 2019</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August 15, 2019</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3, 2019</w:t>
            </w:r>
          </w:p>
        </w:tc>
        <w:tc>
          <w:tcPr>
            <w:tcW w:w="2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30.6250</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B Preferred Stock</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July 31, 2019</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August 15, 2019</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3, 2019</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17.5000</w:t>
            </w:r>
          </w:p>
        </w:tc>
      </w:tr>
      <w:tr>
        <w:trPr>
          <w:trHeight w:val="33"/>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Enable Distributions Declarations (CenterPoint Energy)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4"/>
                <w:szCs w:val="14"/>
                <w:color w:val="auto"/>
              </w:rPr>
            </w:pPr>
          </w:p>
        </w:tc>
        <w:tc>
          <w:tcPr>
            <w:tcW w:w="1200" w:type="dxa"/>
            <w:vAlign w:val="bottom"/>
          </w:tcPr>
          <w:p>
            <w:pPr>
              <w:jc w:val="right"/>
              <w:ind w:right="144"/>
              <w:spacing w:after="0"/>
              <w:rPr>
                <w:sz w:val="20"/>
                <w:szCs w:val="20"/>
                <w:color w:val="auto"/>
              </w:rPr>
            </w:pPr>
            <w:r>
              <w:rPr>
                <w:rFonts w:ascii="Arial" w:cs="Arial" w:eastAsia="Arial" w:hAnsi="Arial"/>
                <w:sz w:val="14"/>
                <w:szCs w:val="14"/>
                <w:b w:val="1"/>
                <w:bCs w:val="1"/>
                <w:color w:val="auto"/>
                <w:w w:val="95"/>
              </w:rPr>
              <w:t>Expected Cash</w:t>
            </w:r>
          </w:p>
        </w:tc>
        <w:tc>
          <w:tcPr>
            <w:tcW w:w="0" w:type="dxa"/>
            <w:vAlign w:val="bottom"/>
          </w:tcPr>
          <w:p>
            <w:pPr>
              <w:spacing w:after="0"/>
              <w:rPr>
                <w:sz w:val="1"/>
                <w:szCs w:val="1"/>
                <w:color w:val="auto"/>
              </w:rPr>
            </w:pPr>
          </w:p>
        </w:tc>
      </w:tr>
      <w:tr>
        <w:trPr>
          <w:trHeight w:val="149"/>
        </w:trPr>
        <w:tc>
          <w:tcPr>
            <w:tcW w:w="26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Equity Instrument</w:t>
            </w:r>
          </w:p>
        </w:tc>
        <w:tc>
          <w:tcPr>
            <w:tcW w:w="120" w:type="dxa"/>
            <w:vAlign w:val="bottom"/>
            <w:vMerge w:val="restart"/>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20" w:type="dxa"/>
            <w:vAlign w:val="bottom"/>
            <w:vMerge w:val="restart"/>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224"/>
              <w:spacing w:after="0" w:line="149" w:lineRule="exact"/>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Distribution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Enable common units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2, 2019</w:t>
            </w: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August 20, 2019</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August 27,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0.3305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Enable Series A Preferred Units</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2, 2019</w:t>
            </w: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August 2, 2019</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August 14, 2019</w:t>
            </w:r>
          </w:p>
        </w:tc>
        <w:tc>
          <w:tcPr>
            <w:tcW w:w="200" w:type="dxa"/>
            <w:vAlign w:val="bottom"/>
          </w:tcPr>
          <w:p>
            <w:pPr>
              <w:spacing w:after="0"/>
              <w:rPr>
                <w:sz w:val="20"/>
                <w:szCs w:val="20"/>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0.6250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both"/>
        <w:ind w:left="8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No Registrant makes any representations as to the information related solely to CenterPoint Energy or the subsidiaries of CenterPoint Energy other than itself.</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The following combined discussion and analysis should be read in combination with the Interim Condensed Financial Statements contained in this Form 10-Q and the Registrants’ combined 2018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Form 10-Q, the terms “our,” “we” and “us” are used as abbreviated references to CenterPoint Energy, Inc. together with its consolidated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Merger with Vectren. </w:t>
      </w:r>
      <w:r>
        <w:rPr>
          <w:rFonts w:ascii="Arial" w:cs="Arial" w:eastAsia="Arial" w:hAnsi="Arial"/>
          <w:sz w:val="18"/>
          <w:szCs w:val="18"/>
          <w:color w:val="auto"/>
        </w:rPr>
        <w:t>On February 1, 2019, pursuant to the Merger Agreement, CenterPoint Energy consummated the previously announced Merger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Vectren for approximately $6 billion in cash. For more information about the Merger, see Notes 1 and 3 to the Interim Condensed Financial Statements. Concurrent with the completion of the Merger, CenterPoint Energy added two new reportable segments, Indiana Electric Integrated and Infrastructure Services, to its five reportable segments disclosed in CenterPoint Energy’s 2018 Form 10-K. For a description of the Registrants’ reportable segments, see Note 16 to the Interim Condensed Financial Statements.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Debt Transactions. </w:t>
      </w:r>
      <w:r>
        <w:rPr>
          <w:rFonts w:ascii="Arial" w:cs="Arial" w:eastAsia="Arial" w:hAnsi="Arial"/>
          <w:sz w:val="18"/>
          <w:szCs w:val="18"/>
          <w:color w:val="auto"/>
        </w:rPr>
        <w:t>In January 2019, Houston Electric issued $700 million aggregate principal amount of general mortgage bonds, and in May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CenterPoint Energy entered into a $1.0 billion variable rate term loan. For more information about the 2019 debt transactions, see Note 12 to the Interim Condensed Financial Statements.</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 xml:space="preserve">Regulatory Proceedings. </w:t>
      </w:r>
      <w:r>
        <w:rPr>
          <w:rFonts w:ascii="Arial" w:cs="Arial" w:eastAsia="Arial" w:hAnsi="Arial"/>
          <w:sz w:val="18"/>
          <w:szCs w:val="18"/>
          <w:color w:val="auto"/>
        </w:rPr>
        <w:t>On April 5, 2019, and subsequently adjusted in errata filings in May and June 2019, Houston Electric filed its base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with the PUCT and the cities in its service area to change its rates. For details related to our pending and completed regulatory proceedings and orders related to the TCJA to date in 2019, see “—Liquidity and Capital Resources —Regulatory Matters”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2018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4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w:t>
            </w:r>
          </w:p>
        </w:tc>
        <w:tc>
          <w:tcPr>
            <w:tcW w:w="940" w:type="dxa"/>
            <w:vAlign w:val="bottom"/>
            <w:tcBorders>
              <w:bottom w:val="single" w:sz="8" w:color="BFE4FF"/>
            </w:tcBorders>
            <w:shd w:val="clear" w:color="auto" w:fill="BFE4FF"/>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7"/>
              </w:rPr>
              <w:t>2,798</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jc w:val="center"/>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6,329</w:t>
            </w:r>
          </w:p>
        </w:tc>
        <w:tc>
          <w:tcPr>
            <w:tcW w:w="100" w:type="dxa"/>
            <w:vAlign w:val="bottom"/>
            <w:tcBorders>
              <w:bottom w:val="single" w:sz="8" w:color="BFE4FF"/>
            </w:tcBorders>
            <w:shd w:val="clear" w:color="auto" w:fill="BFE4FF"/>
          </w:tcPr>
          <w:p>
            <w:pPr>
              <w:spacing w:after="0"/>
              <w:rPr>
                <w:sz w:val="22"/>
                <w:szCs w:val="22"/>
                <w:color w:val="auto"/>
              </w:rPr>
            </w:pPr>
          </w:p>
        </w:tc>
        <w:tc>
          <w:tcPr>
            <w:tcW w:w="400" w:type="dxa"/>
            <w:vAlign w:val="bottom"/>
            <w:tcBorders>
              <w:bottom w:val="single" w:sz="8" w:color="BFE4FF"/>
            </w:tcBorders>
            <w:shd w:val="clear" w:color="auto" w:fill="BFE4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5,341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Expenses</w:t>
            </w:r>
          </w:p>
        </w:tc>
        <w:tc>
          <w:tcPr>
            <w:tcW w:w="9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2,511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4,903</w:t>
            </w:r>
          </w:p>
        </w:tc>
      </w:tr>
      <w:tr>
        <w:trPr>
          <w:trHeight w:val="27"/>
        </w:trPr>
        <w:tc>
          <w:tcPr>
            <w:tcW w:w="492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438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and Other Finance Charges</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Interest on Securitization Bonds</w:t>
            </w:r>
          </w:p>
        </w:tc>
        <w:tc>
          <w:tcPr>
            <w:tcW w:w="94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 net</w:t>
            </w:r>
          </w:p>
        </w:tc>
        <w:tc>
          <w:tcPr>
            <w:tcW w:w="9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BFE4FF"/>
            </w:tcBorders>
            <w:shd w:val="clear" w:color="auto" w:fill="BFE4FF"/>
          </w:tcPr>
          <w:p>
            <w:pPr>
              <w:spacing w:after="0"/>
              <w:rPr>
                <w:sz w:val="23"/>
                <w:szCs w:val="23"/>
                <w:color w:val="auto"/>
              </w:rPr>
            </w:pPr>
          </w:p>
        </w:tc>
        <w:tc>
          <w:tcPr>
            <w:tcW w:w="5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(242)</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9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BFE4FF"/>
            </w:tcBorders>
            <w:shd w:val="clear" w:color="auto" w:fill="BFE4FF"/>
          </w:tcPr>
          <w:p>
            <w:pPr>
              <w:spacing w:after="0"/>
              <w:rPr>
                <w:sz w:val="23"/>
                <w:szCs w:val="23"/>
                <w:color w:val="auto"/>
              </w:rPr>
            </w:pPr>
          </w:p>
        </w:tc>
        <w:tc>
          <w:tcPr>
            <w:tcW w:w="5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34</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Preferred Stock Dividend Requirement</w:t>
            </w:r>
          </w:p>
        </w:tc>
        <w:tc>
          <w:tcPr>
            <w:tcW w:w="940" w:type="dxa"/>
            <w:vAlign w:val="bottom"/>
            <w:tcBorders>
              <w:bottom w:val="single" w:sz="8" w:color="BFE4FF"/>
            </w:tcBorders>
            <w:shd w:val="clear" w:color="auto" w:fill="BFE4FF"/>
          </w:tcPr>
          <w:p>
            <w:pPr>
              <w:spacing w:after="0"/>
              <w:rPr>
                <w:sz w:val="23"/>
                <w:szCs w:val="23"/>
                <w:color w:val="auto"/>
              </w:rPr>
            </w:pPr>
          </w:p>
        </w:tc>
        <w:tc>
          <w:tcPr>
            <w:tcW w:w="5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4920" w:type="dxa"/>
            <w:vAlign w:val="bottom"/>
            <w:tcBorders>
              <w:bottom w:val="single" w:sz="8" w:color="BFE4FF"/>
            </w:tcBorders>
          </w:tcPr>
          <w:p>
            <w:pPr>
              <w:ind w:left="40"/>
              <w:spacing w:after="0"/>
              <w:rPr>
                <w:sz w:val="20"/>
                <w:szCs w:val="20"/>
                <w:color w:val="auto"/>
              </w:rPr>
            </w:pPr>
            <w:r>
              <w:rPr>
                <w:rFonts w:ascii="Arial" w:cs="Arial" w:eastAsia="Arial" w:hAnsi="Arial"/>
                <w:sz w:val="18"/>
                <w:szCs w:val="18"/>
                <w:color w:val="auto"/>
              </w:rPr>
              <w:t>Income (Loss) Available to Common Shareholders</w:t>
            </w:r>
          </w:p>
        </w:tc>
        <w:tc>
          <w:tcPr>
            <w:tcW w:w="94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BFE4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BFE4FF"/>
            </w:tcBorders>
          </w:tcPr>
          <w:p>
            <w:pPr>
              <w:spacing w:after="0"/>
              <w:rPr>
                <w:sz w:val="24"/>
                <w:szCs w:val="24"/>
                <w:color w:val="auto"/>
              </w:rPr>
            </w:pPr>
          </w:p>
        </w:tc>
        <w:tc>
          <w:tcPr>
            <w:tcW w:w="3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BFE4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r>
      <w:tr>
        <w:trPr>
          <w:trHeight w:val="251"/>
        </w:trPr>
        <w:tc>
          <w:tcPr>
            <w:tcW w:w="4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Basic Earnings (Loss) Per Common Share</w:t>
            </w:r>
          </w:p>
        </w:tc>
        <w:tc>
          <w:tcPr>
            <w:tcW w:w="940" w:type="dxa"/>
            <w:vAlign w:val="bottom"/>
            <w:tcBorders>
              <w:bottom w:val="single" w:sz="8" w:color="auto"/>
            </w:tcBorders>
            <w:shd w:val="clear" w:color="auto" w:fill="BFE4FF"/>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auto"/>
            </w:tcBorders>
            <w:shd w:val="clear" w:color="auto" w:fill="BFE4FF"/>
          </w:tcPr>
          <w:p>
            <w:pPr>
              <w:jc w:val="center"/>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auto"/>
            </w:tcBorders>
            <w:shd w:val="clear" w:color="auto" w:fill="BFE4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0.21</w:t>
            </w:r>
          </w:p>
        </w:tc>
      </w:tr>
      <w:tr>
        <w:trPr>
          <w:trHeight w:val="20"/>
        </w:trPr>
        <w:tc>
          <w:tcPr>
            <w:tcW w:w="4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8"/>
                <w:szCs w:val="18"/>
                <w:color w:val="auto"/>
              </w:rPr>
              <w:t>Diluted Earnings (Loss) Per Common Share</w:t>
            </w:r>
          </w:p>
        </w:tc>
        <w:tc>
          <w:tcPr>
            <w:tcW w:w="94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0.21</w:t>
            </w:r>
          </w:p>
        </w:tc>
      </w:tr>
      <w:tr>
        <w:trPr>
          <w:trHeight w:val="20"/>
        </w:trPr>
        <w:tc>
          <w:tcPr>
            <w:tcW w:w="4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 reported income available to common shareholders of $165 million ($0.33 per diluted share) for the three months ended June 30, 2019 compared to a net loss of $75 million ($(0.17) per diluted share) for the three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income available to common shareholders of $240 million was primarily due to the following key factors:</w:t>
      </w:r>
    </w:p>
    <w:p>
      <w:pPr>
        <w:spacing w:after="0" w:line="225" w:lineRule="exact"/>
        <w:rPr>
          <w:sz w:val="20"/>
          <w:szCs w:val="20"/>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$186 million decrease in losses on the underlying value of the indexed debt securities related to the ZENS, included in Other Income (Expense), net shown above (losses recorded from AT&amp;T Inc.’s acquisition of Time Warner Inc. in June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$100 million increase in operating income discussed below in Results of Operations by Reportable Segment;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$42 million increase in gain on marketable securities, included in Other Income (Expense), net shown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$16 million increase in equity earnings from the investment in Enable, discussed further in Note 9 to the Interim Condensed Financial Statements;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$7 million increase in miscellaneous other non-operating income, included in Other Income (Expense), net shown above;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$4 million decrease in interest expense related to lower outstanding balances of the Securitization Bonds.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 the following:</w:t>
      </w:r>
    </w:p>
    <w:p>
      <w:pPr>
        <w:spacing w:after="0" w:line="225" w:lineRule="exact"/>
        <w:rPr>
          <w:sz w:val="20"/>
          <w:szCs w:val="20"/>
          <w:color w:val="auto"/>
        </w:rPr>
      </w:pPr>
    </w:p>
    <w:p>
      <w:pPr>
        <w:ind w:left="66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$43 million increase in interest expense, primarily as a result of higher outstanding other long-term debt used to finance the Merger and additional long-term debt acquired through the Merger, discussed further in Notes 3 and 12 to the Interim Condensed Financial Statements;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$42 million increase in income tax expense due to higher income before income taxes that was partially offset by the lower effective tax rate as explained below;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$30 million increase in preferred stock dividend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 reported income available to common shareholders of $305 million ($0.61 per diluted share) for the six months ended June 30, 2019 compared to $90 million ($0.21 per diluted share) for the six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of $215 million in income available to common shareholders was primarily due to the following key factors:</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$124 million increase in gain on marketable securities, included in Other Income (Expense), net shown above;</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$118 million decrease in losses on the underlying value of indexed debt securities related to the ZENS, included in Other Income, net shown above (losses recorded from Meredith Corporation’s acquisition of Time Inc. in March 2018 and AT&amp;T Inc.’s acquisition of Time Warner Inc. in June 2018);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$94 million increase in operating income discussed below in Results of Operations by Reportable Segment;</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$24 million increase in other miscellaneous non-operating income included in Other Income (Expense), net shown above that included $14 million in higher interest income, a $5 million increase in dividend income and $5 million in additional income from miscellaneous items;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$9 million increase in equity earnings from the investment in Enable, discussed further in Note 9 to the Interim Condensed Financial Statements;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$8 million decrease in interest expense related to lower outstanding balances of the Securitization Bonds.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 the following:</w:t>
      </w:r>
    </w:p>
    <w:p>
      <w:pPr>
        <w:spacing w:after="0" w:line="225" w:lineRule="exact"/>
        <w:rPr>
          <w:sz w:val="20"/>
          <w:szCs w:val="20"/>
          <w:color w:val="auto"/>
        </w:rPr>
      </w:pPr>
    </w:p>
    <w:p>
      <w:pPr>
        <w:ind w:left="66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$86 million increase in interest expense, primarily as a result of higher outstanding other long-term debt used to finance the Merger and additional long-term debt acquired through the Merger, discussed further in Notes 3 and 12 to the Interim Condensed Financial Statements;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$59 million increase in preferred stock dividend requirements;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$17 million increase in income tax expense due to higher income before income taxes that was partially offset by the lower effective tax rate as explained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Energy’s effective tax rate reported for the three months ended June 30, 2019 was 13% compared to 15% for the three months ended June 30, 2018. CenterPoint Energy’s effective tax rate reported for the six months ended June 30, 2019 was 12% compared to 27% for the six months ended June 30, 2018. The lower effective tax rate for the three and six months ended June 30, 2019 was primarily due to the following: an increase in the amount of amortization of the net regulatory EDIT liability as decreed by regulators in certain jurisdictions; the impact of state tax law changes that resulted in the remeasurement of state deferred taxes; and the release of valuation allowances on certain state net operating losses that are now expected to be utilized prior to expiration due to a current period law change.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2018 Form 10-K.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96"/>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14"/>
                <w:szCs w:val="14"/>
                <w:color w:val="auto"/>
              </w:rPr>
              <w:t>(1)</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1,609</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Expenses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1,309</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finance charges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Securitization Bonds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86"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Excludes weather hedge gain (loss) of $-0- and $3 million for the three and six months ended June 30, 2019, respectively, and $-0- and $(4) million for the three and six months ended June 30, 2018, respectively, recorded in Utility revenues on CenterPoint Energy’s Condensed Statements of Consolidated Income. See Note 7(a) to the Interim Condensed Financial Statements for more information on the weather hedge.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Houston Electric reported net income of $100 million for the three months ended June 30, 2019 compared to net income of $101 million for the three months ended June 30,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of $1 million in net income was primarily due to the following key factors:</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$7 million decrease in TDU operating income discussed below in Results of Operations by Reportable Segment;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$6 million increase in interest expense due to higher outstanding other long-term debt;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$5 million decrease in operating income from the Bond Companies.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were partially offset by the following:</w:t>
      </w:r>
    </w:p>
    <w:p>
      <w:pPr>
        <w:spacing w:after="0" w:line="225" w:lineRule="exact"/>
        <w:rPr>
          <w:sz w:val="20"/>
          <w:szCs w:val="20"/>
          <w:color w:val="auto"/>
        </w:rPr>
      </w:pPr>
    </w:p>
    <w:p>
      <w:pPr>
        <w:ind w:left="660" w:right="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$9 million increase in Other income (expense), net that included $6 million of interest income on money pool investments and $3 million in miscellaneous other non-operating income;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$4 million decrease in interest expense related to the Securitization Bonds;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$4 million reduction of income tax expense due to the lower effective tax rate as explained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Houston Electric reported net income of $127 million for the six months ended June 30, 2019 compared to net income of $153 million for the six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of $26 million in net income was primarily due to the following key factors:</w:t>
      </w:r>
    </w:p>
    <w:p>
      <w:pPr>
        <w:spacing w:after="0" w:line="225" w:lineRule="exact"/>
        <w:rPr>
          <w:sz w:val="20"/>
          <w:szCs w:val="20"/>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$39 million decrease in TDU operating income discussed below in Results of Operations by Reportable Segment, exclusive of a $7 million gain from the weather hedge recorded at CenterPoint Energy;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$13 million increase in interest expense due to higher outstanding other long-term debt;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$11 million decrease in operating income from the Bond Companies.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were partially offset by the following:</w:t>
      </w:r>
    </w:p>
    <w:p>
      <w:pPr>
        <w:spacing w:after="0" w:line="225" w:lineRule="exact"/>
        <w:rPr>
          <w:sz w:val="20"/>
          <w:szCs w:val="20"/>
          <w:color w:val="auto"/>
        </w:rPr>
      </w:pPr>
    </w:p>
    <w:p>
      <w:pPr>
        <w:ind w:left="660" w:right="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$16 million increase in Other income (expense), net that included $9 million of interest income on money pool investments, $3 million in interest income related to the Securitization Bonds and $4 million in miscellaneous other non-operating income;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$13 million decrease in income tax expense primarily due to lower income and the lower effective tax rate as explained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$8 million decrease in interest expense related to the Securitization Bonds.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Houston Electric’s effective tax rate reported for the three months ended June 30, 2019 was 19% compared to 21% for the three months ended June 30, 2018. Houston Electric’s effective tax rate reported for the six months ended June 30, 2019 was 19% compared to 22% for the six months ended June 30,</w:t>
      </w:r>
    </w:p>
    <w:p>
      <w:pPr>
        <w:spacing w:after="0" w:line="261" w:lineRule="auto"/>
        <w:rPr>
          <w:sz w:val="20"/>
          <w:szCs w:val="20"/>
          <w:color w:val="auto"/>
        </w:rPr>
      </w:pPr>
      <w:r>
        <w:rPr>
          <w:rFonts w:ascii="Arial" w:cs="Arial" w:eastAsia="Arial" w:hAnsi="Arial"/>
          <w:sz w:val="18"/>
          <w:szCs w:val="18"/>
          <w:color w:val="auto"/>
        </w:rPr>
        <w:t>2018. The lower effective tax rate for both the three and six months ended June 30, 2019 was primarily due to an increase in the amount of amortization of the net regulatory EDIT liability as decreed by regulators.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CERC’s results of operations are affected by seasonal fluctuations in the demand for natural gas and price movements of energy commodities as well as the optimization of margins through natural gas basis differentials. CERC’s results of operations are also affected by, among other things, the actions of various federal, state and local governmental authorities having jurisdiction over rates CERC charges, competition in CERC’s various business operations, the effectiveness of CERC’s risk management activities, debt service costs and income tax expense. For more information regarding factors that may affect the future results of operations for CERC’s business,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2018 Form 10-K.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1,342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1,328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1,284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1,306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3,575</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finance charges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166</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CERC reported net income of $28 million for the three months ended June 30, 2019 compared to net income of $36 million for the three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of $8 million in net income was primarily due to the following key factors:</w:t>
      </w:r>
    </w:p>
    <w:p>
      <w:pPr>
        <w:spacing w:after="0" w:line="225" w:lineRule="exact"/>
        <w:rPr>
          <w:sz w:val="20"/>
          <w:szCs w:val="20"/>
          <w:color w:val="auto"/>
        </w:rPr>
      </w:pPr>
    </w:p>
    <w:p>
      <w:pPr>
        <w:ind w:left="660" w:right="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$44 million decrease in income from discontinued operations, net of tax, discussed further in Notes 9 and 13 to the Interim Condensed Financial Statements;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$4 million increase in income tax expense due to higher income from continuing operations, partially offset by the lower effective tax rate as explained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were partially offset by the following:</w:t>
      </w:r>
    </w:p>
    <w:p>
      <w:pPr>
        <w:spacing w:after="0" w:line="22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$36 million increase in operating income discussed below in Results of Operations by Reportable Segment;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$3 million decrease in interest and other finance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CERC reported net income of $166 million for the six months ended June 30, 2019 compared to net income of $166 million for the six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was primarily impacted by the following key factors:</w:t>
      </w:r>
    </w:p>
    <w:p>
      <w:pPr>
        <w:spacing w:after="0" w:line="22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$101 million increase in operating income discussed below in Results of Operations by Reportable Segment;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$96 million decrease in income from discontinued operations, net of tax, discussed further in Notes 9 and 13 to the Interim Condensed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$10 million increase in income tax expense due to higher income from continuing operations, partially offset by the lower effective tax rate as explained below;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$3 million decrease in interest and other finance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 Continuing Operations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CERC’s effective tax rate on income from continuing operations for the three months ended June 30, 2019 was 0% compared to 33% for the three months ended June 30, 2018. CERC’s effective tax rate on income from continuing operations for the six months ended June 30, 2019 was 14% compared to 19% for the six months ended June 30, 2018. The lower effective tax rate for both the three and six months ended June 30, 2019 was primarily due to the following: an increase in the amount of amortization of the net regulatory EDIT liability as decreed by regulators in certain jurisdictions; the impact of state tax law changes that resulted in the remeasurement of state deferred taxes; and the release of a valuation allowance on certain state net operating losses that are now expected to be utilized prior to expiration due to a current period law change. The state law changes and valuation allowance release resulted in a lower than expected effective tax rate for the three months ended June 30, 2019.</w:t>
      </w:r>
    </w:p>
    <w:p>
      <w:pPr>
        <w:spacing w:after="0" w:line="17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reportable segments by Registrant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Registrants</w:t>
            </w:r>
          </w:p>
        </w:tc>
        <w:tc>
          <w:tcPr>
            <w:tcW w:w="120" w:type="dxa"/>
            <w:vAlign w:val="bottom"/>
            <w:vMerge w:val="restart"/>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Houston Electric</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Indiana Electric</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Natural Gas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Midstream</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Corporate and</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T&amp;D</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Integrated</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5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CenterPoint Energy</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Houston Electric</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CERC</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Midstream Investments reportable segment consists of CenterPoint Energy’s equity investment in Enable and is therefore not included in the operating income table below. Included in revenues are intersegment sales, which are accounted for as if the sales were to third parties at current market prices. See Note 16 to the Interim Condensed Financial Statements for details of reportable segments by Registrant.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operating income (loss) for each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CenterPoint Energy</w:t>
            </w: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Houston Electric T&amp;D</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Indiana Electric Integrated</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Distribution</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Energy Services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Infrastructure Services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CenterPoint Energy Consolidated Operating Income</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Houston Electric</w:t>
            </w: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Houston Electric T&amp;D</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CERC</w:t>
            </w: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Distribution</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Energy Services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Operations</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140" w:type="dxa"/>
            <w:vAlign w:val="bottom"/>
          </w:tcPr>
          <w:p>
            <w:pPr>
              <w:ind w:left="420"/>
              <w:spacing w:after="0"/>
              <w:rPr>
                <w:sz w:val="20"/>
                <w:szCs w:val="20"/>
                <w:color w:val="auto"/>
              </w:rPr>
            </w:pPr>
            <w:r>
              <w:rPr>
                <w:rFonts w:ascii="Arial" w:cs="Arial" w:eastAsia="Arial" w:hAnsi="Arial"/>
                <w:sz w:val="18"/>
                <w:szCs w:val="18"/>
                <w:color w:val="auto"/>
              </w:rPr>
              <w:t>Total CERC Consolidated Operating Income</w:t>
            </w:r>
          </w:p>
        </w:tc>
        <w:tc>
          <w:tcPr>
            <w:tcW w:w="102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40" w:type="dxa"/>
            <w:vAlign w:val="bottom"/>
          </w:tcPr>
          <w:p>
            <w:pPr>
              <w:spacing w:after="0"/>
              <w:rPr>
                <w:sz w:val="24"/>
                <w:szCs w:val="24"/>
                <w:color w:val="auto"/>
              </w:rPr>
            </w:pPr>
          </w:p>
        </w:tc>
        <w:tc>
          <w:tcPr>
            <w:tcW w:w="1020" w:type="dxa"/>
            <w:vAlign w:val="bottom"/>
          </w:tcPr>
          <w:p>
            <w:pPr>
              <w:jc w:val="right"/>
              <w:ind w:right="274"/>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 T&amp;D (CenterPoint Energy and Houston Electric)</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the Houston Electric T&amp;D reportable segment,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2018 Form 10-K.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the Houston Electric T&amp;D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44"/>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8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(in millions, except throughput and customer data)</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TDU</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Bond Companies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 and maintenance, excluding Bond Companies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 and amortization, excluding Bond Companies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Bond Companies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296</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TDU</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Bond Companies </w:t>
            </w:r>
            <w:r>
              <w:rPr>
                <w:rFonts w:ascii="Arial" w:cs="Arial" w:eastAsia="Arial" w:hAnsi="Arial"/>
                <w:sz w:val="14"/>
                <w:szCs w:val="14"/>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segment operating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296</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Throughput (in GWh):</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13,932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metered customers at end of period: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2,217,326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2,217,326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2,179,048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2,506,124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2,463,500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2,506,124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2,463,500</w:t>
            </w:r>
          </w:p>
        </w:tc>
      </w:tr>
    </w:tbl>
    <w:p>
      <w:pPr>
        <w:spacing w:after="0" w:line="229" w:lineRule="exact"/>
        <w:rPr>
          <w:sz w:val="20"/>
          <w:szCs w:val="20"/>
          <w:color w:val="auto"/>
        </w:rPr>
      </w:pPr>
    </w:p>
    <w:p>
      <w:pPr>
        <w:jc w:val="both"/>
        <w:ind w:left="66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income from the Bond Companies, together with $1 million and $3 million of interest income for the three and six months ended June 30, 2019, respectively, and $1 million of interest income for both the three and six months ended June 30, 2018, are necessary to pay interest on the Securitization Bonds.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5"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The Houston Electric T&amp;D reportable segment reported operating income of $169 million for the three months ended June 30, 2019, consisting of $160 million from the TDU and $9 million related to the Bond Companies. For the three months ended June 30, 2018, operating income totaled $181 million, consisting of $167 million from the TDU and $14 million related to the Bond Companies.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TDU operating income decreased $7 million, primarily due to the following key factors:</w:t>
      </w:r>
    </w:p>
    <w:p>
      <w:pPr>
        <w:spacing w:after="0" w:line="22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lower usage of $13 million primarily due to a return to more normal weather;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lower equity return of $11 million, primarily related to the annual true-up of transition charges correcting for over-collections that occurred during the preceding 12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higher depreciation and amortization expense, primarily because of ongoing additions to plant in service, and other taxes of $6 million;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lower revenue of $6 million related to the impact of the TCJA.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higher transmission-related revenues of $22 million, exclusive of the TCJA mentioned above, partially offset by higher transmission costs billed by transmission providers of $13 million;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rate increases of $8 million related to distribution capital investments, exclusive of the TCJA mentioned above;</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customer growth of $7 million from the addition of almost 43,000 customers;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decreased operation and maintenance expenses of $3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Lower depreciation and amortization expenses related to AMS of $11 million were offset by a corresponding decrease in related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5"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The Houston Electric T&amp;D reportable segment reported operating income of $253 million for the six months ended June 30, 2019, consisting of $234 million from the TDU and $19 million related to the Bond Companies. For the six months ended June 30, 2018, operating income totaled $296 million, consisting of $266 million from the TDU and $30 million related to the Bond Companies.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TDU operating income decreased $32 million, primarily due to the following key factors:</w:t>
      </w:r>
    </w:p>
    <w:p>
      <w:pPr>
        <w:spacing w:after="0" w:line="225"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lower usage of $28 million primarily due to a return to more normal weather;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lower equity return of $21 million, primarily related to the annual true-up of transition charges correcting for over-collections that occurred during the preceding 12 months;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higher depreciation and amortization expense, primarily because of ongoing additions to plant in service, and other taxes of $13 million;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increased operation and maintenance expenses of $13 million, including $10 million of Merger-related severance costs;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lower revenue of $12 million related to the impact of the TCJA.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higher transmission-related revenues of $38 million, exclusive of the TCJA mentioned above, partially offset by higher transmission costs billed by transmission providers of $22 million;</w:t>
      </w:r>
    </w:p>
    <w:p>
      <w:pPr>
        <w:spacing w:after="0" w:line="197" w:lineRule="exact"/>
        <w:rPr>
          <w:rFonts w:ascii="Arial" w:cs="Arial" w:eastAsia="Arial" w:hAnsi="Arial"/>
          <w:sz w:val="18"/>
          <w:szCs w:val="18"/>
          <w:color w:val="auto"/>
        </w:rPr>
      </w:pPr>
    </w:p>
    <w:p>
      <w:pPr>
        <w:ind w:left="720" w:hanging="388"/>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customer growth of $13 million from the addition of almost 43,000 customers;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rate increases of $13 million related to distribution capital investments, exclusive of the TCJA mentioned above;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higher miscellaneous revenues of $10 million primarily related to right-of-way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Lower depreciation and amortization expenses related to AMS of $22 million were offset by a corresponding decrease in related revenues.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Indiana Electric Integrated (CenterPoint Energy)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the Indiana Electric Integrated reportable segment,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2018 Form 10-K.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CenterPoint Energy’s Indiana Electric Integrated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4"/>
                <w:szCs w:val="14"/>
                <w:color w:val="auto"/>
              </w:rPr>
            </w:pPr>
          </w:p>
        </w:tc>
        <w:tc>
          <w:tcPr>
            <w:tcW w:w="182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92"/>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r>
      <w:tr>
        <w:trPr>
          <w:trHeight w:val="250"/>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6"/>
              </w:rPr>
              <w:t>(in millions, except throughput and customer data)</w:t>
            </w:r>
          </w:p>
        </w:tc>
      </w:tr>
      <w:tr>
        <w:trPr>
          <w:trHeight w:val="276"/>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natural gas, fuel and purchased power</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Operation and maintenance</w:t>
            </w: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94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Taxes other than income taxes</w:t>
            </w: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Throughput (in GWh):</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Retail</w:t>
            </w: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1,861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Wholesale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2,013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metered customers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128,167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128,167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147,076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147,076</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February 1, 2019 through June 30, 2019 results only due to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Indiana Electric Integrated reportable segment reported operating income of $25 million for the three months ended June 30, 2019. These results are not comparable to the prior year as this reportable segment was acquired in the Merger as discussed in Note 3 to the Interim Condensed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Indiana Electric Integrated reportable segment reported operating income of $16 million for the period ended June 30, 2019, which includes operation and maintenance expenses of $20 million for Merger-related severance and incentive compensation costs. These results are not comparable to the prior year as this reportable segment was acquired in the Merger as discussed in Note 3 to the Interim Condensed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Distribution (CenterPoint Energy)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CenterPoint Energy’s Natural Gas Distribution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2018 Form 10-K.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CenterPoint Energy’s Natural Gas Distribution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8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(in millions, except throughput and customer data)</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natural gas, fuel and purchased power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Operation and maintenance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Taxes other than income taxes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Throughput (in Bcf):</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Throughput</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265</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customers at end of period:</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4,195,222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3,204,897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4,195,222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3,204,897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347,092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347,092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255,115</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4,542,314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3,460,012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4,542,314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3,460,012</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Energy’s Natural Gas Distribution reportable segment reported operating income of $47 million for the three months ended June 30, 2019 compared to $7 million for the three months ended June 30, 2018.</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Operating income increased $40 million primarily as a result of the following key factors:</w:t>
      </w:r>
    </w:p>
    <w:p>
      <w:pPr>
        <w:spacing w:after="0" w:line="225" w:lineRule="exact"/>
        <w:rPr>
          <w:sz w:val="20"/>
          <w:szCs w:val="20"/>
          <w:color w:val="auto"/>
        </w:rPr>
      </w:pPr>
    </w:p>
    <w:p>
      <w:pPr>
        <w:ind w:left="660" w:right="2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$19 million increase in operating income associated with the natural gas businesses acquired in the Merger, which includes the addition of over 1 million customers in Indiana and Ohio;</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 increase of $8 million primarily driven by the timing of a decoupling mechanism (a revenue stabilization mechanism used to adjust revenues impacted by changes in natural gas consumption, including usage and weather) in Minnesota in CERC’s NGD service territory;</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rate increases of $7 million, exclusive of the TCJA impact discussed below, primarily from rate filings in Texas, Arkansas, Oklahoma, Louisiana and Mississippi in CERC’s NGD service territories;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$3 million increase in revenues associated with customer growth from the addition of over 48,000 new customers in CERC’s NGD service territories;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lower operation and maintenance expenses of $6 million primarily driven by lower support services cost and lower bad debt costs in CERC’s NGD service territories.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increased depreciation and amortization expense of $4 million, primarily due to ongoing additions to plant-in-service, in CERC’s NGD service territories;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lower revenue of $2 million related to the impact of the TCJA in CERC’s NGD service territories.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Decreased operation and maintenance expenses related to energy efficiency programs of $3 million were offset by corresponding decreases in the related revenues in CERC’s NGD service territories.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Energy’s Natural Gas Distribution reportable segment reported operating income of $214 million for the six months ended June 30, 2019 compared to $163 million for the six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income increased $51 million primarily as a result of the following key factors:</w:t>
      </w:r>
    </w:p>
    <w:p>
      <w:pPr>
        <w:spacing w:after="0" w:line="22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of $28 million primarily driven by the timing of a decoupling mechanism explained above in Minnesota in CERC’s NGD territory;</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$22 million increase in operating income associated with the natural gas businesses acquired in the Merger for the period from February 1, 2019 through June 30, 2019, which includes operation and maintenance expenses of $43 million for Merger-related severance and incentive compensation costs, as well as the addition of over 1 million customers in Indiana and Ohio;</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rate increases of $22 million, exclusive of the TCJA impact discussed below, primarily from rate filings in the NGD service territories;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$8 million increase in revenues associated with customer growth from the addition of over 48,000 new customers in CERC’s NGD service territories; and</w:t>
      </w:r>
    </w:p>
    <w:p>
      <w:pPr>
        <w:spacing w:after="0" w:line="197" w:lineRule="exact"/>
        <w:rPr>
          <w:rFonts w:ascii="Arial" w:cs="Arial" w:eastAsia="Arial" w:hAnsi="Arial"/>
          <w:sz w:val="18"/>
          <w:szCs w:val="18"/>
          <w:color w:val="auto"/>
        </w:rPr>
      </w:pPr>
    </w:p>
    <w:p>
      <w:pPr>
        <w:ind w:left="720" w:hanging="388"/>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lower other taxes of $2 million, primarily due to the Minnesota property tax tracking mechanism.</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 the following:</w:t>
      </w:r>
    </w:p>
    <w:p>
      <w:pPr>
        <w:spacing w:after="0" w:line="22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lower revenue of $14 million related to the impact of the TCJA in CERC’s NGD service territories;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higher operation and maintenance expenses of $12 million in CERC’s NGD service territories, primarily due to Merger-related severance costs;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increased depreciation and amortization expense of $9 million, primarily due to ongoing additions to plant-in-service, in CERC’s NGD service territories.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Decreased operation and maintenance expenses related to energy efficiency programs of $11 million were offset by corresponding decreases in the related revenues in CERC’s NGD service territories.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Distribution (CERC)</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CERC’s Natural Gas Distribution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2018 Form 10-K.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CERC’s Natural Gas Distribution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8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(in millions, except throughput and customer data)</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513</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natural gas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Operation and maintenance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Taxes other than income taxes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Throughput (in Bcf):</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Throughput</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265</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customers at end of period:</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3,248,679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3,204,897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3,248,679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3,204,897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259,504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259,504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255,115</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3,508,183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3,460,012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3,508,183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3,460,012</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CERC’s Natural Gas Distribution reportable segment reported operating income of $28 million for the three months ended June 30, 2019 compared to $7 million for the three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income increased $21 million primarily as a result of the following key factors:</w:t>
      </w:r>
    </w:p>
    <w:p>
      <w:pPr>
        <w:spacing w:after="0" w:line="225" w:lineRule="exact"/>
        <w:rPr>
          <w:sz w:val="20"/>
          <w:szCs w:val="20"/>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$8 million partially driven by the timing of a decoupling mechanism (a revenue stabilization mechanism used to adjust revenues impacted by changes in natural gas consumption, including usage and weather) in Minnesota;</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rate increases of $7 million, exclusive of the TCJA impact discussed below, primarily from rate filings in Texas, Arkansas, Oklahoma, Louisiana and Mississippi;</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lower operation and maintenance expenses of $6 million primarily driven by lower support services and lower bad debt costs;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$3 million increase in revenues associated with customer growth from the addition of over 48,000 new customers.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 the following:</w:t>
      </w:r>
    </w:p>
    <w:p>
      <w:pPr>
        <w:spacing w:after="0" w:line="225" w:lineRule="exact"/>
        <w:rPr>
          <w:sz w:val="20"/>
          <w:szCs w:val="20"/>
          <w:color w:val="auto"/>
        </w:rPr>
      </w:pPr>
    </w:p>
    <w:p>
      <w:pPr>
        <w:ind w:left="5620" w:right="1980" w:hanging="5288"/>
        <w:spacing w:after="0" w:line="810" w:lineRule="auto"/>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increased depreciation and amortization expense of $4 million, primarily due to ongoing additions to plant-in-service; and 76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lower revenue of $2 million related to the impact of the TCJA.</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Decreased operation and maintenance expenses related to energy efficiency programs of $3 million were offset by corresponding decreases in the related revenues.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CERC’s Natural Gas Distribution reportable segment reported operating income of $192 million for the six months ended June 30, 2019 compared to $163 million for the six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income increased $29 million primarily as a result of the following key factors:</w:t>
      </w:r>
    </w:p>
    <w:p>
      <w:pPr>
        <w:spacing w:after="0" w:line="22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increase of $28 million primarily driven by the timing of a decoupling mechanism explained above in Minnesota;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rate increases of $22 million, exclusive of the TCJA impact discussed below;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$8 million increase in revenues associated with customer growth from the addition of over 48,000 new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lower other taxes of $2 million, primarily due to the Minnesota property tax tracking mechanism.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lower revenue of $14 million related to the impact of the TCJA;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higher operation and maintenance expenses of $12 million, primarily due to Merger-related severance costs;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increased depreciation and amortization expense of $9 million, primarily due to ongoing additions to plant-in-service.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Decreased operation and maintenance expenses related to energy efficiency programs of $11 million were offset by corresponding decreases in the related revenues.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Services (CenterPoint Energy and CERC)</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the Energy Services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2018 Form 10-K.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the Energy Services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8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(in millions, except throughput and customer data)</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855</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Non-utility cost of revenues, including natural gas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Operation and maintenance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Taxes other than income taxes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2,156</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311"/>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Timing impacts related to mark-to-market gain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Throughput (in Bcf)</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Approximate number of customers at end of period </w:t>
            </w:r>
            <w:r>
              <w:rPr>
                <w:rFonts w:ascii="Arial" w:cs="Arial" w:eastAsia="Arial" w:hAnsi="Arial"/>
                <w:sz w:val="14"/>
                <w:szCs w:val="14"/>
                <w:color w:val="auto"/>
              </w:rPr>
              <w:t>(1)</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30,000</w:t>
            </w:r>
          </w:p>
        </w:tc>
      </w:tr>
    </w:tbl>
    <w:p>
      <w:pPr>
        <w:spacing w:after="0" w:line="229" w:lineRule="exact"/>
        <w:rPr>
          <w:sz w:val="20"/>
          <w:szCs w:val="20"/>
          <w:color w:val="auto"/>
        </w:rPr>
      </w:pPr>
    </w:p>
    <w:p>
      <w:pPr>
        <w:ind w:left="66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Does not include approximately 68,000 and 71,000 natural gas customers as of June 30, 2019 and 2018, respectively, that are under residential and small commercial choice programs invoiced by their host utility.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Energy Services reportable segment reported operating income of $29 million for the three months ended June 30, 2019 compared to an operating income of $15 million for the three months ended June 30, 2018.</w:t>
      </w:r>
    </w:p>
    <w:p>
      <w:pPr>
        <w:spacing w:after="0" w:line="170"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Operating income increased $14 million primarily as a result of a $22 million increase from mark-to-market accounting for derivatives associated with certain natural gas purchases and sales used to lock in economic margins. This increase was partially offset by:</w:t>
      </w:r>
    </w:p>
    <w:p>
      <w:pPr>
        <w:spacing w:after="0" w:line="170"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$5 million decrease in margin, primarily due to the impact of less price volatility on natural gas storage activity;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$3 million increase in operation and maintenance expenses, primarily due to higher employee benefit expenses, higher contract and services expenses related to pipeline integrity testing and higher facilities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Energy Services reportable segment reported operating income of $62 million for the six months ended June 30, 2019 compared to an operating loss of $11 million for the six months ended June 30, 2018.</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Operating income increased $73 million primarily as a result of a $121 million increase from mark-to-market accounting for derivatives associated with certain natural gas purchases and sales used to lock in economic margins. This increase was partially offset by:</w:t>
      </w:r>
    </w:p>
    <w:p>
      <w:pPr>
        <w:spacing w:after="0" w:line="170" w:lineRule="exact"/>
        <w:rPr>
          <w:sz w:val="20"/>
          <w:szCs w:val="20"/>
          <w:color w:val="auto"/>
        </w:rPr>
      </w:pPr>
    </w:p>
    <w:p>
      <w:pPr>
        <w:ind w:left="660" w:right="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$44 million decrease in margin due to fewer opportunities to optimize natural gas costs relative to last year, primarily in the first quarter of 2019. Specifically, weather-facilitated market impacts in various regions of the continental United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States during the three months ended March 31, 2018 allowed Energy Services to increase its margins in the first quarter of 2018; and</w:t>
      </w:r>
    </w:p>
    <w:p>
      <w:pPr>
        <w:spacing w:after="0" w:line="239" w:lineRule="exact"/>
        <w:rPr>
          <w:sz w:val="20"/>
          <w:szCs w:val="20"/>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$4 million increase in operation and maintenance expenses, primarily due to higher benefits expenses, higher contract and services expenses related to pipeline integrity testing and higher facilities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Services (CenterPoint Energy)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the Infrastructure Services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2018 Form 10-K.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the Infrastructure Services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4"/>
                <w:szCs w:val="14"/>
                <w:color w:val="auto"/>
              </w:rPr>
            </w:pPr>
          </w:p>
        </w:tc>
        <w:tc>
          <w:tcPr>
            <w:tcW w:w="182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92"/>
        </w:trPr>
        <w:tc>
          <w:tcPr>
            <w:tcW w:w="74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r>
      <w:tr>
        <w:trPr>
          <w:trHeight w:val="250"/>
        </w:trPr>
        <w:tc>
          <w:tcPr>
            <w:tcW w:w="7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20" w:type="dxa"/>
            <w:vAlign w:val="bottom"/>
            <w:gridSpan w:val="4"/>
          </w:tcPr>
          <w:p>
            <w:pPr>
              <w:jc w:val="right"/>
              <w:ind w:right="1513"/>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Expenses: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Non-utility cost of revenues, including natural gas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Operation and maintenance</w:t>
            </w:r>
          </w:p>
        </w:tc>
        <w:tc>
          <w:tcPr>
            <w:tcW w:w="46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307</w:t>
            </w: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Taxes other than income taxes</w:t>
            </w:r>
          </w:p>
        </w:tc>
        <w:tc>
          <w:tcPr>
            <w:tcW w:w="46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Backlog at period end </w:t>
            </w:r>
            <w:r>
              <w:rPr>
                <w:rFonts w:ascii="Arial" w:cs="Arial" w:eastAsia="Arial" w:hAnsi="Arial"/>
                <w:sz w:val="14"/>
                <w:szCs w:val="14"/>
                <w:color w:val="auto"/>
              </w:rPr>
              <w:t>(2)</w:t>
            </w: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 xml:space="preserve">Blanket contracts </w:t>
            </w:r>
            <w:r>
              <w:rPr>
                <w:rFonts w:ascii="Arial" w:cs="Arial" w:eastAsia="Arial" w:hAnsi="Arial"/>
                <w:sz w:val="14"/>
                <w:szCs w:val="14"/>
                <w:color w:val="auto"/>
              </w:rPr>
              <w:t>(3)</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616</w:t>
            </w: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Bid contracts </w:t>
            </w:r>
            <w:r>
              <w:rPr>
                <w:rFonts w:ascii="Arial" w:cs="Arial" w:eastAsia="Arial" w:hAnsi="Arial"/>
                <w:sz w:val="14"/>
                <w:szCs w:val="14"/>
                <w:color w:val="auto"/>
              </w:rPr>
              <w:t>(4)</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w:t>
            </w:r>
          </w:p>
        </w:tc>
      </w:tr>
      <w:tr>
        <w:trPr>
          <w:trHeight w:val="257"/>
        </w:trPr>
        <w:tc>
          <w:tcPr>
            <w:tcW w:w="7440" w:type="dxa"/>
            <w:vAlign w:val="bottom"/>
          </w:tcPr>
          <w:p>
            <w:pPr>
              <w:ind w:left="36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933</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February 1, 2019 through June 30, 2019 results only due to the Merger.</w:t>
      </w:r>
    </w:p>
    <w:p>
      <w:pPr>
        <w:spacing w:after="0" w:line="225"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Backlog represents the amount of revenue Infrastructure Services expects to realize from work to be performed on uncompleted contracts in the next twelve months, including new contractual agreements on which work has not begun. Infrastructure Services operates primarily under two types of contracts, blanket contracts and bid contracts.</w:t>
      </w:r>
    </w:p>
    <w:p>
      <w:pPr>
        <w:spacing w:after="0" w:line="18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Using blanket contracts, customers are not contractually committed to specific volumes of services; however, Infrastructure Services expects to be chosen to perform work needed by a customer in a given time frame. These contracts are typically awarded on an annual or multi-year basis. For blanket work, backlog represents an estimate of the amount of revenue that Infrastructure Services expects to realize from work to be performed in the next twelve months on existing contracts or contracts management expects to be renewed or awarded.</w:t>
      </w:r>
    </w:p>
    <w:p>
      <w:pPr>
        <w:spacing w:after="0" w:line="17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Using bid contracts, customers are contractually committed to a specific service to be performed for a specific price, whether in total for a project or on a per unit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Infrastructure Services reportable segment reported operating income of $24 million for the three months ended June 30, 2019, which includes $7 million of Merger-related amortization of intangibles for construction backlog recorded in non-utility cost of revenues, including natural gas and $5 million of Merger-related intangibles amortization recorded in depreciation and amortization. These results are not comparable to the prior year as this reportable segment was acquired in the Merger as discussed in Note 3 to the Interim Condensed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Infrastructure Services reportable segment reported operating income of $8 million for the six months ended June 30, 2019, which includes $13 million for Merger-related severance and incentive compensation costs, $9 million of Merger-related amortization of intangibles for construction backlog recorded in non-utility cost of revenues, including natural gas and $7 million of Merger-related intangibles amortization recorded in depreciation and amortization. These results are not comparable to the prior year as this reportable segment was acquired in the Merger as discussed in Note 3 to the Interim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Investments (CenterPoint Energy)</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information regarding factors that may affect the future results of operations of the Midstream Investments reportable segment, please read “Risk Factors — Risk Factors Affecting CenterPoint Energy’s Interests in Enable Midstream Partners, LP” and “— Other Risk Factors Affecting Our Businesses or CenterPoint Energy’s Interests in Enable Midstream Partners, LP” in Item 1A of Part I of the Registrants’ combined 2018 Form 10-K.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pre-tax equity income of the Midstream Investments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earnings from Enable, net</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11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127</w:t>
            </w:r>
          </w:p>
        </w:tc>
      </w:tr>
      <w:tr>
        <w:trPr>
          <w:trHeight w:val="27"/>
        </w:trPr>
        <w:tc>
          <w:tcPr>
            <w:tcW w:w="5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(CenterPoint Energy)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operating loss of CenterPoint Energy’s Corporate and Other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Non-utility cost of revenues, including natural gas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Operation and maintenance</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Taxes other than income taxes</w:t>
            </w:r>
          </w:p>
        </w:tc>
        <w:tc>
          <w:tcPr>
            <w:tcW w:w="10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Energy’s Corporate and Other reportable segment reported an operating loss of $7 million for the three months ended June 30, 2019 compared to an operating loss of $16 million for the three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operating loss decreased $9 million, primarily due to the following factors:</w:t>
      </w:r>
    </w:p>
    <w:p>
      <w:pPr>
        <w:spacing w:after="0" w:line="225" w:lineRule="exact"/>
        <w:rPr>
          <w:sz w:val="20"/>
          <w:szCs w:val="20"/>
          <w:color w:val="auto"/>
        </w:rPr>
      </w:pPr>
    </w:p>
    <w:p>
      <w:pPr>
        <w:jc w:val="both"/>
        <w:ind w:left="660" w:hanging="328"/>
        <w:spacing w:after="0" w:line="279"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$13 million increase in operating income, primarily from $9 million in operating income associated with ESG, which was acquired in the Merger, inclusive of a $5 million benefit related to a cumulative catch-up for remeasurement of the purchase price allocation related to amortization of intangibles for operation and maintenance agreements and construction backlog recorded in non-utility cost of revenues, including natural gas and $1 million of Merger-related intangibles amortization recorded in depreciation and amortization; and</w:t>
      </w:r>
    </w:p>
    <w:p>
      <w:pPr>
        <w:spacing w:after="0" w:line="198" w:lineRule="exact"/>
        <w:rPr>
          <w:rFonts w:ascii="Arial" w:cs="Arial" w:eastAsia="Arial" w:hAnsi="Arial"/>
          <w:sz w:val="17"/>
          <w:szCs w:val="17"/>
          <w:color w:val="auto"/>
        </w:rPr>
      </w:pPr>
    </w:p>
    <w:p>
      <w:pPr>
        <w:ind w:left="720" w:hanging="388"/>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$3 million property tax refund.</w:t>
      </w:r>
    </w:p>
    <w:p>
      <w:pPr>
        <w:spacing w:after="0" w:line="23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decreases in the operating loss were partially offset by a $5 million increase in operation and maintenance expenses primarily for Merger-related transaction and integration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Energy’s Corporate and Other reportable segment reported an operating loss of $21 million for the six months ended June 30, 2019 compared to an operating loss of $10 million for the six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operating loss increased $11 million, primarily due to the following factors:</w:t>
      </w:r>
    </w:p>
    <w:p>
      <w:pPr>
        <w:spacing w:after="0" w:line="225"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$13 million increase in operation and maintenance expenses primarily for Merger-related transaction and integration costs; and</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$3 million operating loss associated with ESG, which was acquired in the Merger, for the period February 1, 2019 through June 30, 2019, including operation and maintenance expenses of $2 million for Merger-related severance and incentive compensation costs, Merger-related amortization of intangibles for operation and maintenance agreements and construction backlog recorded in non-utility cost of revenues, including natural gas of $2 million and Merger-related intangibles amortization recorded in depreciation and amortization of $1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in the operating loss were partially offset by a $3 million property tax refund.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(CERC)</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operating income (loss) of CERC’s Corporate and Other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60" w:type="dxa"/>
            <w:vAlign w:val="bottom"/>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2018 Form 10-K and “Cautionary Statement Regarding Forward-Looking Information” in this Form 10-Q.</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net cash provided by (used in) operating, investing and 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4"/>
                <w:szCs w:val="14"/>
                <w:b w:val="1"/>
                <w:bCs w:val="1"/>
                <w:color w:val="auto"/>
                <w:w w:val="92"/>
              </w:rPr>
              <w:t>Six Months Ended June 30,</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64"/>
        </w:trPr>
        <w:tc>
          <w:tcPr>
            <w:tcW w:w="2640" w:type="dxa"/>
            <w:vAlign w:val="bottom"/>
          </w:tcPr>
          <w:p>
            <w:pPr>
              <w:spacing w:after="0"/>
              <w:rPr>
                <w:sz w:val="22"/>
                <w:szCs w:val="22"/>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9"/>
              </w:rPr>
              <w:t>CenterPoint Energy</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Houston Electric</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CERC</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CenterPoint Energy</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Houston Electric</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CERC</w:t>
            </w:r>
          </w:p>
        </w:tc>
      </w:tr>
      <w:tr>
        <w:trPr>
          <w:trHeight w:val="190"/>
        </w:trPr>
        <w:tc>
          <w:tcPr>
            <w:tcW w:w="2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center"/>
              <w:ind w:left="139"/>
              <w:spacing w:after="0"/>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5"/>
        </w:trPr>
        <w:tc>
          <w:tcPr>
            <w:tcW w:w="26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240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1,093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443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(7,149)</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(1,311)</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(468)</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994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675"/>
        </w:trPr>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The following items contributed to increased (decreased) net cash provided by operating activities for the six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June 30, 2019 compared to the same period of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4"/>
                <w:szCs w:val="14"/>
                <w:color w:val="auto"/>
              </w:rPr>
            </w:pPr>
          </w:p>
        </w:tc>
        <w:tc>
          <w:tcPr>
            <w:tcW w:w="11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net income after adjusting for non-cash items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working capital</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Change in equity in earnings from Enable, net of distributions </w:t>
            </w:r>
            <w:r>
              <w:rPr>
                <w:rFonts w:ascii="Arial" w:cs="Arial" w:eastAsia="Arial" w:hAnsi="Arial"/>
                <w:sz w:val="14"/>
                <w:szCs w:val="14"/>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related to discontinued operations</w:t>
            </w:r>
          </w:p>
        </w:tc>
        <w:tc>
          <w:tcPr>
            <w:tcW w:w="1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pension contribution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change is partially offset by the change in distributions from Enable in excess of cumulative earnings in investing activities noted in the table below.</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items contributed to (increased) decreased net cash used in investing activities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2019 compared to the same period of 2018:</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0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sale of marketable securities in 2018</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6"/>
              </w:rPr>
              <w:t>2019 mergers and acquisitions, net of cash acquired (See Note 3 to the Interim Condensed</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capital expenditures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change in notes receivable from affiliated companies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distributions from Enable in excess of cumulative earnings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Changes related to discontinued operations</w:t>
            </w:r>
          </w:p>
        </w:tc>
        <w:tc>
          <w:tcPr>
            <w:tcW w:w="4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following items contributed to (increased) decreased net cash used in financing activities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2019 compared to the same period of 2018:</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changes in commercial paper outstanding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Net changes in long-term debt outstanding, excluding commercial paper</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changes in long-term revolving credit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Net changes in debt issuance costs</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changes in short-term borrowings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Distributions to ZENS note holders in 2018</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Increased payment of Common Stock dividends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Increased payment of preferred stock dividends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notes payable from affiliated companies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Contribution from parent</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to parent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Series B Preferred Stock and Common Stock, and in addition to interest payments on debt, the Registrants’ principal anticipated cash requirements for the remaining six months of 2019 include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7"/>
              </w:rPr>
              <w:t>CenterPoint Energy</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Houston Electric</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CERC</w:t>
            </w:r>
          </w:p>
        </w:tc>
      </w:tr>
      <w:tr>
        <w:trPr>
          <w:trHeight w:val="250"/>
        </w:trPr>
        <w:tc>
          <w:tcPr>
            <w:tcW w:w="6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9"/>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capital expenditures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Scheduled principal payments on Securitization Bonds</w:t>
            </w:r>
          </w:p>
        </w:tc>
        <w:tc>
          <w:tcPr>
            <w:tcW w:w="180" w:type="dxa"/>
            <w:vAlign w:val="bottom"/>
          </w:tcPr>
          <w:p>
            <w:pPr>
              <w:spacing w:after="0"/>
              <w:rPr>
                <w:sz w:val="21"/>
                <w:szCs w:val="21"/>
                <w:color w:val="auto"/>
              </w:rPr>
            </w:pP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216</w:t>
            </w:r>
          </w:p>
        </w:tc>
        <w:tc>
          <w:tcPr>
            <w:tcW w:w="4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an update on CenterPoint Energy’s contractual obligations following the Merger, see Notes 12, 14 and 19 to the Interim Condensed Financial Statements.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expect that anticipated cash needs for the remaining six months of 2019 will be met with borrowings under their credit facilities, bank loans, proceeds from the issuance of long-term debt, anticipated cash flows from operations, with respect to CenterPoint Energy and CERC, proceeds from commercial paper and with respect to CenterPoint Energy, distributions from Enable. Discretionary financing or refinancing may result in the issuance of equity securities of CenterPoint Energy or debt securities of the Registrants in the capital markets or the arrangement of additional credit facilities or term bank loans. Issuances of equity or debt in the capital markets, funds raised in the commercial paper markets and additional credit facilities may not, however, be available on acceptable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than Houston Electric’s general mortgage bonds issued as collateral for tax-exempt long-term debt of CenterPoint Energy as discussed in Note 12, guarantees as discussed in Note 14(b) to the Interim Condensed Financial Statements and operating leases, we have no off-balance sheet arrangements.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Brazos Valley Connection Project (CenterPoint Energy and Houston Electric)</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Houston Electric completed construction on and energized the Brazos Valley Connection in March 2018, ahead of the original June 1, 2018 energization date. The final capital costs of the project reported to the PUCT in December 2018 were $281 million, which was within the estimated range of approximately $270-$310 million in the PUCT’s original order. Houston Electric applied for interim recovery of project costs incurred through July 31, 2018, which were not already included in rates in a filing with the PUCT in September 2018 and received approval for interim recovery in November 2018. Final approval by the PUCT of the project costs is expected to occur in Houston Electric’s pending base rate case, which was filed in April 2019. A final order is expected in the fourth quarter of 2019.</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Bailey to Jones Creek Project (CenterPoint Energy and Houston Electric)</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April 2017, Houston Electric submitted a proposal to ERCOT requesting its endorsement of a transmission project in the greater Freeport, Texas area, which includes enhancements to two existing substations and the construction of a new 345 kV double-circuit line to be located in the counties of Brazoria, Matagorda and Wharton. On December 12, 2017, Houston Electric received approval from ERCOT. In September 2018, Houston Electric filed a certificate of convenience and necessity application with the PUCT that included capital cost estimates for the project that ranged from approximately $482-$695 million, which were higher than the initial cost estimates. The revised project cost estimates include additional costs associated with the routing of the line to mitigate environmental and other land use impacts and structure design to address soil and coastal wind conditions. The actual capital costs of the project will depend on those factors as well as other factors, including land acquisition costs, construction costs and the ultimate route approved by the PUCT. On the request of the PUCT, ERCOT intervened in the proceeding and performed a re-evaluation of the cost-effectiveness of the proposed project. Based on that re-evaluation, ERCOT reaffirmed the recommended transmission option for the project. Houston Electric anticipates that the PUCT will issue a final decision on the certificate of convenience and necessity application in the second half of 2019.</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Electric Generation Project (CenterPoint Energy)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Indiana Electric must make substantial investments in its generation resources in the near term to comply with environmental regulations. On February 20, 2018, Indiana Electric filed a petition seeking authorization from the IURC to construct a new 700-850 MW natural gas combined cycle generating facility to replace the baseload capacity of its existing generation fleet at an approximate cost of $900 million, which includes the cost of a new natural gas pipeline to serve the plant.</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a part of this same proceeding, Indiana Electric also sought recovery under Indiana Senate Bill 251 of costs to be incurred for environmental investments to be made at its F.B. Culley generating plant to comply with ELG and CCR rules. The F.B. Culley investments, estimated to be approximately $95 million, will begin in 2019 and will allow the F.B. Culley Unit 3 generating facility to comply with environmental requirements and continue to provide generating capacity to Indiana Electric’s customers. Under Indiana Senate Bill 251, Indiana Electric sought authority to recover 80% of the approved costs, including a return, using a tracking mechanism, with the remaining 20% of the costs deferred for recovery in Indiana Electric’s next base rate proceeding.</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24, 2019, the IURC issued an order approving the environmental investments proposed for the F.B. Culley generating facility, along with recovery of prior pollution control investments made in 2014. The order denied the proposed gas combined cycle generating facility. Indiana Electric will conduct a new IRP, expected to be completed in mid-2020, to identify an appropriate investment of capital in its generation fleet to satisfy the needs of its customers and comply with environmental regulations.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Electric Solar Project (CenterPoint Energy)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20, 2018, Indiana Electric announced it was finalizing details to install an additional 50 MW of universal solar energy, consistent with its IRP, with a petition seeking authority to recover costs associated with the project pursuant to Indiana Senate Bill 29. Indiana Electric filed a settlement agreement with the intervening parties whereby the energy produced by the solar farm would be set at a fixed market rate over the life of the investment and recovered within Indiana Electric’s CECA mechanism. On March 20, 2019, the IURC approved the settlement. The project is expected to be completed by January 2021.</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Arkansas, Louisiana, Mississippi and Oklahoma (FRP, RSP, RRA and PBRC, respectively), its decoupling mechanism in Minnesota, and its energy efficiency cost trackers in Arkansas, Minnesota, Mississippi and Oklahoma (EECR, CIP, EECR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reflects significant applications pending or completed since the Registrants’ combined 2018 Form 10-K was filed with the SEC.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Annual</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2"/>
              </w:rPr>
              <w:t>Effective</w:t>
            </w:r>
          </w:p>
        </w:tc>
        <w:tc>
          <w:tcPr>
            <w:tcW w:w="9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8"/>
              </w:rPr>
              <w:t>Approval</w:t>
            </w:r>
          </w:p>
        </w:tc>
        <w:tc>
          <w:tcPr>
            <w:tcW w:w="5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Mechanism</w:t>
            </w: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8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588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(in millions)</w:t>
            </w: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Date</w:t>
            </w:r>
          </w:p>
        </w:tc>
        <w:tc>
          <w:tcPr>
            <w:tcW w:w="10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2"/>
              </w:rPr>
              <w:t>Date</w:t>
            </w:r>
          </w:p>
        </w:tc>
        <w:tc>
          <w:tcPr>
            <w:tcW w:w="5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CenterPoint Energy and Houston Electric (PUCT)</w:t>
            </w:r>
          </w:p>
        </w:tc>
        <w:tc>
          <w:tcPr>
            <w:tcW w:w="0" w:type="dxa"/>
            <w:vAlign w:val="bottom"/>
          </w:tcPr>
          <w:p>
            <w:pPr>
              <w:spacing w:after="0"/>
              <w:rPr>
                <w:sz w:val="1"/>
                <w:szCs w:val="1"/>
                <w:color w:val="auto"/>
              </w:rPr>
            </w:pPr>
          </w:p>
        </w:tc>
      </w:tr>
      <w:tr>
        <w:trPr>
          <w:trHeight w:val="156"/>
        </w:trPr>
        <w:tc>
          <w:tcPr>
            <w:tcW w:w="1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8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w w:val="98"/>
              </w:rPr>
              <w:t>On April 5, 2019, and subsequently adjusted in errata filings in May and June 2019, Houston</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Electric filed its base rate application with the PUCT and the cities in its service area to change its</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rates, seeking approval for base rate increases of approximately $149 million, including a rider of</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$(40) million discussed below, for service to retail customers and approximately $5 million for</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wholesale transmission service based on a test year ending December 31, 2018. This rate filing is</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based on a rate base of $6.4 billion and a 10.4% ROE. Houston Electric last filed for a base rate</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increase on June 30, 2010, with a test year ending December 31, 2009. Houston Electric also</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requested a prudency determination on all capital investments made since January 1, 2010, the</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establishment of a rider to refund over three years to its customers approximately $119 million of</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unprotected EDIT resulting from the TCJA, updated depreciation rates and approval to clarify</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and update various non-rate tariff provisions. Recovery of all reasonable and necessary rate case</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expenses for this case and certain prior rate case proceedings were severed into a separate</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April</w:t>
            </w: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proceeding. A hearing was held June 24–28, 2019, and a final order is expected in the fourth</w:t>
            </w: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Rate Case </w:t>
            </w:r>
            <w:r>
              <w:rPr>
                <w:rFonts w:ascii="Arial" w:cs="Arial" w:eastAsia="Arial" w:hAnsi="Arial"/>
                <w:sz w:val="10"/>
                <w:szCs w:val="10"/>
                <w:color w:val="auto"/>
              </w:rPr>
              <w:t>(1)</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$155</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0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TBD</w:t>
            </w:r>
          </w:p>
        </w:tc>
        <w:tc>
          <w:tcPr>
            <w:tcW w:w="90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9"/>
              </w:rPr>
              <w:t>TBD</w:t>
            </w:r>
          </w:p>
        </w:tc>
        <w:tc>
          <w:tcPr>
            <w:tcW w:w="5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quarter of 2019.</w:t>
            </w: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80" w:type="dxa"/>
            <w:vAlign w:val="bottom"/>
          </w:tcPr>
          <w:p>
            <w:pPr>
              <w:ind w:lef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Annual</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Increase</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Filing</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Approval</w:t>
            </w:r>
          </w:p>
        </w:tc>
        <w:tc>
          <w:tcPr>
            <w:tcW w:w="10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Mechanism</w:t>
            </w: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4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76"/>
        </w:trPr>
        <w:tc>
          <w:tcPr>
            <w:tcW w:w="1620" w:type="dxa"/>
            <w:vAlign w:val="bottom"/>
            <w:gridSpan w:val="2"/>
            <w:vMerge w:val="continue"/>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(in millions)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5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700" w:type="dxa"/>
            <w:vAlign w:val="bottom"/>
            <w:tcBorders>
              <w:top w:val="single" w:sz="8" w:color="auto"/>
            </w:tcBorders>
          </w:tcPr>
          <w:p>
            <w:pPr>
              <w:ind w:left="20"/>
              <w:spacing w:after="0" w:line="151" w:lineRule="exact"/>
              <w:rPr>
                <w:sz w:val="20"/>
                <w:szCs w:val="20"/>
                <w:color w:val="auto"/>
              </w:rPr>
            </w:pPr>
            <w:r>
              <w:rPr>
                <w:rFonts w:ascii="Arial" w:cs="Arial" w:eastAsia="Arial" w:hAnsi="Arial"/>
                <w:sz w:val="14"/>
                <w:szCs w:val="14"/>
                <w:color w:val="auto"/>
                <w:w w:val="95"/>
              </w:rPr>
              <w:t>The requested amount, as amended in an errata filing in July 2019, is comprised primarily of the</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May</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7"/>
              </w:rPr>
              <w:t>March</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rPr>
              <w:t>following: 2020 Program costs of $38 million, 2018 over recovery of ($6) million and 2018</w:t>
            </w:r>
          </w:p>
        </w:tc>
        <w:tc>
          <w:tcPr>
            <w:tcW w:w="0" w:type="dxa"/>
            <w:vAlign w:val="bottom"/>
          </w:tcPr>
          <w:p>
            <w:pPr>
              <w:spacing w:after="0"/>
              <w:rPr>
                <w:sz w:val="1"/>
                <w:szCs w:val="1"/>
                <w:color w:val="auto"/>
              </w:rPr>
            </w:pPr>
          </w:p>
        </w:tc>
      </w:tr>
      <w:tr>
        <w:trPr>
          <w:trHeight w:val="1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EECRF</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39</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color w:val="auto"/>
              </w:rPr>
              <w:t>Earned bonus of $7 million.</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0" w:type="dxa"/>
            <w:vAlign w:val="bottom"/>
            <w:tcBorders>
              <w:bottom w:val="single" w:sz="8" w:color="auto"/>
            </w:tcBorders>
            <w:gridSpan w:val="9"/>
            <w:shd w:val="clear" w:color="auto" w:fill="CCEEFF"/>
          </w:tcPr>
          <w:p>
            <w:pPr>
              <w:jc w:val="center"/>
              <w:ind w:right="1548"/>
              <w:spacing w:after="0"/>
              <w:rPr>
                <w:sz w:val="20"/>
                <w:szCs w:val="20"/>
                <w:color w:val="auto"/>
              </w:rPr>
            </w:pPr>
            <w:r>
              <w:rPr>
                <w:rFonts w:ascii="Arial" w:cs="Arial" w:eastAsia="Arial" w:hAnsi="Arial"/>
                <w:sz w:val="14"/>
                <w:szCs w:val="14"/>
                <w:b w:val="1"/>
                <w:bCs w:val="1"/>
                <w:color w:val="auto"/>
                <w:w w:val="92"/>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7"/>
              </w:rPr>
              <w:t>March</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6"/>
              </w:rPr>
              <w:t>July</w:t>
            </w:r>
          </w:p>
        </w:tc>
        <w:tc>
          <w:tcPr>
            <w:tcW w:w="10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2"/>
              </w:rPr>
              <w:t>June</w:t>
            </w:r>
          </w:p>
        </w:tc>
        <w:tc>
          <w:tcPr>
            <w:tcW w:w="10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GRIP</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color w:val="auto"/>
              </w:rPr>
              <w:t>Based on net change in invested capital of $123 million.</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720" w:type="dxa"/>
            <w:vAlign w:val="bottom"/>
            <w:tcBorders>
              <w:bottom w:val="single" w:sz="8" w:color="auto"/>
            </w:tcBorders>
            <w:gridSpan w:val="5"/>
            <w:shd w:val="clear" w:color="auto" w:fill="CCEEFF"/>
          </w:tcPr>
          <w:p>
            <w:pPr>
              <w:jc w:val="center"/>
              <w:ind w:right="3608"/>
              <w:spacing w:after="0"/>
              <w:rPr>
                <w:sz w:val="20"/>
                <w:szCs w:val="20"/>
                <w:color w:val="auto"/>
              </w:rPr>
            </w:pPr>
            <w:r>
              <w:rPr>
                <w:rFonts w:ascii="Arial" w:cs="Arial" w:eastAsia="Arial" w:hAnsi="Arial"/>
                <w:sz w:val="14"/>
                <w:szCs w:val="14"/>
                <w:b w:val="1"/>
                <w:bCs w:val="1"/>
                <w:color w:val="auto"/>
                <w:w w:val="95"/>
              </w:rPr>
              <w:t>CenterPoint Energy and CERC - Arkansas (APSC)</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00" w:type="dxa"/>
            <w:vAlign w:val="bottom"/>
          </w:tcPr>
          <w:p>
            <w:pPr>
              <w:ind w:left="20"/>
              <w:spacing w:after="0" w:line="157" w:lineRule="exact"/>
              <w:rPr>
                <w:sz w:val="20"/>
                <w:szCs w:val="20"/>
                <w:color w:val="auto"/>
              </w:rPr>
            </w:pPr>
            <w:r>
              <w:rPr>
                <w:rFonts w:ascii="Arial" w:cs="Arial" w:eastAsia="Arial" w:hAnsi="Arial"/>
                <w:sz w:val="14"/>
                <w:szCs w:val="14"/>
                <w:color w:val="auto"/>
              </w:rPr>
              <w:t>Based on ROE of 9.5% approved in the last rate case. On July 31, 2019, a unanimous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April</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4"/>
              </w:rPr>
              <w:t>comprehensive settlement was filed that, if approved, would result in an FRP revenue increase of</w:t>
            </w:r>
          </w:p>
        </w:tc>
        <w:tc>
          <w:tcPr>
            <w:tcW w:w="0" w:type="dxa"/>
            <w:vAlign w:val="bottom"/>
          </w:tcPr>
          <w:p>
            <w:pPr>
              <w:spacing w:after="0"/>
              <w:rPr>
                <w:sz w:val="1"/>
                <w:szCs w:val="1"/>
                <w:color w:val="auto"/>
              </w:rPr>
            </w:pPr>
          </w:p>
        </w:tc>
      </w:tr>
      <w:tr>
        <w:trPr>
          <w:trHeight w:val="1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 xml:space="preserve">FRP </w:t>
            </w:r>
            <w:r>
              <w:rPr>
                <w:rFonts w:ascii="Arial" w:cs="Arial" w:eastAsia="Arial" w:hAnsi="Arial"/>
                <w:sz w:val="10"/>
                <w:szCs w:val="10"/>
                <w:color w:val="auto"/>
                <w:w w:val="95"/>
              </w:rPr>
              <w:t>(1)</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October 2019</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color w:val="auto"/>
              </w:rPr>
              <w:t>$7 million and includes additional non-monetary items.</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720" w:type="dxa"/>
            <w:vAlign w:val="bottom"/>
            <w:tcBorders>
              <w:bottom w:val="single" w:sz="8" w:color="auto"/>
            </w:tcBorders>
            <w:gridSpan w:val="5"/>
            <w:shd w:val="clear" w:color="auto" w:fill="CCEEFF"/>
          </w:tcPr>
          <w:p>
            <w:pPr>
              <w:jc w:val="center"/>
              <w:ind w:right="3608"/>
              <w:spacing w:after="0"/>
              <w:rPr>
                <w:sz w:val="20"/>
                <w:szCs w:val="20"/>
                <w:color w:val="auto"/>
              </w:rPr>
            </w:pPr>
            <w:r>
              <w:rPr>
                <w:rFonts w:ascii="Arial" w:cs="Arial" w:eastAsia="Arial" w:hAnsi="Arial"/>
                <w:sz w:val="14"/>
                <w:szCs w:val="14"/>
                <w:b w:val="1"/>
                <w:bCs w:val="1"/>
                <w:color w:val="auto"/>
                <w:w w:val="96"/>
              </w:rPr>
              <w:t>CenterPoint Energy and CERC - Minnesota (MPUC)</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8"/>
              </w:rPr>
              <w:t>May</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CIP Financial Incentive</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TBD</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color w:val="auto"/>
              </w:rPr>
              <w:t>CIP Financial Incentive based on 2018 activity.</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720" w:type="dxa"/>
            <w:vAlign w:val="bottom"/>
            <w:tcBorders>
              <w:bottom w:val="single" w:sz="8" w:color="auto"/>
            </w:tcBorders>
            <w:gridSpan w:val="5"/>
            <w:shd w:val="clear" w:color="auto" w:fill="CCEEFF"/>
          </w:tcPr>
          <w:p>
            <w:pPr>
              <w:jc w:val="center"/>
              <w:ind w:right="3608"/>
              <w:spacing w:after="0"/>
              <w:rPr>
                <w:sz w:val="20"/>
                <w:szCs w:val="20"/>
                <w:color w:val="auto"/>
              </w:rPr>
            </w:pPr>
            <w:r>
              <w:rPr>
                <w:rFonts w:ascii="Arial" w:cs="Arial" w:eastAsia="Arial" w:hAnsi="Arial"/>
                <w:sz w:val="14"/>
                <w:szCs w:val="14"/>
                <w:b w:val="1"/>
                <w:bCs w:val="1"/>
                <w:color w:val="auto"/>
                <w:w w:val="95"/>
              </w:rPr>
              <w:t>CenterPoint Energy and CERC - Mississippi (MPSC)</w:t>
            </w:r>
          </w:p>
        </w:tc>
        <w:tc>
          <w:tcPr>
            <w:tcW w:w="0" w:type="dxa"/>
            <w:vAlign w:val="bottom"/>
          </w:tcPr>
          <w:p>
            <w:pPr>
              <w:spacing w:after="0"/>
              <w:rPr>
                <w:sz w:val="1"/>
                <w:szCs w:val="1"/>
                <w:color w:val="auto"/>
              </w:rPr>
            </w:pPr>
          </w:p>
        </w:tc>
      </w:tr>
      <w:tr>
        <w:trPr>
          <w:trHeight w:val="264"/>
        </w:trPr>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rPr>
              <w:t xml:space="preserve">RRA </w:t>
            </w:r>
            <w:r>
              <w:rPr>
                <w:rFonts w:ascii="Arial" w:cs="Arial" w:eastAsia="Arial" w:hAnsi="Arial"/>
                <w:sz w:val="10"/>
                <w:szCs w:val="10"/>
                <w:color w:val="auto"/>
              </w:rPr>
              <w:t>(1)</w:t>
            </w:r>
          </w:p>
        </w:tc>
        <w:tc>
          <w:tcPr>
            <w:tcW w:w="9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May 2019</w:t>
            </w:r>
          </w:p>
        </w:tc>
        <w:tc>
          <w:tcPr>
            <w:tcW w:w="900" w:type="dxa"/>
            <w:vAlign w:val="bottom"/>
          </w:tcPr>
          <w:p>
            <w:pPr>
              <w:jc w:val="center"/>
              <w:spacing w:after="0"/>
              <w:rPr>
                <w:sz w:val="20"/>
                <w:szCs w:val="20"/>
                <w:color w:val="auto"/>
              </w:rPr>
            </w:pPr>
            <w:r>
              <w:rPr>
                <w:rFonts w:ascii="Arial" w:cs="Arial" w:eastAsia="Arial" w:hAnsi="Arial"/>
                <w:sz w:val="14"/>
                <w:szCs w:val="14"/>
                <w:color w:val="auto"/>
              </w:rPr>
              <w:t>TBD</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Arial" w:cs="Arial" w:eastAsia="Arial" w:hAnsi="Arial"/>
                <w:sz w:val="14"/>
                <w:szCs w:val="14"/>
                <w:color w:val="auto"/>
              </w:rPr>
              <w:t>Based on ROE of 9.26%.</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720" w:type="dxa"/>
            <w:vAlign w:val="bottom"/>
            <w:tcBorders>
              <w:bottom w:val="single" w:sz="8" w:color="auto"/>
            </w:tcBorders>
            <w:gridSpan w:val="5"/>
            <w:shd w:val="clear" w:color="auto" w:fill="CCEEFF"/>
          </w:tcPr>
          <w:p>
            <w:pPr>
              <w:jc w:val="center"/>
              <w:ind w:right="3608"/>
              <w:spacing w:after="0"/>
              <w:rPr>
                <w:sz w:val="20"/>
                <w:szCs w:val="20"/>
                <w:color w:val="auto"/>
              </w:rPr>
            </w:pPr>
            <w:r>
              <w:rPr>
                <w:rFonts w:ascii="Arial" w:cs="Arial" w:eastAsia="Arial" w:hAnsi="Arial"/>
                <w:sz w:val="14"/>
                <w:szCs w:val="14"/>
                <w:b w:val="1"/>
                <w:bCs w:val="1"/>
                <w:color w:val="auto"/>
                <w:w w:val="96"/>
              </w:rPr>
              <w:t>CenterPoint Energy and CERC - Oklahoma (OCC)</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00" w:type="dxa"/>
            <w:vAlign w:val="bottom"/>
          </w:tcPr>
          <w:p>
            <w:pPr>
              <w:ind w:left="20"/>
              <w:spacing w:after="0" w:line="157" w:lineRule="exact"/>
              <w:rPr>
                <w:sz w:val="20"/>
                <w:szCs w:val="20"/>
                <w:color w:val="auto"/>
              </w:rPr>
            </w:pPr>
            <w:r>
              <w:rPr>
                <w:rFonts w:ascii="Arial" w:cs="Arial" w:eastAsia="Arial" w:hAnsi="Arial"/>
                <w:sz w:val="14"/>
                <w:szCs w:val="14"/>
                <w:color w:val="auto"/>
              </w:rPr>
              <w:t>Based on ROE of 10%. On July 27, 2019, the ALJ recommended that the OCC approve an</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March</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7"/>
              </w:rPr>
              <w:t>increase of $2 million. The OCC is anticipated to issue a final order on the PBRC docket in the</w:t>
            </w:r>
          </w:p>
        </w:tc>
        <w:tc>
          <w:tcPr>
            <w:tcW w:w="0" w:type="dxa"/>
            <w:vAlign w:val="bottom"/>
          </w:tcPr>
          <w:p>
            <w:pPr>
              <w:spacing w:after="0"/>
              <w:rPr>
                <w:sz w:val="1"/>
                <w:szCs w:val="1"/>
                <w:color w:val="auto"/>
              </w:rPr>
            </w:pPr>
          </w:p>
        </w:tc>
      </w:tr>
      <w:tr>
        <w:trPr>
          <w:trHeight w:val="1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 xml:space="preserve">PBRC </w:t>
            </w:r>
            <w:r>
              <w:rPr>
                <w:rFonts w:ascii="Arial" w:cs="Arial" w:eastAsia="Arial" w:hAnsi="Arial"/>
                <w:sz w:val="10"/>
                <w:szCs w:val="10"/>
                <w:color w:val="auto"/>
                <w:w w:val="98"/>
              </w:rPr>
              <w:t>(1)</w:t>
            </w:r>
          </w:p>
        </w:tc>
        <w:tc>
          <w:tcPr>
            <w:tcW w:w="9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TBD</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color w:val="auto"/>
              </w:rPr>
              <w:t>third quarter of 2019.</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720" w:type="dxa"/>
            <w:vAlign w:val="bottom"/>
            <w:tcBorders>
              <w:bottom w:val="single" w:sz="8" w:color="auto"/>
            </w:tcBorders>
            <w:gridSpan w:val="5"/>
            <w:shd w:val="clear" w:color="auto" w:fill="CCEEFF"/>
          </w:tcPr>
          <w:p>
            <w:pPr>
              <w:jc w:val="center"/>
              <w:ind w:right="3628"/>
              <w:spacing w:after="0"/>
              <w:rPr>
                <w:sz w:val="20"/>
                <w:szCs w:val="20"/>
                <w:color w:val="auto"/>
              </w:rPr>
            </w:pPr>
            <w:r>
              <w:rPr>
                <w:rFonts w:ascii="Arial" w:cs="Arial" w:eastAsia="Arial" w:hAnsi="Arial"/>
                <w:sz w:val="14"/>
                <w:szCs w:val="14"/>
                <w:b w:val="1"/>
                <w:bCs w:val="1"/>
                <w:color w:val="auto"/>
                <w:w w:val="96"/>
              </w:rPr>
              <w:t>CenterPoint Energy - Indiana South - Gas (IURC)</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00" w:type="dxa"/>
            <w:vAlign w:val="bottom"/>
          </w:tcPr>
          <w:p>
            <w:pPr>
              <w:ind w:left="20"/>
              <w:spacing w:after="0" w:line="157" w:lineRule="exact"/>
              <w:rPr>
                <w:sz w:val="20"/>
                <w:szCs w:val="20"/>
                <w:color w:val="auto"/>
              </w:rPr>
            </w:pPr>
            <w:r>
              <w:rPr>
                <w:rFonts w:ascii="Arial" w:cs="Arial" w:eastAsia="Arial" w:hAnsi="Arial"/>
                <w:sz w:val="14"/>
                <w:szCs w:val="14"/>
                <w:color w:val="auto"/>
                <w:w w:val="95"/>
              </w:rPr>
              <w:t>Requested an increase of $16 million to rate base, which reflects a $3 million annual increase in</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4"/>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7"/>
              </w:rPr>
              <w:t>deferred until next rate case. The mechanism also includes refunds associated with the TCJA,</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October</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January</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8"/>
              </w:rPr>
              <w:t>January</w:t>
            </w: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6"/>
              </w:rPr>
              <w:t>resulting in a change of $(2) million, and a change in the total (over)/under-recovery variance of</w:t>
            </w:r>
          </w:p>
        </w:tc>
        <w:tc>
          <w:tcPr>
            <w:tcW w:w="0" w:type="dxa"/>
            <w:vAlign w:val="bottom"/>
          </w:tcPr>
          <w:p>
            <w:pPr>
              <w:spacing w:after="0"/>
              <w:rPr>
                <w:sz w:val="1"/>
                <w:szCs w:val="1"/>
                <w:color w:val="auto"/>
              </w:rPr>
            </w:pPr>
          </w:p>
        </w:tc>
      </w:tr>
      <w:tr>
        <w:trPr>
          <w:trHeight w:val="1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rPr>
              <w:t>CSIA</w:t>
            </w:r>
          </w:p>
        </w:tc>
        <w:tc>
          <w:tcPr>
            <w:tcW w:w="92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color w:val="auto"/>
              </w:rPr>
              <w:t>$(4) million annually.</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Requested an increase of $22 million to rate base, which reflects a $5 million annual increase in</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deferred until next rate case. The mechanism also includes refunds associated with the TCJA,</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rPr>
              <w:t>April</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100" w:type="dxa"/>
            <w:vAlign w:val="bottom"/>
            <w:shd w:val="clear" w:color="auto" w:fill="CCEEFF"/>
          </w:tcPr>
          <w:p>
            <w:pPr>
              <w:spacing w:after="0"/>
              <w:rPr>
                <w:sz w:val="12"/>
                <w:szCs w:val="12"/>
                <w:color w:val="auto"/>
              </w:rPr>
            </w:pPr>
          </w:p>
        </w:tc>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resulting in a change of $1 million, and a change in the total (over)/under-recovery variance of $3</w:t>
            </w:r>
          </w:p>
        </w:tc>
        <w:tc>
          <w:tcPr>
            <w:tcW w:w="0" w:type="dxa"/>
            <w:vAlign w:val="bottom"/>
          </w:tcPr>
          <w:p>
            <w:pPr>
              <w:spacing w:after="0"/>
              <w:rPr>
                <w:sz w:val="1"/>
                <w:szCs w:val="1"/>
                <w:color w:val="auto"/>
              </w:rPr>
            </w:pPr>
          </w:p>
        </w:tc>
      </w:tr>
      <w:tr>
        <w:trPr>
          <w:trHeight w:val="194"/>
        </w:trPr>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CSIA</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2019</w:t>
            </w:r>
          </w:p>
        </w:tc>
        <w:tc>
          <w:tcPr>
            <w:tcW w:w="100" w:type="dxa"/>
            <w:vAlign w:val="bottom"/>
            <w:shd w:val="clear" w:color="auto" w:fill="CCEEFF"/>
          </w:tcPr>
          <w:p>
            <w:pPr>
              <w:spacing w:after="0"/>
              <w:rPr>
                <w:sz w:val="16"/>
                <w:szCs w:val="16"/>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million annually.</w:t>
            </w:r>
          </w:p>
        </w:tc>
        <w:tc>
          <w:tcPr>
            <w:tcW w:w="0" w:type="dxa"/>
            <w:vAlign w:val="bottom"/>
          </w:tcPr>
          <w:p>
            <w:pPr>
              <w:spacing w:after="0"/>
              <w:rPr>
                <w:sz w:val="1"/>
                <w:szCs w:val="1"/>
                <w:color w:val="auto"/>
              </w:rPr>
            </w:pPr>
          </w:p>
        </w:tc>
      </w:tr>
      <w:tr>
        <w:trPr>
          <w:trHeight w:val="197"/>
        </w:trPr>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720" w:type="dxa"/>
            <w:vAlign w:val="bottom"/>
            <w:tcBorders>
              <w:bottom w:val="single" w:sz="8" w:color="auto"/>
            </w:tcBorders>
            <w:gridSpan w:val="5"/>
          </w:tcPr>
          <w:p>
            <w:pPr>
              <w:jc w:val="center"/>
              <w:ind w:right="3628"/>
              <w:spacing w:after="0"/>
              <w:rPr>
                <w:sz w:val="20"/>
                <w:szCs w:val="20"/>
                <w:color w:val="auto"/>
              </w:rPr>
            </w:pPr>
            <w:r>
              <w:rPr>
                <w:rFonts w:ascii="Arial" w:cs="Arial" w:eastAsia="Arial" w:hAnsi="Arial"/>
                <w:sz w:val="14"/>
                <w:szCs w:val="14"/>
                <w:b w:val="1"/>
                <w:bCs w:val="1"/>
                <w:color w:val="auto"/>
                <w:w w:val="96"/>
              </w:rPr>
              <w:t>CenterPoint Energy - Indiana North - Gas (IURC)</w:t>
            </w:r>
          </w:p>
        </w:tc>
        <w:tc>
          <w:tcPr>
            <w:tcW w:w="0" w:type="dxa"/>
            <w:vAlign w:val="bottom"/>
          </w:tcPr>
          <w:p>
            <w:pPr>
              <w:spacing w:after="0"/>
              <w:rPr>
                <w:sz w:val="1"/>
                <w:szCs w:val="1"/>
                <w:color w:val="auto"/>
              </w:rPr>
            </w:pPr>
          </w:p>
        </w:tc>
      </w:tr>
      <w:tr>
        <w:trPr>
          <w:trHeight w:val="156"/>
        </w:trPr>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5"/>
              </w:rPr>
              <w:t>Requested an increase of $54 million to rate base, which reflects a $3 million annual increase in</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deferred until next rate case. The mechanism also includes refunds associated with the TCJA,</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October</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January</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January</w:t>
            </w:r>
          </w:p>
        </w:tc>
        <w:tc>
          <w:tcPr>
            <w:tcW w:w="100" w:type="dxa"/>
            <w:vAlign w:val="bottom"/>
            <w:shd w:val="clear" w:color="auto" w:fill="CCEEFF"/>
          </w:tcPr>
          <w:p>
            <w:pPr>
              <w:spacing w:after="0"/>
              <w:rPr>
                <w:sz w:val="12"/>
                <w:szCs w:val="12"/>
                <w:color w:val="auto"/>
              </w:rPr>
            </w:pPr>
          </w:p>
        </w:tc>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resulting in a change of $(10) million, and a change in the total (over)/under-recovery variance of</w:t>
            </w:r>
          </w:p>
        </w:tc>
        <w:tc>
          <w:tcPr>
            <w:tcW w:w="0" w:type="dxa"/>
            <w:vAlign w:val="bottom"/>
          </w:tcPr>
          <w:p>
            <w:pPr>
              <w:spacing w:after="0"/>
              <w:rPr>
                <w:sz w:val="1"/>
                <w:szCs w:val="1"/>
                <w:color w:val="auto"/>
              </w:rPr>
            </w:pPr>
          </w:p>
        </w:tc>
      </w:tr>
      <w:tr>
        <w:trPr>
          <w:trHeight w:val="194"/>
        </w:trPr>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CSIA</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2019</w:t>
            </w:r>
          </w:p>
        </w:tc>
        <w:tc>
          <w:tcPr>
            <w:tcW w:w="100" w:type="dxa"/>
            <w:vAlign w:val="bottom"/>
            <w:shd w:val="clear" w:color="auto" w:fill="CCEEFF"/>
          </w:tcPr>
          <w:p>
            <w:pPr>
              <w:spacing w:after="0"/>
              <w:rPr>
                <w:sz w:val="16"/>
                <w:szCs w:val="16"/>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$(17) million annually.</w:t>
            </w: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00" w:type="dxa"/>
            <w:vAlign w:val="bottom"/>
          </w:tcPr>
          <w:p>
            <w:pPr>
              <w:ind w:left="20"/>
              <w:spacing w:after="0" w:line="157" w:lineRule="exact"/>
              <w:rPr>
                <w:sz w:val="20"/>
                <w:szCs w:val="20"/>
                <w:color w:val="auto"/>
              </w:rPr>
            </w:pPr>
            <w:r>
              <w:rPr>
                <w:rFonts w:ascii="Arial" w:cs="Arial" w:eastAsia="Arial" w:hAnsi="Arial"/>
                <w:sz w:val="14"/>
                <w:szCs w:val="14"/>
                <w:color w:val="auto"/>
                <w:w w:val="94"/>
              </w:rPr>
              <w:t>Requested an increase of $58 million to rate base, which reflects a $13 million annual increase in</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4"/>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7"/>
              </w:rPr>
              <w:t>deferred until next rate case. The mechanism also includes refunds associated with the TCJA,</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April</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6"/>
              </w:rPr>
              <w:t>resulting in a change of $(2) million, and a change in the total (over)/under-recovery variance of</w:t>
            </w:r>
          </w:p>
        </w:tc>
        <w:tc>
          <w:tcPr>
            <w:tcW w:w="0" w:type="dxa"/>
            <w:vAlign w:val="bottom"/>
          </w:tcPr>
          <w:p>
            <w:pPr>
              <w:spacing w:after="0"/>
              <w:rPr>
                <w:sz w:val="1"/>
                <w:szCs w:val="1"/>
                <w:color w:val="auto"/>
              </w:rPr>
            </w:pPr>
          </w:p>
        </w:tc>
      </w:tr>
      <w:tr>
        <w:trPr>
          <w:trHeight w:val="1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rPr>
              <w:t>CSIA</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color w:val="auto"/>
              </w:rPr>
              <w:t>$12 million annually.</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6820" w:type="dxa"/>
            <w:vAlign w:val="bottom"/>
            <w:tcBorders>
              <w:bottom w:val="single" w:sz="8" w:color="auto"/>
            </w:tcBorders>
            <w:gridSpan w:val="4"/>
            <w:shd w:val="clear" w:color="auto" w:fill="CCEEFF"/>
          </w:tcPr>
          <w:p>
            <w:pPr>
              <w:jc w:val="center"/>
              <w:ind w:right="4508"/>
              <w:spacing w:after="0"/>
              <w:rPr>
                <w:sz w:val="20"/>
                <w:szCs w:val="20"/>
                <w:color w:val="auto"/>
              </w:rPr>
            </w:pPr>
            <w:r>
              <w:rPr>
                <w:rFonts w:ascii="Arial" w:cs="Arial" w:eastAsia="Arial" w:hAnsi="Arial"/>
                <w:sz w:val="14"/>
                <w:szCs w:val="14"/>
                <w:b w:val="1"/>
                <w:bCs w:val="1"/>
                <w:color w:val="auto"/>
                <w:w w:val="96"/>
              </w:rPr>
              <w:t>CenterPoint Energy - Ohio (PUCO)</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00" w:type="dxa"/>
            <w:vAlign w:val="bottom"/>
          </w:tcPr>
          <w:p>
            <w:pPr>
              <w:ind w:left="20"/>
              <w:spacing w:after="0" w:line="157" w:lineRule="exact"/>
              <w:rPr>
                <w:sz w:val="20"/>
                <w:szCs w:val="20"/>
                <w:color w:val="auto"/>
              </w:rPr>
            </w:pPr>
            <w:r>
              <w:rPr>
                <w:rFonts w:ascii="Arial" w:cs="Arial" w:eastAsia="Arial" w:hAnsi="Arial"/>
                <w:sz w:val="14"/>
                <w:szCs w:val="14"/>
                <w:color w:val="auto"/>
                <w:w w:val="94"/>
              </w:rPr>
              <w:t>Requested an increase of $78 million to rate base for investments made in 2018, which reflects a</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6"/>
              </w:rPr>
              <w:t>$11 million annual increase in current revenues. A change in (over)/under-recovery variance of</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May</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5"/>
              </w:rPr>
              <w:t>$(3) million annually is also included in rates. All pre-2018 investments are included in rate case</w:t>
            </w:r>
          </w:p>
        </w:tc>
        <w:tc>
          <w:tcPr>
            <w:tcW w:w="0" w:type="dxa"/>
            <w:vAlign w:val="bottom"/>
          </w:tcPr>
          <w:p>
            <w:pPr>
              <w:spacing w:after="0"/>
              <w:rPr>
                <w:sz w:val="1"/>
                <w:szCs w:val="1"/>
                <w:color w:val="auto"/>
              </w:rPr>
            </w:pPr>
          </w:p>
        </w:tc>
      </w:tr>
      <w:tr>
        <w:trPr>
          <w:trHeight w:val="1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 xml:space="preserve">DRR </w:t>
            </w:r>
            <w:r>
              <w:rPr>
                <w:rFonts w:ascii="Arial" w:cs="Arial" w:eastAsia="Arial" w:hAnsi="Arial"/>
                <w:sz w:val="10"/>
                <w:szCs w:val="10"/>
                <w:color w:val="auto"/>
                <w:w w:val="98"/>
              </w:rPr>
              <w:t>(1)</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color w:val="auto"/>
              </w:rPr>
              <w:t>request.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Settlement agreement awaiting approval by PUCO that provides for a $23 million annual increase</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in current revenues. Settlement agreement also includes $622 million of total rate base, a 7.48%</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7"/>
              </w:rPr>
              <w:t>March</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overall rate of return, and extension of conservation and DRR programs. A final order is expected</w:t>
            </w:r>
          </w:p>
        </w:tc>
        <w:tc>
          <w:tcPr>
            <w:tcW w:w="0" w:type="dxa"/>
            <w:vAlign w:val="bottom"/>
          </w:tcPr>
          <w:p>
            <w:pPr>
              <w:spacing w:after="0"/>
              <w:rPr>
                <w:sz w:val="1"/>
                <w:szCs w:val="1"/>
                <w:color w:val="auto"/>
              </w:rPr>
            </w:pPr>
          </w:p>
        </w:tc>
      </w:tr>
      <w:tr>
        <w:trPr>
          <w:trHeight w:val="194"/>
        </w:trPr>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 xml:space="preserve">Rate Case </w:t>
            </w:r>
            <w:r>
              <w:rPr>
                <w:rFonts w:ascii="Arial" w:cs="Arial" w:eastAsia="Arial" w:hAnsi="Arial"/>
                <w:sz w:val="10"/>
                <w:szCs w:val="10"/>
                <w:color w:val="auto"/>
                <w:w w:val="89"/>
              </w:rPr>
              <w:t>(1)</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TBD</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100" w:type="dxa"/>
            <w:vAlign w:val="bottom"/>
            <w:shd w:val="clear" w:color="auto" w:fill="CCEEFF"/>
          </w:tcPr>
          <w:p>
            <w:pPr>
              <w:spacing w:after="0"/>
              <w:rPr>
                <w:sz w:val="16"/>
                <w:szCs w:val="16"/>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the third quarter of 2019.</w:t>
            </w: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00" w:type="dxa"/>
            <w:vAlign w:val="bottom"/>
          </w:tcPr>
          <w:p>
            <w:pPr>
              <w:ind w:left="20"/>
              <w:spacing w:after="0" w:line="157" w:lineRule="exact"/>
              <w:rPr>
                <w:sz w:val="20"/>
                <w:szCs w:val="20"/>
                <w:color w:val="auto"/>
              </w:rPr>
            </w:pPr>
            <w:r>
              <w:rPr>
                <w:rFonts w:ascii="Arial" w:cs="Arial" w:eastAsia="Arial" w:hAnsi="Arial"/>
                <w:sz w:val="14"/>
                <w:szCs w:val="14"/>
                <w:color w:val="auto"/>
              </w:rPr>
              <w:t>Application to flow back to customers certain benefits from the TCJA. Initial impact reflects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January</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rPr>
              <w:t>credits for 2018 of $(10) million and 2019 of $(8) million, with mechanism to begin in</w:t>
            </w:r>
          </w:p>
        </w:tc>
        <w:tc>
          <w:tcPr>
            <w:tcW w:w="0" w:type="dxa"/>
            <w:vAlign w:val="bottom"/>
          </w:tcPr>
          <w:p>
            <w:pPr>
              <w:spacing w:after="0"/>
              <w:rPr>
                <w:sz w:val="1"/>
                <w:szCs w:val="1"/>
                <w:color w:val="auto"/>
              </w:rPr>
            </w:pPr>
          </w:p>
        </w:tc>
      </w:tr>
      <w:tr>
        <w:trPr>
          <w:trHeight w:val="182"/>
        </w:trPr>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 xml:space="preserve">TSCR </w:t>
            </w:r>
            <w:r>
              <w:rPr>
                <w:rFonts w:ascii="Arial" w:cs="Arial" w:eastAsia="Arial" w:hAnsi="Arial"/>
                <w:sz w:val="10"/>
                <w:szCs w:val="10"/>
                <w:color w:val="auto"/>
                <w:w w:val="99"/>
              </w:rPr>
              <w:t>(1)</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(18)</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TBD</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 w:type="dxa"/>
            <w:vAlign w:val="bottom"/>
          </w:tcPr>
          <w:p>
            <w:pPr>
              <w:spacing w:after="0"/>
              <w:rPr>
                <w:sz w:val="15"/>
                <w:szCs w:val="15"/>
                <w:color w:val="auto"/>
              </w:rPr>
            </w:pPr>
          </w:p>
        </w:tc>
        <w:tc>
          <w:tcPr>
            <w:tcW w:w="5700" w:type="dxa"/>
            <w:vAlign w:val="bottom"/>
          </w:tcPr>
          <w:p>
            <w:pPr>
              <w:ind w:left="20"/>
              <w:spacing w:after="0"/>
              <w:rPr>
                <w:sz w:val="20"/>
                <w:szCs w:val="20"/>
                <w:color w:val="auto"/>
              </w:rPr>
            </w:pPr>
            <w:r>
              <w:rPr>
                <w:rFonts w:ascii="Arial" w:cs="Arial" w:eastAsia="Arial" w:hAnsi="Arial"/>
                <w:sz w:val="14"/>
                <w:szCs w:val="14"/>
                <w:color w:val="auto"/>
              </w:rPr>
              <w:t>conjunction with new base rates.</w:t>
            </w:r>
          </w:p>
        </w:tc>
        <w:tc>
          <w:tcPr>
            <w:tcW w:w="0" w:type="dxa"/>
            <w:vAlign w:val="bottom"/>
          </w:tcPr>
          <w:p>
            <w:pPr>
              <w:spacing w:after="0"/>
              <w:rPr>
                <w:sz w:val="1"/>
                <w:szCs w:val="1"/>
                <w:color w:val="auto"/>
              </w:rPr>
            </w:pPr>
          </w:p>
        </w:tc>
      </w:tr>
      <w:tr>
        <w:trPr>
          <w:trHeight w:val="471"/>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0" w:type="dxa"/>
            <w:vAlign w:val="bottom"/>
            <w:gridSpan w:val="2"/>
          </w:tcPr>
          <w:p>
            <w:pPr>
              <w:jc w:val="center"/>
              <w:ind w:right="5548"/>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260" w:type="dxa"/>
            <w:vAlign w:val="bottom"/>
          </w:tcPr>
          <w:p>
            <w:pPr>
              <w:jc w:val="center"/>
              <w:ind w:left="10"/>
              <w:spacing w:after="0"/>
              <w:rPr>
                <w:sz w:val="20"/>
                <w:szCs w:val="20"/>
                <w:color w:val="auto"/>
              </w:rPr>
            </w:pPr>
            <w:r>
              <w:rPr>
                <w:rFonts w:ascii="Arial" w:cs="Arial" w:eastAsia="Arial" w:hAnsi="Arial"/>
                <w:sz w:val="14"/>
                <w:szCs w:val="14"/>
                <w:b w:val="1"/>
                <w:bCs w:val="1"/>
                <w:color w:val="auto"/>
                <w:w w:val="96"/>
              </w:rPr>
              <w:t>Annual</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60" w:type="dxa"/>
            <w:vAlign w:val="bottom"/>
          </w:tcPr>
          <w:p>
            <w:pPr>
              <w:jc w:val="center"/>
              <w:ind w:left="30"/>
              <w:spacing w:after="0" w:line="149" w:lineRule="exact"/>
              <w:rPr>
                <w:sz w:val="20"/>
                <w:szCs w:val="20"/>
                <w:color w:val="auto"/>
              </w:rPr>
            </w:pPr>
            <w:r>
              <w:rPr>
                <w:rFonts w:ascii="Arial" w:cs="Arial" w:eastAsia="Arial" w:hAnsi="Arial"/>
                <w:sz w:val="14"/>
                <w:szCs w:val="14"/>
                <w:b w:val="1"/>
                <w:bCs w:val="1"/>
                <w:color w:val="auto"/>
                <w:w w:val="91"/>
              </w:rPr>
              <w:t>Increase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Approval</w:t>
            </w:r>
          </w:p>
        </w:tc>
        <w:tc>
          <w:tcPr>
            <w:tcW w:w="5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1"/>
              </w:rPr>
              <w:t>Mechanism</w:t>
            </w:r>
          </w:p>
        </w:tc>
        <w:tc>
          <w:tcPr>
            <w:tcW w:w="1260" w:type="dxa"/>
            <w:vAlign w:val="bottom"/>
          </w:tcPr>
          <w:p>
            <w:pPr>
              <w:jc w:val="center"/>
              <w:ind w:left="30"/>
              <w:spacing w:after="0" w:line="145"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9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582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tcPr>
          <w:p>
            <w:pPr>
              <w:jc w:val="center"/>
              <w:ind w:left="30"/>
              <w:spacing w:after="0"/>
              <w:rPr>
                <w:sz w:val="20"/>
                <w:szCs w:val="20"/>
                <w:color w:val="auto"/>
              </w:rPr>
            </w:pPr>
            <w:r>
              <w:rPr>
                <w:rFonts w:ascii="Arial" w:cs="Arial" w:eastAsia="Arial" w:hAnsi="Arial"/>
                <w:sz w:val="11"/>
                <w:szCs w:val="11"/>
                <w:b w:val="1"/>
                <w:bCs w:val="1"/>
                <w:color w:val="auto"/>
                <w:w w:val="90"/>
              </w:rPr>
              <w:t>(in millions)</w:t>
            </w: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Date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7820" w:type="dxa"/>
            <w:vAlign w:val="bottom"/>
            <w:tcBorders>
              <w:bottom w:val="single" w:sz="8" w:color="auto"/>
            </w:tcBorders>
            <w:gridSpan w:val="3"/>
            <w:shd w:val="clear" w:color="auto" w:fill="CCEEFF"/>
          </w:tcPr>
          <w:p>
            <w:pPr>
              <w:ind w:left="680"/>
              <w:spacing w:after="0"/>
              <w:rPr>
                <w:sz w:val="20"/>
                <w:szCs w:val="20"/>
                <w:color w:val="auto"/>
              </w:rPr>
            </w:pPr>
            <w:r>
              <w:rPr>
                <w:rFonts w:ascii="Arial" w:cs="Arial" w:eastAsia="Arial" w:hAnsi="Arial"/>
                <w:sz w:val="14"/>
                <w:szCs w:val="14"/>
                <w:b w:val="1"/>
                <w:bCs w:val="1"/>
                <w:color w:val="auto"/>
              </w:rPr>
              <w:t>CenterPoint Energy - Indiana Electric (IURC)</w:t>
            </w: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20" w:type="dxa"/>
            <w:vAlign w:val="bottom"/>
          </w:tcPr>
          <w:p>
            <w:pPr>
              <w:ind w:left="140"/>
              <w:spacing w:after="0" w:line="157" w:lineRule="exact"/>
              <w:rPr>
                <w:sz w:val="20"/>
                <w:szCs w:val="20"/>
                <w:color w:val="auto"/>
              </w:rPr>
            </w:pPr>
            <w:r>
              <w:rPr>
                <w:rFonts w:ascii="Arial" w:cs="Arial" w:eastAsia="Arial" w:hAnsi="Arial"/>
                <w:sz w:val="14"/>
                <w:szCs w:val="14"/>
                <w:color w:val="auto"/>
                <w:w w:val="95"/>
              </w:rPr>
              <w:t>Requested an increase of $24 million to rate base, which reflects a $3 million annual increase in</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20" w:type="dxa"/>
            <w:vAlign w:val="bottom"/>
          </w:tcPr>
          <w:p>
            <w:pPr>
              <w:ind w:left="140"/>
              <w:spacing w:after="0" w:line="149" w:lineRule="exact"/>
              <w:rPr>
                <w:sz w:val="20"/>
                <w:szCs w:val="20"/>
                <w:color w:val="auto"/>
              </w:rPr>
            </w:pPr>
            <w:r>
              <w:rPr>
                <w:rFonts w:ascii="Arial" w:cs="Arial" w:eastAsia="Arial" w:hAnsi="Arial"/>
                <w:sz w:val="14"/>
                <w:szCs w:val="14"/>
                <w:color w:val="auto"/>
                <w:w w:val="94"/>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20" w:type="dxa"/>
            <w:vAlign w:val="bottom"/>
          </w:tcPr>
          <w:p>
            <w:pPr>
              <w:ind w:left="140"/>
              <w:spacing w:after="0" w:line="149" w:lineRule="exact"/>
              <w:rPr>
                <w:sz w:val="20"/>
                <w:szCs w:val="20"/>
                <w:color w:val="auto"/>
              </w:rPr>
            </w:pPr>
            <w:r>
              <w:rPr>
                <w:rFonts w:ascii="Arial" w:cs="Arial" w:eastAsia="Arial" w:hAnsi="Arial"/>
                <w:sz w:val="14"/>
                <w:szCs w:val="14"/>
                <w:color w:val="auto"/>
                <w:w w:val="97"/>
              </w:rPr>
              <w:t>deferred until next rate case. The mechanism also includes refunds associated with the TCJA,</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2"/>
              </w:rPr>
              <w:t>February</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8"/>
              </w:rPr>
              <w:t>May</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rPr>
              <w:t>May</w:t>
            </w:r>
          </w:p>
        </w:tc>
        <w:tc>
          <w:tcPr>
            <w:tcW w:w="5820" w:type="dxa"/>
            <w:vAlign w:val="bottom"/>
          </w:tcPr>
          <w:p>
            <w:pPr>
              <w:ind w:left="140"/>
              <w:spacing w:after="0" w:line="149" w:lineRule="exact"/>
              <w:rPr>
                <w:sz w:val="20"/>
                <w:szCs w:val="20"/>
                <w:color w:val="auto"/>
              </w:rPr>
            </w:pPr>
            <w:r>
              <w:rPr>
                <w:rFonts w:ascii="Arial" w:cs="Arial" w:eastAsia="Arial" w:hAnsi="Arial"/>
                <w:sz w:val="14"/>
                <w:szCs w:val="14"/>
                <w:color w:val="auto"/>
                <w:w w:val="94"/>
              </w:rPr>
              <w:t>resulting in a change of $5 million, and a change in the total (over)/under-recovery variance of $5</w:t>
            </w:r>
          </w:p>
        </w:tc>
        <w:tc>
          <w:tcPr>
            <w:tcW w:w="0" w:type="dxa"/>
            <w:vAlign w:val="bottom"/>
          </w:tcPr>
          <w:p>
            <w:pPr>
              <w:spacing w:after="0"/>
              <w:rPr>
                <w:sz w:val="1"/>
                <w:szCs w:val="1"/>
                <w:color w:val="auto"/>
              </w:rPr>
            </w:pPr>
          </w:p>
        </w:tc>
      </w:tr>
      <w:tr>
        <w:trPr>
          <w:trHeight w:val="188"/>
        </w:trPr>
        <w:tc>
          <w:tcPr>
            <w:tcW w:w="1400" w:type="dxa"/>
            <w:vAlign w:val="bottom"/>
          </w:tcPr>
          <w:p>
            <w:pPr>
              <w:jc w:val="center"/>
              <w:ind w:left="28"/>
              <w:spacing w:after="0"/>
              <w:rPr>
                <w:sz w:val="20"/>
                <w:szCs w:val="20"/>
                <w:color w:val="auto"/>
              </w:rPr>
            </w:pPr>
            <w:r>
              <w:rPr>
                <w:rFonts w:ascii="Arial" w:cs="Arial" w:eastAsia="Arial" w:hAnsi="Arial"/>
                <w:sz w:val="14"/>
                <w:szCs w:val="14"/>
                <w:color w:val="auto"/>
                <w:w w:val="99"/>
              </w:rPr>
              <w:t>TDSIC</w:t>
            </w:r>
          </w:p>
        </w:tc>
        <w:tc>
          <w:tcPr>
            <w:tcW w:w="1260" w:type="dxa"/>
            <w:vAlign w:val="bottom"/>
          </w:tcPr>
          <w:p>
            <w:pPr>
              <w:jc w:val="center"/>
              <w:ind w:left="30"/>
              <w:spacing w:after="0"/>
              <w:rPr>
                <w:sz w:val="20"/>
                <w:szCs w:val="20"/>
                <w:color w:val="auto"/>
              </w:rPr>
            </w:pPr>
            <w:r>
              <w:rPr>
                <w:rFonts w:ascii="Arial" w:cs="Arial" w:eastAsia="Arial" w:hAnsi="Arial"/>
                <w:sz w:val="14"/>
                <w:szCs w:val="14"/>
                <w:color w:val="auto"/>
              </w:rPr>
              <w:t>3</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5820" w:type="dxa"/>
            <w:vAlign w:val="bottom"/>
          </w:tcPr>
          <w:p>
            <w:pPr>
              <w:ind w:left="140"/>
              <w:spacing w:after="0"/>
              <w:rPr>
                <w:sz w:val="20"/>
                <w:szCs w:val="20"/>
                <w:color w:val="auto"/>
              </w:rPr>
            </w:pPr>
            <w:r>
              <w:rPr>
                <w:rFonts w:ascii="Arial" w:cs="Arial" w:eastAsia="Arial" w:hAnsi="Arial"/>
                <w:sz w:val="14"/>
                <w:szCs w:val="14"/>
                <w:color w:val="auto"/>
              </w:rPr>
              <w:t>million annually.</w:t>
            </w:r>
          </w:p>
        </w:tc>
        <w:tc>
          <w:tcPr>
            <w:tcW w:w="0" w:type="dxa"/>
            <w:vAlign w:val="bottom"/>
          </w:tcPr>
          <w:p>
            <w:pPr>
              <w:spacing w:after="0"/>
              <w:rPr>
                <w:sz w:val="1"/>
                <w:szCs w:val="1"/>
                <w:color w:val="auto"/>
              </w:rPr>
            </w:pPr>
          </w:p>
        </w:tc>
      </w:tr>
      <w:tr>
        <w:trPr>
          <w:trHeight w:val="163"/>
        </w:trPr>
        <w:tc>
          <w:tcPr>
            <w:tcW w:w="1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Requested an increase of $35 million to rate base, which reflects a $4 million annual increase in</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August</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November</w:t>
            </w:r>
          </w:p>
        </w:tc>
        <w:tc>
          <w:tcPr>
            <w:tcW w:w="940" w:type="dxa"/>
            <w:vAlign w:val="bottom"/>
            <w:shd w:val="clear" w:color="auto" w:fill="CCEEFF"/>
          </w:tcPr>
          <w:p>
            <w:pPr>
              <w:spacing w:after="0"/>
              <w:rPr>
                <w:sz w:val="12"/>
                <w:szCs w:val="12"/>
                <w:color w:val="auto"/>
              </w:rPr>
            </w:pPr>
          </w:p>
        </w:tc>
        <w:tc>
          <w:tcPr>
            <w:tcW w:w="58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deferred until next rate case. The mechanism also includes a change in (over)/under-recovery</w:t>
            </w: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9"/>
              </w:rPr>
              <w:t xml:space="preserve">TDSIC </w:t>
            </w:r>
            <w:r>
              <w:rPr>
                <w:rFonts w:ascii="Arial" w:cs="Arial" w:eastAsia="Arial" w:hAnsi="Arial"/>
                <w:sz w:val="10"/>
                <w:szCs w:val="10"/>
                <w:color w:val="auto"/>
                <w:w w:val="99"/>
              </w:rPr>
              <w:t>(1)</w:t>
            </w:r>
          </w:p>
        </w:tc>
        <w:tc>
          <w:tcPr>
            <w:tcW w:w="126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rPr>
              <w:t>4</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variance of $4 million annually.</w:t>
            </w:r>
          </w:p>
        </w:tc>
        <w:tc>
          <w:tcPr>
            <w:tcW w:w="0" w:type="dxa"/>
            <w:vAlign w:val="bottom"/>
          </w:tcPr>
          <w:p>
            <w:pPr>
              <w:spacing w:after="0"/>
              <w:rPr>
                <w:sz w:val="1"/>
                <w:szCs w:val="1"/>
                <w:color w:val="auto"/>
              </w:rPr>
            </w:pPr>
          </w:p>
        </w:tc>
      </w:tr>
      <w:tr>
        <w:trPr>
          <w:trHeight w:val="157"/>
        </w:trPr>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20" w:type="dxa"/>
            <w:vAlign w:val="bottom"/>
          </w:tcPr>
          <w:p>
            <w:pPr>
              <w:ind w:left="140"/>
              <w:spacing w:after="0" w:line="157" w:lineRule="exact"/>
              <w:rPr>
                <w:sz w:val="20"/>
                <w:szCs w:val="20"/>
                <w:color w:val="auto"/>
              </w:rPr>
            </w:pPr>
            <w:r>
              <w:rPr>
                <w:rFonts w:ascii="Arial" w:cs="Arial" w:eastAsia="Arial" w:hAnsi="Arial"/>
                <w:sz w:val="14"/>
                <w:szCs w:val="14"/>
                <w:color w:val="auto"/>
                <w:w w:val="94"/>
              </w:rPr>
              <w:t>Requested an increase of $58 million to rate base, which reflects a $13 million annual increase in</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20" w:type="dxa"/>
            <w:vAlign w:val="bottom"/>
          </w:tcPr>
          <w:p>
            <w:pPr>
              <w:ind w:left="140"/>
              <w:spacing w:after="0" w:line="149" w:lineRule="exact"/>
              <w:rPr>
                <w:sz w:val="20"/>
                <w:szCs w:val="20"/>
                <w:color w:val="auto"/>
              </w:rPr>
            </w:pPr>
            <w:r>
              <w:rPr>
                <w:rFonts w:ascii="Arial" w:cs="Arial" w:eastAsia="Arial" w:hAnsi="Arial"/>
                <w:sz w:val="14"/>
                <w:szCs w:val="14"/>
                <w:color w:val="auto"/>
                <w:w w:val="94"/>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2"/>
              </w:rPr>
              <w:t>February</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2"/>
              </w:rPr>
              <w:t>January</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rPr>
              <w:t>April</w:t>
            </w:r>
          </w:p>
        </w:tc>
        <w:tc>
          <w:tcPr>
            <w:tcW w:w="5820" w:type="dxa"/>
            <w:vAlign w:val="bottom"/>
          </w:tcPr>
          <w:p>
            <w:pPr>
              <w:ind w:left="140"/>
              <w:spacing w:after="0" w:line="149" w:lineRule="exact"/>
              <w:rPr>
                <w:sz w:val="20"/>
                <w:szCs w:val="20"/>
                <w:color w:val="auto"/>
              </w:rPr>
            </w:pPr>
            <w:r>
              <w:rPr>
                <w:rFonts w:ascii="Arial" w:cs="Arial" w:eastAsia="Arial" w:hAnsi="Arial"/>
                <w:sz w:val="14"/>
                <w:szCs w:val="14"/>
                <w:color w:val="auto"/>
                <w:w w:val="99"/>
              </w:rPr>
              <w:t>deferred until next rate case. The mechanism includes recovery of prior accounting deferrals</w:t>
            </w:r>
          </w:p>
        </w:tc>
        <w:tc>
          <w:tcPr>
            <w:tcW w:w="0" w:type="dxa"/>
            <w:vAlign w:val="bottom"/>
          </w:tcPr>
          <w:p>
            <w:pPr>
              <w:spacing w:after="0"/>
              <w:rPr>
                <w:sz w:val="1"/>
                <w:szCs w:val="1"/>
                <w:color w:val="auto"/>
              </w:rPr>
            </w:pPr>
          </w:p>
        </w:tc>
      </w:tr>
      <w:tr>
        <w:trPr>
          <w:trHeight w:val="188"/>
        </w:trPr>
        <w:tc>
          <w:tcPr>
            <w:tcW w:w="1400" w:type="dxa"/>
            <w:vAlign w:val="bottom"/>
          </w:tcPr>
          <w:p>
            <w:pPr>
              <w:jc w:val="center"/>
              <w:ind w:left="28"/>
              <w:spacing w:after="0"/>
              <w:rPr>
                <w:sz w:val="20"/>
                <w:szCs w:val="20"/>
                <w:color w:val="auto"/>
              </w:rPr>
            </w:pPr>
            <w:r>
              <w:rPr>
                <w:rFonts w:ascii="Arial" w:cs="Arial" w:eastAsia="Arial" w:hAnsi="Arial"/>
                <w:sz w:val="14"/>
                <w:szCs w:val="14"/>
                <w:color w:val="auto"/>
                <w:w w:val="97"/>
              </w:rPr>
              <w:t>ECA - MATS</w:t>
            </w:r>
          </w:p>
        </w:tc>
        <w:tc>
          <w:tcPr>
            <w:tcW w:w="1260" w:type="dxa"/>
            <w:vAlign w:val="bottom"/>
          </w:tcPr>
          <w:p>
            <w:pPr>
              <w:jc w:val="center"/>
              <w:ind w:left="10"/>
              <w:spacing w:after="0"/>
              <w:rPr>
                <w:sz w:val="20"/>
                <w:szCs w:val="20"/>
                <w:color w:val="auto"/>
              </w:rPr>
            </w:pPr>
            <w:r>
              <w:rPr>
                <w:rFonts w:ascii="Arial" w:cs="Arial" w:eastAsia="Arial" w:hAnsi="Arial"/>
                <w:sz w:val="14"/>
                <w:szCs w:val="14"/>
                <w:color w:val="auto"/>
                <w:w w:val="89"/>
              </w:rPr>
              <w:t>13</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5820" w:type="dxa"/>
            <w:vAlign w:val="bottom"/>
          </w:tcPr>
          <w:p>
            <w:pPr>
              <w:ind w:left="140"/>
              <w:spacing w:after="0"/>
              <w:rPr>
                <w:sz w:val="20"/>
                <w:szCs w:val="20"/>
                <w:color w:val="auto"/>
              </w:rPr>
            </w:pPr>
            <w:r>
              <w:rPr>
                <w:rFonts w:ascii="Arial" w:cs="Arial" w:eastAsia="Arial" w:hAnsi="Arial"/>
                <w:sz w:val="14"/>
                <w:szCs w:val="14"/>
                <w:color w:val="auto"/>
              </w:rPr>
              <w:t>associated with investments (depreciation, carrying costs, operating expenses).</w:t>
            </w:r>
          </w:p>
        </w:tc>
        <w:tc>
          <w:tcPr>
            <w:tcW w:w="0" w:type="dxa"/>
            <w:vAlign w:val="bottom"/>
          </w:tcPr>
          <w:p>
            <w:pPr>
              <w:spacing w:after="0"/>
              <w:rPr>
                <w:sz w:val="1"/>
                <w:szCs w:val="1"/>
                <w:color w:val="auto"/>
              </w:rPr>
            </w:pPr>
          </w:p>
        </w:tc>
      </w:tr>
      <w:tr>
        <w:trPr>
          <w:trHeight w:val="163"/>
        </w:trPr>
        <w:tc>
          <w:tcPr>
            <w:tcW w:w="1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Requested an increase of $13 million to rate base related to solar pilot investments, which reflects</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February</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May</w:t>
            </w:r>
          </w:p>
        </w:tc>
        <w:tc>
          <w:tcPr>
            <w:tcW w:w="58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a $2 million annual increase in current revenues. Additional solar investment to supply 50 MW of</w:t>
            </w: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7"/>
              </w:rPr>
              <w:t>CECA</w:t>
            </w:r>
          </w:p>
        </w:tc>
        <w:tc>
          <w:tcPr>
            <w:tcW w:w="126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rPr>
              <w:t>2</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5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solar capacity is approved and will be included for recovery once completed in 2021.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Reform</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TCJA-related 2018 tax expense refunds are currently included in the Registrants’ existing rates and are therefore reducing the Registrants’ current annual revenue. The TCJA-related 2018 tax expense refunds for Houston Electric are expected to be completed in September 2019. However, in Houston Electric’s rate case filed in April 2019, Houston Electric is proposing to continue returning other benefits of the TCJA through a separate rider that will return approximately $119 million to customers over the next three years. The TCJA is also expected to continue to return benefits to customers through Houston Electric’s base rates by approximately $73 million per year.</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CenterPoint Energy’s electric and natural gas utilities in Indiana and Ohio, which were acquired during the Merger, currently recover corporate income tax expense in approved rates charged to customers. The IURC and the PUCO both issued orders which initiated proceedings to investigate the impact of the TCJA on utility companies and customers within Indiana and Ohio, respectively. In addition, the IURC and PUCO have ordered each utility to establish regulatory liabilities to record all estimated impacts of tax reform starting January 1, 2018 until the date when rates are adjusted to capture these impacts. In Indiana, in response to Vectren’s pre-Merger filing for proposed changes to its rates and charges to consider the impact of the lower federal income tax rates, the IURC approved an initial reduction to current rates and charges, effective June 1, 2018, to capture the immediate impact of the lower corporate federal income tax rate. The refund of excess deferred taxes and regulatory liabilities commenced in November 2018 for Indiana electric customers and in January 2019 for Indiana gas customers. In Ohio, the initial rate reduction to current rates and charges will be effective upon conclusion of its pending base rate case filed on March 30, 2018. In January 2019, an application was filed with PUCO in compliance with its October 2018 order requiring utilities to file for a request to adjust rates to reflect the impact of the TCJA, requesting authority to implement a rider to flow back to customers the tax benefits realized under the TCJA, including the refund of excess deferred taxes and regulatory liabilities. CenterPoint Energy expects this proceeding to be approved in conjunction with the pending base rate case.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ELG (CenterPoint Energy)</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Clean Water Act, the EPA sets technology-based guidelines for water discharges from new and existing electric generation facilities. In September 2015, the EPA finalized revisions to the existing steam electric ELG setting stringent technology-based water discharge limits for the electric power industry. The EPA focused this rulemaking on wastewater generated primarily by pollution control equipment necessitated by the comprehensive air regulations, specifically setting strict water discharge limits for arsenic, mercury and selenium for scrubber waste waters. The ELG will be implemented when existing water discharge permits for the plants are renewed. In the case of Indiana Electric’s water discharge permits, in 2017 the IDEM issued final renewals for the F.B. Culley and A.B. Brown power plants. IDEM agreed that units identified for retirement by December 2023 would not be required to install new treatment technology to meet ELG, and approved a 2020 compliance date for dry bottom ash and a 2023 compliance date for flue gas desulfurization wastewater treatment standards for the remaining coal-fired unit at F.B. Culley.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April 13, 2017, as part of the U.S. President’s Administration’s regulatory reform initiative, which is focused on the number and nature of regulations, the EPA granted petitions to reconsider the ELG rule, and indicated it would stay the current implementation deadlines in the rule during the pendency of the reconsideration. On September 13, 2017, the EPA finalized a rule postponing certain interim compliance dates by two years, but did not postpone the final compliance deadline of December 31, 2023. In April 2018, the EPA published an effluent guidelines program plan that anticipated a December 2019 rule revising the effluent limitations and pre-treatment standards for existing sources in the 2015 rule. On April 12, 2019, the U.S. Court of Appeals for the Fifth Circuit vacated and remanded portions of the ELG rule that selected impoundment as the best available technology for legacy wastewater and leachate. It is not clear what revisions to the ELG rule the EPA will implement, or what effect those revisions may have. As Indiana Electric does not currently have short-term ELG implementation deadlines in its recently renewed wastewater discharge permits, it does not anticipate immediate impacts from the EPA’s two-year extension of preliminary implementation deadlines due to the longer compliance time frames granted by IDEM and will continue to work with IDEM to evaluate further implementation plans.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CPP and ACE Rule (CenterPoint Energy)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August 31, 2018, the EPA published its proposed CPP replacement rule, the ACE Rule, which was finalized on July 8, 2019 and requires states to implement a program of energy efficiency improvement targets for individual coal-fired electric generating units. States have three years to develop state plans to implement the ACE rule, and CenterPoint Energy does not expect a state ACE rule to be finalized and approved by the EPA until 2024. CenterPoint Energy is currently unable to predict the effect of a state plan to implement the ACE rule but does not anticipate that such a plan would have a material effect.</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Legislative Actions &amp; Other Initiatives (CenterPoint Energy)</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At this time, compliance costs and other effects associated with reductions in GHG emissions or obtaining renewable energy sources remain uncertain. While the requirements of a state ACE rule remain uncertain, Indiana Electric will continue to monitor regulatory activity regarding GHG emission standards that may affect its electric generating units.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FERC Revised Policy Statement (CenterPoint Energy and CERC)</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regulation of midstream energy infrastructure assets has a significant impact on Enable’s business. For example, Enable’s interstate natural gas transportation and storage assets are subject to regulation by the FERC under the Natural Gas Act. In March 2018, the FERC announced a Revised Policy Statement stating that it would no longer allow pipelines organized as a master limited partnership to recover an income tax allowance in their cost-of-service rates. In July 2018, the FERC issued new regulations which required all FERC-regulated natural gas pipelines to make a one-time Form No. 501-G filing providing certain financial information. In October 2018, Enable Gas Transmission, LLC filed its Form No. 501-G and filed a statement that it intended to take no other action. On March 8, 2019, the FERC terminated the 501-G proceeding and required no other action. MRT did not file a FERC Form No. 501-G because it had filed a general rate case in June 2018. In July 2018, the FERC issued an order accepting MRT’s proposed rate increases subject to refund upon a final determination of MRT’s rates and ordering MRT to refile its rate case to reflect the elimination of an income tax allowance in its cost-of-service rates. On August 30, 2018, MRT submitted a supplemental filing to comply with the FERC’s order. MRT has appealed the FERC’s order to eliminate the income tax allowance in its cost-of-service rates. The FERC set MRT’s refiled rate case for hearing to begin in January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please see Note 12 to the Interim Condensed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$5.1 billion as of June 30, 2019. As of July 26, 2019, the Registrants had the following revolving credit facilities and utilization of such facilities: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376"/>
              <w:spacing w:after="0"/>
              <w:rPr>
                <w:sz w:val="20"/>
                <w:szCs w:val="20"/>
                <w:color w:val="auto"/>
              </w:rPr>
            </w:pPr>
            <w:r>
              <w:rPr>
                <w:rFonts w:ascii="Arial" w:cs="Arial" w:eastAsia="Arial" w:hAnsi="Arial"/>
                <w:sz w:val="14"/>
                <w:szCs w:val="14"/>
                <w:b w:val="1"/>
                <w:bCs w:val="1"/>
                <w:color w:val="auto"/>
                <w:w w:val="93"/>
              </w:rPr>
              <w:t>Amount Utilized as of July 26, 2019</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8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Registrant</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Size of Facility</w:t>
            </w:r>
          </w:p>
        </w:tc>
        <w:tc>
          <w:tcPr>
            <w:tcW w:w="28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Loans</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Letters of Credit</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Commercial Paper</w:t>
            </w:r>
          </w:p>
        </w:tc>
        <w:tc>
          <w:tcPr>
            <w:tcW w:w="100" w:type="dxa"/>
            <w:vAlign w:val="bottom"/>
          </w:tcPr>
          <w:p>
            <w:pPr>
              <w:spacing w:after="0"/>
              <w:rPr>
                <w:sz w:val="12"/>
                <w:szCs w:val="12"/>
                <w:color w:val="auto"/>
              </w:rPr>
            </w:pPr>
          </w:p>
        </w:tc>
        <w:tc>
          <w:tcPr>
            <w:tcW w:w="142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92"/>
        </w:trPr>
        <w:tc>
          <w:tcPr>
            <w:tcW w:w="2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Interest Rate</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(2)</w:t>
            </w:r>
          </w:p>
        </w:tc>
        <w:tc>
          <w:tcPr>
            <w:tcW w:w="1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2.54%</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July 14, 2022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3.51%</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14, 2022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Houston Electric</w:t>
            </w:r>
          </w:p>
        </w:tc>
        <w:tc>
          <w:tcPr>
            <w:tcW w:w="1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20" w:type="dxa"/>
            <w:vAlign w:val="bottom"/>
          </w:tcPr>
          <w:p>
            <w:pPr>
              <w:jc w:val="center"/>
              <w:ind w:right="82"/>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CERC</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2.54%</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57"/>
        </w:trPr>
        <w:tc>
          <w:tcPr>
            <w:tcW w:w="28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Approximately $1.7 billion of outstanding commercial paper was issued to refinance commercial paper used to fund a portion of the cash consideration for the Merger, pay related fees and expenses, pay Vectren’s stub period cash dividend and long-term incentive payments and repay indebtedness of Vectren subsidiaries redeemed at the option of the holder as a result of the closing of the Merger. CenterPoint Energy expects to refinance or otherwise fund the repayment of maturing commercial paper through its sources of cash described in “—Liquidity and Capital Resources—Future Sources and Uses of Cash.”</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credit facility was issued by VUHI and is guaranteed by SIGECO, Indiana Gas and VEDO.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credit facility was issued by VCC and is guaranteed by Vectren.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The borrowers are currently in compliance with the various business and financial covenants in their respective revolving credit facilities.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detailed information about the Registrants’ debt transactions in 2019, see Note 12 to the Interim Condensed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January 31, 2017, the Registrants filed a joint shelf registration statement with the SEC, as amended on September 24, 2018,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January 31, 2020. For information related to the Registrants’ debt securities issuances to date in 2019, see Note 12 to the Interim Condensed Financial Statements.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26, 2019, the Registrants had no temporary investments.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Money Pool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money pool are expected to be met with borrowings under CenterPoint Energy’s revolving credit facility or the sale of CenterPoint Energy’s commercial paper. The money pool may not provide sufficient funds to meet the Registrants’ cash needs.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money pool activity by Registrant as of July 26,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 Average Interest</w:t>
            </w:r>
          </w:p>
        </w:tc>
        <w:tc>
          <w:tcPr>
            <w:tcW w:w="160" w:type="dxa"/>
            <w:vAlign w:val="bottom"/>
          </w:tcPr>
          <w:p>
            <w:pPr>
              <w:spacing w:after="0"/>
              <w:rPr>
                <w:sz w:val="14"/>
                <w:szCs w:val="14"/>
                <w:color w:val="auto"/>
              </w:rPr>
            </w:pPr>
          </w:p>
        </w:tc>
        <w:tc>
          <w:tcPr>
            <w:tcW w:w="134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7"/>
              </w:rPr>
              <w:t>Houston Electric</w:t>
            </w:r>
          </w:p>
        </w:tc>
        <w:tc>
          <w:tcPr>
            <w:tcW w:w="520" w:type="dxa"/>
            <w:vAlign w:val="bottom"/>
          </w:tcPr>
          <w:p>
            <w:pPr>
              <w:spacing w:after="0"/>
              <w:rPr>
                <w:sz w:val="14"/>
                <w:szCs w:val="14"/>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pool investments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778</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interest on borrowings under the credit facilities is based on each respective borrower’s credit ratings. As of July 26, 2019, Moody’s, S&amp;P and Fitch had assigned the following credit ratings to the borrowers: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rPr>
              <w:t>Moody’s</w:t>
            </w:r>
          </w:p>
        </w:tc>
        <w:tc>
          <w:tcPr>
            <w:tcW w:w="840" w:type="dxa"/>
            <w:vAlign w:val="bottom"/>
          </w:tcPr>
          <w:p>
            <w:pPr>
              <w:spacing w:after="0"/>
              <w:rPr>
                <w:sz w:val="16"/>
                <w:szCs w:val="16"/>
                <w:color w:val="auto"/>
              </w:rPr>
            </w:pPr>
          </w:p>
        </w:tc>
        <w:tc>
          <w:tcPr>
            <w:tcW w:w="1420" w:type="dxa"/>
            <w:vAlign w:val="bottom"/>
            <w:gridSpan w:val="4"/>
          </w:tcPr>
          <w:p>
            <w:pPr>
              <w:ind w:left="80"/>
              <w:spacing w:after="0"/>
              <w:rPr>
                <w:sz w:val="20"/>
                <w:szCs w:val="20"/>
                <w:color w:val="auto"/>
              </w:rPr>
            </w:pPr>
            <w:r>
              <w:rPr>
                <w:rFonts w:ascii="Arial" w:cs="Arial" w:eastAsia="Arial" w:hAnsi="Arial"/>
                <w:sz w:val="14"/>
                <w:szCs w:val="14"/>
                <w:b w:val="1"/>
                <w:bCs w:val="1"/>
                <w:color w:val="auto"/>
              </w:rPr>
              <w:t>S&amp;P</w:t>
            </w:r>
          </w:p>
        </w:tc>
        <w:tc>
          <w:tcPr>
            <w:tcW w:w="84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80"/>
        </w:trPr>
        <w:tc>
          <w:tcPr>
            <w:tcW w:w="174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Registrant</w:t>
            </w:r>
          </w:p>
        </w:tc>
        <w:tc>
          <w:tcPr>
            <w:tcW w:w="298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Borrower/Instrument</w:t>
            </w:r>
          </w:p>
        </w:tc>
        <w:tc>
          <w:tcPr>
            <w:tcW w:w="7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740" w:type="dxa"/>
            <w:vAlign w:val="bottom"/>
            <w:gridSpan w:val="2"/>
            <w:vMerge w:val="continue"/>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760" w:type="dxa"/>
            <w:vAlign w:val="bottom"/>
          </w:tcPr>
          <w:p>
            <w:pPr>
              <w:jc w:val="center"/>
              <w:ind w:left="193"/>
              <w:spacing w:after="0"/>
              <w:rPr>
                <w:sz w:val="20"/>
                <w:szCs w:val="20"/>
                <w:color w:val="auto"/>
              </w:rPr>
            </w:pPr>
            <w:r>
              <w:rPr>
                <w:rFonts w:ascii="Arial" w:cs="Arial" w:eastAsia="Arial" w:hAnsi="Arial"/>
                <w:sz w:val="13"/>
                <w:szCs w:val="13"/>
                <w:b w:val="1"/>
                <w:bCs w:val="1"/>
                <w:color w:val="auto"/>
                <w:w w:val="88"/>
              </w:rPr>
              <w:t>Rating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Outlook (1)</w:t>
            </w:r>
          </w:p>
        </w:tc>
        <w:tc>
          <w:tcPr>
            <w:tcW w:w="840" w:type="dxa"/>
            <w:vAlign w:val="bottom"/>
          </w:tcPr>
          <w:p>
            <w:pPr>
              <w:jc w:val="center"/>
              <w:ind w:left="73"/>
              <w:spacing w:after="0"/>
              <w:rPr>
                <w:sz w:val="20"/>
                <w:szCs w:val="20"/>
                <w:color w:val="auto"/>
              </w:rPr>
            </w:pPr>
            <w:r>
              <w:rPr>
                <w:rFonts w:ascii="Arial" w:cs="Arial" w:eastAsia="Arial" w:hAnsi="Arial"/>
                <w:sz w:val="13"/>
                <w:szCs w:val="13"/>
                <w:b w:val="1"/>
                <w:bCs w:val="1"/>
                <w:color w:val="auto"/>
                <w:w w:val="88"/>
              </w:rPr>
              <w:t>Rating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Outlook (2)</w:t>
            </w:r>
          </w:p>
        </w:tc>
        <w:tc>
          <w:tcPr>
            <w:tcW w:w="840" w:type="dxa"/>
            <w:vAlign w:val="bottom"/>
          </w:tcPr>
          <w:p>
            <w:pPr>
              <w:jc w:val="center"/>
              <w:ind w:left="113"/>
              <w:spacing w:after="0"/>
              <w:rPr>
                <w:sz w:val="20"/>
                <w:szCs w:val="20"/>
                <w:color w:val="auto"/>
              </w:rPr>
            </w:pPr>
            <w:r>
              <w:rPr>
                <w:rFonts w:ascii="Arial" w:cs="Arial" w:eastAsia="Arial" w:hAnsi="Arial"/>
                <w:sz w:val="13"/>
                <w:szCs w:val="13"/>
                <w:b w:val="1"/>
                <w:bCs w:val="1"/>
                <w:color w:val="auto"/>
                <w:w w:val="88"/>
              </w:rPr>
              <w:t>Rating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0"/>
              </w:rPr>
              <w:t>Outlook (3)</w:t>
            </w:r>
          </w:p>
        </w:tc>
        <w:tc>
          <w:tcPr>
            <w:tcW w:w="0" w:type="dxa"/>
            <w:vAlign w:val="bottom"/>
          </w:tcPr>
          <w:p>
            <w:pPr>
              <w:spacing w:after="0"/>
              <w:rPr>
                <w:sz w:val="1"/>
                <w:szCs w:val="1"/>
                <w:color w:val="auto"/>
              </w:rPr>
            </w:pPr>
          </w:p>
        </w:tc>
      </w:tr>
      <w:tr>
        <w:trPr>
          <w:trHeight w:val="97"/>
        </w:trPr>
        <w:tc>
          <w:tcPr>
            <w:tcW w:w="16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CenterPoint Energy Senior Unsecured</w:t>
            </w: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760" w:type="dxa"/>
            <w:vAlign w:val="bottom"/>
            <w:tcBorders>
              <w:bottom w:val="single" w:sz="8" w:color="CCEEFF"/>
            </w:tcBorders>
            <w:shd w:val="clear" w:color="auto" w:fill="CCEEFF"/>
          </w:tcPr>
          <w:p>
            <w:pPr>
              <w:jc w:val="center"/>
              <w:ind w:left="173"/>
              <w:spacing w:after="0"/>
              <w:rPr>
                <w:sz w:val="20"/>
                <w:szCs w:val="20"/>
                <w:color w:val="auto"/>
              </w:rPr>
            </w:pPr>
            <w:r>
              <w:rPr>
                <w:rFonts w:ascii="Arial" w:cs="Arial" w:eastAsia="Arial" w:hAnsi="Arial"/>
                <w:sz w:val="18"/>
                <w:szCs w:val="18"/>
                <w:color w:val="auto"/>
                <w:w w:val="90"/>
              </w:rPr>
              <w:t>Baa2</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Stable</w:t>
            </w:r>
          </w:p>
        </w:tc>
        <w:tc>
          <w:tcPr>
            <w:tcW w:w="840" w:type="dxa"/>
            <w:vAlign w:val="bottom"/>
            <w:tcBorders>
              <w:bottom w:val="single" w:sz="8" w:color="CCEEFF"/>
            </w:tcBorders>
            <w:shd w:val="clear" w:color="auto" w:fill="CCEEFF"/>
          </w:tcPr>
          <w:p>
            <w:pPr>
              <w:jc w:val="center"/>
              <w:ind w:left="73"/>
              <w:spacing w:after="0"/>
              <w:rPr>
                <w:sz w:val="20"/>
                <w:szCs w:val="20"/>
                <w:color w:val="auto"/>
              </w:rPr>
            </w:pPr>
            <w:r>
              <w:rPr>
                <w:rFonts w:ascii="Arial" w:cs="Arial" w:eastAsia="Arial" w:hAnsi="Arial"/>
                <w:sz w:val="18"/>
                <w:szCs w:val="18"/>
                <w:color w:val="auto"/>
                <w:w w:val="99"/>
              </w:rPr>
              <w:t>BBB</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840" w:type="dxa"/>
            <w:vAlign w:val="bottom"/>
            <w:tcBorders>
              <w:bottom w:val="single" w:sz="8" w:color="CCEEFF"/>
            </w:tcBorders>
            <w:shd w:val="clear" w:color="auto" w:fill="CCEEFF"/>
          </w:tcPr>
          <w:p>
            <w:pPr>
              <w:jc w:val="center"/>
              <w:ind w:left="113"/>
              <w:spacing w:after="0"/>
              <w:rPr>
                <w:sz w:val="20"/>
                <w:szCs w:val="20"/>
                <w:color w:val="auto"/>
              </w:rPr>
            </w:pPr>
            <w:r>
              <w:rPr>
                <w:rFonts w:ascii="Arial" w:cs="Arial" w:eastAsia="Arial" w:hAnsi="Arial"/>
                <w:sz w:val="18"/>
                <w:szCs w:val="18"/>
                <w:color w:val="auto"/>
                <w:w w:val="99"/>
              </w:rPr>
              <w:t>BBB</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CenterPoint Energy</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Vectren Corp. Issuer Rating</w:t>
            </w:r>
          </w:p>
        </w:tc>
        <w:tc>
          <w:tcPr>
            <w:tcW w:w="760" w:type="dxa"/>
            <w:vAlign w:val="bottom"/>
          </w:tcPr>
          <w:p>
            <w:pPr>
              <w:jc w:val="center"/>
              <w:ind w:left="173"/>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840" w:type="dxa"/>
            <w:vAlign w:val="bottom"/>
          </w:tcPr>
          <w:p>
            <w:pPr>
              <w:jc w:val="center"/>
              <w:ind w:left="93"/>
              <w:spacing w:after="0"/>
              <w:rPr>
                <w:sz w:val="20"/>
                <w:szCs w:val="20"/>
                <w:color w:val="auto"/>
              </w:rPr>
            </w:pPr>
            <w:r>
              <w:rPr>
                <w:rFonts w:ascii="Arial" w:cs="Arial" w:eastAsia="Arial" w:hAnsi="Arial"/>
                <w:sz w:val="18"/>
                <w:szCs w:val="18"/>
                <w:color w:val="auto"/>
                <w:w w:val="98"/>
              </w:rPr>
              <w:t>BBB+</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840" w:type="dxa"/>
            <w:vAlign w:val="bottom"/>
          </w:tcPr>
          <w:p>
            <w:pPr>
              <w:jc w:val="center"/>
              <w:ind w:left="93"/>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VUHI Senior Unsecured Debt</w:t>
            </w:r>
          </w:p>
        </w:tc>
        <w:tc>
          <w:tcPr>
            <w:tcW w:w="760" w:type="dxa"/>
            <w:vAlign w:val="bottom"/>
            <w:tcBorders>
              <w:bottom w:val="single" w:sz="8" w:color="CCEEFF"/>
            </w:tcBorders>
            <w:shd w:val="clear" w:color="auto" w:fill="CCEEFF"/>
          </w:tcPr>
          <w:p>
            <w:pPr>
              <w:jc w:val="center"/>
              <w:ind w:left="173"/>
              <w:spacing w:after="0"/>
              <w:rPr>
                <w:sz w:val="20"/>
                <w:szCs w:val="20"/>
                <w:color w:val="auto"/>
              </w:rPr>
            </w:pPr>
            <w:r>
              <w:rPr>
                <w:rFonts w:ascii="Arial" w:cs="Arial" w:eastAsia="Arial" w:hAnsi="Arial"/>
                <w:sz w:val="18"/>
                <w:szCs w:val="18"/>
                <w:color w:val="auto"/>
                <w:w w:val="99"/>
              </w:rPr>
              <w:t>A2</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Negative</w:t>
            </w:r>
          </w:p>
        </w:tc>
        <w:tc>
          <w:tcPr>
            <w:tcW w:w="84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8"/>
              </w:rPr>
              <w:t>BBB+</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84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7"/>
              </w:rPr>
              <w:t>n/a</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CenterPoint Energy</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Indiana Gas Senior Unsecured Debt</w:t>
            </w:r>
          </w:p>
        </w:tc>
        <w:tc>
          <w:tcPr>
            <w:tcW w:w="760" w:type="dxa"/>
            <w:vAlign w:val="bottom"/>
          </w:tcPr>
          <w:p>
            <w:pPr>
              <w:jc w:val="center"/>
              <w:ind w:left="173"/>
              <w:spacing w:after="0"/>
              <w:rPr>
                <w:sz w:val="20"/>
                <w:szCs w:val="20"/>
                <w:color w:val="auto"/>
              </w:rPr>
            </w:pPr>
            <w:r>
              <w:rPr>
                <w:rFonts w:ascii="Arial" w:cs="Arial" w:eastAsia="Arial" w:hAnsi="Arial"/>
                <w:sz w:val="18"/>
                <w:szCs w:val="18"/>
                <w:color w:val="auto"/>
                <w:w w:val="99"/>
              </w:rPr>
              <w:t>A2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Negative</w:t>
            </w:r>
          </w:p>
        </w:tc>
        <w:tc>
          <w:tcPr>
            <w:tcW w:w="840" w:type="dxa"/>
            <w:vAlign w:val="bottom"/>
          </w:tcPr>
          <w:p>
            <w:pPr>
              <w:jc w:val="center"/>
              <w:ind w:left="93"/>
              <w:spacing w:after="0"/>
              <w:rPr>
                <w:sz w:val="20"/>
                <w:szCs w:val="20"/>
                <w:color w:val="auto"/>
              </w:rPr>
            </w:pPr>
            <w:r>
              <w:rPr>
                <w:rFonts w:ascii="Arial" w:cs="Arial" w:eastAsia="Arial" w:hAnsi="Arial"/>
                <w:sz w:val="18"/>
                <w:szCs w:val="18"/>
                <w:color w:val="auto"/>
                <w:w w:val="98"/>
              </w:rPr>
              <w:t>BBB+</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840" w:type="dxa"/>
            <w:vAlign w:val="bottom"/>
          </w:tcPr>
          <w:p>
            <w:pPr>
              <w:jc w:val="center"/>
              <w:ind w:left="93"/>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SIGECO Senior Secured Debt</w:t>
            </w:r>
          </w:p>
        </w:tc>
        <w:tc>
          <w:tcPr>
            <w:tcW w:w="760" w:type="dxa"/>
            <w:vAlign w:val="bottom"/>
            <w:tcBorders>
              <w:bottom w:val="single" w:sz="8" w:color="CCEEFF"/>
            </w:tcBorders>
            <w:shd w:val="clear" w:color="auto" w:fill="CCEEFF"/>
          </w:tcPr>
          <w:p>
            <w:pPr>
              <w:jc w:val="center"/>
              <w:ind w:left="173"/>
              <w:spacing w:after="0"/>
              <w:rPr>
                <w:sz w:val="20"/>
                <w:szCs w:val="20"/>
                <w:color w:val="auto"/>
              </w:rPr>
            </w:pPr>
            <w:r>
              <w:rPr>
                <w:rFonts w:ascii="Arial" w:cs="Arial" w:eastAsia="Arial" w:hAnsi="Arial"/>
                <w:sz w:val="18"/>
                <w:szCs w:val="18"/>
                <w:color w:val="auto"/>
                <w:w w:val="93"/>
              </w:rPr>
              <w:t>Aa3</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Negative</w:t>
            </w:r>
          </w:p>
        </w:tc>
        <w:tc>
          <w:tcPr>
            <w:tcW w:w="840" w:type="dxa"/>
            <w:vAlign w:val="bottom"/>
            <w:tcBorders>
              <w:bottom w:val="single" w:sz="8" w:color="CCEEFF"/>
            </w:tcBorders>
            <w:shd w:val="clear" w:color="auto" w:fill="CCEEFF"/>
          </w:tcPr>
          <w:p>
            <w:pPr>
              <w:jc w:val="center"/>
              <w:ind w:left="73"/>
              <w:spacing w:after="0"/>
              <w:rPr>
                <w:sz w:val="20"/>
                <w:szCs w:val="20"/>
                <w:color w:val="auto"/>
              </w:rPr>
            </w:pPr>
            <w:r>
              <w:rPr>
                <w:rFonts w:ascii="Arial" w:cs="Arial" w:eastAsia="Arial" w:hAnsi="Arial"/>
                <w:sz w:val="18"/>
                <w:szCs w:val="18"/>
                <w:color w:val="auto"/>
                <w:w w:val="99"/>
              </w:rPr>
              <w:t>A</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84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7"/>
              </w:rPr>
              <w:t>n/a</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Houston Electric</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w w:val="96"/>
              </w:rPr>
              <w:t>Houston Electric Senior Secured Debt</w:t>
            </w:r>
          </w:p>
        </w:tc>
        <w:tc>
          <w:tcPr>
            <w:tcW w:w="760" w:type="dxa"/>
            <w:vAlign w:val="bottom"/>
          </w:tcPr>
          <w:p>
            <w:pPr>
              <w:jc w:val="center"/>
              <w:ind w:left="173"/>
              <w:spacing w:after="0"/>
              <w:rPr>
                <w:sz w:val="20"/>
                <w:szCs w:val="20"/>
                <w:color w:val="auto"/>
              </w:rPr>
            </w:pPr>
            <w:r>
              <w:rPr>
                <w:rFonts w:ascii="Arial" w:cs="Arial" w:eastAsia="Arial" w:hAnsi="Arial"/>
                <w:sz w:val="18"/>
                <w:szCs w:val="18"/>
                <w:color w:val="auto"/>
                <w:w w:val="99"/>
              </w:rPr>
              <w:t>A1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Negative</w:t>
            </w:r>
          </w:p>
        </w:tc>
        <w:tc>
          <w:tcPr>
            <w:tcW w:w="840" w:type="dxa"/>
            <w:vAlign w:val="bottom"/>
          </w:tcPr>
          <w:p>
            <w:pPr>
              <w:jc w:val="center"/>
              <w:ind w:left="73"/>
              <w:spacing w:after="0"/>
              <w:rPr>
                <w:sz w:val="20"/>
                <w:szCs w:val="20"/>
                <w:color w:val="auto"/>
              </w:rPr>
            </w:pPr>
            <w:r>
              <w:rPr>
                <w:rFonts w:ascii="Arial" w:cs="Arial" w:eastAsia="Arial" w:hAnsi="Arial"/>
                <w:sz w:val="18"/>
                <w:szCs w:val="18"/>
                <w:color w:val="auto"/>
                <w:w w:val="99"/>
              </w:rPr>
              <w:t>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840" w:type="dxa"/>
            <w:vAlign w:val="bottom"/>
          </w:tcPr>
          <w:p>
            <w:pPr>
              <w:jc w:val="center"/>
              <w:ind w:left="93"/>
              <w:spacing w:after="0"/>
              <w:rPr>
                <w:sz w:val="20"/>
                <w:szCs w:val="20"/>
                <w:color w:val="auto"/>
              </w:rPr>
            </w:pPr>
            <w:r>
              <w:rPr>
                <w:rFonts w:ascii="Arial" w:cs="Arial" w:eastAsia="Arial" w:hAnsi="Arial"/>
                <w:sz w:val="18"/>
                <w:szCs w:val="18"/>
                <w:color w:val="auto"/>
                <w:w w:val="97"/>
              </w:rPr>
              <w:t>A+</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CERC</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 Corp. Senior Unsecured Debt</w:t>
            </w:r>
          </w:p>
        </w:tc>
        <w:tc>
          <w:tcPr>
            <w:tcW w:w="7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0"/>
              </w:rPr>
              <w:t>Baa1</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Positive</w:t>
            </w:r>
          </w:p>
        </w:tc>
        <w:tc>
          <w:tcPr>
            <w:tcW w:w="84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8"/>
              </w:rPr>
              <w:t>BBB+</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84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8"/>
              </w:rPr>
              <w:t>BBB+</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r>
        <w:trPr>
          <w:trHeight w:val="27"/>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each of the three principal credit rating agencies from the ratings that existed as of June 30, 2019, the impact on the borrowing costs under the five revolving credit facilities would have been immaterial.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Distribution and Energy Services reportable segments.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CES, operating in the Energy Services reportable segment, provides natural gas sales and services primarily to commercial and industrial customers and electric and natural gas utilities throughout the United States. To economically hedge its exposure to natural gas prices, CES uses derivatives with provisions standard for the industry, including those pertaining to credit thresholds.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Typically, the credit threshold negotiated with each counterparty defines the amount of unsecured credit that such counterparty will extend to CES. To the extent that the credit exposure that a counterparty has to CES at a particular time does not exceed that credit threshold, CES is not obligated to provide collateral. Mark-to-market exposure in excess of the credit threshold is routinely collateralized by CES. Similarly, mark-to-market exposure offsetting and exceeding the credit threshold may cause the counterparty to provide collateral to CES. As of June 30, 2019, the amount posted by CES as collateral aggregated approximately $49 million. Should the credit ratings of CERC Corp. (as the credit support provider for CES) fall below certain levels, CES would be required to provide additional collateral up to the amount of its previously unsecured credit limit. CenterPoint Energy and CERC estimate that as of June 30, 2019, unsecured credit limits extended to CES by counterparties aggregated $367 million, and less than $1 million of such amount was utilized.</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$192 million as of June 30, 2019. The amount of collateral will depend on seasonal variations in transportation levels.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continues to increase by the amount of the tax benefit realized each year, and there could be a significant cash outflow when the taxes are paid as a result of the retirement or exchange of the ZENS. If all ZENS had been exchanged for cash on June 30, 2019, deferred taxes of approximately $432 million would have been payable in 2019. If all the ZENS-Related Securities had been sold on June 30, 2019, capital gains taxes of approximately $121 million would have been payable in 2019 based on 2019 tax rates in effect. For additional information about ZENS, see Note 11 to the Interim Condensed Financial Statements.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 Defaults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each of CenterPoint Energy’s, Houston Electric’s and CERC’s respective revolving credit facilities, as well as under CenterPoint Energy’s term loan agreement,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each of VUHI’s and VCC’s respective revolving credit facilities and term loan agreements, a payment default on, or a non-payment default that permits acceleration of, any indebtedness for borrowed money and certain other specified types of obligations (including guarantees) exceeding $50 million by the borrower, any of their respective subsidiaries or any of the respective guarantors of a credit facility or term loan agreement will cause a default under such borrower’s respective credit facility or term loan agreement.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CenterPoint Energy previously disclosed that it may reduce its ownership in Enable over time through sales in the public equity markets, or otherwise, of the Enable common units it holds, subject to market conditions. CenterPoint Energy has no intention to reduce its ownership of Enable common units and currently plans to hold such Enable common units and to utilize any cash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distributions received on such Enable common units to finance a portion of CenterPoint Energy’s capital expenditure program. CenterPoint Energy may consider or alter its plans or proposals in respect of any such plans in the future.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Enable Midstream Partners </w:t>
      </w:r>
      <w:r>
        <w:rPr>
          <w:rFonts w:ascii="Arial" w:cs="Arial" w:eastAsia="Arial" w:hAnsi="Arial"/>
          <w:sz w:val="18"/>
          <w:szCs w:val="18"/>
          <w:b w:val="1"/>
          <w:bCs w:val="1"/>
          <w:color w:val="auto"/>
        </w:rPr>
        <w:t>(CenterPoint Energy and CERC)</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September 2018, CERC completed the Internal Spin, after which CERC’s equity investment in Enable met the criteria for discontinued operations classification. As a result, the operations have been classified as Income from discontinued operations, net of tax, in CERC’s Condensed Statements of Consolidated Income for the periods presented. For further information, see Note 9 to the Interim Condensed Financial Statements.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CenterPoint Energy receives quarterly cash distributions from Enable on its common units and Enable Series A Preferred Units. A reduction in the cash distributions CenterPoint Energy receives from Enable could significantly impact CenterPoint Energy’s liquidity. For additional information about cash distributions from Enable, see Notes 9 and 21 to the Interim Condensed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Hedging of Interest Expense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Weather Hedge (CenterPoint Energy and CERC)</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CenterPoint Energy and CERC have historically entered into partial weather hedges for certain NGD jurisdictions and electric operations’ Texas service territory to mitigate the impact of fluctuations from normal weather. CenterPoint Energy and CERC remain exposed to some weather risk as a result of the partial hedges. For more information about weather hedges, see Note 7(a) to the Interim Condensed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REP’s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above factors, the Registrants’ liquidity and capital resources could be affected by:</w:t>
      </w:r>
    </w:p>
    <w:p>
      <w:pPr>
        <w:spacing w:after="0" w:line="225" w:lineRule="exact"/>
        <w:rPr>
          <w:sz w:val="20"/>
          <w:szCs w:val="20"/>
          <w:color w:val="auto"/>
        </w:rPr>
      </w:pPr>
    </w:p>
    <w:p>
      <w:pPr>
        <w:jc w:val="both"/>
        <w:ind w:left="660" w:hanging="328"/>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cash collateral requirements that could exist in connection with certain contracts, including weather hedging arrangements, and natural gas purchases, natural gas price and natural gas storage activities of CenterPoint Energy’s and CERC’s Natural Gas Distribution and Energy Services reportable segments;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(CenterPoint Energy and CERC);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increases in interest expense in connection with debt refinancings and borrowings under credit facilities or term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various legislative or regulatory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 and CERC);</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formerly known as TCEH Corp., to satisfy their obligations to CenterPoint Energy and Houston Electric;</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or changing economic conditions (CenterPoint Energy and CERC);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restoration costs and revenue losses resulting from future natural disasters such as hurricanes and the timing of recovery of such restoration costs;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various other risks identified in “Risk Factors” in </w:t>
      </w:r>
      <w:hyperlink r:id="rId10">
        <w:r>
          <w:rPr>
            <w:rFonts w:ascii="Arial" w:cs="Arial" w:eastAsia="Arial" w:hAnsi="Arial"/>
            <w:sz w:val="18"/>
            <w:szCs w:val="18"/>
            <w:u w:val="single" w:color="auto"/>
            <w:color w:val="0000EE"/>
          </w:rPr>
          <w:t>Item 1A of Part I of the Registrants’ combined 2018 Form 10-K</w:t>
        </w:r>
      </w:hyperlink>
      <w:r>
        <w:rPr>
          <w:rFonts w:ascii="Arial" w:cs="Arial" w:eastAsia="Arial" w:hAnsi="Arial"/>
          <w:sz w:val="18"/>
          <w:szCs w:val="18"/>
          <w:color w:val="auto"/>
        </w:rPr>
        <w: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Houston Electric has contractually agreed that it will not issue additional first mortgage bonds, subject to certain exceptions. For information about the total debt to capitalization financial covenants in the Registrants’ and certain of CenterPoint Energy’s subsidiaries’ revolving credit facilities, see Note 12 to the Interim Condensed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to the Interim Condensed Financial Statements, incorporated herein by reference, for a discussion of new accounting pronouncements that affect the Registrants.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2019, CenterPoint Energy had outstanding long-term debt, lease obligations and obligations under its ZENS that subject it to the risk of loss associated with movements in market interest rates.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CenterPoint Energy’s floating rate obligations aggregated $4.4 billion and $210 million as of June 30, 2019 and December 31, 2018, respectively. If the floating interest rates were to increase by 10% from June 30, 2019 rates, CenterPoint Energy’s combined interest expense would increase by approximately $13 million annually.</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2019 and December 31, 2018, CenterPoint Energy had outstanding fixed-rate debt (excluding indexed debt securities) aggregating $10.2 billion and $9.0 billion, respectively, in principal amount and having a fair value of $11.1 billion and $9.2 billion, respectively. Because these instruments are fixed-rate, they do not expose CenterPoint Energy to the risk of loss in earnings due to changes in market interest rates. However, the fair value of these instruments would increase by approximately $328 million if interest rates were to decline by 10% from levels at June 30, 2019. In general, such an increase in fair value would impact earnings and cash flows only if CenterPoint Energy were to reacquire all or a portion of these instruments in the open market prior to their maturity.</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ZENS obligation is bifurcated into a debt component and a derivative component. The debt component of $22 million as of June 30, 2019 was a fixed-rate obligation and, therefore, did not expose CenterPoint Energy to the risk of loss in earnings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changes in market interest rates. However, the fair value of the debt component would increase by approximately $3 million if interest rates were to decline by 10% from levels at June 30, 2019. Changes in the fair value of the derivative component, a $755 million recorded liability at June 30, 2019,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June 30, 2019 levels, the fair value of the derivative component liability would decrease by approximately $1 million, which would be recorded as an unrealized gain in CenterPoint Energy’s Condensed Statements of Consolidated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is exposed to equity market value risk through its ownership of 10.2 million shares of AT&amp;T Common and 0.9 million shares of Charter Common, which CenterPoint Energy holds to facilitate its ability to meet its obligations under the ZENS. See Note 11 to the condensed consolidated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June 30, 2019 aggregate market value of these shares would result in a net loss of less than $1 million, which would be recorded as an unrealized loss in CenterPoint Energy’s Condensed Statements of Consolidated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 uses derivative instruments as economic hedges to offset the commodity price exposure inherent in its Energy Services business. The commodity risk created by these instruments, including the offsetting impact on the market value of natural gas inventory, is described below. CenterPoint Energy measures this commodity risk using a sensitivity analysis. For purposes of this analysis, CenterPoint Energy estimates commodity price risk by applying a $0.50 change in the forward NYMEX price to its net open fixed price position (including forward fixed price physical contracts, natural gas inventory and fixed price financial contracts) at the end of each period. As of June 30, 2019, the recorded fair value of CenterPoint Energy’s non-trading energy derivatives was a net asset of $74 million (before collateral), all of which is related to the Energy Services reportable segment. A $0.50 change in the forward NYMEX price would have had a combined impact of $13 million on CenterPoint Energy’s non-trading energy derivatives net asset and the market value of natural gas inventory.</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Commodity price risk is not limited to changes in forward NYMEX prices. Variation of commodity pricing between the different indices used to mark to market portions of Energy Services’ natural gas inventory (Gas Daily) and the related fair value hedge (NYMEX) can result in volatility to CenterPoint Energy’s net income. Over time, any gains or losses on the sale of storage gas inventory would be offset by gains or losses on the fair value hedges.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June 30, 2019, the recorded fair value of non-trading energy derivative liabilities was $17 million for CenterPoint Energy’s utility natural gas operations in Indiana, which is offset by a regulatory asset.</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CenterPoint Energy’s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Ohio natural gas service territory, allowing Ohio customers to purchase substantially all natural gas directly from retail marketers rather than from CenterPoint Energy.</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June 30, 2019 to provide assurance that information required to be disclosed in the reports filed or submitted under the Exchange Act is recorded, processed, summarized and reported within the time periods specified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SEC’s rules and forms and such information is accumulated and communicated to management, including the principal executive officer and principal financial officer, as appropriate to allow timely decisions regarding disclosure.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the Merger Date, CenterPoint Energy completed the acquisition of Vectren. CenterPoint Energy is currently in the process of evaluating the control environment and implementing CenterPoint Energy’s internal control structure over the acquired operations. This effort is expected to continue through 2019. With the exception of the implementation of the Vectren acquisition into CenterPoint Energy’s control structure, there has been no change in the Registrants’ internal controls over financial reporting that occurred during the three months ended June 30, 2019 that has materially affected, or is reasonably likely to materially affect, the Registrants’ internal controls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9" w:lineRule="auto"/>
        <w:rPr>
          <w:rFonts w:ascii="Arial" w:cs="Arial" w:eastAsia="Arial" w:hAnsi="Arial"/>
          <w:sz w:val="18"/>
          <w:szCs w:val="18"/>
          <w:color w:val="auto"/>
        </w:rPr>
      </w:pPr>
      <w:r>
        <w:rPr>
          <w:rFonts w:ascii="Arial" w:cs="Arial" w:eastAsia="Arial" w:hAnsi="Arial"/>
          <w:sz w:val="18"/>
          <w:szCs w:val="18"/>
          <w:color w:val="auto"/>
        </w:rPr>
        <w:t>For a description of certain legal and regulatory proceedings, please read Note 14(c)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17">
        <w:r>
          <w:rPr>
            <w:rFonts w:ascii="Arial" w:cs="Arial" w:eastAsia="Arial" w:hAnsi="Arial"/>
            <w:sz w:val="18"/>
            <w:szCs w:val="18"/>
            <w:u w:val="single" w:color="auto"/>
            <w:color w:val="0000EE"/>
          </w:rPr>
          <w:t>Business — Regulation” and “— Environmental Matters</w:t>
        </w:r>
      </w:hyperlink>
      <w:r>
        <w:rPr>
          <w:rFonts w:ascii="Arial" w:cs="Arial" w:eastAsia="Arial" w:hAnsi="Arial"/>
          <w:sz w:val="18"/>
          <w:szCs w:val="18"/>
          <w:color w:val="auto"/>
        </w:rPr>
        <w:t>” in Item 1 and “</w:t>
      </w:r>
      <w:hyperlink r:id="rId18">
        <w:r>
          <w:rPr>
            <w:rFonts w:ascii="Arial" w:cs="Arial" w:eastAsia="Arial" w:hAnsi="Arial"/>
            <w:sz w:val="18"/>
            <w:szCs w:val="18"/>
            <w:u w:val="single" w:color="auto"/>
            <w:color w:val="0000EE"/>
          </w:rPr>
          <w:t>Legal Proceedings</w:t>
        </w:r>
      </w:hyperlink>
      <w:r>
        <w:rPr>
          <w:rFonts w:ascii="Arial" w:cs="Arial" w:eastAsia="Arial" w:hAnsi="Arial"/>
          <w:sz w:val="18"/>
          <w:szCs w:val="18"/>
          <w:color w:val="auto"/>
        </w:rPr>
        <w:t>” in Item 3 of the Registrants’ combined 2018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from the risk factors disclosed in the Registrants’ combined 2018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Exhibits filed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Pursuant to Item 601(b)(4)(iii)(A) of Regulation S-K, the Registrants have not filed as exhibits to this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00"/>
        <w:spacing w:after="0"/>
        <w:tabs>
          <w:tab w:leader="none" w:pos="19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400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 w:lineRule="exact"/>
        <w:rPr>
          <w:sz w:val="20"/>
          <w:szCs w:val="20"/>
          <w:color w:val="auto"/>
        </w:rPr>
      </w:pPr>
    </w:p>
    <w:p>
      <w:pPr>
        <w:ind w:left="840" w:right="60" w:hanging="618"/>
        <w:spacing w:after="0" w:line="234"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2.1*</w:t>
      </w:r>
      <w:r>
        <w:rPr>
          <w:sz w:val="20"/>
          <w:szCs w:val="20"/>
          <w:color w:val="auto"/>
        </w:rPr>
        <w:tab/>
      </w:r>
      <w:hyperlink r:id="rId20">
        <w:r>
          <w:rPr>
            <w:rFonts w:ascii="Arial" w:cs="Arial" w:eastAsia="Arial" w:hAnsi="Arial"/>
            <w:sz w:val="14"/>
            <w:szCs w:val="14"/>
            <w:u w:val="single" w:color="auto"/>
            <w:color w:val="0000FF"/>
          </w:rPr>
          <w:t>Agreement and Plan of Merger, dated as of</w:t>
        </w:r>
      </w:hyperlink>
      <w:r>
        <w:rPr>
          <w:rFonts w:ascii="Arial" w:cs="Arial" w:eastAsia="Arial" w:hAnsi="Arial"/>
          <w:sz w:val="14"/>
          <w:szCs w:val="14"/>
          <w:u w:val="single" w:color="auto"/>
          <w:color w:val="0000FF"/>
        </w:rPr>
        <w:t xml:space="preserve"> </w:t>
      </w:r>
      <w:hyperlink r:id="rId20">
        <w:r>
          <w:rPr>
            <w:rFonts w:ascii="Arial" w:cs="Arial" w:eastAsia="Arial" w:hAnsi="Arial"/>
            <w:sz w:val="14"/>
            <w:szCs w:val="14"/>
            <w:u w:val="single" w:color="auto"/>
            <w:color w:val="0000FF"/>
          </w:rPr>
          <w:t>April 21, 2018, by and among Vectren</w:t>
        </w:r>
      </w:hyperlink>
      <w:r>
        <w:rPr>
          <w:rFonts w:ascii="Arial" w:cs="Arial" w:eastAsia="Arial" w:hAnsi="Arial"/>
          <w:sz w:val="14"/>
          <w:szCs w:val="14"/>
          <w:u w:val="single" w:color="auto"/>
          <w:color w:val="0000FF"/>
        </w:rPr>
        <w:t xml:space="preserve"> </w:t>
      </w:r>
      <w:hyperlink r:id="rId20">
        <w:r>
          <w:rPr>
            <w:rFonts w:ascii="Arial" w:cs="Arial" w:eastAsia="Arial" w:hAnsi="Arial"/>
            <w:sz w:val="14"/>
            <w:szCs w:val="14"/>
            <w:u w:val="single" w:color="auto"/>
            <w:color w:val="0000FF"/>
          </w:rPr>
          <w:t>Corporation, CenterPoint Energy, Inc. and Pacer</w:t>
        </w:r>
      </w:hyperlink>
      <w:r>
        <w:rPr>
          <w:rFonts w:ascii="Arial" w:cs="Arial" w:eastAsia="Arial" w:hAnsi="Arial"/>
          <w:sz w:val="14"/>
          <w:szCs w:val="14"/>
          <w:u w:val="single" w:color="auto"/>
          <w:color w:val="0000FF"/>
        </w:rPr>
        <w:t xml:space="preserve"> </w:t>
      </w:r>
      <w:hyperlink r:id="rId20">
        <w:r>
          <w:rPr>
            <w:rFonts w:ascii="Arial" w:cs="Arial" w:eastAsia="Arial" w:hAnsi="Arial"/>
            <w:sz w:val="14"/>
            <w:szCs w:val="14"/>
            <w:u w:val="single" w:color="auto"/>
            <w:color w:val="0000FF"/>
          </w:rPr>
          <w:t>Merger Sub, Inc.</w:t>
        </w:r>
      </w:hyperlink>
    </w:p>
    <w:p>
      <w:pPr>
        <w:spacing w:after="0" w:line="20" w:lineRule="exact"/>
        <w:rPr>
          <w:rFonts w:ascii="Arial" w:cs="Arial" w:eastAsia="Arial" w:hAnsi="Arial"/>
          <w:sz w:val="14"/>
          <w:szCs w:val="14"/>
          <w:u w:val="single" w:color="auto"/>
          <w:color w:val="0000FF"/>
        </w:rPr>
      </w:pPr>
    </w:p>
    <w:p>
      <w:pPr>
        <w:ind w:left="840" w:right="20" w:hanging="582"/>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3.1</w:t>
      </w:r>
      <w:r>
        <w:rPr>
          <w:sz w:val="20"/>
          <w:szCs w:val="20"/>
          <w:color w:val="auto"/>
        </w:rPr>
        <w:tab/>
      </w:r>
      <w:hyperlink r:id="rId21">
        <w:r>
          <w:rPr>
            <w:rFonts w:ascii="Arial" w:cs="Arial" w:eastAsia="Arial" w:hAnsi="Arial"/>
            <w:sz w:val="14"/>
            <w:szCs w:val="14"/>
            <w:u w:val="single" w:color="auto"/>
            <w:color w:val="0000FF"/>
          </w:rPr>
          <w:t>Restated Articles of Incorporation of CenterPoint</w:t>
        </w:r>
      </w:hyperlink>
      <w:r>
        <w:rPr>
          <w:rFonts w:ascii="Arial" w:cs="Arial" w:eastAsia="Arial" w:hAnsi="Arial"/>
          <w:sz w:val="14"/>
          <w:szCs w:val="14"/>
          <w:u w:val="single" w:color="auto"/>
          <w:color w:val="0000FF"/>
        </w:rPr>
        <w:t xml:space="preserve"> </w:t>
      </w:r>
      <w:hyperlink r:id="rId21">
        <w:r>
          <w:rPr>
            <w:rFonts w:ascii="Arial" w:cs="Arial" w:eastAsia="Arial" w:hAnsi="Arial"/>
            <w:sz w:val="14"/>
            <w:szCs w:val="14"/>
            <w:u w:val="single" w:color="auto"/>
            <w:color w:val="0000FF"/>
          </w:rPr>
          <w:t>Energy</w:t>
        </w:r>
      </w:hyperlink>
    </w:p>
    <w:p>
      <w:pPr>
        <w:spacing w:after="0" w:line="12" w:lineRule="exact"/>
        <w:rPr>
          <w:sz w:val="20"/>
          <w:szCs w:val="20"/>
          <w:color w:val="auto"/>
        </w:rPr>
      </w:pPr>
    </w:p>
    <w:p>
      <w:pPr>
        <w:ind w:left="840" w:right="240" w:hanging="582"/>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3.2</w:t>
      </w:r>
      <w:r>
        <w:rPr>
          <w:sz w:val="20"/>
          <w:szCs w:val="20"/>
          <w:color w:val="auto"/>
        </w:rPr>
        <w:tab/>
      </w:r>
      <w:hyperlink r:id="rId22">
        <w:r>
          <w:rPr>
            <w:rFonts w:ascii="Arial" w:cs="Arial" w:eastAsia="Arial" w:hAnsi="Arial"/>
            <w:sz w:val="14"/>
            <w:szCs w:val="14"/>
            <w:u w:val="single" w:color="auto"/>
            <w:color w:val="0000FF"/>
          </w:rPr>
          <w:t>Restated Certificate of Formation of Houston</w:t>
        </w:r>
      </w:hyperlink>
      <w:r>
        <w:rPr>
          <w:rFonts w:ascii="Arial" w:cs="Arial" w:eastAsia="Arial" w:hAnsi="Arial"/>
          <w:sz w:val="14"/>
          <w:szCs w:val="14"/>
          <w:u w:val="single" w:color="auto"/>
          <w:color w:val="0000FF"/>
        </w:rPr>
        <w:t xml:space="preserve"> </w:t>
      </w:r>
      <w:hyperlink r:id="rId22">
        <w:r>
          <w:rPr>
            <w:rFonts w:ascii="Arial" w:cs="Arial" w:eastAsia="Arial" w:hAnsi="Arial"/>
            <w:sz w:val="14"/>
            <w:szCs w:val="14"/>
            <w:u w:val="single" w:color="auto"/>
            <w:color w:val="0000FF"/>
          </w:rPr>
          <w:t>Electric</w:t>
        </w:r>
      </w:hyperlink>
    </w:p>
    <w:p>
      <w:pPr>
        <w:spacing w:after="0" w:line="160"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3"/>
          <w:szCs w:val="13"/>
          <w:u w:val="single" w:color="auto"/>
          <w:color w:val="0000FF"/>
        </w:rPr>
        <w:t>Certificate of Incorporation of RERC Corp.</w:t>
      </w:r>
    </w:p>
    <w:p>
      <w:pPr>
        <w:spacing w:after="0" w:line="339" w:lineRule="exact"/>
        <w:rPr>
          <w:sz w:val="20"/>
          <w:szCs w:val="20"/>
          <w:color w:val="auto"/>
        </w:rPr>
      </w:pPr>
    </w:p>
    <w:p>
      <w:pPr>
        <w:ind w:left="840" w:hanging="582"/>
        <w:spacing w:after="0" w:line="238" w:lineRule="auto"/>
        <w:tabs>
          <w:tab w:leader="none" w:pos="8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u w:val="single" w:color="auto"/>
          <w:color w:val="0000FF"/>
        </w:rPr>
        <w:t>Certificate of Merger merging former NorAm Energy Corp. with and into HI Merger, Inc. dated August 6, 1997</w:t>
      </w:r>
    </w:p>
    <w:p>
      <w:pPr>
        <w:spacing w:after="0" w:line="21" w:lineRule="exact"/>
        <w:rPr>
          <w:sz w:val="20"/>
          <w:szCs w:val="20"/>
          <w:color w:val="auto"/>
        </w:rPr>
      </w:pPr>
    </w:p>
    <w:p>
      <w:pPr>
        <w:ind w:left="840" w:right="80" w:hanging="582"/>
        <w:spacing w:after="0" w:line="253" w:lineRule="auto"/>
        <w:tabs>
          <w:tab w:leader="none" w:pos="8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u w:val="single" w:color="auto"/>
          <w:color w:val="0000FF"/>
        </w:rPr>
        <w:t>Certificate of Amendment changing the name to Reliant Energy Resources Corp.</w:t>
      </w:r>
    </w:p>
    <w:p>
      <w:pPr>
        <w:spacing w:after="0" w:line="160" w:lineRule="exact"/>
        <w:rPr>
          <w:sz w:val="20"/>
          <w:szCs w:val="20"/>
          <w:color w:val="auto"/>
        </w:rPr>
      </w:pPr>
    </w:p>
    <w:p>
      <w:pPr>
        <w:ind w:left="840" w:right="80" w:hanging="582"/>
        <w:spacing w:after="0" w:line="291" w:lineRule="auto"/>
        <w:tabs>
          <w:tab w:leader="none" w:pos="82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3"/>
          <w:szCs w:val="13"/>
          <w:u w:val="single" w:color="auto"/>
          <w:color w:val="0000FF"/>
        </w:rPr>
        <w:t>Certificate of Amendment changing the name to CenterPoint Energy Resources Corp.</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CenterPoint</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3"/>
                <w:szCs w:val="13"/>
                <w:color w:val="auto"/>
              </w:rPr>
            </w:pP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x</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8-K dated April 21, 2018</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8-K dated July 24, 2008</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Houston Electric’s Form 10-</w:t>
            </w:r>
          </w:p>
        </w:tc>
        <w:tc>
          <w:tcPr>
            <w:tcW w:w="116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Q for the quarter ended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3(a)(1)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3(a)(2)</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3(a)(3)</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CERC Form 10-Q for the</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3(a)(4)</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w w:val="98"/>
              </w:rPr>
              <w:t>quarter ended June 30, 2003</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ectPr>
          <w:pgSz w:w="11900" w:h="16838" w:orient="portrait"/>
          <w:cols w:equalWidth="0" w:num="2">
            <w:col w:w="3700" w:space="220"/>
            <w:col w:w="7500"/>
          </w:cols>
          <w:pgMar w:left="240" w:top="125" w:right="239"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00"/>
        <w:spacing w:after="0"/>
        <w:tabs>
          <w:tab w:leader="none" w:pos="19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400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 w:lineRule="exact"/>
        <w:rPr>
          <w:sz w:val="20"/>
          <w:szCs w:val="20"/>
          <w:color w:val="auto"/>
        </w:rPr>
      </w:pPr>
    </w:p>
    <w:p>
      <w:pPr>
        <w:ind w:left="840" w:right="580" w:hanging="582"/>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3.7</w:t>
      </w:r>
      <w:r>
        <w:rPr>
          <w:sz w:val="20"/>
          <w:szCs w:val="20"/>
          <w:color w:val="auto"/>
        </w:rPr>
        <w:tab/>
      </w:r>
      <w:hyperlink r:id="rId24">
        <w:r>
          <w:rPr>
            <w:rFonts w:ascii="Arial" w:cs="Arial" w:eastAsia="Arial" w:hAnsi="Arial"/>
            <w:sz w:val="14"/>
            <w:szCs w:val="14"/>
            <w:u w:val="single" w:color="auto"/>
            <w:color w:val="0000FF"/>
          </w:rPr>
          <w:t>Third Amended and Restated Bylaws of</w:t>
        </w:r>
      </w:hyperlink>
      <w:r>
        <w:rPr>
          <w:rFonts w:ascii="Arial" w:cs="Arial" w:eastAsia="Arial" w:hAnsi="Arial"/>
          <w:sz w:val="14"/>
          <w:szCs w:val="14"/>
          <w:u w:val="single" w:color="auto"/>
          <w:color w:val="0000FF"/>
        </w:rPr>
        <w:t xml:space="preserve"> </w:t>
      </w:r>
      <w:hyperlink r:id="rId24">
        <w:r>
          <w:rPr>
            <w:rFonts w:ascii="Arial" w:cs="Arial" w:eastAsia="Arial" w:hAnsi="Arial"/>
            <w:sz w:val="14"/>
            <w:szCs w:val="14"/>
            <w:u w:val="single" w:color="auto"/>
            <w:color w:val="0000FF"/>
          </w:rPr>
          <w:t>CenterPoint Energy</w:t>
        </w:r>
      </w:hyperlink>
    </w:p>
    <w:p>
      <w:pPr>
        <w:spacing w:after="0" w:line="160" w:lineRule="exact"/>
        <w:rPr>
          <w:sz w:val="20"/>
          <w:szCs w:val="20"/>
          <w:color w:val="auto"/>
        </w:rPr>
      </w:pPr>
    </w:p>
    <w:p>
      <w:pPr>
        <w:jc w:val="right"/>
        <w:ind w:left="260" w:right="500"/>
        <w:spacing w:after="0" w:line="253"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3.8      </w:t>
      </w:r>
      <w:hyperlink r:id="rId25">
        <w:r>
          <w:rPr>
            <w:rFonts w:ascii="Arial" w:cs="Arial" w:eastAsia="Arial" w:hAnsi="Arial"/>
            <w:sz w:val="14"/>
            <w:szCs w:val="14"/>
            <w:u w:val="single" w:color="auto"/>
            <w:color w:val="0000FF"/>
          </w:rPr>
          <w:t>Amended and Restated Limited Liability</w:t>
        </w:r>
      </w:hyperlink>
      <w:r>
        <w:rPr>
          <w:rFonts w:ascii="Arial" w:cs="Arial" w:eastAsia="Arial" w:hAnsi="Arial"/>
          <w:sz w:val="14"/>
          <w:szCs w:val="14"/>
          <w:color w:val="auto"/>
        </w:rPr>
        <w:t xml:space="preserve"> </w:t>
      </w:r>
      <w:hyperlink r:id="rId25">
        <w:r>
          <w:rPr>
            <w:rFonts w:ascii="Arial" w:cs="Arial" w:eastAsia="Arial" w:hAnsi="Arial"/>
            <w:sz w:val="14"/>
            <w:szCs w:val="14"/>
            <w:u w:val="single" w:color="auto"/>
            <w:color w:val="0000FF"/>
          </w:rPr>
          <w:t>Company Agreement of Houston Electric</w:t>
        </w:r>
      </w:hyperlink>
    </w:p>
    <w:p>
      <w:pPr>
        <w:spacing w:after="0" w:line="160"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3"/>
          <w:szCs w:val="13"/>
          <w:u w:val="single" w:color="auto"/>
          <w:color w:val="0000FF"/>
        </w:rPr>
        <w:t>Bylaws of RERC Corp.</w:t>
      </w:r>
    </w:p>
    <w:p>
      <w:pPr>
        <w:spacing w:after="0" w:line="338" w:lineRule="exact"/>
        <w:rPr>
          <w:sz w:val="20"/>
          <w:szCs w:val="20"/>
          <w:color w:val="auto"/>
        </w:rPr>
      </w:pPr>
    </w:p>
    <w:p>
      <w:pPr>
        <w:ind w:left="220"/>
        <w:spacing w:after="0"/>
        <w:tabs>
          <w:tab w:leader="none" w:pos="820" w:val="left"/>
        </w:tabs>
        <w:rPr>
          <w:rFonts w:ascii="Arial" w:cs="Arial" w:eastAsia="Arial" w:hAnsi="Arial"/>
          <w:sz w:val="12"/>
          <w:szCs w:val="12"/>
          <w:u w:val="single" w:color="auto"/>
          <w:color w:val="0000FF"/>
        </w:rPr>
      </w:pPr>
      <w:r>
        <w:rPr>
          <w:rFonts w:ascii="Arial" w:cs="Arial" w:eastAsia="Arial" w:hAnsi="Arial"/>
          <w:sz w:val="14"/>
          <w:szCs w:val="14"/>
          <w:color w:val="auto"/>
        </w:rPr>
        <w:t>3.10</w:t>
      </w:r>
      <w:r>
        <w:rPr>
          <w:sz w:val="20"/>
          <w:szCs w:val="20"/>
          <w:color w:val="auto"/>
        </w:rPr>
        <w:tab/>
      </w:r>
      <w:hyperlink r:id="rId26">
        <w:r>
          <w:rPr>
            <w:rFonts w:ascii="Arial" w:cs="Arial" w:eastAsia="Arial" w:hAnsi="Arial"/>
            <w:sz w:val="12"/>
            <w:szCs w:val="12"/>
            <w:u w:val="single" w:color="auto"/>
            <w:color w:val="0000FF"/>
          </w:rPr>
          <w:t>Statement of Resolutions Deleting Shares</w:t>
        </w:r>
      </w:hyperlink>
    </w:p>
    <w:p>
      <w:pPr>
        <w:ind w:left="840" w:right="620"/>
        <w:spacing w:after="0" w:line="237" w:lineRule="auto"/>
        <w:rPr>
          <w:rFonts w:ascii="Arial" w:cs="Arial" w:eastAsia="Arial" w:hAnsi="Arial"/>
          <w:sz w:val="14"/>
          <w:szCs w:val="14"/>
          <w:u w:val="single" w:color="auto"/>
          <w:color w:val="0000FF"/>
        </w:rPr>
      </w:pPr>
      <w:hyperlink r:id="rId26">
        <w:r>
          <w:rPr>
            <w:rFonts w:ascii="Arial" w:cs="Arial" w:eastAsia="Arial" w:hAnsi="Arial"/>
            <w:sz w:val="14"/>
            <w:szCs w:val="14"/>
            <w:u w:val="single" w:color="auto"/>
            <w:color w:val="0000FF"/>
          </w:rPr>
          <w:t>Designated Series A Preferred Stock of</w:t>
        </w:r>
      </w:hyperlink>
      <w:r>
        <w:rPr>
          <w:rFonts w:ascii="Arial" w:cs="Arial" w:eastAsia="Arial" w:hAnsi="Arial"/>
          <w:sz w:val="14"/>
          <w:szCs w:val="14"/>
          <w:u w:val="single" w:color="auto"/>
          <w:color w:val="0000FF"/>
        </w:rPr>
        <w:t xml:space="preserve"> </w:t>
      </w:r>
      <w:hyperlink r:id="rId26">
        <w:r>
          <w:rPr>
            <w:rFonts w:ascii="Arial" w:cs="Arial" w:eastAsia="Arial" w:hAnsi="Arial"/>
            <w:sz w:val="14"/>
            <w:szCs w:val="14"/>
            <w:u w:val="single" w:color="auto"/>
            <w:color w:val="0000FF"/>
          </w:rPr>
          <w:t>CenterPoint Energy</w:t>
        </w:r>
      </w:hyperlink>
    </w:p>
    <w:p>
      <w:pPr>
        <w:spacing w:after="0" w:line="21" w:lineRule="exact"/>
        <w:rPr>
          <w:sz w:val="20"/>
          <w:szCs w:val="20"/>
          <w:color w:val="auto"/>
        </w:rPr>
      </w:pPr>
    </w:p>
    <w:p>
      <w:pPr>
        <w:ind w:left="220"/>
        <w:spacing w:after="0"/>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3.11</w:t>
      </w:r>
      <w:r>
        <w:rPr>
          <w:sz w:val="20"/>
          <w:szCs w:val="20"/>
          <w:color w:val="auto"/>
        </w:rPr>
        <w:tab/>
      </w:r>
      <w:hyperlink r:id="rId27">
        <w:r>
          <w:rPr>
            <w:rFonts w:ascii="Arial" w:cs="Arial" w:eastAsia="Arial" w:hAnsi="Arial"/>
            <w:sz w:val="13"/>
            <w:szCs w:val="13"/>
            <w:u w:val="single" w:color="auto"/>
            <w:color w:val="0000FF"/>
          </w:rPr>
          <w:t>Statement of Resolution Establishing Series of</w:t>
        </w:r>
      </w:hyperlink>
    </w:p>
    <w:p>
      <w:pPr>
        <w:ind w:left="840" w:right="80"/>
        <w:spacing w:after="0" w:line="232" w:lineRule="auto"/>
        <w:rPr>
          <w:rFonts w:ascii="Arial" w:cs="Arial" w:eastAsia="Arial" w:hAnsi="Arial"/>
          <w:sz w:val="14"/>
          <w:szCs w:val="14"/>
          <w:u w:val="single" w:color="auto"/>
          <w:color w:val="0000FF"/>
        </w:rPr>
      </w:pPr>
      <w:hyperlink r:id="rId27">
        <w:r>
          <w:rPr>
            <w:rFonts w:ascii="Arial" w:cs="Arial" w:eastAsia="Arial" w:hAnsi="Arial"/>
            <w:sz w:val="14"/>
            <w:szCs w:val="14"/>
            <w:u w:val="single" w:color="auto"/>
            <w:color w:val="0000FF"/>
          </w:rPr>
          <w:t>Shares Designated Series A Fixed-to-Floating</w:t>
        </w:r>
      </w:hyperlink>
      <w:r>
        <w:rPr>
          <w:rFonts w:ascii="Arial" w:cs="Arial" w:eastAsia="Arial" w:hAnsi="Arial"/>
          <w:sz w:val="14"/>
          <w:szCs w:val="14"/>
          <w:u w:val="single" w:color="auto"/>
          <w:color w:val="0000FF"/>
        </w:rPr>
        <w:t xml:space="preserve"> </w:t>
      </w:r>
      <w:hyperlink r:id="rId27">
        <w:r>
          <w:rPr>
            <w:rFonts w:ascii="Arial" w:cs="Arial" w:eastAsia="Arial" w:hAnsi="Arial"/>
            <w:sz w:val="14"/>
            <w:szCs w:val="14"/>
            <w:u w:val="single" w:color="auto"/>
            <w:color w:val="0000FF"/>
          </w:rPr>
          <w:t>Rate Cumulative Redeemable Preferred Stock of</w:t>
        </w:r>
      </w:hyperlink>
      <w:r>
        <w:rPr>
          <w:rFonts w:ascii="Arial" w:cs="Arial" w:eastAsia="Arial" w:hAnsi="Arial"/>
          <w:sz w:val="14"/>
          <w:szCs w:val="14"/>
          <w:u w:val="single" w:color="auto"/>
          <w:color w:val="0000FF"/>
        </w:rPr>
        <w:t xml:space="preserve"> </w:t>
      </w:r>
      <w:hyperlink r:id="rId27">
        <w:r>
          <w:rPr>
            <w:rFonts w:ascii="Arial" w:cs="Arial" w:eastAsia="Arial" w:hAnsi="Arial"/>
            <w:sz w:val="14"/>
            <w:szCs w:val="14"/>
            <w:u w:val="single" w:color="auto"/>
            <w:color w:val="0000FF"/>
          </w:rPr>
          <w:t>CenterPoint Energy</w:t>
        </w:r>
      </w:hyperlink>
    </w:p>
    <w:p>
      <w:pPr>
        <w:spacing w:after="0" w:line="20" w:lineRule="exact"/>
        <w:rPr>
          <w:rFonts w:ascii="Arial" w:cs="Arial" w:eastAsia="Arial" w:hAnsi="Arial"/>
          <w:sz w:val="14"/>
          <w:szCs w:val="14"/>
          <w:u w:val="single" w:color="auto"/>
          <w:color w:val="0000FF"/>
        </w:rPr>
      </w:pPr>
    </w:p>
    <w:p>
      <w:pPr>
        <w:ind w:left="220"/>
        <w:spacing w:after="0"/>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3.12</w:t>
      </w:r>
      <w:r>
        <w:rPr>
          <w:sz w:val="20"/>
          <w:szCs w:val="20"/>
          <w:color w:val="auto"/>
        </w:rPr>
        <w:tab/>
      </w:r>
      <w:hyperlink r:id="rId28">
        <w:r>
          <w:rPr>
            <w:rFonts w:ascii="Arial" w:cs="Arial" w:eastAsia="Arial" w:hAnsi="Arial"/>
            <w:sz w:val="13"/>
            <w:szCs w:val="13"/>
            <w:u w:val="single" w:color="auto"/>
            <w:color w:val="0000FF"/>
          </w:rPr>
          <w:t>Statement of Resolution Establishing Series of</w:t>
        </w:r>
      </w:hyperlink>
    </w:p>
    <w:p>
      <w:pPr>
        <w:ind w:left="840" w:right="260"/>
        <w:spacing w:after="0" w:line="232" w:lineRule="auto"/>
        <w:rPr>
          <w:rFonts w:ascii="Arial" w:cs="Arial" w:eastAsia="Arial" w:hAnsi="Arial"/>
          <w:sz w:val="14"/>
          <w:szCs w:val="14"/>
          <w:u w:val="single" w:color="auto"/>
          <w:color w:val="0000FF"/>
        </w:rPr>
      </w:pPr>
      <w:hyperlink r:id="rId28">
        <w:r>
          <w:rPr>
            <w:rFonts w:ascii="Arial" w:cs="Arial" w:eastAsia="Arial" w:hAnsi="Arial"/>
            <w:sz w:val="14"/>
            <w:szCs w:val="14"/>
            <w:u w:val="single" w:color="auto"/>
            <w:color w:val="0000FF"/>
          </w:rPr>
          <w:t>Shares designated 7.00% Series B Mandatory</w:t>
        </w:r>
      </w:hyperlink>
      <w:r>
        <w:rPr>
          <w:rFonts w:ascii="Arial" w:cs="Arial" w:eastAsia="Arial" w:hAnsi="Arial"/>
          <w:sz w:val="14"/>
          <w:szCs w:val="14"/>
          <w:u w:val="single" w:color="auto"/>
          <w:color w:val="0000FF"/>
        </w:rPr>
        <w:t xml:space="preserve"> </w:t>
      </w:r>
      <w:hyperlink r:id="rId28">
        <w:r>
          <w:rPr>
            <w:rFonts w:ascii="Arial" w:cs="Arial" w:eastAsia="Arial" w:hAnsi="Arial"/>
            <w:sz w:val="14"/>
            <w:szCs w:val="14"/>
            <w:u w:val="single" w:color="auto"/>
            <w:color w:val="0000FF"/>
          </w:rPr>
          <w:t>Convertible Preferred Stock of CenterPoint</w:t>
        </w:r>
      </w:hyperlink>
      <w:r>
        <w:rPr>
          <w:rFonts w:ascii="Arial" w:cs="Arial" w:eastAsia="Arial" w:hAnsi="Arial"/>
          <w:sz w:val="14"/>
          <w:szCs w:val="14"/>
          <w:u w:val="single" w:color="auto"/>
          <w:color w:val="0000FF"/>
        </w:rPr>
        <w:t xml:space="preserve"> </w:t>
      </w:r>
      <w:hyperlink r:id="rId28">
        <w:r>
          <w:rPr>
            <w:rFonts w:ascii="Arial" w:cs="Arial" w:eastAsia="Arial" w:hAnsi="Arial"/>
            <w:sz w:val="14"/>
            <w:szCs w:val="14"/>
            <w:u w:val="single" w:color="auto"/>
            <w:color w:val="0000FF"/>
          </w:rPr>
          <w:t>Energy</w:t>
        </w:r>
      </w:hyperlink>
    </w:p>
    <w:p>
      <w:pPr>
        <w:spacing w:after="0" w:line="21" w:lineRule="exact"/>
        <w:rPr>
          <w:rFonts w:ascii="Arial" w:cs="Arial" w:eastAsia="Arial" w:hAnsi="Arial"/>
          <w:sz w:val="14"/>
          <w:szCs w:val="14"/>
          <w:u w:val="single" w:color="auto"/>
          <w:color w:val="0000FF"/>
        </w:rPr>
      </w:pPr>
    </w:p>
    <w:p>
      <w:pPr>
        <w:ind w:left="260"/>
        <w:spacing w:after="0"/>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4.1</w:t>
      </w:r>
      <w:r>
        <w:rPr>
          <w:sz w:val="20"/>
          <w:szCs w:val="20"/>
          <w:color w:val="auto"/>
        </w:rPr>
        <w:tab/>
      </w:r>
      <w:hyperlink r:id="rId29">
        <w:r>
          <w:rPr>
            <w:rFonts w:ascii="Arial" w:cs="Arial" w:eastAsia="Arial" w:hAnsi="Arial"/>
            <w:sz w:val="13"/>
            <w:szCs w:val="13"/>
            <w:u w:val="single" w:color="auto"/>
            <w:color w:val="0000FF"/>
          </w:rPr>
          <w:t>Form of CenterPoint Energy Stock Certificate</w:t>
        </w:r>
      </w:hyperlink>
    </w:p>
    <w:p>
      <w:pPr>
        <w:spacing w:after="0" w:line="339" w:lineRule="exact"/>
        <w:rPr>
          <w:rFonts w:ascii="Arial" w:cs="Arial" w:eastAsia="Arial" w:hAnsi="Arial"/>
          <w:sz w:val="14"/>
          <w:szCs w:val="14"/>
          <w:u w:val="single" w:color="auto"/>
          <w:color w:val="0000FF"/>
        </w:rPr>
      </w:pPr>
    </w:p>
    <w:p>
      <w:pPr>
        <w:ind w:left="840" w:right="120" w:hanging="582"/>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4.2</w:t>
      </w:r>
      <w:r>
        <w:rPr>
          <w:sz w:val="20"/>
          <w:szCs w:val="20"/>
          <w:color w:val="auto"/>
        </w:rPr>
        <w:tab/>
      </w:r>
      <w:hyperlink r:id="rId30">
        <w:r>
          <w:rPr>
            <w:rFonts w:ascii="Arial" w:cs="Arial" w:eastAsia="Arial" w:hAnsi="Arial"/>
            <w:sz w:val="13"/>
            <w:szCs w:val="13"/>
            <w:u w:val="single" w:color="auto"/>
            <w:color w:val="0000FF"/>
          </w:rPr>
          <w:t>Form of Certificate representing the Series A</w:t>
        </w:r>
      </w:hyperlink>
      <w:r>
        <w:rPr>
          <w:rFonts w:ascii="Arial" w:cs="Arial" w:eastAsia="Arial" w:hAnsi="Arial"/>
          <w:sz w:val="13"/>
          <w:szCs w:val="13"/>
          <w:u w:val="single" w:color="auto"/>
          <w:color w:val="0000FF"/>
        </w:rPr>
        <w:t xml:space="preserve"> </w:t>
      </w:r>
      <w:hyperlink r:id="rId30">
        <w:r>
          <w:rPr>
            <w:rFonts w:ascii="Arial" w:cs="Arial" w:eastAsia="Arial" w:hAnsi="Arial"/>
            <w:sz w:val="13"/>
            <w:szCs w:val="13"/>
            <w:u w:val="single" w:color="auto"/>
            <w:color w:val="0000FF"/>
          </w:rPr>
          <w:t>Fixed-to-Floating Rate Cumulative Redeemable</w:t>
        </w:r>
      </w:hyperlink>
      <w:r>
        <w:rPr>
          <w:rFonts w:ascii="Arial" w:cs="Arial" w:eastAsia="Arial" w:hAnsi="Arial"/>
          <w:sz w:val="13"/>
          <w:szCs w:val="13"/>
          <w:u w:val="single" w:color="auto"/>
          <w:color w:val="0000FF"/>
        </w:rPr>
        <w:t xml:space="preserve"> </w:t>
      </w:r>
      <w:hyperlink r:id="rId30">
        <w:r>
          <w:rPr>
            <w:rFonts w:ascii="Arial" w:cs="Arial" w:eastAsia="Arial" w:hAnsi="Arial"/>
            <w:sz w:val="13"/>
            <w:szCs w:val="13"/>
            <w:u w:val="single" w:color="auto"/>
            <w:color w:val="0000FF"/>
          </w:rPr>
          <w:t>Preferred Stock of CenterPoint Energy</w:t>
        </w:r>
      </w:hyperlink>
    </w:p>
    <w:p>
      <w:pPr>
        <w:spacing w:after="0" w:line="6" w:lineRule="exact"/>
        <w:rPr>
          <w:rFonts w:ascii="Arial" w:cs="Arial" w:eastAsia="Arial" w:hAnsi="Arial"/>
          <w:sz w:val="13"/>
          <w:szCs w:val="13"/>
          <w:u w:val="single" w:color="auto"/>
          <w:color w:val="0000FF"/>
        </w:rPr>
      </w:pPr>
    </w:p>
    <w:p>
      <w:pPr>
        <w:ind w:left="840" w:right="20" w:hanging="582"/>
        <w:spacing w:after="0" w:line="234"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4.3</w:t>
      </w:r>
      <w:r>
        <w:rPr>
          <w:sz w:val="20"/>
          <w:szCs w:val="20"/>
          <w:color w:val="auto"/>
        </w:rPr>
        <w:tab/>
      </w:r>
      <w:hyperlink r:id="rId28">
        <w:r>
          <w:rPr>
            <w:rFonts w:ascii="Arial" w:cs="Arial" w:eastAsia="Arial" w:hAnsi="Arial"/>
            <w:sz w:val="14"/>
            <w:szCs w:val="14"/>
            <w:u w:val="single" w:color="auto"/>
            <w:color w:val="0000FF"/>
          </w:rPr>
          <w:t>Form of Certificate representing the 7.00% Series</w:t>
        </w:r>
      </w:hyperlink>
      <w:r>
        <w:rPr>
          <w:rFonts w:ascii="Arial" w:cs="Arial" w:eastAsia="Arial" w:hAnsi="Arial"/>
          <w:sz w:val="14"/>
          <w:szCs w:val="14"/>
          <w:u w:val="single" w:color="auto"/>
          <w:color w:val="0000FF"/>
        </w:rPr>
        <w:t xml:space="preserve"> </w:t>
      </w:r>
      <w:hyperlink r:id="rId28">
        <w:r>
          <w:rPr>
            <w:rFonts w:ascii="Arial" w:cs="Arial" w:eastAsia="Arial" w:hAnsi="Arial"/>
            <w:sz w:val="14"/>
            <w:szCs w:val="14"/>
            <w:u w:val="single" w:color="auto"/>
            <w:color w:val="0000FF"/>
          </w:rPr>
          <w:t>B Mandatory Convertible Preferred Stock of</w:t>
        </w:r>
      </w:hyperlink>
      <w:r>
        <w:rPr>
          <w:rFonts w:ascii="Arial" w:cs="Arial" w:eastAsia="Arial" w:hAnsi="Arial"/>
          <w:sz w:val="14"/>
          <w:szCs w:val="14"/>
          <w:u w:val="single" w:color="auto"/>
          <w:color w:val="0000FF"/>
        </w:rPr>
        <w:t xml:space="preserve"> </w:t>
      </w:r>
      <w:hyperlink r:id="rId28">
        <w:r>
          <w:rPr>
            <w:rFonts w:ascii="Arial" w:cs="Arial" w:eastAsia="Arial" w:hAnsi="Arial"/>
            <w:sz w:val="14"/>
            <w:szCs w:val="14"/>
            <w:u w:val="single" w:color="auto"/>
            <w:color w:val="0000FF"/>
          </w:rPr>
          <w:t>CenterPoint Energy (included as Exhibit A to</w:t>
        </w:r>
      </w:hyperlink>
      <w:r>
        <w:rPr>
          <w:rFonts w:ascii="Arial" w:cs="Arial" w:eastAsia="Arial" w:hAnsi="Arial"/>
          <w:sz w:val="14"/>
          <w:szCs w:val="14"/>
          <w:u w:val="single" w:color="auto"/>
          <w:color w:val="0000FF"/>
        </w:rPr>
        <w:t xml:space="preserve"> </w:t>
      </w:r>
      <w:hyperlink r:id="rId28">
        <w:r>
          <w:rPr>
            <w:rFonts w:ascii="Arial" w:cs="Arial" w:eastAsia="Arial" w:hAnsi="Arial"/>
            <w:sz w:val="14"/>
            <w:szCs w:val="14"/>
            <w:u w:val="single" w:color="auto"/>
            <w:color w:val="0000FF"/>
          </w:rPr>
          <w:t>Exhibit 3.12)</w:t>
        </w:r>
      </w:hyperlink>
    </w:p>
    <w:p>
      <w:pPr>
        <w:spacing w:after="0" w:line="20" w:lineRule="exact"/>
        <w:rPr>
          <w:rFonts w:ascii="Arial" w:cs="Arial" w:eastAsia="Arial" w:hAnsi="Arial"/>
          <w:sz w:val="14"/>
          <w:szCs w:val="14"/>
          <w:u w:val="single" w:color="auto"/>
          <w:color w:val="0000FF"/>
        </w:rPr>
      </w:pPr>
    </w:p>
    <w:p>
      <w:pPr>
        <w:ind w:left="840" w:right="80" w:hanging="582"/>
        <w:spacing w:after="0" w:line="251"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4.4</w:t>
      </w:r>
      <w:r>
        <w:rPr>
          <w:sz w:val="20"/>
          <w:szCs w:val="20"/>
          <w:color w:val="auto"/>
        </w:rPr>
        <w:tab/>
      </w:r>
      <w:hyperlink r:id="rId31">
        <w:r>
          <w:rPr>
            <w:rFonts w:ascii="Arial" w:cs="Arial" w:eastAsia="Arial" w:hAnsi="Arial"/>
            <w:sz w:val="13"/>
            <w:szCs w:val="13"/>
            <w:u w:val="single" w:color="auto"/>
            <w:color w:val="0000FF"/>
          </w:rPr>
          <w:t>Deposit Agreement, dated as of October 1, 2018,</w:t>
        </w:r>
      </w:hyperlink>
      <w:r>
        <w:rPr>
          <w:rFonts w:ascii="Arial" w:cs="Arial" w:eastAsia="Arial" w:hAnsi="Arial"/>
          <w:sz w:val="13"/>
          <w:szCs w:val="13"/>
          <w:u w:val="single" w:color="auto"/>
          <w:color w:val="0000FF"/>
        </w:rPr>
        <w:t xml:space="preserve"> </w:t>
      </w:r>
      <w:hyperlink r:id="rId31">
        <w:r>
          <w:rPr>
            <w:rFonts w:ascii="Arial" w:cs="Arial" w:eastAsia="Arial" w:hAnsi="Arial"/>
            <w:sz w:val="13"/>
            <w:szCs w:val="13"/>
            <w:u w:val="single" w:color="auto"/>
            <w:color w:val="0000FF"/>
          </w:rPr>
          <w:t>among CenterPoint Energy and Broadridge</w:t>
        </w:r>
      </w:hyperlink>
      <w:r>
        <w:rPr>
          <w:rFonts w:ascii="Arial" w:cs="Arial" w:eastAsia="Arial" w:hAnsi="Arial"/>
          <w:sz w:val="13"/>
          <w:szCs w:val="13"/>
          <w:u w:val="single" w:color="auto"/>
          <w:color w:val="0000FF"/>
        </w:rPr>
        <w:t xml:space="preserve"> </w:t>
      </w:r>
      <w:hyperlink r:id="rId31">
        <w:r>
          <w:rPr>
            <w:rFonts w:ascii="Arial" w:cs="Arial" w:eastAsia="Arial" w:hAnsi="Arial"/>
            <w:sz w:val="13"/>
            <w:szCs w:val="13"/>
            <w:u w:val="single" w:color="auto"/>
            <w:color w:val="0000FF"/>
          </w:rPr>
          <w:t>Corporate Issuer Solutions, Inc., as Depositary,</w:t>
        </w:r>
      </w:hyperlink>
      <w:r>
        <w:rPr>
          <w:rFonts w:ascii="Arial" w:cs="Arial" w:eastAsia="Arial" w:hAnsi="Arial"/>
          <w:sz w:val="13"/>
          <w:szCs w:val="13"/>
          <w:u w:val="single" w:color="auto"/>
          <w:color w:val="0000FF"/>
        </w:rPr>
        <w:t xml:space="preserve"> </w:t>
      </w:r>
      <w:hyperlink r:id="rId31">
        <w:r>
          <w:rPr>
            <w:rFonts w:ascii="Arial" w:cs="Arial" w:eastAsia="Arial" w:hAnsi="Arial"/>
            <w:sz w:val="13"/>
            <w:szCs w:val="13"/>
            <w:u w:val="single" w:color="auto"/>
            <w:color w:val="0000FF"/>
          </w:rPr>
          <w:t>and the holders from time to time of the</w:t>
        </w:r>
      </w:hyperlink>
      <w:r>
        <w:rPr>
          <w:rFonts w:ascii="Arial" w:cs="Arial" w:eastAsia="Arial" w:hAnsi="Arial"/>
          <w:sz w:val="13"/>
          <w:szCs w:val="13"/>
          <w:u w:val="single" w:color="auto"/>
          <w:color w:val="0000FF"/>
        </w:rPr>
        <w:t xml:space="preserve"> </w:t>
      </w:r>
      <w:hyperlink r:id="rId31">
        <w:r>
          <w:rPr>
            <w:rFonts w:ascii="Arial" w:cs="Arial" w:eastAsia="Arial" w:hAnsi="Arial"/>
            <w:sz w:val="13"/>
            <w:szCs w:val="13"/>
            <w:u w:val="single" w:color="auto"/>
            <w:color w:val="0000FF"/>
          </w:rPr>
          <w:t>Depositary Receipts described therein</w:t>
        </w:r>
      </w:hyperlink>
    </w:p>
    <w:p>
      <w:pPr>
        <w:spacing w:after="0" w:line="15" w:lineRule="exact"/>
        <w:rPr>
          <w:rFonts w:ascii="Arial" w:cs="Arial" w:eastAsia="Arial" w:hAnsi="Arial"/>
          <w:sz w:val="13"/>
          <w:szCs w:val="13"/>
          <w:u w:val="single" w:color="auto"/>
          <w:color w:val="0000FF"/>
        </w:rPr>
      </w:pPr>
    </w:p>
    <w:p>
      <w:pPr>
        <w:ind w:left="840" w:right="200" w:hanging="582"/>
        <w:spacing w:after="0" w:line="291"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4.5</w:t>
      </w:r>
      <w:r>
        <w:rPr>
          <w:sz w:val="20"/>
          <w:szCs w:val="20"/>
          <w:color w:val="auto"/>
        </w:rPr>
        <w:tab/>
      </w:r>
      <w:hyperlink r:id="rId31">
        <w:r>
          <w:rPr>
            <w:rFonts w:ascii="Arial" w:cs="Arial" w:eastAsia="Arial" w:hAnsi="Arial"/>
            <w:sz w:val="13"/>
            <w:szCs w:val="13"/>
            <w:u w:val="single" w:color="auto"/>
            <w:color w:val="0000FF"/>
          </w:rPr>
          <w:t>Form of Depositary Receipt for the Depositary</w:t>
        </w:r>
      </w:hyperlink>
      <w:r>
        <w:rPr>
          <w:rFonts w:ascii="Arial" w:cs="Arial" w:eastAsia="Arial" w:hAnsi="Arial"/>
          <w:sz w:val="13"/>
          <w:szCs w:val="13"/>
          <w:u w:val="single" w:color="auto"/>
          <w:color w:val="0000FF"/>
        </w:rPr>
        <w:t xml:space="preserve"> </w:t>
      </w:r>
      <w:hyperlink r:id="rId31">
        <w:r>
          <w:rPr>
            <w:rFonts w:ascii="Arial" w:cs="Arial" w:eastAsia="Arial" w:hAnsi="Arial"/>
            <w:sz w:val="13"/>
            <w:szCs w:val="13"/>
            <w:u w:val="single" w:color="auto"/>
            <w:color w:val="0000FF"/>
          </w:rPr>
          <w:t>Shares (included as Exhibit A to Exhibit 4.4)</w:t>
        </w:r>
      </w:hyperlink>
    </w:p>
    <w:p>
      <w:pPr>
        <w:spacing w:after="0" w:line="137" w:lineRule="exact"/>
        <w:rPr>
          <w:sz w:val="20"/>
          <w:szCs w:val="20"/>
          <w:color w:val="auto"/>
        </w:rPr>
      </w:pPr>
    </w:p>
    <w:p>
      <w:pPr>
        <w:jc w:val="both"/>
        <w:ind w:left="840" w:right="220" w:hanging="582"/>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4.6</w:t>
      </w:r>
      <w:r>
        <w:rPr>
          <w:sz w:val="20"/>
          <w:szCs w:val="20"/>
          <w:color w:val="auto"/>
        </w:rPr>
        <w:tab/>
      </w:r>
      <w:hyperlink r:id="rId32">
        <w:r>
          <w:rPr>
            <w:rFonts w:ascii="Arial" w:cs="Arial" w:eastAsia="Arial" w:hAnsi="Arial"/>
            <w:sz w:val="13"/>
            <w:szCs w:val="13"/>
            <w:u w:val="single" w:color="auto"/>
            <w:color w:val="0000FF"/>
          </w:rPr>
          <w:t>$1,600,000,000 Credit Agreement, dated as of</w:t>
        </w:r>
      </w:hyperlink>
      <w:r>
        <w:rPr>
          <w:rFonts w:ascii="Arial" w:cs="Arial" w:eastAsia="Arial" w:hAnsi="Arial"/>
          <w:sz w:val="13"/>
          <w:szCs w:val="13"/>
          <w:u w:val="single" w:color="auto"/>
          <w:color w:val="0000FF"/>
        </w:rPr>
        <w:t xml:space="preserve"> </w:t>
      </w:r>
      <w:hyperlink r:id="rId32">
        <w:r>
          <w:rPr>
            <w:rFonts w:ascii="Arial" w:cs="Arial" w:eastAsia="Arial" w:hAnsi="Arial"/>
            <w:sz w:val="13"/>
            <w:szCs w:val="13"/>
            <w:u w:val="single" w:color="auto"/>
            <w:color w:val="0000FF"/>
          </w:rPr>
          <w:t>March 3, 2016, among CenterPoint Energy, as</w:t>
        </w:r>
      </w:hyperlink>
      <w:r>
        <w:rPr>
          <w:rFonts w:ascii="Arial" w:cs="Arial" w:eastAsia="Arial" w:hAnsi="Arial"/>
          <w:sz w:val="13"/>
          <w:szCs w:val="13"/>
          <w:u w:val="single" w:color="auto"/>
          <w:color w:val="0000FF"/>
        </w:rPr>
        <w:t xml:space="preserve"> </w:t>
      </w:r>
      <w:hyperlink r:id="rId32">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jc w:val="both"/>
        <w:ind w:left="840" w:right="340" w:hanging="582"/>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4.7</w:t>
      </w:r>
      <w:r>
        <w:rPr>
          <w:sz w:val="20"/>
          <w:szCs w:val="20"/>
          <w:color w:val="auto"/>
        </w:rPr>
        <w:tab/>
      </w:r>
      <w:hyperlink r:id="rId33">
        <w:r>
          <w:rPr>
            <w:rFonts w:ascii="Arial" w:cs="Arial" w:eastAsia="Arial" w:hAnsi="Arial"/>
            <w:sz w:val="13"/>
            <w:szCs w:val="13"/>
            <w:u w:val="single" w:color="auto"/>
            <w:color w:val="0000FF"/>
          </w:rPr>
          <w:t>$300,000,000 Credit Agreement, dated as of</w:t>
        </w:r>
      </w:hyperlink>
      <w:r>
        <w:rPr>
          <w:rFonts w:ascii="Arial" w:cs="Arial" w:eastAsia="Arial" w:hAnsi="Arial"/>
          <w:sz w:val="13"/>
          <w:szCs w:val="13"/>
          <w:u w:val="single" w:color="auto"/>
          <w:color w:val="0000FF"/>
        </w:rPr>
        <w:t xml:space="preserve"> </w:t>
      </w:r>
      <w:hyperlink r:id="rId33">
        <w:r>
          <w:rPr>
            <w:rFonts w:ascii="Arial" w:cs="Arial" w:eastAsia="Arial" w:hAnsi="Arial"/>
            <w:sz w:val="13"/>
            <w:szCs w:val="13"/>
            <w:u w:val="single" w:color="auto"/>
            <w:color w:val="0000FF"/>
          </w:rPr>
          <w:t>March 3, 2016, among Houston Electric, as</w:t>
        </w:r>
      </w:hyperlink>
      <w:r>
        <w:rPr>
          <w:rFonts w:ascii="Arial" w:cs="Arial" w:eastAsia="Arial" w:hAnsi="Arial"/>
          <w:sz w:val="13"/>
          <w:szCs w:val="13"/>
          <w:u w:val="single" w:color="auto"/>
          <w:color w:val="0000FF"/>
        </w:rPr>
        <w:t xml:space="preserve"> </w:t>
      </w:r>
      <w:hyperlink r:id="rId33">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ind w:left="840" w:hanging="582"/>
        <w:spacing w:after="0" w:line="23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4.8</w:t>
      </w:r>
      <w:r>
        <w:rPr>
          <w:sz w:val="20"/>
          <w:szCs w:val="20"/>
          <w:color w:val="auto"/>
        </w:rPr>
        <w:tab/>
      </w:r>
      <w:hyperlink r:id="rId34">
        <w:r>
          <w:rPr>
            <w:rFonts w:ascii="Arial" w:cs="Arial" w:eastAsia="Arial" w:hAnsi="Arial"/>
            <w:sz w:val="14"/>
            <w:szCs w:val="14"/>
            <w:u w:val="single" w:color="auto"/>
            <w:color w:val="0000FF"/>
          </w:rPr>
          <w:t>$600,000,000 Credit Agreement, dated as of</w:t>
        </w:r>
      </w:hyperlink>
      <w:r>
        <w:rPr>
          <w:rFonts w:ascii="Arial" w:cs="Arial" w:eastAsia="Arial" w:hAnsi="Arial"/>
          <w:sz w:val="14"/>
          <w:szCs w:val="14"/>
          <w:u w:val="single" w:color="auto"/>
          <w:color w:val="0000FF"/>
        </w:rPr>
        <w:t xml:space="preserve"> </w:t>
      </w:r>
      <w:hyperlink r:id="rId34">
        <w:r>
          <w:rPr>
            <w:rFonts w:ascii="Arial" w:cs="Arial" w:eastAsia="Arial" w:hAnsi="Arial"/>
            <w:sz w:val="14"/>
            <w:szCs w:val="14"/>
            <w:u w:val="single" w:color="auto"/>
            <w:color w:val="0000FF"/>
          </w:rPr>
          <w:t>March 3, 2016, among CERC Corp., as Borrower,</w:t>
        </w:r>
      </w:hyperlink>
      <w:r>
        <w:rPr>
          <w:rFonts w:ascii="Arial" w:cs="Arial" w:eastAsia="Arial" w:hAnsi="Arial"/>
          <w:sz w:val="14"/>
          <w:szCs w:val="14"/>
          <w:u w:val="single" w:color="auto"/>
          <w:color w:val="0000FF"/>
        </w:rPr>
        <w:t xml:space="preserve"> </w:t>
      </w:r>
      <w:hyperlink r:id="rId34">
        <w:r>
          <w:rPr>
            <w:rFonts w:ascii="Arial" w:cs="Arial" w:eastAsia="Arial" w:hAnsi="Arial"/>
            <w:sz w:val="14"/>
            <w:szCs w:val="14"/>
            <w:u w:val="single" w:color="auto"/>
            <w:color w:val="0000FF"/>
          </w:rPr>
          <w:t>and the banks named therein</w:t>
        </w:r>
      </w:hyperlink>
    </w:p>
    <w:p>
      <w:pPr>
        <w:spacing w:after="0" w:line="21" w:lineRule="exact"/>
        <w:rPr>
          <w:rFonts w:ascii="Arial" w:cs="Arial" w:eastAsia="Arial" w:hAnsi="Arial"/>
          <w:sz w:val="14"/>
          <w:szCs w:val="14"/>
          <w:u w:val="single" w:color="auto"/>
          <w:color w:val="0000FF"/>
        </w:rPr>
      </w:pPr>
    </w:p>
    <w:p>
      <w:pPr>
        <w:ind w:left="840" w:right="40" w:hanging="582"/>
        <w:spacing w:after="0" w:line="234"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4.9</w:t>
      </w:r>
      <w:r>
        <w:rPr>
          <w:sz w:val="20"/>
          <w:szCs w:val="20"/>
          <w:color w:val="auto"/>
        </w:rPr>
        <w:tab/>
      </w:r>
      <w:hyperlink r:id="rId35">
        <w:r>
          <w:rPr>
            <w:rFonts w:ascii="Arial" w:cs="Arial" w:eastAsia="Arial" w:hAnsi="Arial"/>
            <w:sz w:val="14"/>
            <w:szCs w:val="14"/>
            <w:u w:val="single" w:color="auto"/>
            <w:color w:val="0000FF"/>
          </w:rPr>
          <w:t>First Amendment to Amended and Restated</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Credit Agreement, dated as of June 16, 2017, by</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and among CenterPoint Energy, as Borrower, and</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the banks named therein</w:t>
        </w:r>
      </w:hyperlink>
    </w:p>
    <w:p>
      <w:pPr>
        <w:spacing w:after="0" w:line="20" w:lineRule="exact"/>
        <w:rPr>
          <w:rFonts w:ascii="Arial" w:cs="Arial" w:eastAsia="Arial" w:hAnsi="Arial"/>
          <w:sz w:val="14"/>
          <w:szCs w:val="14"/>
          <w:u w:val="single" w:color="auto"/>
          <w:color w:val="0000FF"/>
        </w:rPr>
      </w:pPr>
    </w:p>
    <w:p>
      <w:pPr>
        <w:ind w:left="840" w:right="40" w:hanging="618"/>
        <w:spacing w:after="0" w:line="234"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4.10</w:t>
      </w:r>
      <w:r>
        <w:rPr>
          <w:sz w:val="20"/>
          <w:szCs w:val="20"/>
          <w:color w:val="auto"/>
        </w:rPr>
        <w:tab/>
      </w:r>
      <w:hyperlink r:id="rId36">
        <w:r>
          <w:rPr>
            <w:rFonts w:ascii="Arial" w:cs="Arial" w:eastAsia="Arial" w:hAnsi="Arial"/>
            <w:sz w:val="14"/>
            <w:szCs w:val="14"/>
            <w:u w:val="single" w:color="auto"/>
            <w:color w:val="0000FF"/>
          </w:rPr>
          <w:t>Second Amendment to Amended and Restated</w:t>
        </w:r>
      </w:hyperlink>
      <w:r>
        <w:rPr>
          <w:rFonts w:ascii="Arial" w:cs="Arial" w:eastAsia="Arial" w:hAnsi="Arial"/>
          <w:sz w:val="14"/>
          <w:szCs w:val="14"/>
          <w:u w:val="single" w:color="auto"/>
          <w:color w:val="0000FF"/>
        </w:rPr>
        <w:t xml:space="preserve"> </w:t>
      </w:r>
      <w:hyperlink r:id="rId36">
        <w:r>
          <w:rPr>
            <w:rFonts w:ascii="Arial" w:cs="Arial" w:eastAsia="Arial" w:hAnsi="Arial"/>
            <w:sz w:val="14"/>
            <w:szCs w:val="14"/>
            <w:u w:val="single" w:color="auto"/>
            <w:color w:val="0000FF"/>
          </w:rPr>
          <w:t>Credit Agreement, dated as of May 25, 2018, by</w:t>
        </w:r>
      </w:hyperlink>
      <w:r>
        <w:rPr>
          <w:rFonts w:ascii="Arial" w:cs="Arial" w:eastAsia="Arial" w:hAnsi="Arial"/>
          <w:sz w:val="14"/>
          <w:szCs w:val="14"/>
          <w:u w:val="single" w:color="auto"/>
          <w:color w:val="0000FF"/>
        </w:rPr>
        <w:t xml:space="preserve"> </w:t>
      </w:r>
      <w:hyperlink r:id="rId36">
        <w:r>
          <w:rPr>
            <w:rFonts w:ascii="Arial" w:cs="Arial" w:eastAsia="Arial" w:hAnsi="Arial"/>
            <w:sz w:val="14"/>
            <w:szCs w:val="14"/>
            <w:u w:val="single" w:color="auto"/>
            <w:color w:val="0000FF"/>
          </w:rPr>
          <w:t>and among CenterPoint Energy, as Borrower, and</w:t>
        </w:r>
      </w:hyperlink>
      <w:r>
        <w:rPr>
          <w:rFonts w:ascii="Arial" w:cs="Arial" w:eastAsia="Arial" w:hAnsi="Arial"/>
          <w:sz w:val="14"/>
          <w:szCs w:val="14"/>
          <w:u w:val="single" w:color="auto"/>
          <w:color w:val="0000FF"/>
        </w:rPr>
        <w:t xml:space="preserve"> </w:t>
      </w:r>
      <w:hyperlink r:id="rId36">
        <w:r>
          <w:rPr>
            <w:rFonts w:ascii="Arial" w:cs="Arial" w:eastAsia="Arial" w:hAnsi="Arial"/>
            <w:sz w:val="14"/>
            <w:szCs w:val="14"/>
            <w:u w:val="single" w:color="auto"/>
            <w:color w:val="0000FF"/>
          </w:rPr>
          <w:t>the banks named therein</w:t>
        </w:r>
      </w:hyperlink>
    </w:p>
    <w:p>
      <w:pPr>
        <w:spacing w:after="0" w:line="20" w:lineRule="exact"/>
        <w:rPr>
          <w:rFonts w:ascii="Arial" w:cs="Arial" w:eastAsia="Arial" w:hAnsi="Arial"/>
          <w:sz w:val="14"/>
          <w:szCs w:val="14"/>
          <w:u w:val="single" w:color="auto"/>
          <w:color w:val="0000FF"/>
        </w:rPr>
      </w:pPr>
    </w:p>
    <w:p>
      <w:pPr>
        <w:ind w:left="840" w:right="120" w:hanging="615"/>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4.11</w:t>
      </w:r>
      <w:r>
        <w:rPr>
          <w:sz w:val="20"/>
          <w:szCs w:val="20"/>
          <w:color w:val="auto"/>
        </w:rPr>
        <w:tab/>
      </w:r>
      <w:hyperlink r:id="rId37">
        <w:r>
          <w:rPr>
            <w:rFonts w:ascii="Arial" w:cs="Arial" w:eastAsia="Arial" w:hAnsi="Arial"/>
            <w:sz w:val="13"/>
            <w:szCs w:val="13"/>
            <w:u w:val="single" w:color="auto"/>
            <w:color w:val="0000FF"/>
          </w:rPr>
          <w:t>First Amendment to Credit Agreement, dated as</w:t>
        </w:r>
      </w:hyperlink>
      <w:r>
        <w:rPr>
          <w:rFonts w:ascii="Arial" w:cs="Arial" w:eastAsia="Arial" w:hAnsi="Arial"/>
          <w:sz w:val="13"/>
          <w:szCs w:val="13"/>
          <w:u w:val="single" w:color="auto"/>
          <w:color w:val="0000FF"/>
        </w:rPr>
        <w:t xml:space="preserve"> </w:t>
      </w:r>
      <w:hyperlink r:id="rId37">
        <w:r>
          <w:rPr>
            <w:rFonts w:ascii="Arial" w:cs="Arial" w:eastAsia="Arial" w:hAnsi="Arial"/>
            <w:sz w:val="13"/>
            <w:szCs w:val="13"/>
            <w:u w:val="single" w:color="auto"/>
            <w:color w:val="0000FF"/>
          </w:rPr>
          <w:t>of June 16, 2017, among Houston Electric, as</w:t>
        </w:r>
      </w:hyperlink>
      <w:r>
        <w:rPr>
          <w:rFonts w:ascii="Arial" w:cs="Arial" w:eastAsia="Arial" w:hAnsi="Arial"/>
          <w:sz w:val="13"/>
          <w:szCs w:val="13"/>
          <w:u w:val="single" w:color="auto"/>
          <w:color w:val="0000FF"/>
        </w:rPr>
        <w:t xml:space="preserve"> </w:t>
      </w:r>
      <w:hyperlink r:id="rId37">
        <w:r>
          <w:rPr>
            <w:rFonts w:ascii="Arial" w:cs="Arial" w:eastAsia="Arial" w:hAnsi="Arial"/>
            <w:sz w:val="13"/>
            <w:szCs w:val="13"/>
            <w:u w:val="single" w:color="auto"/>
            <w:color w:val="0000FF"/>
          </w:rPr>
          <w:t>Borrower, and the banks named therein</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spacing w:after="0" w:line="396" w:lineRule="exact"/>
        <w:rPr>
          <w:rFonts w:ascii="Arial" w:cs="Arial" w:eastAsia="Arial" w:hAnsi="Arial"/>
          <w:sz w:val="13"/>
          <w:szCs w:val="13"/>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CenterPoint</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3"/>
                <w:szCs w:val="13"/>
                <w:color w:val="auto"/>
              </w:rPr>
            </w:pP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x</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February 21,</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Houston Electric’s Form 10-</w:t>
            </w:r>
          </w:p>
        </w:tc>
        <w:tc>
          <w:tcPr>
            <w:tcW w:w="116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Q for the quarter ended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3(b)</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3(c)</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10-K for the year ended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December 31, 2011</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8-K dated August 22, 2018</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3-69502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Registration Statement on</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Form S-4</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8-K dated August 22, 2018</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8-K dated March 3, 2016</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8-K dated March 3, 2016</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8-K dated March 3, 2016</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8-K dated June 16, 2017</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8-K dated May 25, 2018</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8-K dated June 16, 2017</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89" w:lineRule="exact"/>
        <w:rPr>
          <w:rFonts w:ascii="Arial" w:cs="Arial" w:eastAsia="Arial" w:hAnsi="Arial"/>
          <w:sz w:val="13"/>
          <w:szCs w:val="13"/>
          <w:u w:val="single" w:color="auto"/>
          <w:color w:val="0000FF"/>
        </w:rPr>
      </w:pPr>
    </w:p>
    <w:p>
      <w:pPr>
        <w:ind w:left="1700"/>
        <w:spacing w:after="0"/>
        <w:rPr>
          <w:sz w:val="20"/>
          <w:szCs w:val="20"/>
          <w:color w:val="auto"/>
        </w:rPr>
      </w:pPr>
      <w:r>
        <w:rPr>
          <w:rFonts w:ascii="Arial" w:cs="Arial" w:eastAsia="Arial" w:hAnsi="Arial"/>
          <w:sz w:val="18"/>
          <w:szCs w:val="18"/>
          <w:color w:val="auto"/>
        </w:rPr>
        <w:t>95</w:t>
      </w:r>
    </w:p>
    <w:p>
      <w:pPr>
        <w:sectPr>
          <w:pgSz w:w="11900" w:h="16838" w:orient="portrait"/>
          <w:cols w:equalWidth="0" w:num="2">
            <w:col w:w="3740" w:space="180"/>
            <w:col w:w="750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77"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CenterPoint</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40" w:type="dxa"/>
            <w:vAlign w:val="bottom"/>
            <w:gridSpan w:val="29"/>
            <w:vMerge w:val="restart"/>
          </w:tcPr>
          <w:p>
            <w:pPr>
              <w:ind w:left="30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9"/>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7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00" w:type="dxa"/>
            <w:vAlign w:val="bottom"/>
          </w:tcPr>
          <w:p>
            <w:pPr>
              <w:jc w:val="center"/>
              <w:spacing w:after="0"/>
              <w:rPr>
                <w:sz w:val="20"/>
                <w:szCs w:val="20"/>
                <w:color w:val="auto"/>
              </w:rPr>
            </w:pPr>
            <w:r>
              <w:rPr>
                <w:rFonts w:ascii="Arial" w:cs="Arial" w:eastAsia="Arial" w:hAnsi="Arial"/>
                <w:sz w:val="14"/>
                <w:szCs w:val="14"/>
                <w:color w:val="auto"/>
                <w:w w:val="95"/>
              </w:rPr>
              <w:t>4.12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33"/>
          </w:tcPr>
          <w:p>
            <w:pPr>
              <w:spacing w:after="0"/>
              <w:rPr>
                <w:rFonts w:ascii="Arial" w:cs="Arial" w:eastAsia="Arial" w:hAnsi="Arial"/>
                <w:sz w:val="14"/>
                <w:szCs w:val="14"/>
                <w:color w:val="0000FF"/>
              </w:rPr>
            </w:pPr>
            <w:hyperlink r:id="rId38">
              <w:r>
                <w:rPr>
                  <w:rFonts w:ascii="Arial" w:cs="Arial" w:eastAsia="Arial" w:hAnsi="Arial"/>
                  <w:sz w:val="14"/>
                  <w:szCs w:val="14"/>
                  <w:color w:val="0000FF"/>
                </w:rPr>
                <w:t>First Amendment to Credit Agreement, dated as</w:t>
              </w:r>
            </w:hyperlink>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38">
              <w:r>
                <w:rPr>
                  <w:rFonts w:ascii="Arial" w:cs="Arial" w:eastAsia="Arial" w:hAnsi="Arial"/>
                  <w:sz w:val="14"/>
                  <w:szCs w:val="14"/>
                  <w:color w:val="0000FF"/>
                </w:rPr>
                <w:t>of June 16, 2017, among CERC Corp.,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8-K dated June 16, 2017</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tcBorders>
              <w:top w:val="single" w:sz="8" w:color="0000FF"/>
            </w:tcBorders>
            <w:gridSpan w:val="9"/>
          </w:tcPr>
          <w:p>
            <w:pPr>
              <w:spacing w:after="0" w:line="129" w:lineRule="exact"/>
              <w:rPr>
                <w:rFonts w:ascii="Arial" w:cs="Arial" w:eastAsia="Arial" w:hAnsi="Arial"/>
                <w:sz w:val="14"/>
                <w:szCs w:val="14"/>
                <w:color w:val="0000FF"/>
                <w:w w:val="96"/>
              </w:rPr>
            </w:pPr>
            <w:hyperlink r:id="rId38">
              <w:r>
                <w:rPr>
                  <w:rFonts w:ascii="Arial" w:cs="Arial" w:eastAsia="Arial" w:hAnsi="Arial"/>
                  <w:sz w:val="14"/>
                  <w:szCs w:val="14"/>
                  <w:color w:val="0000FF"/>
                  <w:w w:val="96"/>
                </w:rPr>
                <w:t>Borrower, and the banks named therein</w:t>
              </w:r>
            </w:hyperlink>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4.13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rFonts w:ascii="Arial" w:cs="Arial" w:eastAsia="Arial" w:hAnsi="Arial"/>
                <w:sz w:val="14"/>
                <w:szCs w:val="14"/>
                <w:color w:val="0000FF"/>
              </w:rPr>
            </w:pPr>
            <w:hyperlink r:id="rId39">
              <w:r>
                <w:rPr>
                  <w:rFonts w:ascii="Arial" w:cs="Arial" w:eastAsia="Arial" w:hAnsi="Arial"/>
                  <w:sz w:val="14"/>
                  <w:szCs w:val="14"/>
                  <w:u w:val="single" w:color="auto"/>
                  <w:color w:val="0000FF"/>
                </w:rPr>
                <w:t>$</w:t>
              </w:r>
              <w:r>
                <w:rPr>
                  <w:rFonts w:ascii="Arial" w:cs="Arial" w:eastAsia="Arial" w:hAnsi="Arial"/>
                  <w:sz w:val="14"/>
                  <w:szCs w:val="14"/>
                  <w:color w:val="0000FF"/>
                </w:rPr>
                <w:t>400,000,000 Credit Agreement, dated as of July</w:t>
              </w:r>
            </w:hyperlink>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39">
              <w:r>
                <w:rPr>
                  <w:rFonts w:ascii="Arial" w:cs="Arial" w:eastAsia="Arial" w:hAnsi="Arial"/>
                  <w:sz w:val="14"/>
                  <w:szCs w:val="14"/>
                  <w:color w:val="0000FF"/>
                </w:rPr>
                <w:t>14, 2017, among VUHI, as Borrower, certain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July 17, 2017</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w w:val="92"/>
              </w:rPr>
            </w:pPr>
            <w:hyperlink r:id="rId39">
              <w:r>
                <w:rPr>
                  <w:rFonts w:ascii="Arial" w:cs="Arial" w:eastAsia="Arial" w:hAnsi="Arial"/>
                  <w:sz w:val="14"/>
                  <w:szCs w:val="14"/>
                  <w:color w:val="0000FF"/>
                  <w:w w:val="92"/>
                </w:rPr>
                <w:t>Subsidiaries of VUHI, as Guarantors, and the</w:t>
              </w:r>
            </w:hyperlink>
          </w:p>
        </w:tc>
        <w:tc>
          <w:tcPr>
            <w:tcW w:w="20" w:type="dxa"/>
            <w:vAlign w:val="bottom"/>
            <w:tcBorders>
              <w:bottom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bottom w:val="single" w:sz="8" w:color="0000FF"/>
            </w:tcBorders>
            <w:gridSpan w:val="4"/>
          </w:tcPr>
          <w:p>
            <w:pPr>
              <w:spacing w:after="0" w:line="129" w:lineRule="exact"/>
              <w:rPr>
                <w:rFonts w:ascii="Arial" w:cs="Arial" w:eastAsia="Arial" w:hAnsi="Arial"/>
                <w:sz w:val="14"/>
                <w:szCs w:val="14"/>
                <w:color w:val="0000FF"/>
                <w:w w:val="90"/>
              </w:rPr>
            </w:pPr>
            <w:hyperlink r:id="rId39">
              <w:r>
                <w:rPr>
                  <w:rFonts w:ascii="Arial" w:cs="Arial" w:eastAsia="Arial" w:hAnsi="Arial"/>
                  <w:sz w:val="14"/>
                  <w:szCs w:val="14"/>
                  <w:color w:val="0000FF"/>
                  <w:w w:val="90"/>
                </w:rPr>
                <w:t>banks named therein</w:t>
              </w:r>
            </w:hyperlink>
          </w:p>
        </w:tc>
        <w:tc>
          <w:tcPr>
            <w:tcW w:w="1420" w:type="dxa"/>
            <w:vAlign w:val="bottom"/>
            <w:gridSpan w:val="8"/>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4.14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rFonts w:ascii="Arial" w:cs="Arial" w:eastAsia="Arial" w:hAnsi="Arial"/>
                <w:sz w:val="14"/>
                <w:szCs w:val="14"/>
                <w:color w:val="0000FF"/>
              </w:rPr>
            </w:pPr>
            <w:hyperlink r:id="rId40">
              <w:r>
                <w:rPr>
                  <w:rFonts w:ascii="Arial" w:cs="Arial" w:eastAsia="Arial" w:hAnsi="Arial"/>
                  <w:sz w:val="14"/>
                  <w:szCs w:val="14"/>
                  <w:u w:val="single" w:color="auto"/>
                  <w:color w:val="0000FF"/>
                </w:rPr>
                <w:t>$</w:t>
              </w:r>
              <w:r>
                <w:rPr>
                  <w:rFonts w:ascii="Arial" w:cs="Arial" w:eastAsia="Arial" w:hAnsi="Arial"/>
                  <w:sz w:val="14"/>
                  <w:szCs w:val="14"/>
                  <w:color w:val="0000FF"/>
                </w:rPr>
                <w:t>200,000,000 Credit Agreement, dated as of July</w:t>
              </w:r>
            </w:hyperlink>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40">
              <w:r>
                <w:rPr>
                  <w:rFonts w:ascii="Arial" w:cs="Arial" w:eastAsia="Arial" w:hAnsi="Arial"/>
                  <w:sz w:val="14"/>
                  <w:szCs w:val="14"/>
                  <w:color w:val="0000FF"/>
                </w:rPr>
                <w:t>14, 2017, among VCC, as Borrower, Vectren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July 17, 2017</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33"/>
          </w:tcPr>
          <w:p>
            <w:pPr>
              <w:spacing w:after="0" w:line="129" w:lineRule="exact"/>
              <w:rPr>
                <w:rFonts w:ascii="Arial" w:cs="Arial" w:eastAsia="Arial" w:hAnsi="Arial"/>
                <w:sz w:val="14"/>
                <w:szCs w:val="14"/>
                <w:color w:val="0000FF"/>
              </w:rPr>
            </w:pPr>
            <w:hyperlink r:id="rId40">
              <w:r>
                <w:rPr>
                  <w:rFonts w:ascii="Arial" w:cs="Arial" w:eastAsia="Arial" w:hAnsi="Arial"/>
                  <w:sz w:val="14"/>
                  <w:szCs w:val="14"/>
                  <w:color w:val="0000FF"/>
                </w:rPr>
                <w:t>Corporation, as Guarantor, and the banks named</w:t>
              </w:r>
            </w:hyperlink>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40">
              <w:r>
                <w:rPr>
                  <w:rFonts w:ascii="Arial" w:cs="Arial" w:eastAsia="Arial" w:hAnsi="Arial"/>
                  <w:sz w:val="14"/>
                  <w:szCs w:val="14"/>
                  <w:color w:val="0000FF"/>
                </w:rPr>
                <w:t>therein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4.15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rFonts w:ascii="Arial" w:cs="Arial" w:eastAsia="Arial" w:hAnsi="Arial"/>
                <w:sz w:val="14"/>
                <w:szCs w:val="14"/>
                <w:color w:val="0000FF"/>
              </w:rPr>
            </w:pPr>
            <w:hyperlink r:id="rId41">
              <w:r>
                <w:rPr>
                  <w:rFonts w:ascii="Arial" w:cs="Arial" w:eastAsia="Arial" w:hAnsi="Arial"/>
                  <w:sz w:val="14"/>
                  <w:szCs w:val="14"/>
                  <w:color w:val="0000FF"/>
                </w:rPr>
                <w:t>Term Loan Agreement dated as of July 30, 2018,</w:t>
              </w:r>
            </w:hyperlink>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0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41">
              <w:r>
                <w:rPr>
                  <w:rFonts w:ascii="Arial" w:cs="Arial" w:eastAsia="Arial" w:hAnsi="Arial"/>
                  <w:sz w:val="14"/>
                  <w:szCs w:val="14"/>
                  <w:color w:val="0000FF"/>
                </w:rPr>
                <w:t>among VUHI, as Borrower, the Subsidiaries of</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July 30, 2018</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33"/>
          </w:tcPr>
          <w:p>
            <w:pPr>
              <w:spacing w:after="0" w:line="129" w:lineRule="exact"/>
              <w:rPr>
                <w:rFonts w:ascii="Arial" w:cs="Arial" w:eastAsia="Arial" w:hAnsi="Arial"/>
                <w:sz w:val="14"/>
                <w:szCs w:val="14"/>
                <w:color w:val="0000FF"/>
              </w:rPr>
            </w:pPr>
            <w:hyperlink r:id="rId41">
              <w:r>
                <w:rPr>
                  <w:rFonts w:ascii="Arial" w:cs="Arial" w:eastAsia="Arial" w:hAnsi="Arial"/>
                  <w:sz w:val="14"/>
                  <w:szCs w:val="14"/>
                  <w:color w:val="0000FF"/>
                </w:rPr>
                <w:t>Borrower identified herein as Guarantors and the</w:t>
              </w:r>
            </w:hyperlink>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0"/>
              </w:rPr>
            </w:pPr>
            <w:hyperlink r:id="rId41">
              <w:r>
                <w:rPr>
                  <w:rFonts w:ascii="Arial" w:cs="Arial" w:eastAsia="Arial" w:hAnsi="Arial"/>
                  <w:sz w:val="14"/>
                  <w:szCs w:val="14"/>
                  <w:color w:val="0000FF"/>
                  <w:w w:val="90"/>
                </w:rPr>
                <w:t>banks named therein</w:t>
              </w:r>
            </w:hyperlink>
          </w:p>
        </w:tc>
        <w:tc>
          <w:tcPr>
            <w:tcW w:w="1720" w:type="dxa"/>
            <w:vAlign w:val="bottom"/>
            <w:tcBorders>
              <w:top w:val="single" w:sz="8" w:color="0000FF"/>
            </w:tcBorders>
            <w:gridSpan w:val="20"/>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4.16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rFonts w:ascii="Arial" w:cs="Arial" w:eastAsia="Arial" w:hAnsi="Arial"/>
                <w:sz w:val="14"/>
                <w:szCs w:val="14"/>
                <w:color w:val="0000FF"/>
                <w:w w:val="99"/>
              </w:rPr>
            </w:pPr>
            <w:hyperlink r:id="rId42">
              <w:r>
                <w:rPr>
                  <w:rFonts w:ascii="Arial" w:cs="Arial" w:eastAsia="Arial" w:hAnsi="Arial"/>
                  <w:sz w:val="14"/>
                  <w:szCs w:val="14"/>
                  <w:color w:val="0000FF"/>
                  <w:w w:val="99"/>
                </w:rPr>
                <w:t>Term Loan Agreement dated as of September 14,</w:t>
              </w:r>
            </w:hyperlink>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42">
              <w:r>
                <w:rPr>
                  <w:rFonts w:ascii="Arial" w:cs="Arial" w:eastAsia="Arial" w:hAnsi="Arial"/>
                  <w:sz w:val="14"/>
                  <w:szCs w:val="14"/>
                  <w:color w:val="0000FF"/>
                </w:rPr>
                <w:t>2018, among VCC, as Borrower, Vectren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September 18, 2018</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80" w:type="dxa"/>
            <w:vAlign w:val="bottom"/>
            <w:tcBorders>
              <w:top w:val="single" w:sz="8" w:color="0000FF"/>
            </w:tcBorders>
            <w:gridSpan w:val="10"/>
          </w:tcPr>
          <w:p>
            <w:pPr>
              <w:spacing w:after="0" w:line="129" w:lineRule="exact"/>
              <w:rPr>
                <w:rFonts w:ascii="Arial" w:cs="Arial" w:eastAsia="Arial" w:hAnsi="Arial"/>
                <w:sz w:val="14"/>
                <w:szCs w:val="14"/>
                <w:color w:val="0000FF"/>
              </w:rPr>
            </w:pPr>
            <w:hyperlink r:id="rId42">
              <w:r>
                <w:rPr>
                  <w:rFonts w:ascii="Arial" w:cs="Arial" w:eastAsia="Arial" w:hAnsi="Arial"/>
                  <w:sz w:val="14"/>
                  <w:szCs w:val="14"/>
                  <w:color w:val="0000FF"/>
                </w:rPr>
                <w:t>Guarantor, and the banks named therein</w:t>
              </w:r>
            </w:hyperlink>
          </w:p>
        </w:tc>
        <w:tc>
          <w:tcPr>
            <w:tcW w:w="14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+4.17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rFonts w:ascii="Arial" w:cs="Arial" w:eastAsia="Arial" w:hAnsi="Arial"/>
                <w:sz w:val="14"/>
                <w:szCs w:val="14"/>
                <w:color w:val="0000FF"/>
                <w:w w:val="99"/>
              </w:rPr>
            </w:pPr>
            <w:hyperlink w:anchor="page110">
              <w:r>
                <w:rPr>
                  <w:rFonts w:ascii="Arial" w:cs="Arial" w:eastAsia="Arial" w:hAnsi="Arial"/>
                  <w:sz w:val="14"/>
                  <w:szCs w:val="14"/>
                  <w:color w:val="0000FF"/>
                  <w:w w:val="99"/>
                </w:rPr>
                <w:t>First Amendment to Term Loan Agreement, dated</w:t>
              </w:r>
            </w:hyperlink>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6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w:anchor="page110">
              <w:r>
                <w:rPr>
                  <w:rFonts w:ascii="Arial" w:cs="Arial" w:eastAsia="Arial" w:hAnsi="Arial"/>
                  <w:sz w:val="14"/>
                  <w:szCs w:val="14"/>
                  <w:color w:val="0000FF"/>
                </w:rPr>
                <w:t>as of June 25, 2019, among VCC, as Borrower,</w:t>
              </w:r>
            </w:hyperlink>
          </w:p>
        </w:tc>
        <w:tc>
          <w:tcPr>
            <w:tcW w:w="4294967177"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97"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tcBorders>
              <w:bottom w:val="single" w:sz="8" w:color="0000FF"/>
            </w:tcBorders>
            <w:gridSpan w:val="32"/>
          </w:tcPr>
          <w:p>
            <w:pPr>
              <w:spacing w:after="0" w:line="129" w:lineRule="exact"/>
              <w:rPr>
                <w:rFonts w:ascii="Arial" w:cs="Arial" w:eastAsia="Arial" w:hAnsi="Arial"/>
                <w:sz w:val="14"/>
                <w:szCs w:val="14"/>
                <w:color w:val="0000FF"/>
                <w:w w:val="91"/>
              </w:rPr>
            </w:pPr>
            <w:hyperlink w:anchor="page110">
              <w:r>
                <w:rPr>
                  <w:rFonts w:ascii="Arial" w:cs="Arial" w:eastAsia="Arial" w:hAnsi="Arial"/>
                  <w:sz w:val="14"/>
                  <w:szCs w:val="14"/>
                  <w:color w:val="0000FF"/>
                  <w:w w:val="91"/>
                </w:rPr>
                <w:t>Vectren as Guarantor and the banks named therein</w:t>
              </w:r>
            </w:hyperlink>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4.18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rFonts w:ascii="Arial" w:cs="Arial" w:eastAsia="Arial" w:hAnsi="Arial"/>
                <w:sz w:val="14"/>
                <w:szCs w:val="14"/>
                <w:color w:val="0000FF"/>
              </w:rPr>
            </w:pPr>
            <w:hyperlink r:id="rId43">
              <w:r>
                <w:rPr>
                  <w:rFonts w:ascii="Arial" w:cs="Arial" w:eastAsia="Arial" w:hAnsi="Arial"/>
                  <w:sz w:val="14"/>
                  <w:szCs w:val="14"/>
                  <w:u w:val="single" w:color="auto"/>
                  <w:color w:val="0000FF"/>
                </w:rPr>
                <w:t>$</w:t>
              </w:r>
              <w:r>
                <w:rPr>
                  <w:rFonts w:ascii="Arial" w:cs="Arial" w:eastAsia="Arial" w:hAnsi="Arial"/>
                  <w:sz w:val="14"/>
                  <w:szCs w:val="14"/>
                  <w:color w:val="0000FF"/>
                </w:rPr>
                <w:t>1,000,000,000 Term Loan Agreement, dated as</w:t>
              </w:r>
            </w:hyperlink>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40" w:type="dxa"/>
            <w:vAlign w:val="bottom"/>
            <w:tcBorders>
              <w:top w:val="single" w:sz="8" w:color="0000FF"/>
            </w:tcBorders>
            <w:gridSpan w:val="20"/>
          </w:tcPr>
          <w:p>
            <w:pPr>
              <w:spacing w:after="0" w:line="129" w:lineRule="exact"/>
              <w:rPr>
                <w:rFonts w:ascii="Arial" w:cs="Arial" w:eastAsia="Arial" w:hAnsi="Arial"/>
                <w:sz w:val="14"/>
                <w:szCs w:val="14"/>
                <w:color w:val="0000FF"/>
                <w:w w:val="94"/>
              </w:rPr>
            </w:pPr>
            <w:hyperlink r:id="rId43">
              <w:r>
                <w:rPr>
                  <w:rFonts w:ascii="Arial" w:cs="Arial" w:eastAsia="Arial" w:hAnsi="Arial"/>
                  <w:sz w:val="14"/>
                  <w:szCs w:val="14"/>
                  <w:color w:val="0000FF"/>
                  <w:w w:val="94"/>
                </w:rPr>
                <w:t>of May 15, 2019, among CenterPoint Energy, as</w:t>
              </w:r>
            </w:hyperlink>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3"/>
          </w:tcPr>
          <w:p>
            <w:pPr>
              <w:spacing w:after="0"/>
              <w:rPr>
                <w:sz w:val="11"/>
                <w:szCs w:val="11"/>
                <w:color w:val="auto"/>
              </w:rPr>
            </w:pPr>
          </w:p>
        </w:tc>
        <w:tc>
          <w:tcPr>
            <w:tcW w:w="182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8-K dated May 15, 2019</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20" w:type="dxa"/>
            <w:vAlign w:val="bottom"/>
            <w:tcBorders>
              <w:top w:val="single" w:sz="8" w:color="0000FF"/>
              <w:bottom w:val="single" w:sz="8" w:color="0000FF"/>
            </w:tcBorders>
            <w:gridSpan w:val="19"/>
          </w:tcPr>
          <w:p>
            <w:pPr>
              <w:spacing w:after="0" w:line="129" w:lineRule="exact"/>
              <w:rPr>
                <w:rFonts w:ascii="Arial" w:cs="Arial" w:eastAsia="Arial" w:hAnsi="Arial"/>
                <w:sz w:val="14"/>
                <w:szCs w:val="14"/>
                <w:color w:val="0000FF"/>
                <w:w w:val="96"/>
              </w:rPr>
            </w:pPr>
            <w:hyperlink r:id="rId43">
              <w:r>
                <w:rPr>
                  <w:rFonts w:ascii="Arial" w:cs="Arial" w:eastAsia="Arial" w:hAnsi="Arial"/>
                  <w:sz w:val="14"/>
                  <w:szCs w:val="14"/>
                  <w:color w:val="0000FF"/>
                  <w:w w:val="96"/>
                </w:rPr>
                <w:t>Borrower, Mizuho Bank, Ltd., as Administrative</w:t>
              </w:r>
            </w:hyperlink>
          </w:p>
        </w:tc>
        <w:tc>
          <w:tcPr>
            <w:tcW w:w="60" w:type="dxa"/>
            <w:vAlign w:val="bottom"/>
            <w:tcBorders>
              <w:bottom w:val="single" w:sz="8" w:color="0000FF"/>
            </w:tcBorders>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3"/>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80" w:type="dxa"/>
            <w:vAlign w:val="bottom"/>
            <w:gridSpan w:val="22"/>
          </w:tcPr>
          <w:p>
            <w:pPr>
              <w:spacing w:after="0" w:line="129" w:lineRule="exact"/>
              <w:rPr>
                <w:rFonts w:ascii="Arial" w:cs="Arial" w:eastAsia="Arial" w:hAnsi="Arial"/>
                <w:sz w:val="14"/>
                <w:szCs w:val="14"/>
                <w:color w:val="0000FF"/>
                <w:w w:val="95"/>
              </w:rPr>
            </w:pPr>
            <w:hyperlink r:id="rId43">
              <w:r>
                <w:rPr>
                  <w:rFonts w:ascii="Arial" w:cs="Arial" w:eastAsia="Arial" w:hAnsi="Arial"/>
                  <w:sz w:val="14"/>
                  <w:szCs w:val="14"/>
                  <w:color w:val="0000FF"/>
                  <w:w w:val="95"/>
                </w:rPr>
                <w:t>Agent and Lead Arranger, and the banks named</w:t>
              </w:r>
            </w:hyperlink>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3"/>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8"/>
              </w:rPr>
            </w:pPr>
            <w:hyperlink r:id="rId43">
              <w:r>
                <w:rPr>
                  <w:rFonts w:ascii="Arial" w:cs="Arial" w:eastAsia="Arial" w:hAnsi="Arial"/>
                  <w:sz w:val="14"/>
                  <w:szCs w:val="14"/>
                  <w:color w:val="0000FF"/>
                  <w:w w:val="98"/>
                </w:rPr>
                <w:t>therein</w:t>
              </w:r>
            </w:hyperlink>
          </w:p>
        </w:tc>
        <w:tc>
          <w:tcPr>
            <w:tcW w:w="232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3"/>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rFonts w:ascii="Arial" w:cs="Arial" w:eastAsia="Arial" w:hAnsi="Arial"/>
                <w:sz w:val="14"/>
                <w:szCs w:val="14"/>
                <w:color w:val="0000FF"/>
              </w:rPr>
            </w:pPr>
            <w:hyperlink w:anchor="page114">
              <w:r>
                <w:rPr>
                  <w:rFonts w:ascii="Arial" w:cs="Arial" w:eastAsia="Arial" w:hAnsi="Arial"/>
                  <w:sz w:val="14"/>
                  <w:szCs w:val="14"/>
                  <w:color w:val="0000FF"/>
                </w:rPr>
                <w:t>Letter Agreement, dated April 9, 2019, between</w:t>
              </w:r>
            </w:hyperlink>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8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w:anchor="page114">
              <w:r>
                <w:rPr>
                  <w:rFonts w:ascii="Arial" w:cs="Arial" w:eastAsia="Arial" w:hAnsi="Arial"/>
                  <w:sz w:val="14"/>
                  <w:szCs w:val="14"/>
                  <w:color w:val="0000FF"/>
                </w:rPr>
                <w:t>CenterPoint Energy and Xia Liu</w:t>
              </w:r>
            </w:hyperlink>
          </w:p>
        </w:tc>
        <w:tc>
          <w:tcPr>
            <w:tcW w:w="20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3"/>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rFonts w:ascii="Arial" w:cs="Arial" w:eastAsia="Arial" w:hAnsi="Arial"/>
                <w:sz w:val="14"/>
                <w:szCs w:val="14"/>
                <w:color w:val="0000FF"/>
              </w:rPr>
            </w:pPr>
            <w:hyperlink w:anchor="page118">
              <w:r>
                <w:rPr>
                  <w:rFonts w:ascii="Arial" w:cs="Arial" w:eastAsia="Arial" w:hAnsi="Arial"/>
                  <w:sz w:val="14"/>
                  <w:szCs w:val="14"/>
                  <w:color w:val="0000FF"/>
                </w:rPr>
                <w:t>Rule 13a-14(a)/15d-14(a) Certification of Scott</w:t>
              </w:r>
            </w:hyperlink>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w:anchor="page118">
              <w:r>
                <w:rPr>
                  <w:rFonts w:ascii="Arial" w:cs="Arial" w:eastAsia="Arial" w:hAnsi="Arial"/>
                  <w:sz w:val="14"/>
                  <w:szCs w:val="14"/>
                  <w:color w:val="0000FF"/>
                </w:rPr>
                <w:t>M. Prochazka</w:t>
              </w:r>
            </w:hyperlink>
          </w:p>
        </w:tc>
        <w:tc>
          <w:tcPr>
            <w:tcW w:w="2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3"/>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2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rFonts w:ascii="Arial" w:cs="Arial" w:eastAsia="Arial" w:hAnsi="Arial"/>
                <w:sz w:val="14"/>
                <w:szCs w:val="14"/>
                <w:color w:val="0000FF"/>
              </w:rPr>
            </w:pPr>
            <w:hyperlink w:anchor="page119">
              <w:r>
                <w:rPr>
                  <w:rFonts w:ascii="Arial" w:cs="Arial" w:eastAsia="Arial" w:hAnsi="Arial"/>
                  <w:sz w:val="14"/>
                  <w:szCs w:val="14"/>
                  <w:color w:val="0000FF"/>
                </w:rPr>
                <w:t>Rule 13a-14(a)/15d-14(a) Certification of Scott</w:t>
              </w:r>
            </w:hyperlink>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w:anchor="page119">
              <w:r>
                <w:rPr>
                  <w:rFonts w:ascii="Arial" w:cs="Arial" w:eastAsia="Arial" w:hAnsi="Arial"/>
                  <w:sz w:val="14"/>
                  <w:szCs w:val="14"/>
                  <w:color w:val="0000FF"/>
                </w:rPr>
                <w:t>M. Prochazka</w:t>
              </w:r>
            </w:hyperlink>
          </w:p>
        </w:tc>
        <w:tc>
          <w:tcPr>
            <w:tcW w:w="2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3"/>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2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rFonts w:ascii="Arial" w:cs="Arial" w:eastAsia="Arial" w:hAnsi="Arial"/>
                <w:sz w:val="14"/>
                <w:szCs w:val="14"/>
                <w:color w:val="0000FF"/>
              </w:rPr>
            </w:pPr>
            <w:hyperlink w:anchor="page120">
              <w:r>
                <w:rPr>
                  <w:rFonts w:ascii="Arial" w:cs="Arial" w:eastAsia="Arial" w:hAnsi="Arial"/>
                  <w:sz w:val="14"/>
                  <w:szCs w:val="14"/>
                  <w:color w:val="0000FF"/>
                </w:rPr>
                <w:t>Rule 13a-14(a)/15d-14(a) Certification of Scott</w:t>
              </w:r>
            </w:hyperlink>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w:anchor="page120">
              <w:r>
                <w:rPr>
                  <w:rFonts w:ascii="Arial" w:cs="Arial" w:eastAsia="Arial" w:hAnsi="Arial"/>
                  <w:sz w:val="14"/>
                  <w:szCs w:val="14"/>
                  <w:color w:val="0000FF"/>
                </w:rPr>
                <w:t>M. Prochazka</w:t>
              </w:r>
            </w:hyperlink>
          </w:p>
        </w:tc>
        <w:tc>
          <w:tcPr>
            <w:tcW w:w="2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3"/>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2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Borders>
              <w:bottom w:val="single" w:sz="8" w:color="0000FF"/>
            </w:tcBorders>
            <w:gridSpan w:val="30"/>
          </w:tcPr>
          <w:p>
            <w:pPr>
              <w:spacing w:after="0"/>
              <w:rPr>
                <w:rFonts w:ascii="Arial" w:cs="Arial" w:eastAsia="Arial" w:hAnsi="Arial"/>
                <w:sz w:val="14"/>
                <w:szCs w:val="14"/>
                <w:color w:val="0000FF"/>
              </w:rPr>
            </w:pPr>
            <w:hyperlink w:anchor="page121">
              <w:r>
                <w:rPr>
                  <w:rFonts w:ascii="Arial" w:cs="Arial" w:eastAsia="Arial" w:hAnsi="Arial"/>
                  <w:sz w:val="14"/>
                  <w:szCs w:val="14"/>
                  <w:color w:val="0000FF"/>
                </w:rPr>
                <w:t>Rule 13a-14(a)/15d-14(a) Certification of Xia Liu</w:t>
              </w:r>
            </w:hyperlink>
          </w:p>
        </w:tc>
        <w:tc>
          <w:tcPr>
            <w:tcW w:w="40" w:type="dxa"/>
            <w:vAlign w:val="bottom"/>
            <w:gridSpan w:val="3"/>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40" w:type="dxa"/>
            <w:vAlign w:val="bottom"/>
            <w:tcBorders>
              <w:bottom w:val="single" w:sz="8" w:color="0000FF"/>
            </w:tcBorders>
            <w:gridSpan w:val="30"/>
          </w:tcPr>
          <w:p>
            <w:pPr>
              <w:spacing w:after="0"/>
              <w:rPr>
                <w:rFonts w:ascii="Arial" w:cs="Arial" w:eastAsia="Arial" w:hAnsi="Arial"/>
                <w:sz w:val="14"/>
                <w:szCs w:val="14"/>
                <w:color w:val="0000FF"/>
              </w:rPr>
            </w:pPr>
            <w:hyperlink w:anchor="page122">
              <w:r>
                <w:rPr>
                  <w:rFonts w:ascii="Arial" w:cs="Arial" w:eastAsia="Arial" w:hAnsi="Arial"/>
                  <w:sz w:val="14"/>
                  <w:szCs w:val="14"/>
                  <w:color w:val="0000FF"/>
                </w:rPr>
                <w:t>Rule 13a-14(a)/15d-14(a) Certification of Xia Liu</w:t>
              </w:r>
            </w:hyperlink>
          </w:p>
        </w:tc>
        <w:tc>
          <w:tcPr>
            <w:tcW w:w="40" w:type="dxa"/>
            <w:vAlign w:val="bottom"/>
            <w:gridSpan w:val="3"/>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20" w:type="dxa"/>
            <w:vAlign w:val="bottom"/>
            <w:tcBorders>
              <w:bottom w:val="single" w:sz="8" w:color="0000FF"/>
            </w:tcBorders>
            <w:gridSpan w:val="29"/>
          </w:tcPr>
          <w:p>
            <w:pPr>
              <w:spacing w:after="0"/>
              <w:rPr>
                <w:rFonts w:ascii="Arial" w:cs="Arial" w:eastAsia="Arial" w:hAnsi="Arial"/>
                <w:sz w:val="14"/>
                <w:szCs w:val="14"/>
                <w:color w:val="0000FF"/>
              </w:rPr>
            </w:pPr>
            <w:hyperlink w:anchor="page123">
              <w:r>
                <w:rPr>
                  <w:rFonts w:ascii="Arial" w:cs="Arial" w:eastAsia="Arial" w:hAnsi="Arial"/>
                  <w:sz w:val="14"/>
                  <w:szCs w:val="14"/>
                  <w:color w:val="0000FF"/>
                </w:rPr>
                <w:t>Rule 13a-14(a)/15d-14(a) Certification of Xia Liu</w:t>
              </w:r>
            </w:hyperlink>
          </w:p>
        </w:tc>
        <w:tc>
          <w:tcPr>
            <w:tcW w:w="60" w:type="dxa"/>
            <w:vAlign w:val="bottom"/>
            <w:gridSpan w:val="4"/>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0" w:type="dxa"/>
            <w:vAlign w:val="bottom"/>
            <w:tcBorders>
              <w:bottom w:val="single" w:sz="8" w:color="0000FF"/>
            </w:tcBorders>
            <w:gridSpan w:val="28"/>
          </w:tcPr>
          <w:p>
            <w:pPr>
              <w:spacing w:after="0"/>
              <w:rPr>
                <w:rFonts w:ascii="Arial" w:cs="Arial" w:eastAsia="Arial" w:hAnsi="Arial"/>
                <w:sz w:val="14"/>
                <w:szCs w:val="14"/>
                <w:color w:val="0000FF"/>
                <w:w w:val="99"/>
              </w:rPr>
            </w:pPr>
            <w:hyperlink w:anchor="page124">
              <w:r>
                <w:rPr>
                  <w:rFonts w:ascii="Arial" w:cs="Arial" w:eastAsia="Arial" w:hAnsi="Arial"/>
                  <w:sz w:val="14"/>
                  <w:szCs w:val="14"/>
                  <w:color w:val="0000FF"/>
                  <w:w w:val="99"/>
                </w:rPr>
                <w:t>Section 1350 Certification of Scott M. Prochazka</w:t>
              </w:r>
            </w:hyperlink>
          </w:p>
        </w:tc>
        <w:tc>
          <w:tcPr>
            <w:tcW w:w="80" w:type="dxa"/>
            <w:vAlign w:val="bottom"/>
            <w:gridSpan w:val="5"/>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0" w:type="dxa"/>
            <w:vAlign w:val="bottom"/>
            <w:tcBorders>
              <w:bottom w:val="single" w:sz="8" w:color="0000FF"/>
            </w:tcBorders>
            <w:gridSpan w:val="28"/>
          </w:tcPr>
          <w:p>
            <w:pPr>
              <w:spacing w:after="0"/>
              <w:rPr>
                <w:rFonts w:ascii="Arial" w:cs="Arial" w:eastAsia="Arial" w:hAnsi="Arial"/>
                <w:sz w:val="14"/>
                <w:szCs w:val="14"/>
                <w:color w:val="0000FF"/>
                <w:w w:val="99"/>
              </w:rPr>
            </w:pPr>
            <w:hyperlink w:anchor="page125">
              <w:r>
                <w:rPr>
                  <w:rFonts w:ascii="Arial" w:cs="Arial" w:eastAsia="Arial" w:hAnsi="Arial"/>
                  <w:sz w:val="14"/>
                  <w:szCs w:val="14"/>
                  <w:color w:val="0000FF"/>
                  <w:w w:val="99"/>
                </w:rPr>
                <w:t>Section 1350 Certification of Scott M. Prochazka</w:t>
              </w:r>
            </w:hyperlink>
          </w:p>
        </w:tc>
        <w:tc>
          <w:tcPr>
            <w:tcW w:w="80" w:type="dxa"/>
            <w:vAlign w:val="bottom"/>
            <w:gridSpan w:val="5"/>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Borders>
              <w:bottom w:val="single" w:sz="8" w:color="0000FF"/>
            </w:tcBorders>
            <w:gridSpan w:val="27"/>
          </w:tcPr>
          <w:p>
            <w:pPr>
              <w:spacing w:after="0"/>
              <w:rPr>
                <w:rFonts w:ascii="Arial" w:cs="Arial" w:eastAsia="Arial" w:hAnsi="Arial"/>
                <w:sz w:val="14"/>
                <w:szCs w:val="14"/>
                <w:color w:val="0000FF"/>
                <w:w w:val="98"/>
              </w:rPr>
            </w:pPr>
            <w:hyperlink w:anchor="page126">
              <w:r>
                <w:rPr>
                  <w:rFonts w:ascii="Arial" w:cs="Arial" w:eastAsia="Arial" w:hAnsi="Arial"/>
                  <w:sz w:val="14"/>
                  <w:szCs w:val="14"/>
                  <w:color w:val="0000FF"/>
                  <w:w w:val="98"/>
                </w:rPr>
                <w:t>Section 1350 Certification of Scott M. Prochazka</w:t>
              </w:r>
            </w:hyperlink>
          </w:p>
        </w:tc>
        <w:tc>
          <w:tcPr>
            <w:tcW w:w="100" w:type="dxa"/>
            <w:vAlign w:val="bottom"/>
            <w:gridSpan w:val="6"/>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tcBorders>
              <w:bottom w:val="single" w:sz="8" w:color="0000FF"/>
            </w:tcBorders>
            <w:gridSpan w:val="6"/>
          </w:tcPr>
          <w:p>
            <w:pPr>
              <w:spacing w:after="0"/>
              <w:rPr>
                <w:rFonts w:ascii="Arial" w:cs="Arial" w:eastAsia="Arial" w:hAnsi="Arial"/>
                <w:sz w:val="14"/>
                <w:szCs w:val="14"/>
                <w:color w:val="0000FF"/>
                <w:w w:val="96"/>
              </w:rPr>
            </w:pPr>
            <w:hyperlink w:anchor="page127">
              <w:r>
                <w:rPr>
                  <w:rFonts w:ascii="Arial" w:cs="Arial" w:eastAsia="Arial" w:hAnsi="Arial"/>
                  <w:sz w:val="14"/>
                  <w:szCs w:val="14"/>
                  <w:color w:val="0000FF"/>
                  <w:w w:val="96"/>
                </w:rPr>
                <w:t>Section 1350 Certification of Xia Liu</w:t>
              </w:r>
            </w:hyperlink>
          </w:p>
        </w:tc>
        <w:tc>
          <w:tcPr>
            <w:tcW w:w="920" w:type="dxa"/>
            <w:vAlign w:val="bottom"/>
            <w:gridSpan w:val="27"/>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tcBorders>
              <w:bottom w:val="single" w:sz="8" w:color="0000FF"/>
            </w:tcBorders>
            <w:gridSpan w:val="6"/>
          </w:tcPr>
          <w:p>
            <w:pPr>
              <w:spacing w:after="0"/>
              <w:rPr>
                <w:rFonts w:ascii="Arial" w:cs="Arial" w:eastAsia="Arial" w:hAnsi="Arial"/>
                <w:sz w:val="14"/>
                <w:szCs w:val="14"/>
                <w:color w:val="0000FF"/>
                <w:w w:val="96"/>
              </w:rPr>
            </w:pPr>
            <w:hyperlink w:anchor="page128">
              <w:r>
                <w:rPr>
                  <w:rFonts w:ascii="Arial" w:cs="Arial" w:eastAsia="Arial" w:hAnsi="Arial"/>
                  <w:sz w:val="14"/>
                  <w:szCs w:val="14"/>
                  <w:color w:val="0000FF"/>
                  <w:w w:val="96"/>
                </w:rPr>
                <w:t>Section 1350 Certification of Xia Liu</w:t>
              </w:r>
            </w:hyperlink>
          </w:p>
        </w:tc>
        <w:tc>
          <w:tcPr>
            <w:tcW w:w="920" w:type="dxa"/>
            <w:vAlign w:val="bottom"/>
            <w:gridSpan w:val="27"/>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tcBorders>
              <w:bottom w:val="single" w:sz="8" w:color="0000FF"/>
            </w:tcBorders>
            <w:gridSpan w:val="6"/>
          </w:tcPr>
          <w:p>
            <w:pPr>
              <w:spacing w:after="0"/>
              <w:rPr>
                <w:rFonts w:ascii="Arial" w:cs="Arial" w:eastAsia="Arial" w:hAnsi="Arial"/>
                <w:sz w:val="14"/>
                <w:szCs w:val="14"/>
                <w:color w:val="0000FF"/>
                <w:w w:val="96"/>
              </w:rPr>
            </w:pPr>
            <w:hyperlink w:anchor="page129">
              <w:r>
                <w:rPr>
                  <w:rFonts w:ascii="Arial" w:cs="Arial" w:eastAsia="Arial" w:hAnsi="Arial"/>
                  <w:sz w:val="14"/>
                  <w:szCs w:val="14"/>
                  <w:color w:val="0000FF"/>
                  <w:w w:val="96"/>
                </w:rPr>
                <w:t>Section 1350 Certification of Xia Liu</w:t>
              </w:r>
            </w:hyperlink>
          </w:p>
        </w:tc>
        <w:tc>
          <w:tcPr>
            <w:tcW w:w="920" w:type="dxa"/>
            <w:vAlign w:val="bottom"/>
            <w:gridSpan w:val="27"/>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45"/>
        </w:trPr>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+101.INS</w:t>
            </w:r>
          </w:p>
        </w:tc>
        <w:tc>
          <w:tcPr>
            <w:tcW w:w="20" w:type="dxa"/>
            <w:vAlign w:val="bottom"/>
          </w:tcPr>
          <w:p>
            <w:pPr>
              <w:spacing w:after="0"/>
              <w:rPr>
                <w:sz w:val="21"/>
                <w:szCs w:val="21"/>
                <w:color w:val="auto"/>
              </w:rPr>
            </w:pPr>
          </w:p>
        </w:tc>
        <w:tc>
          <w:tcPr>
            <w:tcW w:w="3080" w:type="dxa"/>
            <w:vAlign w:val="bottom"/>
            <w:gridSpan w:val="33"/>
          </w:tcPr>
          <w:p>
            <w:pPr>
              <w:spacing w:after="0"/>
              <w:rPr>
                <w:sz w:val="20"/>
                <w:szCs w:val="20"/>
                <w:color w:val="auto"/>
              </w:rPr>
            </w:pPr>
            <w:r>
              <w:rPr>
                <w:rFonts w:ascii="Arial" w:cs="Arial" w:eastAsia="Arial" w:hAnsi="Arial"/>
                <w:sz w:val="14"/>
                <w:szCs w:val="14"/>
                <w:color w:val="auto"/>
              </w:rPr>
              <w:t>Inline XBRL Instance Document - the instance</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3"/>
          </w:tcPr>
          <w:p>
            <w:pPr>
              <w:spacing w:after="0" w:line="149" w:lineRule="exact"/>
              <w:rPr>
                <w:sz w:val="20"/>
                <w:szCs w:val="20"/>
                <w:color w:val="auto"/>
              </w:rPr>
            </w:pPr>
            <w:r>
              <w:rPr>
                <w:rFonts w:ascii="Arial" w:cs="Arial" w:eastAsia="Arial" w:hAnsi="Arial"/>
                <w:sz w:val="14"/>
                <w:szCs w:val="14"/>
                <w:color w:val="auto"/>
                <w:w w:val="99"/>
              </w:rPr>
              <w:t>document does not appear in the Interactive Data</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33"/>
          </w:tcPr>
          <w:p>
            <w:pPr>
              <w:spacing w:after="0" w:line="149" w:lineRule="exact"/>
              <w:rPr>
                <w:sz w:val="20"/>
                <w:szCs w:val="20"/>
                <w:color w:val="auto"/>
              </w:rPr>
            </w:pPr>
            <w:r>
              <w:rPr>
                <w:rFonts w:ascii="Arial" w:cs="Arial" w:eastAsia="Arial" w:hAnsi="Arial"/>
                <w:sz w:val="14"/>
                <w:szCs w:val="14"/>
                <w:color w:val="auto"/>
              </w:rPr>
              <w:t>File because its XBRL tags are embedded within</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sz w:val="20"/>
                <w:szCs w:val="20"/>
                <w:color w:val="auto"/>
              </w:rPr>
            </w:pPr>
            <w:r>
              <w:rPr>
                <w:rFonts w:ascii="Arial" w:cs="Arial" w:eastAsia="Arial" w:hAnsi="Arial"/>
                <w:sz w:val="14"/>
                <w:szCs w:val="14"/>
                <w:color w:val="auto"/>
              </w:rPr>
              <w:t>the Inline XBRL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+101.SCH</w:t>
            </w:r>
          </w:p>
        </w:tc>
        <w:tc>
          <w:tcPr>
            <w:tcW w:w="20" w:type="dxa"/>
            <w:vAlign w:val="bottom"/>
          </w:tcPr>
          <w:p>
            <w:pPr>
              <w:spacing w:after="0"/>
              <w:rPr>
                <w:sz w:val="14"/>
                <w:szCs w:val="14"/>
                <w:color w:val="auto"/>
              </w:rPr>
            </w:pPr>
          </w:p>
        </w:tc>
        <w:tc>
          <w:tcPr>
            <w:tcW w:w="3080" w:type="dxa"/>
            <w:vAlign w:val="bottom"/>
            <w:gridSpan w:val="33"/>
          </w:tcPr>
          <w:p>
            <w:pPr>
              <w:spacing w:after="0"/>
              <w:rPr>
                <w:sz w:val="20"/>
                <w:szCs w:val="20"/>
                <w:color w:val="auto"/>
              </w:rPr>
            </w:pPr>
            <w:r>
              <w:rPr>
                <w:rFonts w:ascii="Arial" w:cs="Arial" w:eastAsia="Arial" w:hAnsi="Arial"/>
                <w:sz w:val="14"/>
                <w:szCs w:val="14"/>
                <w:color w:val="auto"/>
              </w:rPr>
              <w:t>Inline XBRL Taxonomy Extension Schema</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sz w:val="20"/>
                <w:szCs w:val="20"/>
                <w:color w:val="auto"/>
              </w:rPr>
            </w:pPr>
            <w:r>
              <w:rPr>
                <w:rFonts w:ascii="Arial" w:cs="Arial" w:eastAsia="Arial" w:hAnsi="Arial"/>
                <w:sz w:val="14"/>
                <w:szCs w:val="14"/>
                <w:color w:val="auto"/>
              </w:rPr>
              <w:t>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+101.CAL</w:t>
            </w:r>
          </w:p>
        </w:tc>
        <w:tc>
          <w:tcPr>
            <w:tcW w:w="20" w:type="dxa"/>
            <w:vAlign w:val="bottom"/>
          </w:tcPr>
          <w:p>
            <w:pPr>
              <w:spacing w:after="0"/>
              <w:rPr>
                <w:sz w:val="14"/>
                <w:szCs w:val="14"/>
                <w:color w:val="auto"/>
              </w:rPr>
            </w:pPr>
          </w:p>
        </w:tc>
        <w:tc>
          <w:tcPr>
            <w:tcW w:w="3080" w:type="dxa"/>
            <w:vAlign w:val="bottom"/>
            <w:gridSpan w:val="33"/>
          </w:tcPr>
          <w:p>
            <w:pPr>
              <w:spacing w:after="0"/>
              <w:rPr>
                <w:sz w:val="20"/>
                <w:szCs w:val="20"/>
                <w:color w:val="auto"/>
              </w:rPr>
            </w:pPr>
            <w:r>
              <w:rPr>
                <w:rFonts w:ascii="Arial" w:cs="Arial" w:eastAsia="Arial" w:hAnsi="Arial"/>
                <w:sz w:val="14"/>
                <w:szCs w:val="14"/>
                <w:color w:val="auto"/>
              </w:rPr>
              <w:t>Inline XBRL Taxonomy Extension Calculation</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14"/>
                <w:szCs w:val="14"/>
                <w:color w:val="auto"/>
              </w:rPr>
            </w:pPr>
          </w:p>
        </w:tc>
        <w:tc>
          <w:tcPr>
            <w:tcW w:w="3080" w:type="dxa"/>
            <w:vAlign w:val="bottom"/>
            <w:gridSpan w:val="33"/>
          </w:tcPr>
          <w:p>
            <w:pPr>
              <w:spacing w:after="0"/>
              <w:rPr>
                <w:sz w:val="20"/>
                <w:szCs w:val="20"/>
                <w:color w:val="auto"/>
              </w:rPr>
            </w:pPr>
            <w:r>
              <w:rPr>
                <w:rFonts w:ascii="Arial" w:cs="Arial" w:eastAsia="Arial" w:hAnsi="Arial"/>
                <w:sz w:val="14"/>
                <w:szCs w:val="14"/>
                <w:color w:val="auto"/>
              </w:rPr>
              <w:t>Inline XBRL Taxonomy Extension Definition</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3"/>
          </w:tcPr>
          <w:p>
            <w:pPr>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Report or Registration</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CenterPoint</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gridSpan w:val="2"/>
            <w:vMerge w:val="continue"/>
          </w:tcPr>
          <w:p>
            <w:pPr>
              <w:spacing w:after="0"/>
              <w:rPr>
                <w:sz w:val="12"/>
                <w:szCs w:val="12"/>
                <w:color w:val="auto"/>
              </w:rPr>
            </w:pPr>
          </w:p>
        </w:tc>
        <w:tc>
          <w:tcPr>
            <w:tcW w:w="29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2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+101.LAB</w:t>
            </w:r>
          </w:p>
        </w:tc>
        <w:tc>
          <w:tcPr>
            <w:tcW w:w="31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Inline XBRL Taxonomy Extension Labels</w:t>
            </w: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x</w:t>
            </w:r>
          </w:p>
        </w:tc>
        <w:tc>
          <w:tcPr>
            <w:tcW w:w="11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85"/>
              </w:rPr>
              <w:t>x</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+101.PRE</w:t>
            </w: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Inline XBRL Taxonomy Extension Presentation</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20" w:type="dxa"/>
            <w:vAlign w:val="bottom"/>
          </w:tcPr>
          <w:p>
            <w:pPr>
              <w:spacing w:after="0"/>
              <w:rPr>
                <w:sz w:val="14"/>
                <w:szCs w:val="14"/>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w w:val="99"/>
              </w:rPr>
              <w:t>Cover Page Interactive Data File - the cover page</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interactive data file does not appear in the</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Interactive Data File because its XBRL tags are</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embedded within the Inline XBRL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60" w:right="680" w:hanging="219"/>
        <w:spacing w:after="0" w:line="264" w:lineRule="auto"/>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CENTERPOINT ENERGY, INC.</w:t>
      </w:r>
    </w:p>
    <w:p>
      <w:pPr>
        <w:spacing w:after="0" w:line="63"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63"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CENTERPOINT ENERGY RESOURCES CORP.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6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Kristie L. Colvin</w:t>
      </w:r>
    </w:p>
    <w:p>
      <w:pPr>
        <w:spacing w:after="0" w:line="63"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Senior Vice President and Chief Accounting Officer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5" w:right="2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4.17</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FIRST AMENDMENT TO CREDIT AGREEMENT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FIRST AMENDMENT TO CREDIT AGREEMENT, dated as of June 25, 2019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between VECTREN CAPITAL, CORP., an Indiana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Guarantor party hereto, the Lenders party hereto and BANK OF AMERICA,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Capitalized terms used herein and not otherwise defined shall have the meanings ascribed thereto in the Credit Agreement (as defined below).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43" w:lineRule="exact"/>
        <w:rPr>
          <w:sz w:val="20"/>
          <w:szCs w:val="20"/>
          <w:color w:val="auto"/>
        </w:rPr>
      </w:pPr>
    </w:p>
    <w:p>
      <w:pPr>
        <w:ind w:right="20" w:firstLine="656"/>
        <w:spacing w:after="0" w:line="289" w:lineRule="auto"/>
        <w:tabs>
          <w:tab w:leader="none" w:pos="1489"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Borrower, the Guarantor, the Lenders and the Administrative Agent are parties to that certain Credit Agreement, dated as of September 14, 2018 (as amended or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480" w:hanging="824"/>
        <w:spacing w:after="0"/>
        <w:tabs>
          <w:tab w:leader="none" w:pos="14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parties hereto have agreed to amend the Credit Agreement as provided herein.</w:t>
      </w:r>
    </w:p>
    <w:p>
      <w:pPr>
        <w:spacing w:after="0" w:line="256" w:lineRule="exact"/>
        <w:rPr>
          <w:rFonts w:ascii="Arial" w:cs="Arial" w:eastAsia="Arial" w:hAnsi="Arial"/>
          <w:sz w:val="20"/>
          <w:szCs w:val="20"/>
          <w:color w:val="auto"/>
        </w:rPr>
      </w:pPr>
    </w:p>
    <w:p>
      <w:pPr>
        <w:ind w:firstLine="656"/>
        <w:spacing w:after="0" w:line="289" w:lineRule="auto"/>
        <w:tabs>
          <w:tab w:leader="none" w:pos="1478"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 consideration of the agreements contained herein, and for other good and valuable consideration, the receipt and sufficiency of which is hereby acknowledged, the parties hereto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29" w:lineRule="exact"/>
        <w:rPr>
          <w:sz w:val="20"/>
          <w:szCs w:val="20"/>
          <w:color w:val="auto"/>
        </w:rPr>
      </w:pPr>
    </w:p>
    <w:p>
      <w:pPr>
        <w:ind w:left="1000" w:hanging="344"/>
        <w:spacing w:after="0"/>
        <w:tabs>
          <w:tab w:leader="none" w:pos="100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2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The sixth sentence in Section 2.02(a) of the Credit Agreement is hereby amended to read as follows:</w:t>
      </w:r>
    </w:p>
    <w:p>
      <w:pPr>
        <w:spacing w:after="0" w:line="229"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 xml:space="preserve">If the Borrower does not specify a Type of a Loan in a Loan Notice or if the Borrower does not give a timely notice requesting a conversion or continuation, then the applicable Loans shall be made as Eurodollar Rate Loans with an Interest Period of one month;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a Default exists at the time of such conversion or continuation, then the applicable Loans shall be made as, or converted to, Base Rate Loans.</w:t>
      </w:r>
    </w:p>
    <w:p>
      <w:pPr>
        <w:spacing w:after="0" w:line="205" w:lineRule="exact"/>
        <w:rPr>
          <w:sz w:val="20"/>
          <w:szCs w:val="20"/>
          <w:color w:val="auto"/>
        </w:rPr>
      </w:pPr>
    </w:p>
    <w:p>
      <w:pPr>
        <w:ind w:firstLine="656"/>
        <w:spacing w:after="0" w:line="260" w:lineRule="auto"/>
        <w:tabs>
          <w:tab w:leader="none" w:pos="1089"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Effectiveness; Conditions Precedent</w:t>
      </w:r>
      <w:r>
        <w:rPr>
          <w:rFonts w:ascii="Arial" w:cs="Arial" w:eastAsia="Arial" w:hAnsi="Arial"/>
          <w:sz w:val="20"/>
          <w:szCs w:val="20"/>
          <w:color w:val="auto"/>
        </w:rPr>
        <w:t>. This Amendment shall be effective upon receipt by the Administrative of a copy of this Amendment executed by the Borrower, the Guarantor and the Required Lenders.</w:t>
      </w:r>
    </w:p>
    <w:p>
      <w:pPr>
        <w:spacing w:after="0" w:line="190" w:lineRule="exact"/>
        <w:rPr>
          <w:rFonts w:ascii="Arial" w:cs="Arial" w:eastAsia="Arial" w:hAnsi="Arial"/>
          <w:sz w:val="20"/>
          <w:szCs w:val="20"/>
          <w:color w:val="auto"/>
        </w:rPr>
      </w:pPr>
    </w:p>
    <w:p>
      <w:pPr>
        <w:ind w:right="20" w:firstLine="656"/>
        <w:spacing w:after="0" w:line="316" w:lineRule="auto"/>
        <w:tabs>
          <w:tab w:leader="none" w:pos="1049"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Ratification of Credit Agreement</w:t>
      </w:r>
      <w:r>
        <w:rPr>
          <w:rFonts w:ascii="Arial" w:cs="Arial" w:eastAsia="Arial" w:hAnsi="Arial"/>
          <w:sz w:val="18"/>
          <w:szCs w:val="18"/>
          <w:color w:val="auto"/>
        </w:rPr>
        <w:t>. Each Loan Party acknowledges and consents to the terms set forth herein and agrees that this Amendment does not impair, reduce or limit any of its obligations under the Credit Agreement, all of which are hereby ratified and confirmed.</w:t>
      </w:r>
    </w:p>
    <w:p>
      <w:pPr>
        <w:spacing w:after="0" w:line="143" w:lineRule="exact"/>
        <w:rPr>
          <w:rFonts w:ascii="Arial" w:cs="Arial" w:eastAsia="Arial" w:hAnsi="Arial"/>
          <w:sz w:val="18"/>
          <w:szCs w:val="18"/>
          <w:color w:val="auto"/>
        </w:rPr>
      </w:pPr>
    </w:p>
    <w:p>
      <w:pPr>
        <w:ind w:left="1000" w:hanging="344"/>
        <w:spacing w:after="0"/>
        <w:tabs>
          <w:tab w:leader="none" w:pos="1000"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Authority/Enforceability</w:t>
      </w:r>
      <w:r>
        <w:rPr>
          <w:rFonts w:ascii="Arial" w:cs="Arial" w:eastAsia="Arial" w:hAnsi="Arial"/>
          <w:sz w:val="20"/>
          <w:szCs w:val="20"/>
          <w:color w:val="auto"/>
        </w:rPr>
        <w:t>. Each Loan Party represents and warrants as follows:</w:t>
      </w:r>
    </w:p>
    <w:p>
      <w:pPr>
        <w:spacing w:after="0" w:line="229" w:lineRule="exact"/>
        <w:rPr>
          <w:rFonts w:ascii="Arial" w:cs="Arial" w:eastAsia="Arial" w:hAnsi="Arial"/>
          <w:sz w:val="20"/>
          <w:szCs w:val="20"/>
          <w:color w:val="auto"/>
        </w:rPr>
      </w:pPr>
    </w:p>
    <w:p>
      <w:pPr>
        <w:ind w:left="1820" w:hanging="515"/>
        <w:spacing w:after="0"/>
        <w:tabs>
          <w:tab w:leader="none" w:pos="182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It has the power and authority and legal right to execute and deliver this Amendment and to perform its obligations</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hereunder.</w:t>
      </w:r>
    </w:p>
    <w:p>
      <w:pPr>
        <w:spacing w:after="0" w:line="213" w:lineRule="exact"/>
        <w:rPr>
          <w:rFonts w:ascii="Arial" w:cs="Arial" w:eastAsia="Arial" w:hAnsi="Arial"/>
          <w:sz w:val="19"/>
          <w:szCs w:val="19"/>
          <w:color w:val="auto"/>
        </w:rPr>
      </w:pPr>
    </w:p>
    <w:p>
      <w:pPr>
        <w:ind w:left="660" w:firstLine="645"/>
        <w:spacing w:after="0" w:line="260" w:lineRule="auto"/>
        <w:tabs>
          <w:tab w:leader="none" w:pos="175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execution and delivery of this Amendment has been duly authorized by proper corporate proceedings and constitutes its legal, valid and binding obligations, enforceable in</w:t>
      </w:r>
    </w:p>
    <w:p>
      <w:pPr>
        <w:sectPr>
          <w:pgSz w:w="11900" w:h="16838" w:orient="portrait"/>
          <w:cols w:equalWidth="0" w:num="1">
            <w:col w:w="11420"/>
          </w:cols>
          <w:pgMar w:left="240" w:top="125" w:right="239" w:bottom="1440" w:gutter="0" w:footer="0" w:header="0"/>
        </w:sectPr>
      </w:pPr>
    </w:p>
    <w:bookmarkStart w:id="110" w:name="page111"/>
    <w:bookmarkEnd w:id="110"/>
    <w:p>
      <w:pPr>
        <w:ind w:left="660"/>
        <w:spacing w:after="0" w:line="260" w:lineRule="auto"/>
        <w:rPr>
          <w:sz w:val="20"/>
          <w:szCs w:val="20"/>
          <w:color w:val="auto"/>
        </w:rPr>
      </w:pPr>
      <w:r>
        <w:rPr>
          <w:rFonts w:ascii="Arial" w:cs="Arial" w:eastAsia="Arial" w:hAnsi="Arial"/>
          <w:sz w:val="20"/>
          <w:szCs w:val="20"/>
          <w:color w:val="auto"/>
        </w:rPr>
        <w:t>accordance with its terms, except as enforceability may be limited by bankruptcy, insolvency or similar laws affecting the enforcement of creditors' rights generally.</w:t>
      </w:r>
    </w:p>
    <w:p>
      <w:pPr>
        <w:spacing w:after="0" w:line="190" w:lineRule="exact"/>
        <w:rPr>
          <w:sz w:val="20"/>
          <w:szCs w:val="20"/>
          <w:color w:val="auto"/>
        </w:rPr>
      </w:pPr>
    </w:p>
    <w:p>
      <w:pPr>
        <w:jc w:val="both"/>
        <w:ind w:left="660" w:firstLine="645"/>
        <w:spacing w:after="0" w:line="282" w:lineRule="auto"/>
        <w:tabs>
          <w:tab w:leader="none" w:pos="174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 order, consent, adjudication, approval, license, authorization, or validation of, or filing, recording or registration with, or exemption by, or other action in respect of any Governmental Authority which has not been obtained by the Borrower, the Guarantor or any of their Subsidiaries, is required to be obtained by the Borrower, the Guarantor or any of their Subsidiaries in connection with the execution and delivery of this Amendment or the legality, validity, binding effect or enforceability of this Amendment.</w:t>
      </w:r>
    </w:p>
    <w:p>
      <w:pPr>
        <w:spacing w:after="0" w:line="175" w:lineRule="exact"/>
        <w:rPr>
          <w:rFonts w:ascii="Arial" w:cs="Arial" w:eastAsia="Arial" w:hAnsi="Arial"/>
          <w:sz w:val="18"/>
          <w:szCs w:val="18"/>
          <w:color w:val="auto"/>
        </w:rPr>
      </w:pPr>
    </w:p>
    <w:p>
      <w:pPr>
        <w:jc w:val="both"/>
        <w:ind w:left="660" w:firstLine="645"/>
        <w:spacing w:after="0" w:line="250" w:lineRule="auto"/>
        <w:tabs>
          <w:tab w:leader="none" w:pos="1854" w:val="left"/>
        </w:tabs>
        <w:numPr>
          <w:ilvl w:val="1"/>
          <w:numId w:val="102"/>
        </w:numPr>
        <w:rPr>
          <w:rFonts w:ascii="Arial" w:cs="Arial" w:eastAsia="Arial" w:hAnsi="Arial"/>
          <w:sz w:val="20"/>
          <w:szCs w:val="20"/>
          <w:color w:val="auto"/>
        </w:rPr>
      </w:pPr>
      <w:r>
        <w:rPr>
          <w:rFonts w:ascii="Arial" w:cs="Arial" w:eastAsia="Arial" w:hAnsi="Arial"/>
          <w:sz w:val="20"/>
          <w:szCs w:val="20"/>
          <w:color w:val="auto"/>
        </w:rPr>
        <w:t>The execution and delivery of this Amendment does not violate (i) the Borrower’s, the Guarantor’s or any of their Subsidiaries’ Organization Documents or (ii) any law, rule, regulation, order, writ, judgment, injunction, decree or award binding on the Borrower, the Guarantor or any of their Subsidiaries.</w:t>
      </w:r>
    </w:p>
    <w:p>
      <w:pPr>
        <w:spacing w:after="0" w:line="199" w:lineRule="exact"/>
        <w:rPr>
          <w:rFonts w:ascii="Arial" w:cs="Arial" w:eastAsia="Arial" w:hAnsi="Arial"/>
          <w:sz w:val="20"/>
          <w:szCs w:val="20"/>
          <w:color w:val="auto"/>
        </w:rPr>
      </w:pPr>
    </w:p>
    <w:p>
      <w:pPr>
        <w:jc w:val="both"/>
        <w:ind w:firstLine="656"/>
        <w:spacing w:after="0" w:line="256" w:lineRule="auto"/>
        <w:tabs>
          <w:tab w:leader="none" w:pos="1008"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Loan Parties</w:t>
      </w:r>
      <w:r>
        <w:rPr>
          <w:rFonts w:ascii="Arial" w:cs="Arial" w:eastAsia="Arial" w:hAnsi="Arial"/>
          <w:sz w:val="19"/>
          <w:szCs w:val="19"/>
          <w:color w:val="auto"/>
        </w:rPr>
        <w:t>. Each Loan Party represents and warrants to the Administrative Agent and the Lenders that (a) the representations and warranties contained in Article VI of the Credit Agreement (other than the representation and warranty contained in Sections 6.05, 6.07 and 6.16 of the Credit Agreement) or any other Loan Document, or which are contained in any document furnished at any time under or in connection therewith, are true and correct in all material respects (or, if any such representation or warranty is qualified by materiality or Material Adverse Effect, it is true and correct in all respects as drafted) on and as of the date hereof, except to the extent that such representations and warranties specifically refer to an earlier date, in which case they are true and correct in all material respects (or, if any such representation or warranty is qualified by materiality or Material Adverse Effect, it is true and correct in all respects as drafted) as of such earlier date, and (b) no event has occurred and is continuing or would result from the consummation of the borrowing of the Term Loan that would constitute an Event of Default or a Default.</w:t>
      </w:r>
    </w:p>
    <w:p>
      <w:pPr>
        <w:spacing w:after="0" w:line="198" w:lineRule="exact"/>
        <w:rPr>
          <w:rFonts w:ascii="Arial" w:cs="Arial" w:eastAsia="Arial" w:hAnsi="Arial"/>
          <w:sz w:val="19"/>
          <w:szCs w:val="19"/>
          <w:color w:val="auto"/>
        </w:rPr>
      </w:pPr>
    </w:p>
    <w:p>
      <w:pPr>
        <w:jc w:val="both"/>
        <w:ind w:right="20" w:firstLine="656"/>
        <w:spacing w:after="0" w:line="250" w:lineRule="auto"/>
        <w:tabs>
          <w:tab w:leader="none" w:pos="1049"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Counterparts/Telecopy</w:t>
      </w:r>
      <w:r>
        <w:rPr>
          <w:rFonts w:ascii="Arial" w:cs="Arial" w:eastAsia="Arial" w:hAnsi="Arial"/>
          <w:sz w:val="20"/>
          <w:szCs w:val="20"/>
          <w:color w:val="auto"/>
        </w:rPr>
        <w:t>. This Amendment may be executed in any number of counterparts, each of which when so executed and delivered shall be an original, but all of which shall constitute one and the same instrument. Delivery of executed counterparts of this Amendment by facsimile or other secure electronic format (.pdf) shall be effective as an original.</w:t>
      </w:r>
    </w:p>
    <w:p>
      <w:pPr>
        <w:spacing w:after="0" w:line="199" w:lineRule="exact"/>
        <w:rPr>
          <w:rFonts w:ascii="Arial" w:cs="Arial" w:eastAsia="Arial" w:hAnsi="Arial"/>
          <w:sz w:val="20"/>
          <w:szCs w:val="20"/>
          <w:color w:val="auto"/>
        </w:rPr>
      </w:pPr>
    </w:p>
    <w:p>
      <w:pPr>
        <w:jc w:val="both"/>
        <w:ind w:firstLine="656"/>
        <w:spacing w:after="0" w:line="282" w:lineRule="auto"/>
        <w:tabs>
          <w:tab w:leader="none" w:pos="103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Reference to Credit Agreement</w:t>
      </w:r>
      <w:r>
        <w:rPr>
          <w:rFonts w:ascii="Arial" w:cs="Arial" w:eastAsia="Arial" w:hAnsi="Arial"/>
          <w:sz w:val="18"/>
          <w:szCs w:val="18"/>
          <w:color w:val="auto"/>
        </w:rPr>
        <w:t>. Upon the effectiveness of this Amendment, (A) each reference in the Credit Agreement to “this Agreement”, “hereunder”, “hereof”, “herein” or words of like import shall mean and be a reference to the Credit Agreement as amended or otherwise modified hereby and (B) each reference in any other document, instrument or agreement executed and/or delivered in connection with the Credit Agreement shall mean and be a reference to the Credit Agreement as amended or otherwise modified hereby.</w:t>
      </w:r>
    </w:p>
    <w:p>
      <w:pPr>
        <w:spacing w:after="0" w:line="175" w:lineRule="exact"/>
        <w:rPr>
          <w:rFonts w:ascii="Arial" w:cs="Arial" w:eastAsia="Arial" w:hAnsi="Arial"/>
          <w:sz w:val="18"/>
          <w:szCs w:val="18"/>
          <w:color w:val="auto"/>
        </w:rPr>
      </w:pPr>
    </w:p>
    <w:p>
      <w:pPr>
        <w:jc w:val="both"/>
        <w:ind w:firstLine="656"/>
        <w:spacing w:after="0" w:line="250" w:lineRule="auto"/>
        <w:tabs>
          <w:tab w:leader="none" w:pos="113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THE RIGHTS AND OBLIGATIONS OF THE PARTIES HEREUNDER SHALL BE GOVERNED BY AND CONSTRUED AND INTERPRETED IN ACCORDANCE WITH THE LAWS OF THE STATE OF ILLINOIS.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420"/>
          </w:cols>
          <w:pgMar w:left="240" w:top="366" w:right="239" w:bottom="1440" w:gutter="0" w:footer="0" w:header="0"/>
        </w:sectPr>
      </w:pPr>
    </w:p>
    <w:bookmarkStart w:id="111" w:name="page112"/>
    <w:bookmarkEnd w:id="11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officers thereunto duly authorized, as of the date first above written.</w:t>
      </w:r>
    </w:p>
    <w:p>
      <w:pPr>
        <w:sectPr>
          <w:pgSz w:w="11900" w:h="16838" w:orient="portrait"/>
          <w:cols w:equalWidth="0" w:num="1">
            <w:col w:w="11160"/>
          </w:cols>
          <w:pgMar w:left="240" w:top="62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VECTREN CAPITAL, CORP.,</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 Indiana corporation</w:t>
      </w:r>
    </w:p>
    <w:p>
      <w:pPr>
        <w:spacing w:after="0" w:line="200" w:lineRule="exact"/>
        <w:rPr>
          <w:sz w:val="20"/>
          <w:szCs w:val="20"/>
          <w:color w:val="auto"/>
        </w:rPr>
      </w:pPr>
    </w:p>
    <w:p>
      <w:pPr>
        <w:sectPr>
          <w:pgSz w:w="11900" w:h="16838" w:orient="portrait"/>
          <w:cols w:equalWidth="0" w:num="2">
            <w:col w:w="1180" w:space="600"/>
            <w:col w:w="9380"/>
          </w:cols>
          <w:pgMar w:left="240" w:top="622" w:right="499" w:bottom="1440" w:gutter="0" w:footer="0" w:header="0"/>
          <w:type w:val="continuous"/>
        </w:sectPr>
      </w:pPr>
    </w:p>
    <w:p>
      <w:pPr>
        <w:spacing w:after="0" w:line="266"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Carla A. Kneipp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3544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Carla A. Kneipp</w:t>
      </w:r>
    </w:p>
    <w:p>
      <w:pPr>
        <w:ind w:left="2600"/>
        <w:spacing w:after="0"/>
        <w:rPr>
          <w:sz w:val="20"/>
          <w:szCs w:val="20"/>
          <w:color w:val="auto"/>
        </w:rPr>
      </w:pPr>
      <w:r>
        <w:rPr>
          <w:rFonts w:ascii="Arial" w:cs="Arial" w:eastAsia="Arial" w:hAnsi="Arial"/>
          <w:sz w:val="16"/>
          <w:szCs w:val="16"/>
          <w:color w:val="auto"/>
        </w:rPr>
        <w:t>Title: Vice President and Treasurer</w:t>
      </w:r>
    </w:p>
    <w:p>
      <w:pPr>
        <w:sectPr>
          <w:pgSz w:w="11900" w:h="16838" w:orient="portrait"/>
          <w:cols w:equalWidth="0" w:num="1">
            <w:col w:w="11160"/>
          </w:cols>
          <w:pgMar w:left="240" w:top="622"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color w:val="auto"/>
        </w:rPr>
        <w:t>GUARANTOR: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VECTREN CORPORATION,</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 Indiana corporation</w:t>
      </w:r>
    </w:p>
    <w:p>
      <w:pPr>
        <w:spacing w:after="0" w:line="200" w:lineRule="exact"/>
        <w:rPr>
          <w:sz w:val="20"/>
          <w:szCs w:val="20"/>
          <w:color w:val="auto"/>
        </w:rPr>
      </w:pPr>
    </w:p>
    <w:p>
      <w:pPr>
        <w:sectPr>
          <w:pgSz w:w="11900" w:h="16838" w:orient="portrait"/>
          <w:cols w:equalWidth="0" w:num="2">
            <w:col w:w="1300" w:space="600"/>
            <w:col w:w="9260"/>
          </w:cols>
          <w:pgMar w:left="240" w:top="622" w:right="499" w:bottom="1440" w:gutter="0" w:footer="0" w:header="0"/>
          <w:type w:val="continuous"/>
        </w:sectPr>
      </w:pPr>
    </w:p>
    <w:p>
      <w:pPr>
        <w:spacing w:after="0" w:line="266"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Carla A. Kneipp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3544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Carla A. Kneipp</w:t>
      </w:r>
    </w:p>
    <w:p>
      <w:pPr>
        <w:ind w:left="2600"/>
        <w:spacing w:after="0"/>
        <w:rPr>
          <w:sz w:val="20"/>
          <w:szCs w:val="20"/>
          <w:color w:val="auto"/>
        </w:rPr>
      </w:pPr>
      <w:r>
        <w:rPr>
          <w:rFonts w:ascii="Arial" w:cs="Arial" w:eastAsia="Arial" w:hAnsi="Arial"/>
          <w:sz w:val="16"/>
          <w:szCs w:val="16"/>
          <w:color w:val="auto"/>
        </w:rPr>
        <w:t>Title: Vice President and Treasurer</w:t>
      </w:r>
    </w:p>
    <w:p>
      <w:pPr>
        <w:sectPr>
          <w:pgSz w:w="11900" w:h="16838" w:orient="portrait"/>
          <w:cols w:equalWidth="0" w:num="1">
            <w:col w:w="11160"/>
          </w:cols>
          <w:pgMar w:left="240" w:top="622" w:right="49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color w:val="auto"/>
        </w:rPr>
        <w:t>ADMINISTRATIVE</w:t>
      </w:r>
    </w:p>
    <w:p>
      <w:pPr>
        <w:spacing w:after="0" w:line="15"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AGENT:</w:t>
      </w:r>
      <w:r>
        <w:rPr>
          <w:sz w:val="20"/>
          <w:szCs w:val="20"/>
          <w:color w:val="auto"/>
        </w:rPr>
        <w:tab/>
      </w:r>
      <w:r>
        <w:rPr>
          <w:rFonts w:ascii="Arial" w:cs="Arial" w:eastAsia="Arial" w:hAnsi="Arial"/>
          <w:sz w:val="20"/>
          <w:szCs w:val="20"/>
          <w:color w:val="auto"/>
        </w:rPr>
        <w:t>BANK OF AMERICA, N.A.,</w:t>
      </w:r>
    </w:p>
    <w:p>
      <w:pPr>
        <w:ind w:left="26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43"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Dan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29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129857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Dan Spencer</w:t>
      </w:r>
    </w:p>
    <w:p>
      <w:pPr>
        <w:ind w:left="260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219"/>
          </w:cols>
          <w:pgMar w:left="240" w:top="622"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LENDERS: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ectPr>
          <w:pgSz w:w="11900" w:h="16838" w:orient="portrait"/>
          <w:cols w:equalWidth="0" w:num="2">
            <w:col w:w="960" w:space="580"/>
            <w:col w:w="8679"/>
          </w:cols>
          <w:pgMar w:left="240" w:top="622" w:right="1440" w:bottom="1440" w:gutter="0" w:footer="0" w:header="0"/>
          <w:type w:val="continuous"/>
        </w:sectPr>
      </w:pPr>
    </w:p>
    <w:p>
      <w:pPr>
        <w:spacing w:after="0" w:line="243"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Dan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298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129857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Dan Spencer</w:t>
      </w:r>
    </w:p>
    <w:p>
      <w:pPr>
        <w:ind w:left="260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219"/>
          </w:cols>
          <w:pgMar w:left="240" w:top="622" w:right="1440"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272415</wp:posOffset>
            </wp:positionV>
            <wp:extent cx="1235075" cy="728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extLst>
                    </a:blip>
                    <a:srcRect/>
                    <a:stretch>
                      <a:fillRect/>
                    </a:stretch>
                  </pic:blipFill>
                  <pic:spPr bwMode="auto">
                    <a:xfrm>
                      <a:off x="0" y="0"/>
                      <a:ext cx="123507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Scott M. Prochazka</w:t>
      </w:r>
    </w:p>
    <w:p>
      <w:pPr>
        <w:spacing w:after="0" w:line="8"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President &amp; CEO</w:t>
      </w:r>
    </w:p>
    <w:p>
      <w:pPr>
        <w:spacing w:after="0" w:line="200" w:lineRule="exact"/>
        <w:rPr>
          <w:sz w:val="20"/>
          <w:szCs w:val="20"/>
          <w:color w:val="auto"/>
        </w:rPr>
      </w:pPr>
    </w:p>
    <w:p>
      <w:pPr>
        <w:spacing w:after="0" w:line="366"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April 9, 2019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Ms. Xia Liu</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Dear Xiu:</w:t>
      </w:r>
    </w:p>
    <w:p>
      <w:pPr>
        <w:spacing w:after="0" w:line="341" w:lineRule="exact"/>
        <w:rPr>
          <w:sz w:val="20"/>
          <w:szCs w:val="20"/>
          <w:color w:val="auto"/>
        </w:rPr>
      </w:pPr>
    </w:p>
    <w:p>
      <w:pPr>
        <w:ind w:right="660"/>
        <w:spacing w:after="0" w:line="302" w:lineRule="auto"/>
        <w:rPr>
          <w:sz w:val="20"/>
          <w:szCs w:val="20"/>
          <w:color w:val="auto"/>
        </w:rPr>
      </w:pPr>
      <w:r>
        <w:rPr>
          <w:rFonts w:ascii="Arial" w:cs="Arial" w:eastAsia="Arial" w:hAnsi="Arial"/>
          <w:sz w:val="22"/>
          <w:szCs w:val="22"/>
          <w:color w:val="auto"/>
        </w:rPr>
        <w:t>I am pleased to extend to you an offer of employment with CenterPoint Energy (the “Company”), as EVP &amp; Chief Financial Officer reporting to me. Your offer includes the following:</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Salary:</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$45,833.33 per month ($550,000 per year)</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Compensation:</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Short-Term Incentive (STI) plan participation </w:t>
      </w:r>
      <w:r>
        <w:rPr>
          <w:rFonts w:ascii="Arial" w:cs="Arial" w:eastAsia="Arial" w:hAnsi="Arial"/>
          <w:sz w:val="19"/>
          <w:szCs w:val="19"/>
          <w:color w:val="auto"/>
        </w:rPr>
        <w:t>- You will be eligible for participation in the 2019 STI plan. Your target award</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level is 75% of your 2019 plan year eligible earnings calculated from your hire date. However, based on meeting acceptable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performance, you will be eligible for a full year target award. Annual plan year award funding is based upon the achievement of a</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combination of corporate goals, approved by the Compensation Committee of the Board of Directors (Committee). Your actual</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payout, if any, is based on achievement of corporate goals as well as your individual performance.</w:t>
      </w:r>
    </w:p>
    <w:p>
      <w:pPr>
        <w:spacing w:after="0" w:line="335" w:lineRule="exact"/>
        <w:rPr>
          <w:sz w:val="20"/>
          <w:szCs w:val="20"/>
          <w:color w:val="auto"/>
        </w:rPr>
      </w:pPr>
    </w:p>
    <w:p>
      <w:pPr>
        <w:ind w:right="100"/>
        <w:spacing w:after="0" w:line="340" w:lineRule="auto"/>
        <w:rPr>
          <w:sz w:val="20"/>
          <w:szCs w:val="20"/>
          <w:color w:val="auto"/>
        </w:rPr>
      </w:pPr>
      <w:r>
        <w:rPr>
          <w:rFonts w:ascii="Arial" w:cs="Arial" w:eastAsia="Arial" w:hAnsi="Arial"/>
          <w:sz w:val="19"/>
          <w:szCs w:val="19"/>
          <w:b w:val="1"/>
          <w:bCs w:val="1"/>
          <w:color w:val="auto"/>
        </w:rPr>
        <w:t xml:space="preserve">Long-Term Incentive (LTI) plan participation </w:t>
      </w:r>
      <w:r>
        <w:rPr>
          <w:rFonts w:ascii="Arial" w:cs="Arial" w:eastAsia="Arial" w:hAnsi="Arial"/>
          <w:sz w:val="19"/>
          <w:szCs w:val="19"/>
          <w:color w:val="auto"/>
        </w:rPr>
        <w:t>- You will be eligible for participation in the CenterPoint Energy Long-Term</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Plan (“LTIP”). Subject to Committee approval, you will be granted a 2019-2021 LTIP award with a target incentive level of 190% of your annual base salary. This incentive may be granted in a combination of CenterPoint Energy performance share units, restricted stock units, stock options, or other authorized form. For your information, your 2019 award will be made up of 30% time-based restricted stock units (RSUs), 40% performance-based RSUs based on total shareholder return versus peer companies and 30% performance-based RSUs based on achieving a cumulative net income goal.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 1</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auto"/>
        </w:rPr>
        <w:t>Executive Benefits:</w:t>
      </w:r>
    </w:p>
    <w:p>
      <w:pPr>
        <w:spacing w:after="0" w:line="50" w:lineRule="exact"/>
        <w:rPr>
          <w:sz w:val="20"/>
          <w:szCs w:val="20"/>
          <w:color w:val="auto"/>
        </w:rPr>
      </w:pPr>
    </w:p>
    <w:p>
      <w:pPr>
        <w:ind w:right="260"/>
        <w:spacing w:after="0" w:line="302" w:lineRule="auto"/>
        <w:rPr>
          <w:sz w:val="20"/>
          <w:szCs w:val="20"/>
          <w:color w:val="auto"/>
        </w:rPr>
      </w:pPr>
      <w:r>
        <w:rPr>
          <w:rFonts w:ascii="Arial" w:cs="Arial" w:eastAsia="Arial" w:hAnsi="Arial"/>
          <w:sz w:val="22"/>
          <w:szCs w:val="22"/>
          <w:color w:val="auto"/>
        </w:rPr>
        <w:t>You are eligible for several executive benefits including the Change In Control Plan. A summary of these benefits is included for your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Benefits:</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Participation in CenterPoint Energy’s industry competitive benefits package. A summary is included.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Vacation:</w:t>
      </w:r>
    </w:p>
    <w:p>
      <w:pPr>
        <w:spacing w:after="0" w:line="50" w:lineRule="exact"/>
        <w:rPr>
          <w:sz w:val="20"/>
          <w:szCs w:val="20"/>
          <w:color w:val="auto"/>
        </w:rPr>
      </w:pPr>
    </w:p>
    <w:p>
      <w:pPr>
        <w:ind w:right="680"/>
        <w:spacing w:after="0" w:line="302" w:lineRule="auto"/>
        <w:rPr>
          <w:sz w:val="20"/>
          <w:szCs w:val="20"/>
          <w:color w:val="auto"/>
        </w:rPr>
      </w:pPr>
      <w:r>
        <w:rPr>
          <w:rFonts w:ascii="Arial" w:cs="Arial" w:eastAsia="Arial" w:hAnsi="Arial"/>
          <w:sz w:val="22"/>
          <w:szCs w:val="22"/>
          <w:color w:val="auto"/>
        </w:rPr>
        <w:t>Four (4) weeks of vacation each calendar year until such time as your service qualifies you for additional vacation under the vacation policy.</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Relocation Assistance:</w:t>
      </w:r>
    </w:p>
    <w:p>
      <w:pPr>
        <w:spacing w:after="0" w:line="50" w:lineRule="exact"/>
        <w:rPr>
          <w:sz w:val="20"/>
          <w:szCs w:val="20"/>
          <w:color w:val="auto"/>
        </w:rPr>
      </w:pPr>
    </w:p>
    <w:p>
      <w:pPr>
        <w:ind w:right="160"/>
        <w:spacing w:after="0" w:line="302" w:lineRule="auto"/>
        <w:rPr>
          <w:sz w:val="20"/>
          <w:szCs w:val="20"/>
          <w:color w:val="auto"/>
        </w:rPr>
      </w:pPr>
      <w:r>
        <w:rPr>
          <w:rFonts w:ascii="Arial" w:cs="Arial" w:eastAsia="Arial" w:hAnsi="Arial"/>
          <w:sz w:val="22"/>
          <w:szCs w:val="22"/>
          <w:color w:val="auto"/>
        </w:rPr>
        <w:t>You will be provided with short-term rental and travel allowance for 14 months, not to exceed $140,000 in total costs (benefit will be grossed up).</w:t>
      </w:r>
    </w:p>
    <w:p>
      <w:pPr>
        <w:spacing w:after="0" w:line="255" w:lineRule="exact"/>
        <w:rPr>
          <w:sz w:val="20"/>
          <w:szCs w:val="20"/>
          <w:color w:val="auto"/>
        </w:rPr>
      </w:pPr>
    </w:p>
    <w:p>
      <w:pPr>
        <w:ind w:right="60"/>
        <w:spacing w:after="0" w:line="357" w:lineRule="auto"/>
        <w:rPr>
          <w:sz w:val="20"/>
          <w:szCs w:val="20"/>
          <w:color w:val="auto"/>
        </w:rPr>
      </w:pPr>
      <w:r>
        <w:rPr>
          <w:rFonts w:ascii="Arial" w:cs="Arial" w:eastAsia="Arial" w:hAnsi="Arial"/>
          <w:sz w:val="19"/>
          <w:szCs w:val="19"/>
          <w:color w:val="auto"/>
        </w:rPr>
        <w:t>Relocation assistance will be provided pursuant to the Company’s Relocation Policy. A summary of the program is attached. If you accept the Company’s reimbursement for relocation expenses, you will be required to repay 100% of the relocation expenses if you voluntarily resign within the first year after the effective date of your employment and 50% within two years.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Signing Incentive:</w:t>
      </w:r>
    </w:p>
    <w:p>
      <w:pPr>
        <w:spacing w:after="0" w:line="50" w:lineRule="exact"/>
        <w:rPr>
          <w:sz w:val="20"/>
          <w:szCs w:val="20"/>
          <w:color w:val="auto"/>
        </w:rPr>
      </w:pPr>
    </w:p>
    <w:p>
      <w:pPr>
        <w:ind w:right="260"/>
        <w:spacing w:after="0" w:line="285" w:lineRule="auto"/>
        <w:rPr>
          <w:sz w:val="20"/>
          <w:szCs w:val="20"/>
          <w:color w:val="auto"/>
        </w:rPr>
      </w:pPr>
      <w:r>
        <w:rPr>
          <w:rFonts w:ascii="Arial" w:cs="Arial" w:eastAsia="Arial" w:hAnsi="Arial"/>
          <w:sz w:val="22"/>
          <w:szCs w:val="22"/>
          <w:color w:val="auto"/>
        </w:rPr>
        <w:t>You will be granted a one-time, Restricted Stock Unit Award under the CenterPoint Energy LTIP for a total of 25,000 units of CenterPoint Energy stock, subject to vesting over a two-year period. 12,500 units will vest upon your continued employment through the first anniversary of the grant date and the remaining 12,500 units will vest upon your continued employment through the second anniversary of the grant date. Any unvested shares will be forfeited should you terminate employment prior to the applicable vesting date. Your award will be subject to the terms and conditions of the LTIP and the applicable award agreement (forms of agreement are included).</w:t>
      </w:r>
    </w:p>
    <w:p>
      <w:pPr>
        <w:spacing w:after="0" w:line="277" w:lineRule="exact"/>
        <w:rPr>
          <w:sz w:val="20"/>
          <w:szCs w:val="20"/>
          <w:color w:val="auto"/>
        </w:rPr>
      </w:pPr>
    </w:p>
    <w:p>
      <w:pPr>
        <w:ind w:right="500"/>
        <w:spacing w:after="0" w:line="302" w:lineRule="auto"/>
        <w:rPr>
          <w:sz w:val="20"/>
          <w:szCs w:val="20"/>
          <w:color w:val="auto"/>
        </w:rPr>
      </w:pPr>
      <w:r>
        <w:rPr>
          <w:rFonts w:ascii="Arial" w:cs="Arial" w:eastAsia="Arial" w:hAnsi="Arial"/>
          <w:sz w:val="22"/>
          <w:szCs w:val="22"/>
          <w:color w:val="auto"/>
        </w:rPr>
        <w:t>A one-time, cash payment of $100,000 subject to tax withholding, payable on your first paycheck, and to be reimbursed to the Company in full if your employment terminates pursuant to the Repayment terms below.</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Repayment Agreement(s):</w:t>
      </w:r>
    </w:p>
    <w:p>
      <w:pPr>
        <w:spacing w:after="0" w:line="280" w:lineRule="exact"/>
        <w:rPr>
          <w:sz w:val="20"/>
          <w:szCs w:val="20"/>
          <w:color w:val="auto"/>
        </w:rPr>
      </w:pPr>
    </w:p>
    <w:p>
      <w:pPr>
        <w:ind w:right="380"/>
        <w:spacing w:after="0" w:line="292" w:lineRule="auto"/>
        <w:rPr>
          <w:sz w:val="20"/>
          <w:szCs w:val="20"/>
          <w:color w:val="auto"/>
        </w:rPr>
      </w:pPr>
      <w:r>
        <w:rPr>
          <w:rFonts w:ascii="Arial" w:cs="Arial" w:eastAsia="Arial" w:hAnsi="Arial"/>
          <w:sz w:val="22"/>
          <w:szCs w:val="22"/>
          <w:color w:val="auto"/>
        </w:rPr>
        <w:t>I hereby acknowledge that the Company will be reimbursing or advancing payments to me for items identified above. In consideration of the Company's payment(s), and in the event that I resign my employment from the Company, I hereby agree to repay to the Company these payments as follows: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 2</w:t>
      </w:r>
    </w:p>
    <w:p>
      <w:pPr>
        <w:sectPr>
          <w:pgSz w:w="11900" w:h="16838" w:orient="portrait"/>
          <w:cols w:equalWidth="0" w:num="1">
            <w:col w:w="11420"/>
          </w:cols>
          <w:pgMar w:left="240" w:top="382" w:right="239" w:bottom="1440" w:gutter="0" w:footer="0" w:header="0"/>
        </w:sectPr>
      </w:pPr>
    </w:p>
    <w:bookmarkStart w:id="115" w:name="page116"/>
    <w:bookmarkEnd w:id="115"/>
    <w:p>
      <w:pPr>
        <w:ind w:right="40"/>
        <w:spacing w:after="0" w:line="292" w:lineRule="auto"/>
        <w:rPr>
          <w:sz w:val="20"/>
          <w:szCs w:val="20"/>
          <w:color w:val="auto"/>
        </w:rPr>
      </w:pPr>
      <w:r>
        <w:rPr>
          <w:rFonts w:ascii="Arial" w:cs="Arial" w:eastAsia="Arial" w:hAnsi="Arial"/>
          <w:sz w:val="22"/>
          <w:szCs w:val="22"/>
          <w:color w:val="auto"/>
        </w:rPr>
        <w:t>If I resign within the first year after the start date of my employment, then I shall repay to the Company 100% of the payment(s); or If I resign within two years after the start date of my employment but after the first year of employment, then I shall repay to the Company 50% of the payment(s).</w:t>
      </w:r>
    </w:p>
    <w:p>
      <w:pPr>
        <w:spacing w:after="0" w:line="265" w:lineRule="exact"/>
        <w:rPr>
          <w:sz w:val="20"/>
          <w:szCs w:val="20"/>
          <w:color w:val="auto"/>
        </w:rPr>
      </w:pPr>
    </w:p>
    <w:p>
      <w:pPr>
        <w:ind w:right="80"/>
        <w:spacing w:after="0" w:line="288" w:lineRule="auto"/>
        <w:rPr>
          <w:sz w:val="20"/>
          <w:szCs w:val="20"/>
          <w:color w:val="auto"/>
        </w:rPr>
      </w:pPr>
      <w:r>
        <w:rPr>
          <w:rFonts w:ascii="Arial" w:cs="Arial" w:eastAsia="Arial" w:hAnsi="Arial"/>
          <w:sz w:val="22"/>
          <w:szCs w:val="22"/>
          <w:color w:val="auto"/>
        </w:rPr>
        <w:t>I agree to repay the Company no later than 15 days following the date of my termination of employment, and I also accept responsibility for any tax liabilities, credits and/or deductions that I may incur. I agree that the Company may deduct any payments from my wages, final paycheck, expense reimbursements, excess plan contributions, vacation hours, or any other sums owed to me by the Company.</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My signature below is evidence that I have read and agree to these terms and conditions.</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Anticipated Start Date: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April 22, 2019, or other date mutually agreed to.</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Conditions:</w:t>
      </w:r>
    </w:p>
    <w:p>
      <w:pPr>
        <w:spacing w:after="0" w:line="50" w:lineRule="exact"/>
        <w:rPr>
          <w:sz w:val="20"/>
          <w:szCs w:val="20"/>
          <w:color w:val="auto"/>
        </w:rPr>
      </w:pPr>
    </w:p>
    <w:p>
      <w:pPr>
        <w:ind w:right="320"/>
        <w:spacing w:after="0" w:line="302" w:lineRule="auto"/>
        <w:rPr>
          <w:sz w:val="20"/>
          <w:szCs w:val="20"/>
          <w:color w:val="auto"/>
        </w:rPr>
      </w:pPr>
      <w:r>
        <w:rPr>
          <w:rFonts w:ascii="Arial" w:cs="Arial" w:eastAsia="Arial" w:hAnsi="Arial"/>
          <w:sz w:val="22"/>
          <w:szCs w:val="22"/>
          <w:color w:val="auto"/>
        </w:rPr>
        <w:t>This offer is contingent upon successful completion of our background investigation and a drug screen; which will be conducted prior to your employment date.</w:t>
      </w:r>
    </w:p>
    <w:p>
      <w:pPr>
        <w:spacing w:after="0" w:line="255" w:lineRule="exact"/>
        <w:rPr>
          <w:sz w:val="20"/>
          <w:szCs w:val="20"/>
          <w:color w:val="auto"/>
        </w:rPr>
      </w:pPr>
    </w:p>
    <w:p>
      <w:pPr>
        <w:ind w:right="180"/>
        <w:spacing w:after="0" w:line="387" w:lineRule="auto"/>
        <w:rPr>
          <w:sz w:val="20"/>
          <w:szCs w:val="20"/>
          <w:color w:val="auto"/>
        </w:rPr>
      </w:pPr>
      <w:r>
        <w:rPr>
          <w:rFonts w:ascii="Arial" w:cs="Arial" w:eastAsia="Arial" w:hAnsi="Arial"/>
          <w:sz w:val="19"/>
          <w:szCs w:val="19"/>
          <w:color w:val="auto"/>
        </w:rPr>
        <w:t>The Immigration Reform &amp; Control Act of 1990 requires that all employers verify that persons hired by their firms are authorized to be employed in the United States. Documents verifying this eligibility will need to be provided upon reporting to work.</w:t>
      </w:r>
    </w:p>
    <w:p>
      <w:pPr>
        <w:spacing w:after="0" w:line="187" w:lineRule="exact"/>
        <w:rPr>
          <w:sz w:val="20"/>
          <w:szCs w:val="20"/>
          <w:color w:val="auto"/>
        </w:rPr>
      </w:pPr>
    </w:p>
    <w:p>
      <w:pPr>
        <w:ind w:right="260"/>
        <w:spacing w:after="0" w:line="387" w:lineRule="auto"/>
        <w:rPr>
          <w:sz w:val="20"/>
          <w:szCs w:val="20"/>
          <w:color w:val="auto"/>
        </w:rPr>
      </w:pPr>
      <w:r>
        <w:rPr>
          <w:rFonts w:ascii="Arial" w:cs="Arial" w:eastAsia="Arial" w:hAnsi="Arial"/>
          <w:sz w:val="19"/>
          <w:szCs w:val="19"/>
          <w:color w:val="auto"/>
        </w:rPr>
        <w:t>Where provisions in this letter refer to CenterPoint Energy’s compensation or benefits plans or to policies of CenterPoint Energy, the applicable plan document or policy statement will govern administration of the plan or application of the policy in all cases.</w:t>
      </w:r>
    </w:p>
    <w:p>
      <w:pPr>
        <w:spacing w:after="0" w:line="187" w:lineRule="exact"/>
        <w:rPr>
          <w:sz w:val="20"/>
          <w:szCs w:val="20"/>
          <w:color w:val="auto"/>
        </w:rPr>
      </w:pPr>
    </w:p>
    <w:p>
      <w:pPr>
        <w:ind w:right="220"/>
        <w:spacing w:after="0" w:line="387" w:lineRule="auto"/>
        <w:rPr>
          <w:sz w:val="20"/>
          <w:szCs w:val="20"/>
          <w:color w:val="auto"/>
        </w:rPr>
      </w:pPr>
      <w:r>
        <w:rPr>
          <w:rFonts w:ascii="Arial" w:cs="Arial" w:eastAsia="Arial" w:hAnsi="Arial"/>
          <w:sz w:val="19"/>
          <w:szCs w:val="19"/>
          <w:color w:val="auto"/>
        </w:rPr>
        <w:t>This letter neither constitutes nor may be construed as an employment contract between the Company and you for any period of time. Employment with CenterPoint Energy is an at-will employment relationship governed by applicable federal and state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 3</w:t>
      </w:r>
    </w:p>
    <w:p>
      <w:pPr>
        <w:sectPr>
          <w:pgSz w:w="11900" w:h="16838" w:orient="portrait"/>
          <w:cols w:equalWidth="0" w:num="1">
            <w:col w:w="11420"/>
          </w:cols>
          <w:pgMar w:left="240" w:top="685" w:right="2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If you have any questions, please do not hesitate to give me a call at (713) 207-8480.</w:t>
      </w:r>
    </w:p>
    <w:p>
      <w:pPr>
        <w:spacing w:after="0" w:line="341" w:lineRule="exact"/>
        <w:rPr>
          <w:sz w:val="20"/>
          <w:szCs w:val="20"/>
          <w:color w:val="auto"/>
        </w:rPr>
      </w:pPr>
    </w:p>
    <w:p>
      <w:pPr>
        <w:ind w:right="280"/>
        <w:spacing w:after="0" w:line="292" w:lineRule="auto"/>
        <w:rPr>
          <w:sz w:val="20"/>
          <w:szCs w:val="20"/>
          <w:color w:val="auto"/>
        </w:rPr>
      </w:pPr>
      <w:r>
        <w:rPr>
          <w:rFonts w:ascii="Arial" w:cs="Arial" w:eastAsia="Arial" w:hAnsi="Arial"/>
          <w:sz w:val="22"/>
          <w:szCs w:val="22"/>
          <w:color w:val="auto"/>
        </w:rPr>
        <w:t>To indicate your acceptance of this employment offer, please sign the original offer letter and return to me. I look forward to working with you and I believe that you will be a great addition to our team and contribute to achieving our vision of leading the nation in delivering energy, service and value.</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Scott Prochazka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Scott Prochazka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Xia Liu</w:t>
            </w:r>
          </w:p>
        </w:tc>
        <w:tc>
          <w:tcPr>
            <w:tcW w:w="1140" w:type="dxa"/>
            <w:vAlign w:val="bottom"/>
          </w:tcPr>
          <w:p>
            <w:pPr>
              <w:spacing w:after="0"/>
              <w:rPr>
                <w:sz w:val="24"/>
                <w:szCs w:val="24"/>
                <w:color w:val="auto"/>
              </w:rPr>
            </w:pPr>
          </w:p>
        </w:tc>
        <w:tc>
          <w:tcPr>
            <w:tcW w:w="34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Xia Liu</w:t>
            </w:r>
          </w:p>
        </w:tc>
        <w:tc>
          <w:tcPr>
            <w:tcW w:w="1040" w:type="dxa"/>
            <w:vAlign w:val="bottom"/>
          </w:tcPr>
          <w:p>
            <w:pPr>
              <w:spacing w:after="0"/>
              <w:rPr>
                <w:sz w:val="24"/>
                <w:szCs w:val="24"/>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4/16/19</w:t>
            </w:r>
          </w:p>
        </w:tc>
      </w:tr>
      <w:tr>
        <w:trPr>
          <w:trHeight w:val="280"/>
        </w:trPr>
        <w:tc>
          <w:tcPr>
            <w:tcW w:w="4120" w:type="dxa"/>
            <w:vAlign w:val="bottom"/>
            <w:gridSpan w:val="2"/>
          </w:tcPr>
          <w:p>
            <w:pPr>
              <w:ind w:left="40"/>
              <w:spacing w:after="0"/>
              <w:rPr>
                <w:sz w:val="20"/>
                <w:szCs w:val="20"/>
                <w:color w:val="auto"/>
              </w:rPr>
            </w:pPr>
            <w:r>
              <w:rPr>
                <w:rFonts w:ascii="Arial" w:cs="Arial" w:eastAsia="Arial" w:hAnsi="Arial"/>
                <w:sz w:val="22"/>
                <w:szCs w:val="22"/>
                <w:color w:val="auto"/>
              </w:rPr>
              <w:t>Signature</w:t>
            </w:r>
          </w:p>
        </w:tc>
        <w:tc>
          <w:tcPr>
            <w:tcW w:w="4460" w:type="dxa"/>
            <w:vAlign w:val="bottom"/>
            <w:gridSpan w:val="2"/>
          </w:tcPr>
          <w:p>
            <w:pPr>
              <w:ind w:left="40"/>
              <w:spacing w:after="0"/>
              <w:rPr>
                <w:sz w:val="20"/>
                <w:szCs w:val="20"/>
                <w:color w:val="auto"/>
              </w:rPr>
            </w:pPr>
            <w:r>
              <w:rPr>
                <w:rFonts w:ascii="Arial" w:cs="Arial" w:eastAsia="Arial" w:hAnsi="Arial"/>
                <w:sz w:val="22"/>
                <w:szCs w:val="22"/>
                <w:color w:val="auto"/>
              </w:rPr>
              <w:t>Name (Print)</w:t>
            </w:r>
          </w:p>
        </w:tc>
        <w:tc>
          <w:tcPr>
            <w:tcW w:w="2840" w:type="dxa"/>
            <w:vAlign w:val="bottom"/>
          </w:tcPr>
          <w:p>
            <w:pPr>
              <w:ind w:left="20"/>
              <w:spacing w:after="0"/>
              <w:rPr>
                <w:sz w:val="20"/>
                <w:szCs w:val="20"/>
                <w:color w:val="auto"/>
              </w:rPr>
            </w:pPr>
            <w:r>
              <w:rPr>
                <w:rFonts w:ascii="Arial" w:cs="Arial" w:eastAsia="Arial" w:hAnsi="Arial"/>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 4</w:t>
      </w:r>
    </w:p>
    <w:p>
      <w:pPr>
        <w:sectPr>
          <w:pgSz w:w="11900" w:h="16838" w:orient="portrait"/>
          <w:cols w:equalWidth="0" w:num="1">
            <w:col w:w="11420"/>
          </w:cols>
          <w:pgMar w:left="240" w:top="38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31.1.1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M. Prochazka, certify that:</w:t>
      </w:r>
    </w:p>
    <w:p>
      <w:pPr>
        <w:spacing w:after="0" w:line="252" w:lineRule="exact"/>
        <w:rPr>
          <w:sz w:val="20"/>
          <w:szCs w:val="20"/>
          <w:color w:val="auto"/>
        </w:rPr>
      </w:pPr>
    </w:p>
    <w:p>
      <w:pPr>
        <w:ind w:left="1440" w:hanging="784"/>
        <w:spacing w:after="0"/>
        <w:tabs>
          <w:tab w:leader="none" w:pos="14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65"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 w:firstLine="656"/>
        <w:spacing w:after="0" w:line="357" w:lineRule="auto"/>
        <w:tabs>
          <w:tab w:leader="none" w:pos="143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firstLine="656"/>
        <w:spacing w:after="0" w:line="311" w:lineRule="auto"/>
        <w:tabs>
          <w:tab w:leader="none" w:pos="143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jc w:val="both"/>
        <w:ind w:left="1300" w:hanging="644"/>
        <w:spacing w:after="0" w:line="264"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firstLine="656"/>
        <w:spacing w:after="0" w:line="357" w:lineRule="auto"/>
        <w:tabs>
          <w:tab w:leader="none" w:pos="143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1300" w:hanging="644"/>
        <w:spacing w:after="0" w:line="308" w:lineRule="auto"/>
        <w:tabs>
          <w:tab w:leader="none" w:pos="1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Scott M. Prochazka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31.1.2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M. Prochazka, certify that:</w:t>
      </w:r>
    </w:p>
    <w:p>
      <w:pPr>
        <w:spacing w:after="0" w:line="225"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52"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 w:firstLine="656"/>
        <w:spacing w:after="0" w:line="357" w:lineRule="auto"/>
        <w:tabs>
          <w:tab w:leader="none" w:pos="143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firstLine="656"/>
        <w:spacing w:after="0" w:line="311" w:lineRule="auto"/>
        <w:tabs>
          <w:tab w:leader="none" w:pos="143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jc w:val="both"/>
        <w:ind w:left="1300" w:hanging="644"/>
        <w:spacing w:after="0" w:line="264"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firstLine="656"/>
        <w:spacing w:after="0" w:line="357" w:lineRule="auto"/>
        <w:tabs>
          <w:tab w:leader="none" w:pos="143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1300" w:hanging="644"/>
        <w:spacing w:after="0" w:line="308" w:lineRule="auto"/>
        <w:tabs>
          <w:tab w:leader="none" w:pos="1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Scott M. Prochazka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(Principal Executive Officer)</w:t>
      </w:r>
    </w:p>
    <w:p>
      <w:pPr>
        <w:sectPr>
          <w:pgSz w:w="11900" w:h="16838" w:orient="portrait"/>
          <w:cols w:equalWidth="0" w:num="1">
            <w:col w:w="11420"/>
          </w:cols>
          <w:pgMar w:left="240" w:top="58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31.1.3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M. Prochazka, certify that:</w:t>
      </w:r>
    </w:p>
    <w:p>
      <w:pPr>
        <w:spacing w:after="0" w:line="225" w:lineRule="exact"/>
        <w:rPr>
          <w:sz w:val="20"/>
          <w:szCs w:val="20"/>
          <w:color w:val="auto"/>
        </w:rPr>
      </w:pPr>
    </w:p>
    <w:p>
      <w:pPr>
        <w:ind w:left="1280" w:hanging="624"/>
        <w:spacing w:after="0"/>
        <w:tabs>
          <w:tab w:leader="none" w:pos="1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25" w:lineRule="exact"/>
        <w:rPr>
          <w:rFonts w:ascii="Arial" w:cs="Arial" w:eastAsia="Arial" w:hAnsi="Arial"/>
          <w:sz w:val="18"/>
          <w:szCs w:val="18"/>
          <w:color w:val="auto"/>
        </w:rPr>
      </w:pPr>
    </w:p>
    <w:p>
      <w:pPr>
        <w:ind w:right="260" w:firstLine="656"/>
        <w:spacing w:after="0" w:line="264" w:lineRule="auto"/>
        <w:tabs>
          <w:tab w:leader="none" w:pos="12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20" w:firstLine="656"/>
        <w:spacing w:after="0" w:line="308" w:lineRule="auto"/>
        <w:tabs>
          <w:tab w:leader="none" w:pos="127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7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00" w:right="80" w:hanging="644"/>
        <w:spacing w:after="0" w:line="264"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80" w:firstLine="656"/>
        <w:spacing w:after="0" w:line="342" w:lineRule="auto"/>
        <w:tabs>
          <w:tab w:leader="none" w:pos="127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right="620" w:hanging="644"/>
        <w:spacing w:after="0" w:line="342" w:lineRule="auto"/>
        <w:tabs>
          <w:tab w:leader="none" w:pos="13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38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31750</wp:posOffset>
            </wp:positionV>
            <wp:extent cx="28555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Scott M. Prochazka</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31.2.1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Xia Liu, certify that:</w:t>
      </w:r>
    </w:p>
    <w:p>
      <w:pPr>
        <w:spacing w:after="0" w:line="252" w:lineRule="exact"/>
        <w:rPr>
          <w:sz w:val="20"/>
          <w:szCs w:val="20"/>
          <w:color w:val="auto"/>
        </w:rPr>
      </w:pPr>
    </w:p>
    <w:p>
      <w:pPr>
        <w:ind w:left="1440" w:hanging="784"/>
        <w:spacing w:after="0"/>
        <w:tabs>
          <w:tab w:leader="none" w:pos="14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65"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 w:firstLine="656"/>
        <w:spacing w:after="0" w:line="357" w:lineRule="auto"/>
        <w:tabs>
          <w:tab w:leader="none" w:pos="143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firstLine="656"/>
        <w:spacing w:after="0" w:line="311" w:lineRule="auto"/>
        <w:tabs>
          <w:tab w:leader="none" w:pos="14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jc w:val="both"/>
        <w:ind w:left="1300" w:hanging="644"/>
        <w:spacing w:after="0" w:line="264"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firstLine="656"/>
        <w:spacing w:after="0" w:line="357" w:lineRule="auto"/>
        <w:tabs>
          <w:tab w:leader="none" w:pos="143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1300" w:hanging="644"/>
        <w:spacing w:after="0" w:line="308" w:lineRule="auto"/>
        <w:tabs>
          <w:tab w:leader="none" w:pos="13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Xia Liu</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4"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31.2.2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Xia Liu, certify that:</w:t>
      </w:r>
    </w:p>
    <w:p>
      <w:pPr>
        <w:spacing w:after="0" w:line="252" w:lineRule="exact"/>
        <w:rPr>
          <w:sz w:val="20"/>
          <w:szCs w:val="20"/>
          <w:color w:val="auto"/>
        </w:rPr>
      </w:pPr>
    </w:p>
    <w:p>
      <w:pPr>
        <w:ind w:left="1440" w:hanging="784"/>
        <w:spacing w:after="0"/>
        <w:tabs>
          <w:tab w:leader="none" w:pos="1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65"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 w:firstLine="656"/>
        <w:spacing w:after="0" w:line="357" w:lineRule="auto"/>
        <w:tabs>
          <w:tab w:leader="none" w:pos="143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firstLine="656"/>
        <w:spacing w:after="0" w:line="311" w:lineRule="auto"/>
        <w:tabs>
          <w:tab w:leader="none" w:pos="143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jc w:val="both"/>
        <w:ind w:left="1300" w:hanging="644"/>
        <w:spacing w:after="0" w:line="264"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firstLine="656"/>
        <w:spacing w:after="0" w:line="357" w:lineRule="auto"/>
        <w:tabs>
          <w:tab w:leader="none" w:pos="143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1300" w:hanging="644"/>
        <w:spacing w:after="0" w:line="308" w:lineRule="auto"/>
        <w:tabs>
          <w:tab w:leader="none" w:pos="13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Xia Liu</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31.2.3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Xia Liu, certify that:</w:t>
      </w:r>
    </w:p>
    <w:p>
      <w:pPr>
        <w:spacing w:after="0" w:line="225" w:lineRule="exact"/>
        <w:rPr>
          <w:sz w:val="20"/>
          <w:szCs w:val="20"/>
          <w:color w:val="auto"/>
        </w:rPr>
      </w:pPr>
    </w:p>
    <w:p>
      <w:pPr>
        <w:ind w:left="1280" w:hanging="624"/>
        <w:spacing w:after="0"/>
        <w:tabs>
          <w:tab w:leader="none" w:pos="12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25" w:lineRule="exact"/>
        <w:rPr>
          <w:rFonts w:ascii="Arial" w:cs="Arial" w:eastAsia="Arial" w:hAnsi="Arial"/>
          <w:sz w:val="18"/>
          <w:szCs w:val="18"/>
          <w:color w:val="auto"/>
        </w:rPr>
      </w:pPr>
    </w:p>
    <w:p>
      <w:pPr>
        <w:ind w:right="260" w:firstLine="656"/>
        <w:spacing w:after="0" w:line="264" w:lineRule="auto"/>
        <w:tabs>
          <w:tab w:leader="none" w:pos="12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20" w:firstLine="656"/>
        <w:spacing w:after="0" w:line="308" w:lineRule="auto"/>
        <w:tabs>
          <w:tab w:leader="none" w:pos="127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7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00" w:right="80" w:hanging="644"/>
        <w:spacing w:after="0" w:line="264"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80" w:firstLine="656"/>
        <w:spacing w:after="0" w:line="342" w:lineRule="auto"/>
        <w:tabs>
          <w:tab w:leader="none" w:pos="127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right="620" w:hanging="644"/>
        <w:spacing w:after="0" w:line="342" w:lineRule="auto"/>
        <w:tabs>
          <w:tab w:leader="none" w:pos="13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38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31750</wp:posOffset>
            </wp:positionV>
            <wp:extent cx="28555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Xia Liu</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CenterPoint Energy, Inc. (the “Company”) on Form 10-Q for the quarter ended June 30, 2019 (the “Report”), as filed with the Securities and Exchange Commission on the date hereof, I, Scott M. Prochazka, Chief Executive Officer, certify, pursuant to 18 U.S.C. Section 1350, as adopted pursuant to Section 906 of the Sarbanes-Oxley Act of 2002, to the best of my knowledge, that:</w:t>
      </w:r>
    </w:p>
    <w:p>
      <w:pPr>
        <w:spacing w:after="0" w:line="208" w:lineRule="exact"/>
        <w:rPr>
          <w:sz w:val="20"/>
          <w:szCs w:val="20"/>
          <w:color w:val="auto"/>
        </w:rPr>
      </w:pPr>
    </w:p>
    <w:p>
      <w:pPr>
        <w:ind w:left="800" w:hanging="792"/>
        <w:spacing w:after="0"/>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65" w:lineRule="exact"/>
        <w:rPr>
          <w:rFonts w:ascii="Arial" w:cs="Arial" w:eastAsia="Arial" w:hAnsi="Arial"/>
          <w:sz w:val="18"/>
          <w:szCs w:val="18"/>
          <w:color w:val="auto"/>
        </w:rPr>
      </w:pPr>
    </w:p>
    <w:p>
      <w:pPr>
        <w:ind w:left="800" w:hanging="792"/>
        <w:spacing w:after="0"/>
        <w:tabs>
          <w:tab w:leader="none" w:pos="8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Prochazka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7, 2019</w:t>
      </w:r>
    </w:p>
    <w:p>
      <w:pPr>
        <w:sectPr>
          <w:pgSz w:w="11900" w:h="16838" w:orient="portrait"/>
          <w:cols w:equalWidth="0" w:num="1">
            <w:col w:w="11420"/>
          </w:cols>
          <w:pgMar w:left="240" w:top="58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32.1.2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CenterPoint Energy Houston Electric, LLC (the “Company”) on Form 10-Q for the three months ended June 30, 2019 (the “Report”), as filed with the Securities and Exchange Commission on the date hereof, I, Scott M. Prochazka, Chairman (Principal Executive Officer), certify, pursuant to 18 U.S.C. Section 1350, as adopted pursuant to Section 906 of the Sarbanes-Oxley Act of 2002, to the best of my knowledge, that:</w:t>
      </w:r>
    </w:p>
    <w:p>
      <w:pPr>
        <w:spacing w:after="0" w:line="214" w:lineRule="exact"/>
        <w:rPr>
          <w:sz w:val="20"/>
          <w:szCs w:val="20"/>
          <w:color w:val="auto"/>
        </w:rPr>
      </w:pPr>
    </w:p>
    <w:p>
      <w:pPr>
        <w:ind w:left="800" w:hanging="792"/>
        <w:spacing w:after="0"/>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65" w:lineRule="exact"/>
        <w:rPr>
          <w:rFonts w:ascii="Arial" w:cs="Arial" w:eastAsia="Arial" w:hAnsi="Arial"/>
          <w:sz w:val="18"/>
          <w:szCs w:val="18"/>
          <w:color w:val="auto"/>
        </w:rPr>
      </w:pPr>
    </w:p>
    <w:p>
      <w:pPr>
        <w:ind w:left="800" w:hanging="792"/>
        <w:spacing w:after="0"/>
        <w:tabs>
          <w:tab w:leader="none" w:pos="8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Prochazka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7, 2019</w:t>
      </w:r>
    </w:p>
    <w:p>
      <w:pPr>
        <w:sectPr>
          <w:pgSz w:w="11900" w:h="16838" w:orient="portrait"/>
          <w:cols w:equalWidth="0" w:num="1">
            <w:col w:w="11420"/>
          </w:cols>
          <w:pgMar w:left="240" w:top="58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32.1.3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of CenterPoint Energy Resources Corp. (the “Company”) on Form 10-Q for the three months ended June 30, 2019 (the “Report”), as filed with the Securities and Exchange Commission on the date hereof, I, Scott M. Prochazka, Chief Executive Officer, certify, pursuant to 18 U.S.C. Section 1350, as adopted pursuant to Section 906 of the Sarbanes-Oxley Act of 2002, to the best of my knowledge, that:</w:t>
      </w:r>
    </w:p>
    <w:p>
      <w:pPr>
        <w:spacing w:after="0" w:line="166" w:lineRule="exact"/>
        <w:rPr>
          <w:sz w:val="20"/>
          <w:szCs w:val="20"/>
          <w:color w:val="auto"/>
        </w:rPr>
      </w:pPr>
    </w:p>
    <w:p>
      <w:pPr>
        <w:ind w:left="640" w:hanging="632"/>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81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Prochazka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7, 2019</w:t>
      </w:r>
    </w:p>
    <w:p>
      <w:pPr>
        <w:sectPr>
          <w:pgSz w:w="11900" w:h="16838" w:orient="portrait"/>
          <w:cols w:equalWidth="0" w:num="1">
            <w:col w:w="11420"/>
          </w:cols>
          <w:pgMar w:left="240" w:top="58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32.2.1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CenterPoint Energy, Inc. (the “Company”) on Form 10-Q for the quarter ended June 30, 2019 (the “Report”), as filed with the Securities and Exchange Commission on the date hereof, I, Xia Liu, Chief Financial Officer, certify, pursuant to 18 U.S.C. Section 1350, as adopted pursuant to Section 906 of the Sarbanes-Oxley Act of 2002, to the best of my knowledge, that:</w:t>
      </w:r>
    </w:p>
    <w:p>
      <w:pPr>
        <w:spacing w:after="0" w:line="208" w:lineRule="exact"/>
        <w:rPr>
          <w:sz w:val="20"/>
          <w:szCs w:val="20"/>
          <w:color w:val="auto"/>
        </w:rPr>
      </w:pPr>
    </w:p>
    <w:p>
      <w:pPr>
        <w:ind w:left="800" w:hanging="792"/>
        <w:spacing w:after="0"/>
        <w:tabs>
          <w:tab w:leader="none" w:pos="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65" w:lineRule="exact"/>
        <w:rPr>
          <w:rFonts w:ascii="Arial" w:cs="Arial" w:eastAsia="Arial" w:hAnsi="Arial"/>
          <w:sz w:val="18"/>
          <w:szCs w:val="18"/>
          <w:color w:val="auto"/>
        </w:rPr>
      </w:pPr>
    </w:p>
    <w:p>
      <w:pPr>
        <w:ind w:left="800" w:hanging="792"/>
        <w:spacing w:after="0"/>
        <w:tabs>
          <w:tab w:leader="none" w:pos="8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Xia Liu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7, 2019</w:t>
      </w:r>
    </w:p>
    <w:p>
      <w:pPr>
        <w:sectPr>
          <w:pgSz w:w="11900" w:h="16838" w:orient="portrait"/>
          <w:cols w:equalWidth="0" w:num="1">
            <w:col w:w="11420"/>
          </w:cols>
          <w:pgMar w:left="240" w:top="58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32.2.2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CenterPoint Energy Houston Electric, LLC (the “Company”) on Form 10-Q for the three months ended June 30, 2019 (the “Report”), as filed with the Securities and Exchange Commission on the date hereof, I, Xia Liu, Chief Financial Officer, certify, pursuant to 18 U.S.C. Section 1350, as adopted pursuant to Section 906 of the Sarbanes-Oxley Act of 2002, to the best of my knowledge, that:</w:t>
      </w:r>
    </w:p>
    <w:p>
      <w:pPr>
        <w:spacing w:after="0" w:line="193" w:lineRule="exact"/>
        <w:rPr>
          <w:sz w:val="20"/>
          <w:szCs w:val="20"/>
          <w:color w:val="auto"/>
        </w:rPr>
      </w:pPr>
    </w:p>
    <w:p>
      <w:pPr>
        <w:ind w:left="800" w:hanging="792"/>
        <w:spacing w:after="0"/>
        <w:tabs>
          <w:tab w:leader="none" w:pos="8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65" w:lineRule="exact"/>
        <w:rPr>
          <w:rFonts w:ascii="Arial" w:cs="Arial" w:eastAsia="Arial" w:hAnsi="Arial"/>
          <w:sz w:val="18"/>
          <w:szCs w:val="18"/>
          <w:color w:val="auto"/>
        </w:rPr>
      </w:pPr>
    </w:p>
    <w:p>
      <w:pPr>
        <w:ind w:left="800" w:hanging="792"/>
        <w:spacing w:after="0"/>
        <w:tabs>
          <w:tab w:leader="none" w:pos="8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Xia Liu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7, 2019</w:t>
      </w:r>
    </w:p>
    <w:p>
      <w:pPr>
        <w:sectPr>
          <w:pgSz w:w="11900" w:h="16838" w:orient="portrait"/>
          <w:cols w:equalWidth="0" w:num="1">
            <w:col w:w="11420"/>
          </w:cols>
          <w:pgMar w:left="240" w:top="58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32.2.3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connection with the Quarterly Report of CenterPoint Energy Resources Corp. (the “Company”) on Form 10-Q for the three months ended June 30, 2019 (the “Report”), as filed with the Securities and Exchange Commission on the date hereof, I, Xia Liu, Chief Financial Officer, certify, pursuant to 18 U.S.C. Section 1350, as adopted pursuant to Section 906 of the Sarbanes-Oxley Act of 2002, to the best of my knowledge, that:</w:t>
      </w:r>
    </w:p>
    <w:p>
      <w:pPr>
        <w:spacing w:after="0" w:line="166" w:lineRule="exact"/>
        <w:rPr>
          <w:sz w:val="20"/>
          <w:szCs w:val="20"/>
          <w:color w:val="auto"/>
        </w:rPr>
      </w:pPr>
    </w:p>
    <w:p>
      <w:pPr>
        <w:ind w:left="640" w:hanging="632"/>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81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Xia Liu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7, 2019</w:t>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lvl w:ilvl="1">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lvl w:ilvl="1">
      <w:lvlJc w:val="left"/>
      <w:lvlText w:val="•"/>
      <w:numFmt w:val="bullet"/>
      <w:start w:val="1"/>
    </w:lvl>
  </w:abstractNum>
  <w:abstractNum w:abstractNumId="6">
    <w:nsid w:val="5F5E7FD0"/>
    <w:multiLevelType w:val="hybridMultilevel"/>
    <w:lvl w:ilvl="0">
      <w:lvlJc w:val="left"/>
      <w:lvlText w:val="(%1)"/>
      <w:numFmt w:val="decimal"/>
      <w:start w:val="2"/>
    </w:lvl>
  </w:abstractNum>
  <w:abstractNum w:abstractNumId="7">
    <w:nsid w:val="98A3148"/>
    <w:multiLevelType w:val="hybridMultilevel"/>
    <w:lvl w:ilvl="0">
      <w:lvlJc w:val="left"/>
      <w:lvlText w:val="(%1)"/>
      <w:numFmt w:val="decimal"/>
      <w:start w:val="1"/>
    </w:lvl>
  </w:abstractNum>
  <w:abstractNum w:abstractNumId="8">
    <w:nsid w:val="799D0247"/>
    <w:multiLevelType w:val="hybridMultilevel"/>
    <w:lvl w:ilvl="0">
      <w:lvlJc w:val="left"/>
      <w:lvlText w:val="(%1)"/>
      <w:numFmt w:val="decimal"/>
      <w:start w:val="1"/>
    </w:lvl>
  </w:abstractNum>
  <w:abstractNum w:abstractNumId="9">
    <w:nsid w:val="6B94764"/>
    <w:multiLevelType w:val="hybridMultilevel"/>
    <w:lvl w:ilvl="0">
      <w:lvlJc w:val="left"/>
      <w:lvlText w:val="(%1)"/>
      <w:numFmt w:val="decimal"/>
      <w:start w:val="1"/>
    </w:lvl>
  </w:abstractNum>
  <w:abstractNum w:abstractNumId="10">
    <w:nsid w:val="42C296BD"/>
    <w:multiLevelType w:val="hybridMultilevel"/>
    <w:lvl w:ilvl="0">
      <w:lvlJc w:val="left"/>
      <w:lvlText w:val="(%1)"/>
      <w:numFmt w:val="decimal"/>
      <w:start w:val="1"/>
    </w:lvl>
  </w:abstractNum>
  <w:abstractNum w:abstractNumId="11">
    <w:nsid w:val="168E121F"/>
    <w:multiLevelType w:val="hybridMultilevel"/>
    <w:lvl w:ilvl="0">
      <w:lvlJc w:val="left"/>
      <w:lvlText w:val="(%1)"/>
      <w:numFmt w:val="decimal"/>
      <w:start w:val="1"/>
    </w:lvl>
  </w:abstractNum>
  <w:abstractNum w:abstractNumId="12">
    <w:nsid w:val="1EBA5D23"/>
    <w:multiLevelType w:val="hybridMultilevel"/>
    <w:lvl w:ilvl="0">
      <w:lvlJc w:val="left"/>
      <w:lvlText w:val="(%1)"/>
      <w:numFmt w:val="decimal"/>
      <w:start w:val="1"/>
    </w:lvl>
  </w:abstractNum>
  <w:abstractNum w:abstractNumId="13">
    <w:nsid w:val="661E3F1E"/>
    <w:multiLevelType w:val="hybridMultilevel"/>
    <w:lvl w:ilvl="0">
      <w:lvlJc w:val="left"/>
      <w:lvlText w:val="(%1)"/>
      <w:numFmt w:val="decimal"/>
      <w:start w:val="1"/>
    </w:lvl>
  </w:abstractNum>
  <w:abstractNum w:abstractNumId="14">
    <w:nsid w:val="5DC79EA8"/>
    <w:multiLevelType w:val="hybridMultilevel"/>
    <w:lvl w:ilvl="0">
      <w:lvlJc w:val="left"/>
      <w:lvlText w:val="(%1)"/>
      <w:numFmt w:val="decimal"/>
      <w:start w:val="3"/>
    </w:lvl>
  </w:abstractNum>
  <w:abstractNum w:abstractNumId="15">
    <w:nsid w:val="540A471C"/>
    <w:multiLevelType w:val="hybridMultilevel"/>
    <w:lvl w:ilvl="0">
      <w:lvlJc w:val="left"/>
      <w:lvlText w:val="%1"/>
      <w:numFmt w:val="decimal"/>
      <w:start w:val="1"/>
    </w:lvl>
    <w:lvl w:ilvl="1">
      <w:lvlJc w:val="left"/>
      <w:lvlText w:val="(%2)"/>
      <w:numFmt w:val="decimal"/>
      <w:start w:val="6"/>
    </w:lvl>
  </w:abstractNum>
  <w:abstractNum w:abstractNumId="16">
    <w:nsid w:val="7BD3EE7B"/>
    <w:multiLevelType w:val="hybridMultilevel"/>
    <w:lvl w:ilvl="0">
      <w:lvlJc w:val="left"/>
      <w:lvlText w:val="(%1)"/>
      <w:numFmt w:val="decimal"/>
      <w:start w:val="7"/>
    </w:lvl>
    <w:lvl w:ilvl="1">
      <w:lvlJc w:val="left"/>
      <w:lvlText w:val="%2"/>
      <w:numFmt w:val="decimal"/>
      <w:start w:val="1"/>
    </w:lvl>
  </w:abstractNum>
  <w:abstractNum w:abstractNumId="17">
    <w:nsid w:val="51D9C564"/>
    <w:multiLevelType w:val="hybridMultilevel"/>
    <w:lvl w:ilvl="0">
      <w:lvlJc w:val="left"/>
      <w:lvlText w:val="(%1)"/>
      <w:numFmt w:val="decimal"/>
      <w:start w:val="1"/>
    </w:lvl>
  </w:abstractNum>
  <w:abstractNum w:abstractNumId="18">
    <w:nsid w:val="613EFDC5"/>
    <w:multiLevelType w:val="hybridMultilevel"/>
    <w:lvl w:ilvl="0">
      <w:lvlJc w:val="left"/>
      <w:lvlText w:val="(%1)"/>
      <w:numFmt w:val="decimal"/>
      <w:start w:val="1"/>
    </w:lvl>
  </w:abstractNum>
  <w:abstractNum w:abstractNumId="19">
    <w:nsid w:val="BF72B14"/>
    <w:multiLevelType w:val="hybridMultilevel"/>
    <w:lvl w:ilvl="0">
      <w:lvlJc w:val="left"/>
      <w:lvlText w:val="(%1)"/>
      <w:numFmt w:val="decimal"/>
      <w:start w:val="2"/>
    </w:lvl>
  </w:abstractNum>
  <w:abstractNum w:abstractNumId="20">
    <w:nsid w:val="11447B73"/>
    <w:multiLevelType w:val="hybridMultilevel"/>
    <w:lvl w:ilvl="0">
      <w:lvlJc w:val="left"/>
      <w:lvlText w:val="(%1)"/>
      <w:numFmt w:val="decimal"/>
      <w:start w:val="1"/>
    </w:lvl>
  </w:abstractNum>
  <w:abstractNum w:abstractNumId="21">
    <w:nsid w:val="42963E5A"/>
    <w:multiLevelType w:val="hybridMultilevel"/>
    <w:lvl w:ilvl="0">
      <w:lvlJc w:val="left"/>
      <w:lvlText w:val="(%1)"/>
      <w:numFmt w:val="decimal"/>
      <w:start w:val="1"/>
    </w:lvl>
  </w:abstractNum>
  <w:abstractNum w:abstractNumId="22">
    <w:nsid w:val="A0382C5"/>
    <w:multiLevelType w:val="hybridMultilevel"/>
    <w:lvl w:ilvl="0">
      <w:lvlJc w:val="left"/>
      <w:lvlText w:val="(%1)"/>
      <w:numFmt w:val="decimal"/>
      <w:start w:val="2"/>
    </w:lvl>
  </w:abstractNum>
  <w:abstractNum w:abstractNumId="23">
    <w:nsid w:val="8F2B15E"/>
    <w:multiLevelType w:val="hybridMultilevel"/>
    <w:lvl w:ilvl="0">
      <w:lvlJc w:val="left"/>
      <w:lvlText w:val="%1"/>
      <w:numFmt w:val="decimal"/>
      <w:start w:val="1"/>
    </w:lvl>
    <w:lvl w:ilvl="1">
      <w:lvlJc w:val="left"/>
      <w:lvlText w:val="(%2)"/>
      <w:numFmt w:val="decimal"/>
      <w:start w:val="1"/>
    </w:lvl>
  </w:abstractNum>
  <w:abstractNum w:abstractNumId="24">
    <w:nsid w:val="1A32234B"/>
    <w:multiLevelType w:val="hybridMultilevel"/>
    <w:lvl w:ilvl="0">
      <w:lvlJc w:val="left"/>
      <w:lvlText w:val="(%1)"/>
      <w:numFmt w:val="decimal"/>
      <w:start w:val="9"/>
    </w:lvl>
    <w:lvl w:ilvl="1">
      <w:lvlJc w:val="left"/>
      <w:lvlText w:val="%2"/>
      <w:numFmt w:val="decimal"/>
      <w:start w:val="1"/>
    </w:lvl>
  </w:abstractNum>
  <w:abstractNum w:abstractNumId="25">
    <w:nsid w:val="3B0FD379"/>
    <w:multiLevelType w:val="hybridMultilevel"/>
    <w:lvl w:ilvl="0">
      <w:lvlJc w:val="left"/>
      <w:lvlText w:val="(%1)"/>
      <w:numFmt w:val="decimal"/>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1)"/>
      <w:numFmt w:val="decimal"/>
      <w:start w:val="1"/>
    </w:lvl>
  </w:abstractNum>
  <w:abstractNum w:abstractNumId="28">
    <w:nsid w:val="60B6DF70"/>
    <w:multiLevelType w:val="hybridMultilevel"/>
    <w:lvl w:ilvl="0">
      <w:lvlJc w:val="left"/>
      <w:lvlText w:val="(%1)"/>
      <w:numFmt w:val="decimal"/>
      <w:start w:val="1"/>
    </w:lvl>
  </w:abstractNum>
  <w:abstractNum w:abstractNumId="29">
    <w:nsid w:val="6A5EE64"/>
    <w:multiLevelType w:val="hybridMultilevel"/>
    <w:lvl w:ilvl="0">
      <w:lvlJc w:val="left"/>
      <w:lvlText w:val="(%1)"/>
      <w:numFmt w:val="decimal"/>
      <w:start w:val="1"/>
    </w:lvl>
  </w:abstractNum>
  <w:abstractNum w:abstractNumId="30">
    <w:nsid w:val="14330624"/>
    <w:multiLevelType w:val="hybridMultilevel"/>
    <w:lvl w:ilvl="0">
      <w:lvlJc w:val="left"/>
      <w:lvlText w:val="(%1)"/>
      <w:numFmt w:val="decimal"/>
      <w:start w:val="1"/>
    </w:lvl>
  </w:abstractNum>
  <w:abstractNum w:abstractNumId="31">
    <w:nsid w:val="7FFFCA11"/>
    <w:multiLevelType w:val="hybridMultilevel"/>
    <w:lvl w:ilvl="0">
      <w:lvlJc w:val="left"/>
      <w:lvlText w:val="(%1)"/>
      <w:numFmt w:val="decimal"/>
      <w:start w:val="1"/>
    </w:lvl>
  </w:abstractNum>
  <w:abstractNum w:abstractNumId="32">
    <w:nsid w:val="1A27709E"/>
    <w:multiLevelType w:val="hybridMultilevel"/>
    <w:lvl w:ilvl="0">
      <w:lvlJc w:val="left"/>
      <w:lvlText w:val="(%1)"/>
      <w:numFmt w:val="decimal"/>
      <w:start w:val="1"/>
    </w:lvl>
  </w:abstractNum>
  <w:abstractNum w:abstractNumId="33">
    <w:nsid w:val="71EA1109"/>
    <w:multiLevelType w:val="hybridMultilevel"/>
    <w:lvl w:ilvl="0">
      <w:lvlJc w:val="left"/>
      <w:lvlText w:val="(%1)"/>
      <w:numFmt w:val="decimal"/>
      <w:start w:val="1"/>
    </w:lvl>
  </w:abstractNum>
  <w:abstractNum w:abstractNumId="34">
    <w:nsid w:val="100F59DC"/>
    <w:multiLevelType w:val="hybridMultilevel"/>
    <w:lvl w:ilvl="0">
      <w:lvlJc w:val="left"/>
      <w:lvlText w:val="(%1)"/>
      <w:numFmt w:val="decimal"/>
      <w:start w:val="11"/>
    </w:lvl>
    <w:lvl w:ilvl="1">
      <w:lvlJc w:val="left"/>
      <w:lvlText w:val="(%2)"/>
      <w:numFmt w:val="lowerLetter"/>
      <w:start w:val="1"/>
    </w:lvl>
  </w:abstractNum>
  <w:abstractNum w:abstractNumId="35">
    <w:nsid w:val="7FB7E0AA"/>
    <w:multiLevelType w:val="hybridMultilevel"/>
    <w:lvl w:ilvl="0">
      <w:lvlJc w:val="left"/>
      <w:lvlText w:val="(%1)"/>
      <w:numFmt w:val="decimal"/>
      <w:start w:val="12"/>
    </w:lvl>
    <w:lvl w:ilvl="1">
      <w:lvlJc w:val="left"/>
      <w:lvlText w:val="(%2)"/>
      <w:numFmt w:val="lowerLetter"/>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2"/>
    </w:lvl>
  </w:abstractNum>
  <w:abstractNum w:abstractNumId="40">
    <w:nsid w:val="76272110"/>
    <w:multiLevelType w:val="hybridMultilevel"/>
    <w:lvl w:ilvl="0">
      <w:lvlJc w:val="left"/>
      <w:lvlText w:val="(%1)"/>
      <w:numFmt w:val="decimal"/>
      <w:start w:val="1"/>
    </w:lvl>
  </w:abstractNum>
  <w:abstractNum w:abstractNumId="41">
    <w:nsid w:val="4C04A8AF"/>
    <w:multiLevelType w:val="hybridMultilevel"/>
    <w:lvl w:ilvl="0">
      <w:lvlJc w:val="left"/>
      <w:lvlText w:val="(%1)"/>
      <w:numFmt w:val="decimal"/>
      <w:start w:val="14"/>
    </w:lvl>
    <w:lvl w:ilvl="1">
      <w:lvlJc w:val="left"/>
      <w:lvlText w:val="(%2)"/>
      <w:numFmt w:val="lowerLetter"/>
      <w:start w:val="1"/>
    </w:lvl>
  </w:abstractNum>
  <w:abstractNum w:abstractNumId="42">
    <w:nsid w:val="1716703B"/>
    <w:multiLevelType w:val="hybridMultilevel"/>
    <w:lvl w:ilvl="0">
      <w:lvlJc w:val="left"/>
      <w:lvlText w:val="(%1)"/>
      <w:numFmt w:val="lowerLetter"/>
      <w:start w:val="3"/>
    </w:lvl>
  </w:abstractNum>
  <w:abstractNum w:abstractNumId="43">
    <w:nsid w:val="14E17E33"/>
    <w:multiLevelType w:val="hybridMultilevel"/>
    <w:lvl w:ilvl="0">
      <w:lvlJc w:val="left"/>
      <w:lvlText w:val="(%1)"/>
      <w:numFmt w:val="lowerRoman"/>
      <w:start w:val="1"/>
    </w:lvl>
  </w:abstractNum>
  <w:abstractNum w:abstractNumId="44">
    <w:nsid w:val="3222E7CD"/>
    <w:multiLevelType w:val="hybridMultilevel"/>
    <w:lvl w:ilvl="0">
      <w:lvlJc w:val="left"/>
      <w:lvlText w:val="(%1)"/>
      <w:numFmt w:val="lowerRoman"/>
      <w:start w:val="2"/>
    </w:lvl>
  </w:abstractNum>
  <w:abstractNum w:abstractNumId="45">
    <w:nsid w:val="74DE0EE3"/>
    <w:multiLevelType w:val="hybridMultilevel"/>
    <w:lvl w:ilvl="0">
      <w:lvlJc w:val="left"/>
      <w:lvlText w:val="%1"/>
      <w:numFmt w:val="decimal"/>
      <w:start w:val="1"/>
    </w:lvl>
    <w:lvl w:ilvl="1">
      <w:lvlJc w:val="left"/>
      <w:lvlText w:val="(%2)"/>
      <w:numFmt w:val="decimal"/>
      <w:start w:val="1"/>
    </w:lvl>
  </w:abstractNum>
  <w:abstractNum w:abstractNumId="46">
    <w:nsid w:val="68EBC550"/>
    <w:multiLevelType w:val="hybridMultilevel"/>
    <w:lvl w:ilvl="0">
      <w:lvlJc w:val="left"/>
      <w:lvlText w:val="(%1)"/>
      <w:numFmt w:val="decimal"/>
      <w:start w:val="16"/>
    </w:lvl>
    <w:lvl w:ilvl="1">
      <w:lvlJc w:val="left"/>
      <w:lvlText w:val="%2"/>
      <w:numFmt w:val="decimal"/>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1)"/>
      <w:numFmt w:val="decimal"/>
      <w:start w:val="1"/>
    </w:lvl>
  </w:abstractNum>
  <w:abstractNum w:abstractNumId="49">
    <w:nsid w:val="4A2AC315"/>
    <w:multiLevelType w:val="hybridMultilevel"/>
    <w:lvl w:ilvl="0">
      <w:lvlJc w:val="left"/>
      <w:lvlText w:val="%1"/>
      <w:numFmt w:val="decimal"/>
      <w:start w:val="1"/>
    </w:lvl>
    <w:lvl w:ilvl="1">
      <w:lvlJc w:val="left"/>
      <w:lvlText w:val="(%2)"/>
      <w:numFmt w:val="decimal"/>
      <w:start w:val="2"/>
    </w:lvl>
  </w:abstractNum>
  <w:abstractNum w:abstractNumId="50">
    <w:nsid w:val="39EE015C"/>
    <w:multiLevelType w:val="hybridMultilevel"/>
    <w:lvl w:ilvl="0">
      <w:lvlJc w:val="left"/>
      <w:lvlText w:val="(%1)"/>
      <w:numFmt w:val="decimal"/>
      <w:start w:val="17"/>
    </w:lvl>
    <w:lvl w:ilvl="1">
      <w:lvlJc w:val="left"/>
      <w:lvlText w:val="%2"/>
      <w:numFmt w:val="decimal"/>
      <w:start w:val="1"/>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1)"/>
      <w:numFmt w:val="decimal"/>
      <w:start w:val="1"/>
    </w:lvl>
  </w:abstractNum>
  <w:abstractNum w:abstractNumId="53">
    <w:nsid w:val="43F18422"/>
    <w:multiLevelType w:val="hybridMultilevel"/>
    <w:lvl w:ilvl="0">
      <w:lvlJc w:val="left"/>
      <w:lvlText w:val="(%1)"/>
      <w:numFmt w:val="decimal"/>
      <w:start w:val="1"/>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1)"/>
      <w:numFmt w:val="decimal"/>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1)"/>
      <w:numFmt w:val="decimal"/>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1)"/>
      <w:numFmt w:val="decimal"/>
      <w:start w:val="1"/>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1)"/>
      <w:numFmt w:val="decimal"/>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
      <w:numFmt w:val="bullet"/>
      <w:start w:val="1"/>
    </w:lvl>
  </w:abstractNum>
  <w:abstractNum w:abstractNumId="88">
    <w:nsid w:val="53584BCB"/>
    <w:multiLevelType w:val="hybridMultilevel"/>
    <w:lvl w:ilvl="0">
      <w:lvlJc w:val="left"/>
      <w:lvlText w:val="(%1)"/>
      <w:numFmt w:val="decimal"/>
      <w:start w:val="1"/>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
      <w:numFmt w:val="bullet"/>
      <w:start w:val="1"/>
    </w:lvl>
  </w:abstractNum>
  <w:abstractNum w:abstractNumId="91">
    <w:nsid w:val="23D86AAC"/>
    <w:multiLevelType w:val="hybridMultilevel"/>
    <w:lvl w:ilvl="0">
      <w:lvlJc w:val="left"/>
      <w:lvlText w:val="(%1)"/>
      <w:numFmt w:val="decimal"/>
      <w:start w:val="1"/>
    </w:lvl>
  </w:abstractNum>
  <w:abstractNum w:abstractNumId="92">
    <w:nsid w:val="45E6D486"/>
    <w:multiLevelType w:val="hybridMultilevel"/>
    <w:lvl w:ilvl="0">
      <w:lvlJc w:val="left"/>
      <w:lvlText w:val="(%1)"/>
      <w:numFmt w:val="decimal"/>
      <w:start w:val="1"/>
    </w:lvl>
  </w:abstractNum>
  <w:abstractNum w:abstractNumId="93">
    <w:nsid w:val="5C10FE21"/>
    <w:multiLevelType w:val="hybridMultilevel"/>
    <w:lvl w:ilvl="0">
      <w:lvlJc w:val="left"/>
      <w:lvlText w:val="(%1)"/>
      <w:numFmt w:val="decimal"/>
      <w:start w:val="1"/>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
      <w:numFmt w:val="bullet"/>
      <w:start w:val="1"/>
    </w:lvl>
  </w:abstractNum>
  <w:abstractNum w:abstractNumId="96">
    <w:nsid w:val="4BD8591A"/>
    <w:multiLevelType w:val="hybridMultilevel"/>
    <w:lvl w:ilvl="0">
      <w:lvlJc w:val="left"/>
      <w:lvlText w:val="•"/>
      <w:numFmt w:val="bullet"/>
      <w:start w:val="1"/>
    </w:lvl>
  </w:abstractNum>
  <w:abstractNum w:abstractNumId="97">
    <w:nsid w:val="78DF6A55"/>
    <w:multiLevelType w:val="hybridMultilevel"/>
    <w:lvl w:ilvl="0">
      <w:lvlJc w:val="left"/>
      <w:lvlText w:val="*"/>
      <w:numFmt w:val="bullet"/>
      <w:start w:val="1"/>
    </w:lvl>
  </w:abstractNum>
  <w:abstractNum w:abstractNumId="98">
    <w:nsid w:val="39B7AAA2"/>
    <w:multiLevelType w:val="hybridMultilevel"/>
    <w:lvl w:ilvl="0">
      <w:lvlJc w:val="left"/>
      <w:lvlText w:val="%1."/>
      <w:numFmt w:val="upperLetter"/>
      <w:start w:val="1"/>
    </w:lvl>
  </w:abstractNum>
  <w:abstractNum w:abstractNumId="99">
    <w:nsid w:val="2B0D8DBE"/>
    <w:multiLevelType w:val="hybridMultilevel"/>
    <w:lvl w:ilvl="0">
      <w:lvlJc w:val="left"/>
      <w:lvlText w:val="%1."/>
      <w:numFmt w:val="decimal"/>
      <w:start w:val="1"/>
    </w:lvl>
  </w:abstractNum>
  <w:abstractNum w:abstractNumId="100">
    <w:nsid w:val="6C80EC70"/>
    <w:multiLevelType w:val="hybridMultilevel"/>
    <w:lvl w:ilvl="0">
      <w:lvlJc w:val="left"/>
      <w:lvlText w:val="%1."/>
      <w:numFmt w:val="decimal"/>
      <w:start w:val="2"/>
    </w:lvl>
    <w:lvl w:ilvl="1">
      <w:lvlJc w:val="left"/>
      <w:lvlText w:val="(%2)"/>
      <w:numFmt w:val="lowerLetter"/>
      <w:start w:val="1"/>
    </w:lvl>
  </w:abstractNum>
  <w:abstractNum w:abstractNumId="101">
    <w:nsid w:val="379E21B5"/>
    <w:multiLevelType w:val="hybridMultilevel"/>
    <w:lvl w:ilvl="0">
      <w:lvlJc w:val="left"/>
      <w:lvlText w:val="%1"/>
      <w:numFmt w:val="decimal"/>
      <w:start w:val="1"/>
    </w:lvl>
    <w:lvl w:ilvl="1">
      <w:lvlJc w:val="left"/>
      <w:lvlText w:val="(%2)"/>
      <w:numFmt w:val="lowerLetter"/>
      <w:start w:val="3"/>
    </w:lvl>
  </w:abstractNum>
  <w:abstractNum w:abstractNumId="102">
    <w:nsid w:val="69E373"/>
    <w:multiLevelType w:val="hybridMultilevel"/>
    <w:lvl w:ilvl="0">
      <w:lvlJc w:val="left"/>
      <w:lvlText w:val="%1."/>
      <w:numFmt w:val="decimal"/>
      <w:start w:val="5"/>
    </w:lvl>
    <w:lvl w:ilvl="1">
      <w:lvlJc w:val="left"/>
      <w:lvlText w:val="%2"/>
      <w:numFmt w:val="lowerLetter"/>
      <w:start w:val="1"/>
    </w:lvl>
  </w:abstractNum>
  <w:abstractNum w:abstractNumId="103">
    <w:nsid w:val="2C27173B"/>
    <w:multiLevelType w:val="hybridMultilevel"/>
    <w:lvl w:ilvl="0">
      <w:lvlJc w:val="left"/>
      <w:lvlText w:val="%1."/>
      <w:numFmt w:val="decimal"/>
      <w:start w:val="1"/>
    </w:lvl>
  </w:abstractNum>
  <w:abstractNum w:abstractNumId="104">
    <w:nsid w:val="4C9B0904"/>
    <w:multiLevelType w:val="hybridMultilevel"/>
    <w:lvl w:ilvl="0">
      <w:lvlJc w:val="left"/>
      <w:lvlText w:val="(%1)"/>
      <w:numFmt w:val="lowerLetter"/>
      <w:start w:val="1"/>
    </w:lvl>
  </w:abstractNum>
  <w:abstractNum w:abstractNumId="105">
    <w:nsid w:val="6AA7B75C"/>
    <w:multiLevelType w:val="hybridMultilevel"/>
    <w:lvl w:ilvl="0">
      <w:lvlJc w:val="left"/>
      <w:lvlText w:val="%1."/>
      <w:numFmt w:val="decimal"/>
      <w:start w:val="5"/>
    </w:lvl>
  </w:abstractNum>
  <w:abstractNum w:abstractNumId="106">
    <w:nsid w:val="1DF029D3"/>
    <w:multiLevelType w:val="hybridMultilevel"/>
    <w:lvl w:ilvl="0">
      <w:lvlJc w:val="left"/>
      <w:lvlText w:val="(%1)"/>
      <w:numFmt w:val="lowerLetter"/>
      <w:start w:val="1"/>
    </w:lvl>
  </w:abstractNum>
  <w:abstractNum w:abstractNumId="107">
    <w:nsid w:val="5675FF36"/>
    <w:multiLevelType w:val="hybridMultilevel"/>
    <w:lvl w:ilvl="0">
      <w:lvlJc w:val="left"/>
      <w:lvlText w:val="%1."/>
      <w:numFmt w:val="decimal"/>
      <w:start w:val="1"/>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decimal"/>
      <w:start w:val="5"/>
    </w:lvl>
  </w:abstractNum>
  <w:abstractNum w:abstractNumId="110">
    <w:nsid w:val="2708C9AF"/>
    <w:multiLevelType w:val="hybridMultilevel"/>
    <w:lvl w:ilvl="0">
      <w:lvlJc w:val="left"/>
      <w:lvlText w:val="(%1)"/>
      <w:numFmt w:val="lowerLetter"/>
      <w:start w:val="1"/>
    </w:lvl>
  </w:abstractNum>
  <w:abstractNum w:abstractNumId="111">
    <w:nsid w:val="5B25ACE2"/>
    <w:multiLevelType w:val="hybridMultilevel"/>
    <w:lvl w:ilvl="0">
      <w:lvlJc w:val="left"/>
      <w:lvlText w:val="%1."/>
      <w:numFmt w:val="decimal"/>
      <w:start w:val="1"/>
    </w:lvl>
  </w:abstractNum>
  <w:abstractNum w:abstractNumId="112">
    <w:nsid w:val="175DFCF0"/>
    <w:multiLevelType w:val="hybridMultilevel"/>
    <w:lvl w:ilvl="0">
      <w:lvlJc w:val="left"/>
      <w:lvlText w:val="(%1)"/>
      <w:numFmt w:val="lowerLetter"/>
      <w:start w:val="1"/>
    </w:lvl>
  </w:abstractNum>
  <w:abstractNum w:abstractNumId="113">
    <w:nsid w:val="4F97E3E4"/>
    <w:multiLevelType w:val="hybridMultilevel"/>
    <w:lvl w:ilvl="0">
      <w:lvlJc w:val="left"/>
      <w:lvlText w:val="%1."/>
      <w:numFmt w:val="decimal"/>
      <w:start w:val="5"/>
    </w:lvl>
  </w:abstractNum>
  <w:abstractNum w:abstractNumId="114">
    <w:nsid w:val="53B0A9E"/>
    <w:multiLevelType w:val="hybridMultilevel"/>
    <w:lvl w:ilvl="0">
      <w:lvlJc w:val="left"/>
      <w:lvlText w:val="(%1)"/>
      <w:numFmt w:val="lowerLetter"/>
      <w:start w:val="1"/>
    </w:lvl>
  </w:abstractNum>
  <w:abstractNum w:abstractNumId="115">
    <w:nsid w:val="34FD6B4F"/>
    <w:multiLevelType w:val="hybridMultilevel"/>
    <w:lvl w:ilvl="0">
      <w:lvlJc w:val="left"/>
      <w:lvlText w:val="%1."/>
      <w:numFmt w:val="decimal"/>
      <w:start w:val="1"/>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1."/>
      <w:numFmt w:val="decimal"/>
      <w:start w:val="5"/>
    </w:lvl>
  </w:abstractNum>
  <w:abstractNum w:abstractNumId="118">
    <w:nsid w:val="519E3149"/>
    <w:multiLevelType w:val="hybridMultilevel"/>
    <w:lvl w:ilvl="0">
      <w:lvlJc w:val="left"/>
      <w:lvlText w:val="(%1)"/>
      <w:numFmt w:val="lowerLetter"/>
      <w:start w:val="1"/>
    </w:lvl>
  </w:abstractNum>
  <w:abstractNum w:abstractNumId="119">
    <w:nsid w:val="2C6E4AFD"/>
    <w:multiLevelType w:val="hybridMultilevel"/>
    <w:lvl w:ilvl="0">
      <w:lvlJc w:val="left"/>
      <w:lvlText w:val="%1."/>
      <w:numFmt w:val="decimal"/>
      <w:start w:val="1"/>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decimal"/>
      <w:start w:val="5"/>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1."/>
      <w:numFmt w:val="decimal"/>
      <w:start w:val="1"/>
    </w:lvl>
  </w:abstractNum>
  <w:abstractNum w:abstractNumId="124">
    <w:nsid w:val="2A082C70"/>
    <w:multiLevelType w:val="hybridMultilevel"/>
    <w:lvl w:ilvl="0">
      <w:lvlJc w:val="left"/>
      <w:lvlText w:val="(%1)"/>
      <w:numFmt w:val="lowerLetter"/>
      <w:start w:val="1"/>
    </w:lvl>
  </w:abstractNum>
  <w:abstractNum w:abstractNumId="125">
    <w:nsid w:val="5EC6AFD4"/>
    <w:multiLevelType w:val="hybridMultilevel"/>
    <w:lvl w:ilvl="0">
      <w:lvlJc w:val="left"/>
      <w:lvlText w:val="%1."/>
      <w:numFmt w:val="decimal"/>
      <w:start w:val="5"/>
    </w:lvl>
  </w:abstractNum>
  <w:abstractNum w:abstractNumId="126">
    <w:nsid w:val="19E21BB2"/>
    <w:multiLevelType w:val="hybridMultilevel"/>
    <w:lvl w:ilvl="0">
      <w:lvlJc w:val="left"/>
      <w:lvlText w:val="(%1)"/>
      <w:numFmt w:val="lowerLetter"/>
      <w:start w:val="1"/>
    </w:lvl>
  </w:abstractNum>
  <w:abstractNum w:abstractNumId="127">
    <w:nsid w:val="75E0858A"/>
    <w:multiLevelType w:val="hybridMultilevel"/>
    <w:lvl w:ilvl="0">
      <w:lvlJc w:val="left"/>
      <w:lvlText w:val="%1."/>
      <w:numFmt w:val="decimal"/>
      <w:start w:val="1"/>
    </w:lvl>
  </w:abstractNum>
  <w:abstractNum w:abstractNumId="128">
    <w:nsid w:val="57A61A29"/>
    <w:multiLevelType w:val="hybridMultilevel"/>
    <w:lvl w:ilvl="0">
      <w:lvlJc w:val="left"/>
      <w:lvlText w:val="%1."/>
      <w:numFmt w:val="decimal"/>
      <w:start w:val="1"/>
    </w:lvl>
  </w:abstractNum>
  <w:abstractNum w:abstractNumId="129">
    <w:nsid w:val="5399C654"/>
    <w:multiLevelType w:val="hybridMultilevel"/>
    <w:lvl w:ilvl="0">
      <w:lvlJc w:val="left"/>
      <w:lvlText w:val="%1."/>
      <w:numFmt w:val="decimal"/>
      <w:start w:val="1"/>
    </w:lvl>
  </w:abstractNum>
  <w:abstractNum w:abstractNumId="130">
    <w:nsid w:val="20EE1348"/>
    <w:multiLevelType w:val="hybridMultilevel"/>
    <w:lvl w:ilvl="0">
      <w:lvlJc w:val="left"/>
      <w:lvlText w:val="%1."/>
      <w:numFmt w:val="decimal"/>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9" Type="http://schemas.openxmlformats.org/officeDocument/2006/relationships/image" Target="media/image9.png"/><Relationship Id="rId23" Type="http://schemas.openxmlformats.org/officeDocument/2006/relationships/image" Target="media/image10.png"/><Relationship Id="rId44" Type="http://schemas.openxmlformats.org/officeDocument/2006/relationships/image" Target="media/image11.png"/><Relationship Id="rId45" Type="http://schemas.openxmlformats.org/officeDocument/2006/relationships/image" Target="media/image12.png"/><Relationship Id="rId46"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49" Type="http://schemas.openxmlformats.org/officeDocument/2006/relationships/image" Target="media/image16.jpeg"/><Relationship Id="rId50" Type="http://schemas.openxmlformats.org/officeDocument/2006/relationships/image" Target="media/image17.png"/><Relationship Id="rId51" Type="http://schemas.openxmlformats.org/officeDocument/2006/relationships/image" Target="media/image18.png"/><Relationship Id="rId52" Type="http://schemas.openxmlformats.org/officeDocument/2006/relationships/image" Target="media/image19.png"/><Relationship Id="rId53" Type="http://schemas.openxmlformats.org/officeDocument/2006/relationships/image" Target="media/image20.png"/><Relationship Id="rId54" Type="http://schemas.openxmlformats.org/officeDocument/2006/relationships/image" Target="media/image21.png"/><Relationship Id="rId55" Type="http://schemas.openxmlformats.org/officeDocument/2006/relationships/image" Target="media/image22.png"/><Relationship Id="rId56" Type="http://schemas.openxmlformats.org/officeDocument/2006/relationships/image" Target="media/image23.png"/><Relationship Id="rId57" Type="http://schemas.openxmlformats.org/officeDocument/2006/relationships/image" Target="media/image24.png"/><Relationship Id="rId58" Type="http://schemas.openxmlformats.org/officeDocument/2006/relationships/image" Target="media/image25.png"/><Relationship Id="rId59"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10" Type="http://schemas.openxmlformats.org/officeDocument/2006/relationships/hyperlink" Target="http://www.sec.gov/Archives/edgar/data/48732/000113031019000016/cnp_10kx12312018.htm#s837492B360C456828FD373CBD4A00B59" TargetMode="External"/><Relationship Id="rId17" Type="http://schemas.openxmlformats.org/officeDocument/2006/relationships/hyperlink" Target="http://www.sec.gov/Archives/edgar/data/48732/000113031019000016/cnp_10kx12312018.htm#s3D598A74847C5608890D48A9DBFFF48B" TargetMode="External"/><Relationship Id="rId18" Type="http://schemas.openxmlformats.org/officeDocument/2006/relationships/hyperlink" Target="http://www.sec.gov/Archives/edgar/data/48732/000113031019000016/cnp_10kx12312018.htm#s31689019CDC35665A674F81D23D70003" TargetMode="External"/><Relationship Id="rId20" Type="http://schemas.openxmlformats.org/officeDocument/2006/relationships/hyperlink" Target="http://www.sec.gov/Archives/edgar/data/1130310/000119312518125804/d561804dex21.htm" TargetMode="External"/><Relationship Id="rId21" Type="http://schemas.openxmlformats.org/officeDocument/2006/relationships/hyperlink" Target="http://www.sec.gov/Archives/edgar/data/1130310/000113031008000004/ex3-2.htm" TargetMode="External"/><Relationship Id="rId22" Type="http://schemas.openxmlformats.org/officeDocument/2006/relationships/hyperlink" Target="http://www.sec.gov/Archives/edgar/data/48732/000113031011000048/ex3-1.htm" TargetMode="External"/><Relationship Id="rId24" Type="http://schemas.openxmlformats.org/officeDocument/2006/relationships/hyperlink" Target="http://www.sec.gov/Archives/edgar/data/1130310/000119312517056500/d354129dex31.htm" TargetMode="External"/><Relationship Id="rId25" Type="http://schemas.openxmlformats.org/officeDocument/2006/relationships/hyperlink" Target="http://www.sec.gov/Archives/edgar/data/48732/000113031011000048/ex3-2.htm" TargetMode="External"/><Relationship Id="rId26" Type="http://schemas.openxmlformats.org/officeDocument/2006/relationships/hyperlink" Target="http://www.sec.gov/Archives/edgar/data/1130310/000113031012000011/exhibit3c.htm" TargetMode="External"/><Relationship Id="rId27" Type="http://schemas.openxmlformats.org/officeDocument/2006/relationships/hyperlink" Target="http://www.sec.gov/Archives/edgar/data/1130310/000119312518256372/d601681dex31.htm" TargetMode="External"/><Relationship Id="rId28" Type="http://schemas.openxmlformats.org/officeDocument/2006/relationships/hyperlink" Target="http://www.sec.gov/Archives/edgar/data/1130310/000119312518288531/d589550dex31.htm" TargetMode="External"/><Relationship Id="rId29" Type="http://schemas.openxmlformats.org/officeDocument/2006/relationships/hyperlink" Target="http://www.sec.gov/Archives/edgar/data/1130310/000095012901503771/h90625a1ex4-1.txt" TargetMode="External"/><Relationship Id="rId30" Type="http://schemas.openxmlformats.org/officeDocument/2006/relationships/hyperlink" Target="http://www.sec.gov/Archives/edgar/data/1130310/000119312518256372/d601681dex41.htm" TargetMode="External"/><Relationship Id="rId31" Type="http://schemas.openxmlformats.org/officeDocument/2006/relationships/hyperlink" Target="http://www.sec.gov/Archives/edgar/data/1130310/000119312518288531/d589550dex42.htm" TargetMode="External"/><Relationship Id="rId32" Type="http://schemas.openxmlformats.org/officeDocument/2006/relationships/hyperlink" Target="http://www.sec.gov/Archives/edgar/data/48732/000119312516496852/d113097dex41.htm" TargetMode="External"/><Relationship Id="rId33" Type="http://schemas.openxmlformats.org/officeDocument/2006/relationships/hyperlink" Target="http://www.sec.gov/Archives/edgar/data/48732/000119312516496852/d113097dex42.htm" TargetMode="External"/><Relationship Id="rId34" Type="http://schemas.openxmlformats.org/officeDocument/2006/relationships/hyperlink" Target="http://www.sec.gov/Archives/edgar/data/48732/000119312516496852/d113097dex43.htm" TargetMode="External"/><Relationship Id="rId35" Type="http://schemas.openxmlformats.org/officeDocument/2006/relationships/hyperlink" Target="http://www.sec.gov/Archives/edgar/data/48732/000119312517207142/d415215dex41.htm" TargetMode="External"/><Relationship Id="rId36" Type="http://schemas.openxmlformats.org/officeDocument/2006/relationships/hyperlink" Target="http://www.sec.gov/Archives/edgar/data/1130310/000119312518176843/d421944dex41.htm" TargetMode="External"/><Relationship Id="rId37" Type="http://schemas.openxmlformats.org/officeDocument/2006/relationships/hyperlink" Target="http://www.sec.gov/Archives/edgar/data/48732/000119312517207142/d415215dex42.htm" TargetMode="External"/><Relationship Id="rId38" Type="http://schemas.openxmlformats.org/officeDocument/2006/relationships/hyperlink" Target="http://www.sec.gov/Archives/edgar/data/48732/000119312517207142/d415215dex43.htm" TargetMode="External"/><Relationship Id="rId39" Type="http://schemas.openxmlformats.org/officeDocument/2006/relationships/hyperlink" Target="http://www.sec.gov/Archives/edgar/data/1096385/000090883417000142/vc_8k0713ex101.htm" TargetMode="External"/><Relationship Id="rId40" Type="http://schemas.openxmlformats.org/officeDocument/2006/relationships/hyperlink" Target="http://www.sec.gov/Archives/edgar/data/1096385/000090883417000142/vc_8k0713ex102.htm" TargetMode="External"/><Relationship Id="rId41" Type="http://schemas.openxmlformats.org/officeDocument/2006/relationships/hyperlink" Target="http://www.sec.gov/Archives/edgar/data/1096385/000090883418000156/vc_8k0730ex.htm" TargetMode="External"/><Relationship Id="rId42" Type="http://schemas.openxmlformats.org/officeDocument/2006/relationships/hyperlink" Target="http://www.sec.gov/Archives/edgar/data/1096385/000090883418000163/vc_8k0914ex.htm" TargetMode="External"/><Relationship Id="rId43" Type="http://schemas.openxmlformats.org/officeDocument/2006/relationships/hyperlink" Target="http://www.sec.gov/Archives/edgar/data/1130310/000119312519149468/d72737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2019-12-28T08:26:22Z</dcterms:created>
  <dcterms:modified xsi:type="dcterms:W3CDTF">2019-12-28T08:26:22Z</dcterms:modified>
</cp:coreProperties>
</file>