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1763.xml.htm"/>
      <w:bookmarkStart w:id="1" w:name="kswkform4_179123176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Clark Lauren Chesley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1111 LOUISIANA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CENTERPOINT ENERGY INC</w:t>
              </w:r>
            </w:hyperlink>
            <w:r>
              <w:rPr/>
              <w:t xml:space="preserve"> [ </w:t>
            </w:r>
            <w:r>
              <w:rPr>
                <w:rFonts w:ascii="Times;serif" w:hAnsi="Times;serif"/>
                <w:color w:val="0000FF"/>
                <w:sz w:val="24"/>
                <w:shd w:fill="FFFFFF" w:val="clear"/>
              </w:rPr>
              <w:t>CNP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and CHRO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32,249</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32,249</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Time-based restricted stock units ("RSUs") awarded under the Issuer's Long-Term Incentive Plan with 10,750 RSUs vesting on the first and second anniversary of the Reporting Person's ("R.P.'s") employment start date of October 1, 2026 (the "start date") and 10,749 RSUs vesting on the third anniversary of the start date if the R.P. continues to be an employee of Issuer from the start date through the respective vesting date. The award will also vest in the event of R.P.'s earlier disability, death, or involuntary termination of employment by Issuer without cause.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Vincent A. Mercaldi,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7545" TargetMode="External"/><Relationship Id="rId5" Type="http://schemas.openxmlformats.org/officeDocument/2006/relationships/hyperlink" Target="http://www.sec.gov/cgi-bin/browse-edgar?action=getcompany&amp;CIK=00011303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654</Words>
  <Characters>3554</Characters>
  <CharactersWithSpaces>4140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