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3221.xml.htm"/>
      <w:bookmarkStart w:id="1" w:name="kswkform4_17866532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Wright Russell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LOUISIANA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CENTERPOINT ENERGY INC</w:t>
              </w:r>
            </w:hyperlink>
            <w:r>
              <w:rPr/>
              <w:t xml:space="preserve"> [ </w:t>
            </w:r>
            <w:r>
              <w:rPr>
                <w:rFonts w:ascii="Times;serif" w:hAnsi="Times;serif"/>
                <w:color w:val="0000FF"/>
                <w:sz w:val="24"/>
                <w:shd w:fill="FFFFFF" w:val="clear"/>
              </w:rPr>
              <w:t>CNP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40.18</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8,503</w:t>
            </w:r>
            <w:r>
              <w:rPr>
                <w:rFonts w:ascii="Times;serif" w:hAnsi="Times;serif"/>
                <w:color w:val="008000"/>
                <w:position w:val="7"/>
                <w:sz w:val="16"/>
                <w:sz w:val="20"/>
                <w:shd w:fill="FFFFFF" w:val="clear"/>
              </w:rPr>
              <w:t>(2)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taxes upon vesting of time-based restricted stock units ("RSUs") previously awarded under the Issuer's Long-Term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includes previous awards under the Plan of (i) 915 RSUs vesting in November 2026, (ii) 404 RSUs vesting in February 2027, (iii) 862 RSUs vesting in two equal installments in February 2027 and 2028, and (iv) 1929 RSUs vesting in three equal installments in February 2027, 2028, and 2029. The awards shall vest (a) upon continued employment with Issuer through the respective vesting date, (b) in the event of earlier disability or death, (c) for the award under clause (i), upon earlier involuntary termination without cause, or (d) for the awards under clauses (ii) - (iv), on a full or pro-rata basis upon earlier retirement, subject to satisfaction of certain conditions. Vesting of the awards under clauses (ii) - (iv) is conditioned upon achievement of positive operating income for the year preceding the applicable vesting date except in the case of death or disability.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Vincent A. Mercaldi,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8274" TargetMode="External"/><Relationship Id="rId5" Type="http://schemas.openxmlformats.org/officeDocument/2006/relationships/hyperlink" Target="http://www.sec.gov/cgi-bin/browse-edgar?action=getcompany&amp;CIK=00011303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3951</Characters>
  <CharactersWithSpaces>4613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