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3170.xml.htm"/>
      <w:bookmarkStart w:id="1" w:name="kswkform4_17866531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Soto Jesus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LOUISIANA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CENTERPOINT ENERGY INC</w:t>
              </w:r>
            </w:hyperlink>
            <w:r>
              <w:rPr/>
              <w:t xml:space="preserve"> [ </w:t>
            </w:r>
            <w:r>
              <w:rPr>
                <w:rFonts w:ascii="Times;serif" w:hAnsi="Times;serif"/>
                <w:color w:val="0000FF"/>
                <w:sz w:val="24"/>
                <w:shd w:fill="FFFFFF" w:val="clear"/>
              </w:rPr>
              <w:t>CNP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15,151</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40.18</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175,279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1,924</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40.18</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173,355</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for taxes upon vesting of time-based restricted stock units ("RSUs") previously awarded under the Issuer's Long-Term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includes previous awards under the Plan of: (i) 116,670 RSUs vesting in three equal installments in August 2027, 2028 and 2029, (ii) 9,774 RSUs vesting in two equal installments in August 2027 and 2028, and (iii) 20,207 RSUs vesting in three equal installments in February 2027, 2028 and 2029. The above awards shall vest (a) upon continued employment with Issuer through the respective vesting date, (b) in the event of earlier disability or death, (c) for the award under clause (i), upon earlier involuntary termination without cause, or for the awards under clauses (ii) and (iii), on a full or pro-rata basis upon earlier retirement subject to satisfaction of certain conditions. Vesting of the awards under clauses (ii) and (iii) is conditioned upon achievement of positive operating income for the year preceding the applicable vesting date except in the case of death or disability.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Vincent A. Mercaldi,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1260" TargetMode="External"/><Relationship Id="rId5" Type="http://schemas.openxmlformats.org/officeDocument/2006/relationships/hyperlink" Target="http://www.sec.gov/cgi-bin/browse-edgar?action=getcompany&amp;CIK=00011303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740</Words>
  <Characters>4010</Characters>
  <CharactersWithSpaces>4673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