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10-Q</w:t>
      </w:r>
    </w:p>
    <w:p>
      <w:pPr>
        <w:spacing w:after="0" w:line="15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08" w:lineRule="exact"/>
        <w:rPr>
          <w:sz w:val="24"/>
          <w:szCs w:val="24"/>
          <w:color w:val="auto"/>
        </w:rPr>
      </w:pPr>
    </w:p>
    <w:p>
      <w:pPr>
        <w:ind w:left="460" w:right="2219" w:hanging="290"/>
        <w:spacing w:after="0" w:line="245"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ind w:left="5480"/>
        <w:spacing w:after="0"/>
        <w:rPr>
          <w:sz w:val="20"/>
          <w:szCs w:val="20"/>
          <w:color w:val="auto"/>
        </w:rPr>
      </w:pPr>
      <w:r>
        <w:rPr>
          <w:rFonts w:ascii="Arial" w:cs="Arial" w:eastAsia="Arial" w:hAnsi="Arial"/>
          <w:sz w:val="14"/>
          <w:szCs w:val="14"/>
          <w:b w:val="1"/>
          <w:bCs w:val="1"/>
          <w:color w:val="auto"/>
        </w:rPr>
        <w:t>OR</w:t>
      </w:r>
    </w:p>
    <w:p>
      <w:pPr>
        <w:spacing w:after="0" w:line="215" w:lineRule="exact"/>
        <w:rPr>
          <w:sz w:val="24"/>
          <w:szCs w:val="24"/>
          <w:color w:val="auto"/>
        </w:rPr>
      </w:pPr>
    </w:p>
    <w:p>
      <w:pPr>
        <w:ind w:left="560" w:right="2219" w:hanging="390"/>
        <w:spacing w:after="0" w:line="304" w:lineRule="auto"/>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17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Commission file number 1-31447</w:t>
      </w:r>
    </w:p>
    <w:p>
      <w:pPr>
        <w:spacing w:after="0" w:line="54"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CenterPoint Energy, Inc.</w:t>
      </w:r>
    </w:p>
    <w:p>
      <w:pPr>
        <w:spacing w:after="0" w:line="6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4" w:lineRule="exact"/>
        <w:rPr>
          <w:sz w:val="24"/>
          <w:szCs w:val="24"/>
          <w:color w:val="auto"/>
        </w:rPr>
      </w:pPr>
    </w:p>
    <w:tbl>
      <w:tblPr>
        <w:tblLayout w:type="fixed"/>
        <w:tblInd w:w="480" w:type="dxa"/>
        <w:tblCellMar>
          <w:top w:w="0" w:type="dxa"/>
          <w:left w:w="0" w:type="dxa"/>
          <w:bottom w:w="0" w:type="dxa"/>
          <w:right w:w="0" w:type="dxa"/>
        </w:tblCellMar>
      </w:tblPr>
      <w:tr>
        <w:trPr>
          <w:trHeight w:val="210"/>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3"/>
              </w:rPr>
              <w:t>Texas</w:t>
            </w:r>
          </w:p>
        </w:tc>
        <w:tc>
          <w:tcPr>
            <w:tcW w:w="1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jc w:val="right"/>
              <w:ind w:right="604"/>
              <w:spacing w:after="0"/>
              <w:rPr>
                <w:sz w:val="20"/>
                <w:szCs w:val="20"/>
                <w:color w:val="auto"/>
              </w:rPr>
            </w:pPr>
            <w:r>
              <w:rPr>
                <w:rFonts w:ascii="Arial" w:cs="Arial" w:eastAsia="Arial" w:hAnsi="Arial"/>
                <w:sz w:val="16"/>
                <w:szCs w:val="16"/>
                <w:b w:val="1"/>
                <w:bCs w:val="1"/>
                <w:color w:val="auto"/>
              </w:rPr>
              <w:t>74-0694415</w:t>
            </w:r>
          </w:p>
        </w:tc>
        <w:tc>
          <w:tcPr>
            <w:tcW w:w="0" w:type="dxa"/>
            <w:vAlign w:val="bottom"/>
          </w:tcPr>
          <w:p>
            <w:pPr>
              <w:spacing w:after="0"/>
              <w:rPr>
                <w:sz w:val="1"/>
                <w:szCs w:val="1"/>
                <w:color w:val="auto"/>
              </w:rPr>
            </w:pPr>
          </w:p>
        </w:tc>
      </w:tr>
      <w:tr>
        <w:trPr>
          <w:trHeight w:val="237"/>
        </w:trPr>
        <w:tc>
          <w:tcPr>
            <w:tcW w:w="3540" w:type="dxa"/>
            <w:vAlign w:val="bottom"/>
            <w:vMerge w:val="restart"/>
          </w:tcPr>
          <w:p>
            <w:pPr>
              <w:jc w:val="center"/>
              <w:ind w:right="35"/>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1111 Louisiana</w:t>
            </w:r>
          </w:p>
        </w:tc>
        <w:tc>
          <w:tcPr>
            <w:tcW w:w="1400" w:type="dxa"/>
            <w:vAlign w:val="bottom"/>
          </w:tcPr>
          <w:p>
            <w:pPr>
              <w:ind w:left="540"/>
              <w:spacing w:after="0"/>
              <w:rPr>
                <w:sz w:val="20"/>
                <w:szCs w:val="20"/>
                <w:color w:val="auto"/>
              </w:rPr>
            </w:pPr>
            <w:r>
              <w:rPr>
                <w:rFonts w:ascii="Arial" w:cs="Arial" w:eastAsia="Arial" w:hAnsi="Arial"/>
                <w:sz w:val="16"/>
                <w:szCs w:val="16"/>
                <w:b w:val="1"/>
                <w:bCs w:val="1"/>
                <w:color w:val="auto"/>
              </w:rPr>
              <w:t>Houston</w:t>
            </w:r>
          </w:p>
        </w:tc>
        <w:tc>
          <w:tcPr>
            <w:tcW w:w="216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280" w:type="dxa"/>
            <w:vAlign w:val="bottom"/>
          </w:tcPr>
          <w:p>
            <w:pPr>
              <w:jc w:val="center"/>
              <w:ind w:left="124"/>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40" w:type="dxa"/>
            <w:vAlign w:val="bottom"/>
          </w:tcPr>
          <w:p>
            <w:pPr>
              <w:jc w:val="center"/>
              <w:ind w:right="35"/>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3540" w:type="dxa"/>
            <w:vAlign w:val="bottom"/>
          </w:tcPr>
          <w:p>
            <w:pPr>
              <w:spacing w:after="0"/>
              <w:rPr>
                <w:sz w:val="24"/>
                <w:szCs w:val="24"/>
                <w:color w:val="auto"/>
              </w:rPr>
            </w:pPr>
          </w:p>
        </w:tc>
        <w:tc>
          <w:tcPr>
            <w:tcW w:w="356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1"/>
              </w:rPr>
              <w:t>Commission file number 1-3187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9380" w:type="dxa"/>
            <w:vAlign w:val="bottom"/>
            <w:gridSpan w:val="4"/>
          </w:tcPr>
          <w:p>
            <w:pPr>
              <w:jc w:val="center"/>
              <w:ind w:left="735"/>
              <w:spacing w:after="0"/>
              <w:rPr>
                <w:sz w:val="20"/>
                <w:szCs w:val="20"/>
                <w:color w:val="auto"/>
              </w:rPr>
            </w:pPr>
            <w:r>
              <w:rPr>
                <w:rFonts w:ascii="Arial" w:cs="Arial" w:eastAsia="Arial" w:hAnsi="Arial"/>
                <w:sz w:val="29"/>
                <w:szCs w:val="29"/>
                <w:b w:val="1"/>
                <w:bCs w:val="1"/>
                <w:color w:val="auto"/>
                <w:w w:val="92"/>
              </w:rPr>
              <w:t>CenterPoint Energy Houston Electric, LLC</w:t>
            </w:r>
          </w:p>
        </w:tc>
        <w:tc>
          <w:tcPr>
            <w:tcW w:w="0" w:type="dxa"/>
            <w:vAlign w:val="bottom"/>
          </w:tcPr>
          <w:p>
            <w:pPr>
              <w:spacing w:after="0"/>
              <w:rPr>
                <w:sz w:val="1"/>
                <w:szCs w:val="1"/>
                <w:color w:val="auto"/>
              </w:rPr>
            </w:pPr>
          </w:p>
        </w:tc>
      </w:tr>
      <w:tr>
        <w:trPr>
          <w:trHeight w:val="232"/>
        </w:trPr>
        <w:tc>
          <w:tcPr>
            <w:tcW w:w="7100" w:type="dxa"/>
            <w:vAlign w:val="bottom"/>
            <w:gridSpan w:val="3"/>
          </w:tcPr>
          <w:p>
            <w:pPr>
              <w:jc w:val="center"/>
              <w:ind w:left="3035"/>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3"/>
              </w:rPr>
              <w:t>Texas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right"/>
              <w:ind w:right="604"/>
              <w:spacing w:after="0"/>
              <w:rPr>
                <w:sz w:val="20"/>
                <w:szCs w:val="20"/>
                <w:color w:val="auto"/>
              </w:rPr>
            </w:pPr>
            <w:r>
              <w:rPr>
                <w:rFonts w:ascii="Arial" w:cs="Arial" w:eastAsia="Arial" w:hAnsi="Arial"/>
                <w:sz w:val="16"/>
                <w:szCs w:val="16"/>
                <w:b w:val="1"/>
                <w:bCs w:val="1"/>
                <w:color w:val="auto"/>
              </w:rPr>
              <w:t>22-3865106</w:t>
            </w:r>
          </w:p>
        </w:tc>
        <w:tc>
          <w:tcPr>
            <w:tcW w:w="0" w:type="dxa"/>
            <w:vAlign w:val="bottom"/>
          </w:tcPr>
          <w:p>
            <w:pPr>
              <w:spacing w:after="0"/>
              <w:rPr>
                <w:sz w:val="1"/>
                <w:szCs w:val="1"/>
                <w:color w:val="auto"/>
              </w:rPr>
            </w:pPr>
          </w:p>
        </w:tc>
      </w:tr>
      <w:tr>
        <w:trPr>
          <w:trHeight w:val="237"/>
        </w:trPr>
        <w:tc>
          <w:tcPr>
            <w:tcW w:w="3540" w:type="dxa"/>
            <w:vAlign w:val="bottom"/>
            <w:vMerge w:val="restart"/>
          </w:tcPr>
          <w:p>
            <w:pPr>
              <w:jc w:val="center"/>
              <w:ind w:right="35"/>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1111 Louisiana</w:t>
            </w:r>
          </w:p>
        </w:tc>
        <w:tc>
          <w:tcPr>
            <w:tcW w:w="1400" w:type="dxa"/>
            <w:vAlign w:val="bottom"/>
          </w:tcPr>
          <w:p>
            <w:pPr>
              <w:ind w:left="540"/>
              <w:spacing w:after="0"/>
              <w:rPr>
                <w:sz w:val="20"/>
                <w:szCs w:val="20"/>
                <w:color w:val="auto"/>
              </w:rPr>
            </w:pPr>
            <w:r>
              <w:rPr>
                <w:rFonts w:ascii="Arial" w:cs="Arial" w:eastAsia="Arial" w:hAnsi="Arial"/>
                <w:sz w:val="16"/>
                <w:szCs w:val="16"/>
                <w:b w:val="1"/>
                <w:bCs w:val="1"/>
                <w:color w:val="auto"/>
              </w:rPr>
              <w:t>Houston</w:t>
            </w:r>
          </w:p>
        </w:tc>
        <w:tc>
          <w:tcPr>
            <w:tcW w:w="216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280" w:type="dxa"/>
            <w:vAlign w:val="bottom"/>
          </w:tcPr>
          <w:p>
            <w:pPr>
              <w:jc w:val="center"/>
              <w:ind w:left="124"/>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40" w:type="dxa"/>
            <w:vAlign w:val="bottom"/>
          </w:tcPr>
          <w:p>
            <w:pPr>
              <w:jc w:val="center"/>
              <w:ind w:right="35"/>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540" w:type="dxa"/>
            <w:vAlign w:val="bottom"/>
          </w:tcPr>
          <w:p>
            <w:pPr>
              <w:spacing w:after="0"/>
              <w:rPr>
                <w:sz w:val="24"/>
                <w:szCs w:val="24"/>
                <w:color w:val="auto"/>
              </w:rPr>
            </w:pPr>
          </w:p>
        </w:tc>
        <w:tc>
          <w:tcPr>
            <w:tcW w:w="356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1"/>
              </w:rPr>
              <w:t>Commission file number 1-13265</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380" w:type="dxa"/>
            <w:vAlign w:val="bottom"/>
            <w:gridSpan w:val="4"/>
          </w:tcPr>
          <w:p>
            <w:pPr>
              <w:jc w:val="center"/>
              <w:ind w:left="735"/>
              <w:spacing w:after="0"/>
              <w:rPr>
                <w:sz w:val="20"/>
                <w:szCs w:val="20"/>
                <w:color w:val="auto"/>
              </w:rPr>
            </w:pPr>
            <w:r>
              <w:rPr>
                <w:rFonts w:ascii="Arial" w:cs="Arial" w:eastAsia="Arial" w:hAnsi="Arial"/>
                <w:sz w:val="29"/>
                <w:szCs w:val="29"/>
                <w:b w:val="1"/>
                <w:bCs w:val="1"/>
                <w:color w:val="auto"/>
                <w:w w:val="89"/>
              </w:rPr>
              <w:t>CenterPoint Energy Resources Corp.</w:t>
            </w:r>
          </w:p>
        </w:tc>
        <w:tc>
          <w:tcPr>
            <w:tcW w:w="0" w:type="dxa"/>
            <w:vAlign w:val="bottom"/>
          </w:tcPr>
          <w:p>
            <w:pPr>
              <w:spacing w:after="0"/>
              <w:rPr>
                <w:sz w:val="1"/>
                <w:szCs w:val="1"/>
                <w:color w:val="auto"/>
              </w:rPr>
            </w:pPr>
          </w:p>
        </w:tc>
      </w:tr>
      <w:tr>
        <w:trPr>
          <w:trHeight w:val="232"/>
        </w:trPr>
        <w:tc>
          <w:tcPr>
            <w:tcW w:w="7100" w:type="dxa"/>
            <w:vAlign w:val="bottom"/>
            <w:gridSpan w:val="3"/>
          </w:tcPr>
          <w:p>
            <w:pPr>
              <w:jc w:val="center"/>
              <w:ind w:left="3035"/>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93"/>
              </w:rPr>
              <w:t>Delaware</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right"/>
              <w:ind w:right="604"/>
              <w:spacing w:after="0"/>
              <w:rPr>
                <w:sz w:val="20"/>
                <w:szCs w:val="20"/>
                <w:color w:val="auto"/>
              </w:rPr>
            </w:pPr>
            <w:r>
              <w:rPr>
                <w:rFonts w:ascii="Arial" w:cs="Arial" w:eastAsia="Arial" w:hAnsi="Arial"/>
                <w:sz w:val="16"/>
                <w:szCs w:val="16"/>
                <w:b w:val="1"/>
                <w:bCs w:val="1"/>
                <w:color w:val="auto"/>
              </w:rPr>
              <w:t>76-0511406</w:t>
            </w:r>
          </w:p>
        </w:tc>
        <w:tc>
          <w:tcPr>
            <w:tcW w:w="0" w:type="dxa"/>
            <w:vAlign w:val="bottom"/>
          </w:tcPr>
          <w:p>
            <w:pPr>
              <w:spacing w:after="0"/>
              <w:rPr>
                <w:sz w:val="1"/>
                <w:szCs w:val="1"/>
                <w:color w:val="auto"/>
              </w:rPr>
            </w:pPr>
          </w:p>
        </w:tc>
      </w:tr>
      <w:tr>
        <w:trPr>
          <w:trHeight w:val="237"/>
        </w:trPr>
        <w:tc>
          <w:tcPr>
            <w:tcW w:w="3540" w:type="dxa"/>
            <w:vAlign w:val="bottom"/>
            <w:vMerge w:val="restart"/>
          </w:tcPr>
          <w:p>
            <w:pPr>
              <w:jc w:val="center"/>
              <w:ind w:right="35"/>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1111 Louisiana</w:t>
            </w:r>
          </w:p>
        </w:tc>
        <w:tc>
          <w:tcPr>
            <w:tcW w:w="1400" w:type="dxa"/>
            <w:vAlign w:val="bottom"/>
          </w:tcPr>
          <w:p>
            <w:pPr>
              <w:ind w:left="540"/>
              <w:spacing w:after="0"/>
              <w:rPr>
                <w:sz w:val="20"/>
                <w:szCs w:val="20"/>
                <w:color w:val="auto"/>
              </w:rPr>
            </w:pPr>
            <w:r>
              <w:rPr>
                <w:rFonts w:ascii="Arial" w:cs="Arial" w:eastAsia="Arial" w:hAnsi="Arial"/>
                <w:sz w:val="16"/>
                <w:szCs w:val="16"/>
                <w:b w:val="1"/>
                <w:bCs w:val="1"/>
                <w:color w:val="auto"/>
              </w:rPr>
              <w:t>Houston</w:t>
            </w:r>
          </w:p>
        </w:tc>
        <w:tc>
          <w:tcPr>
            <w:tcW w:w="216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280" w:type="dxa"/>
            <w:vAlign w:val="bottom"/>
          </w:tcPr>
          <w:p>
            <w:pPr>
              <w:jc w:val="center"/>
              <w:ind w:left="124"/>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40" w:type="dxa"/>
            <w:vAlign w:val="bottom"/>
          </w:tcPr>
          <w:p>
            <w:pPr>
              <w:jc w:val="center"/>
              <w:ind w:right="35"/>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49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8"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1"/>
              </w:rPr>
              <w:t>Registrant</w:t>
            </w:r>
          </w:p>
        </w:tc>
        <w:tc>
          <w:tcPr>
            <w:tcW w:w="1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6"/>
              </w:rPr>
              <w:t>Title of each class</w:t>
            </w: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9"/>
              </w:rPr>
              <w:t>Trading Symbol(s)</w:t>
            </w:r>
          </w:p>
        </w:tc>
        <w:tc>
          <w:tcPr>
            <w:tcW w:w="202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11"/>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CenterPoint Energy, Inc.</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2"/>
              </w:rPr>
              <w:t>Common Stock, $0.01 par value</w:t>
            </w:r>
          </w:p>
        </w:tc>
        <w:tc>
          <w:tcPr>
            <w:tcW w:w="2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color w:val="auto"/>
                <w:w w:val="94"/>
              </w:rPr>
              <w:t>CNP</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Chicago Stock Exchange, Inc.</w:t>
            </w:r>
          </w:p>
        </w:tc>
      </w:tr>
      <w:tr>
        <w:trPr>
          <w:trHeight w:val="236"/>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CenterPoint Energy, Inc.</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3"/>
              </w:rPr>
              <w:t>Depositary Shares for 1/20 of 7.00% Series B Mandatory</w:t>
            </w:r>
          </w:p>
        </w:tc>
        <w:tc>
          <w:tcPr>
            <w:tcW w:w="260" w:type="dxa"/>
            <w:vAlign w:val="bottom"/>
          </w:tcPr>
          <w:p>
            <w:pPr>
              <w:spacing w:after="0"/>
              <w:rPr>
                <w:sz w:val="20"/>
                <w:szCs w:val="2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5"/>
              </w:rPr>
              <w:t>CNP/PB</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3"/>
              </w:rPr>
              <w:t>Convertible Preferred Stock, $0.01 par value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3"/>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00" w:type="dxa"/>
            <w:vAlign w:val="bottom"/>
            <w:gridSpan w:val="3"/>
          </w:tcPr>
          <w:p>
            <w:pPr>
              <w:jc w:val="center"/>
              <w:ind w:left="28"/>
              <w:spacing w:after="0"/>
              <w:rPr>
                <w:sz w:val="20"/>
                <w:szCs w:val="20"/>
                <w:color w:val="auto"/>
              </w:rPr>
            </w:pPr>
            <w:r>
              <w:rPr>
                <w:rFonts w:ascii="Arial" w:cs="Arial" w:eastAsia="Arial" w:hAnsi="Arial"/>
                <w:sz w:val="14"/>
                <w:szCs w:val="14"/>
                <w:color w:val="auto"/>
                <w:w w:val="93"/>
              </w:rPr>
              <w:t>9.15% First Mortgage Bonds due 2021</w:t>
            </w:r>
          </w:p>
        </w:tc>
        <w:tc>
          <w:tcPr>
            <w:tcW w:w="260" w:type="dxa"/>
            <w:vAlign w:val="bottom"/>
          </w:tcPr>
          <w:p>
            <w:pPr>
              <w:spacing w:after="0"/>
              <w:rPr>
                <w:sz w:val="17"/>
                <w:szCs w:val="17"/>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2"/>
              </w:rPr>
              <w:t>6.95% General Mortgage Bonds due 2033</w:t>
            </w:r>
          </w:p>
        </w:tc>
        <w:tc>
          <w:tcPr>
            <w:tcW w:w="260" w:type="dxa"/>
            <w:vAlign w:val="bottom"/>
          </w:tcPr>
          <w:p>
            <w:pPr>
              <w:spacing w:after="0"/>
              <w:rPr>
                <w:sz w:val="17"/>
                <w:szCs w:val="17"/>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CenterPoint Energy Resources Corp.</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1"/>
              </w:rPr>
              <w:t>6.625% Senior Notes due 2037</w:t>
            </w:r>
          </w:p>
        </w:tc>
        <w:tc>
          <w:tcPr>
            <w:tcW w:w="260" w:type="dxa"/>
            <w:vAlign w:val="bottom"/>
          </w:tcPr>
          <w:p>
            <w:pPr>
              <w:spacing w:after="0"/>
              <w:rPr>
                <w:sz w:val="17"/>
                <w:szCs w:val="17"/>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64"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0" w:lineRule="exact"/>
        <w:rPr>
          <w:sz w:val="20"/>
          <w:szCs w:val="20"/>
          <w:color w:val="auto"/>
        </w:rPr>
      </w:pPr>
    </w:p>
    <w:tbl>
      <w:tblPr>
        <w:tblLayout w:type="fixed"/>
        <w:tblInd w:w="800" w:type="dxa"/>
        <w:tblCellMar>
          <w:top w:w="0" w:type="dxa"/>
          <w:left w:w="0" w:type="dxa"/>
          <w:bottom w:w="0" w:type="dxa"/>
          <w:right w:w="0" w:type="dxa"/>
        </w:tblCellMar>
      </w:tblPr>
      <w:tr>
        <w:trPr>
          <w:trHeight w:val="226"/>
        </w:trPr>
        <w:tc>
          <w:tcPr>
            <w:tcW w:w="46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bl>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6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bl>
    <w:p>
      <w:pPr>
        <w:spacing w:after="0" w:line="189"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500" w:type="dxa"/>
            <w:vAlign w:val="bottom"/>
          </w:tcPr>
          <w:p>
            <w:pPr>
              <w:jc w:val="center"/>
              <w:ind w:left="1128"/>
              <w:spacing w:after="0"/>
              <w:rPr>
                <w:sz w:val="20"/>
                <w:szCs w:val="20"/>
                <w:color w:val="auto"/>
              </w:rPr>
            </w:pPr>
            <w:r>
              <w:rPr>
                <w:rFonts w:ascii="Arial" w:cs="Arial" w:eastAsia="Arial" w:hAnsi="Arial"/>
                <w:sz w:val="14"/>
                <w:szCs w:val="14"/>
                <w:b w:val="1"/>
                <w:bCs w:val="1"/>
                <w:color w:val="auto"/>
                <w:w w:val="92"/>
              </w:rPr>
              <w:t>Large accelerated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Accelerated filer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Non-accelerated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Smaller reporting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Emerging growth</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2500" w:type="dxa"/>
            <w:vAlign w:val="bottom"/>
          </w:tcPr>
          <w:p>
            <w:pPr>
              <w:jc w:val="center"/>
              <w:ind w:left="1128"/>
              <w:spacing w:after="0"/>
              <w:rPr>
                <w:sz w:val="20"/>
                <w:szCs w:val="20"/>
                <w:color w:val="auto"/>
              </w:rPr>
            </w:pPr>
            <w:r>
              <w:rPr>
                <w:rFonts w:ascii="Arial" w:cs="Arial" w:eastAsia="Arial" w:hAnsi="Arial"/>
                <w:sz w:val="14"/>
                <w:szCs w:val="14"/>
                <w:b w:val="1"/>
                <w:bCs w:val="1"/>
                <w:color w:val="auto"/>
              </w:rPr>
              <w:t>filer</w:t>
            </w:r>
          </w:p>
        </w:tc>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filer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40"/>
        </w:trPr>
        <w:tc>
          <w:tcPr>
            <w:tcW w:w="380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00" w:type="dxa"/>
            <w:vAlign w:val="bottom"/>
          </w:tcPr>
          <w:p>
            <w:pPr>
              <w:jc w:val="center"/>
              <w:ind w:left="1128"/>
              <w:spacing w:after="0" w:line="141" w:lineRule="exact"/>
              <w:rPr>
                <w:sz w:val="20"/>
                <w:szCs w:val="20"/>
                <w:color w:val="auto"/>
              </w:rPr>
            </w:pPr>
            <w:r>
              <w:rPr>
                <w:rFonts w:ascii="MS PGothic" w:cs="MS PGothic" w:eastAsia="MS PGothic" w:hAnsi="MS PGothic"/>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8"/>
        </w:trPr>
        <w:tc>
          <w:tcPr>
            <w:tcW w:w="380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00" w:type="dxa"/>
            <w:vAlign w:val="bottom"/>
          </w:tcPr>
          <w:p>
            <w:pPr>
              <w:jc w:val="center"/>
              <w:ind w:left="1128"/>
              <w:spacing w:after="0"/>
              <w:rPr>
                <w:sz w:val="20"/>
                <w:szCs w:val="20"/>
                <w:color w:val="auto"/>
              </w:rPr>
            </w:pPr>
            <w:r>
              <w:rPr>
                <w:rFonts w:ascii="Arial" w:cs="Arial" w:eastAsia="Arial" w:hAnsi="Arial"/>
                <w:sz w:val="14"/>
                <w:szCs w:val="14"/>
                <w:color w:val="auto"/>
                <w:w w:val="76"/>
              </w:rPr>
              <w:t>o</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8"/>
        </w:trPr>
        <w:tc>
          <w:tcPr>
            <w:tcW w:w="380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00" w:type="dxa"/>
            <w:vAlign w:val="bottom"/>
          </w:tcPr>
          <w:p>
            <w:pPr>
              <w:jc w:val="center"/>
              <w:ind w:left="1128"/>
              <w:spacing w:after="0"/>
              <w:rPr>
                <w:sz w:val="20"/>
                <w:szCs w:val="20"/>
                <w:color w:val="auto"/>
              </w:rPr>
            </w:pPr>
            <w:r>
              <w:rPr>
                <w:rFonts w:ascii="Arial" w:cs="Arial" w:eastAsia="Arial" w:hAnsi="Arial"/>
                <w:sz w:val="14"/>
                <w:szCs w:val="14"/>
                <w:color w:val="auto"/>
                <w:w w:val="76"/>
              </w:rPr>
              <w:t>o</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504" w:right="33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Inc.</w:t>
      </w:r>
      <w:r>
        <w:rPr>
          <w:sz w:val="20"/>
          <w:szCs w:val="20"/>
          <w:color w:val="auto"/>
        </w:rPr>
        <w:tab/>
      </w:r>
      <w:r>
        <w:rPr>
          <w:rFonts w:ascii="Arial" w:cs="Arial" w:eastAsia="Arial" w:hAnsi="Arial"/>
          <w:sz w:val="12"/>
          <w:szCs w:val="12"/>
          <w:color w:val="auto"/>
        </w:rPr>
        <w:t>Yes</w:t>
      </w:r>
    </w:p>
    <w:p>
      <w:pPr>
        <w:spacing w:after="0" w:line="10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Houston Electric, LLC</w:t>
      </w:r>
      <w:r>
        <w:rPr>
          <w:sz w:val="20"/>
          <w:szCs w:val="20"/>
          <w:color w:val="auto"/>
        </w:rPr>
        <w:tab/>
      </w:r>
      <w:r>
        <w:rPr>
          <w:rFonts w:ascii="Arial" w:cs="Arial" w:eastAsia="Arial" w:hAnsi="Arial"/>
          <w:sz w:val="12"/>
          <w:szCs w:val="12"/>
          <w:color w:val="auto"/>
        </w:rPr>
        <w:t>Yes</w:t>
      </w:r>
    </w:p>
    <w:p>
      <w:pPr>
        <w:spacing w:after="0" w:line="10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Resources Corp.</w:t>
      </w:r>
      <w:r>
        <w:rPr>
          <w:sz w:val="20"/>
          <w:szCs w:val="20"/>
          <w:color w:val="auto"/>
        </w:rPr>
        <w:tab/>
      </w: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68" w:lineRule="exact"/>
        <w:tabs>
          <w:tab w:leader="none" w:pos="940" w:val="left"/>
          <w:tab w:leader="none" w:pos="1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103" w:lineRule="exact"/>
        <w:rPr>
          <w:sz w:val="20"/>
          <w:szCs w:val="20"/>
          <w:color w:val="auto"/>
        </w:rPr>
      </w:pPr>
    </w:p>
    <w:p>
      <w:pPr>
        <w:spacing w:after="0" w:line="168" w:lineRule="exact"/>
        <w:tabs>
          <w:tab w:leader="none" w:pos="940" w:val="left"/>
          <w:tab w:leader="none" w:pos="1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103" w:lineRule="exact"/>
        <w:rPr>
          <w:sz w:val="20"/>
          <w:szCs w:val="20"/>
          <w:color w:val="auto"/>
        </w:rPr>
      </w:pPr>
    </w:p>
    <w:p>
      <w:pPr>
        <w:spacing w:after="0" w:line="168" w:lineRule="exact"/>
        <w:tabs>
          <w:tab w:leader="none" w:pos="940" w:val="left"/>
          <w:tab w:leader="none" w:pos="1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68" w:lineRule="exact"/>
        <w:rPr>
          <w:sz w:val="20"/>
          <w:szCs w:val="20"/>
          <w:color w:val="auto"/>
        </w:rPr>
      </w:pPr>
    </w:p>
    <w:p>
      <w:pPr>
        <w:sectPr>
          <w:pgSz w:w="11900" w:h="16838" w:orient="portrait"/>
          <w:cols w:equalWidth="0" w:num="2">
            <w:col w:w="7360" w:space="240"/>
            <w:col w:w="3640"/>
          </w:cols>
          <w:pgMar w:left="320" w:top="504"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May 1, 2020:</w:t>
      </w:r>
    </w:p>
    <w:p>
      <w:pPr>
        <w:spacing w:after="0" w:line="181" w:lineRule="exact"/>
        <w:rPr>
          <w:sz w:val="20"/>
          <w:szCs w:val="20"/>
          <w:color w:val="auto"/>
        </w:rPr>
      </w:pPr>
    </w:p>
    <w:p>
      <w:pPr>
        <w:ind w:left="40"/>
        <w:spacing w:after="0"/>
        <w:tabs>
          <w:tab w:leader="none" w:pos="3800" w:val="left"/>
          <w:tab w:leader="none" w:pos="4960" w:val="left"/>
        </w:tabs>
        <w:rPr>
          <w:sz w:val="20"/>
          <w:szCs w:val="20"/>
          <w:color w:val="auto"/>
        </w:rPr>
      </w:pPr>
      <w:r>
        <w:rPr>
          <w:rFonts w:ascii="Arial" w:cs="Arial" w:eastAsia="Arial" w:hAnsi="Arial"/>
          <w:sz w:val="16"/>
          <w:szCs w:val="16"/>
          <w:color w:val="auto"/>
        </w:rPr>
        <w:t>CenterPoint Energy, Inc.</w:t>
      </w:r>
      <w:r>
        <w:rPr>
          <w:sz w:val="20"/>
          <w:szCs w:val="20"/>
          <w:color w:val="auto"/>
        </w:rPr>
        <w:tab/>
      </w:r>
      <w:r>
        <w:rPr>
          <w:rFonts w:ascii="Arial" w:cs="Arial" w:eastAsia="Arial" w:hAnsi="Arial"/>
          <w:sz w:val="16"/>
          <w:szCs w:val="16"/>
          <w:color w:val="auto"/>
        </w:rPr>
        <w:t>502,656,951</w:t>
      </w:r>
      <w:r>
        <w:rPr>
          <w:sz w:val="20"/>
          <w:szCs w:val="20"/>
          <w:color w:val="auto"/>
        </w:rPr>
        <w:tab/>
      </w:r>
      <w:r>
        <w:rPr>
          <w:rFonts w:ascii="Arial" w:cs="Arial" w:eastAsia="Arial" w:hAnsi="Arial"/>
          <w:sz w:val="14"/>
          <w:szCs w:val="14"/>
          <w:color w:val="auto"/>
        </w:rPr>
        <w:t>shares of common stock outstanding, excluding 166 shares held as treasury stock</w:t>
      </w:r>
    </w:p>
    <w:p>
      <w:pPr>
        <w:spacing w:after="0" w:line="73"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common shares outstanding, all held by Utility Holding, LLC, a wholly-owned subsidiary of</w:t>
      </w:r>
    </w:p>
    <w:p>
      <w:pPr>
        <w:spacing w:after="0" w:line="34" w:lineRule="exact"/>
        <w:rPr>
          <w:sz w:val="20"/>
          <w:szCs w:val="20"/>
          <w:color w:val="auto"/>
        </w:rPr>
      </w:pPr>
    </w:p>
    <w:p>
      <w:pPr>
        <w:ind w:left="40"/>
        <w:spacing w:after="0"/>
        <w:tabs>
          <w:tab w:leader="none" w:pos="4040" w:val="left"/>
          <w:tab w:leader="none" w:pos="4960" w:val="left"/>
        </w:tabs>
        <w:rPr>
          <w:sz w:val="20"/>
          <w:szCs w:val="20"/>
          <w:color w:val="auto"/>
        </w:rPr>
      </w:pPr>
      <w:r>
        <w:rPr>
          <w:rFonts w:ascii="Arial" w:cs="Arial" w:eastAsia="Arial" w:hAnsi="Arial"/>
          <w:sz w:val="16"/>
          <w:szCs w:val="16"/>
          <w:color w:val="auto"/>
        </w:rPr>
        <w:t>CenterPoint Energy Houston Electric, LLC</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4"/>
          <w:szCs w:val="14"/>
          <w:color w:val="auto"/>
        </w:rPr>
        <w:t>CenterPoint Energy, Inc.</w:t>
      </w:r>
    </w:p>
    <w:p>
      <w:pPr>
        <w:spacing w:after="0" w:line="6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shares of common stock outstanding, all held by Utility Holding, LLC, a wholly-owned</w:t>
      </w:r>
    </w:p>
    <w:p>
      <w:pPr>
        <w:spacing w:after="0" w:line="22" w:lineRule="exact"/>
        <w:rPr>
          <w:sz w:val="20"/>
          <w:szCs w:val="20"/>
          <w:color w:val="auto"/>
        </w:rPr>
      </w:pPr>
    </w:p>
    <w:p>
      <w:pPr>
        <w:ind w:left="40"/>
        <w:spacing w:after="0"/>
        <w:tabs>
          <w:tab w:leader="none" w:pos="4040" w:val="left"/>
          <w:tab w:leader="none" w:pos="4960" w:val="left"/>
        </w:tabs>
        <w:rPr>
          <w:sz w:val="20"/>
          <w:szCs w:val="20"/>
          <w:color w:val="auto"/>
        </w:rPr>
      </w:pPr>
      <w:r>
        <w:rPr>
          <w:rFonts w:ascii="Arial" w:cs="Arial" w:eastAsia="Arial" w:hAnsi="Arial"/>
          <w:sz w:val="16"/>
          <w:szCs w:val="16"/>
          <w:color w:val="auto"/>
        </w:rPr>
        <w:t>CenterPoint Energy Resources Corp.</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4"/>
          <w:szCs w:val="14"/>
          <w:color w:val="auto"/>
        </w:rPr>
        <w:t>subsidiary of CenterPoint Energy, Inc.</w:t>
      </w:r>
    </w:p>
    <w:p>
      <w:pPr>
        <w:spacing w:after="0" w:line="200" w:lineRule="exact"/>
        <w:rPr>
          <w:sz w:val="20"/>
          <w:szCs w:val="20"/>
          <w:color w:val="auto"/>
        </w:rPr>
      </w:pPr>
    </w:p>
    <w:p>
      <w:pPr>
        <w:spacing w:after="0" w:line="22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tcPr>
          <w:p>
            <w:pPr>
              <w:ind w:left="282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192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Item 1.</w:t>
            </w: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Financial Statements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99"/>
              </w:rPr>
            </w:pPr>
            <w:hyperlink w:anchor="page12">
              <w:r>
                <w:rPr>
                  <w:rFonts w:ascii="Arial" w:cs="Arial" w:eastAsia="Arial" w:hAnsi="Arial"/>
                  <w:sz w:val="18"/>
                  <w:szCs w:val="18"/>
                  <w:u w:val="single" w:color="auto"/>
                  <w:color w:val="0000EE"/>
                  <w:w w:val="99"/>
                </w:rPr>
                <w:t>1</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160"/>
              <w:spacing w:after="0"/>
              <w:rPr>
                <w:rFonts w:ascii="Arial" w:cs="Arial" w:eastAsia="Arial" w:hAnsi="Arial"/>
                <w:sz w:val="18"/>
                <w:szCs w:val="18"/>
                <w:color w:val="0000EE"/>
              </w:rPr>
            </w:pPr>
            <w:hyperlink w:anchor="page12">
              <w:r>
                <w:rPr>
                  <w:rFonts w:ascii="Arial" w:cs="Arial" w:eastAsia="Arial" w:hAnsi="Arial"/>
                  <w:sz w:val="18"/>
                  <w:szCs w:val="18"/>
                  <w:u w:val="single" w:color="auto"/>
                  <w:color w:val="0000EE"/>
                </w:rPr>
                <w:t>CenterPoint Energy, Inc.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Pr>
          <w:p>
            <w:pPr>
              <w:jc w:val="center"/>
              <w:ind w:left="1370"/>
              <w:spacing w:after="0"/>
              <w:rPr>
                <w:rFonts w:ascii="Arial" w:cs="Arial" w:eastAsia="Arial" w:hAnsi="Arial"/>
                <w:sz w:val="18"/>
                <w:szCs w:val="18"/>
                <w:u w:val="single" w:color="auto"/>
                <w:color w:val="0000EE"/>
                <w:w w:val="99"/>
              </w:rPr>
            </w:pPr>
            <w:hyperlink w:anchor="page12">
              <w:r>
                <w:rPr>
                  <w:rFonts w:ascii="Arial" w:cs="Arial" w:eastAsia="Arial" w:hAnsi="Arial"/>
                  <w:sz w:val="18"/>
                  <w:szCs w:val="18"/>
                  <w:u w:val="single" w:color="auto"/>
                  <w:color w:val="0000EE"/>
                  <w:w w:val="99"/>
                </w:rPr>
                <w:t>1</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color w:val="0000EE"/>
              </w:rPr>
            </w:pPr>
            <w:hyperlink w:anchor="page19">
              <w:r>
                <w:rPr>
                  <w:rFonts w:ascii="Arial" w:cs="Arial" w:eastAsia="Arial" w:hAnsi="Arial"/>
                  <w:sz w:val="18"/>
                  <w:szCs w:val="18"/>
                  <w:u w:val="single" w:color="auto"/>
                  <w:color w:val="0000EE"/>
                </w:rPr>
                <w:t>CenterPoint Energy Houston Electric, LLC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99"/>
              </w:rPr>
            </w:pPr>
            <w:hyperlink w:anchor="page19">
              <w:r>
                <w:rPr>
                  <w:rFonts w:ascii="Arial" w:cs="Arial" w:eastAsia="Arial" w:hAnsi="Arial"/>
                  <w:sz w:val="18"/>
                  <w:szCs w:val="18"/>
                  <w:u w:val="single" w:color="auto"/>
                  <w:color w:val="0000EE"/>
                  <w:w w:val="99"/>
                </w:rPr>
                <w:t>7</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160"/>
              <w:spacing w:after="0"/>
              <w:rPr>
                <w:rFonts w:ascii="Arial" w:cs="Arial" w:eastAsia="Arial" w:hAnsi="Arial"/>
                <w:sz w:val="18"/>
                <w:szCs w:val="18"/>
                <w:color w:val="0000EE"/>
              </w:rPr>
            </w:pPr>
            <w:hyperlink w:anchor="page25">
              <w:r>
                <w:rPr>
                  <w:rFonts w:ascii="Arial" w:cs="Arial" w:eastAsia="Arial" w:hAnsi="Arial"/>
                  <w:sz w:val="18"/>
                  <w:szCs w:val="18"/>
                  <w:u w:val="single" w:color="auto"/>
                  <w:color w:val="0000EE"/>
                </w:rPr>
                <w:t>CenterPoint Energy Resources Corp.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13</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Combined Notes to Unaudited Condensed Consolidated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19</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31">
              <w:r>
                <w:rPr>
                  <w:rFonts w:ascii="Arial" w:cs="Arial" w:eastAsia="Arial" w:hAnsi="Arial"/>
                  <w:sz w:val="18"/>
                  <w:szCs w:val="18"/>
                  <w:u w:val="single" w:color="auto"/>
                  <w:color w:val="0000EE"/>
                  <w:w w:val="99"/>
                </w:rPr>
                <w:t>(1)</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Background and Basis of Presentation</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19</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33">
              <w:r>
                <w:rPr>
                  <w:rFonts w:ascii="Arial" w:cs="Arial" w:eastAsia="Arial" w:hAnsi="Arial"/>
                  <w:sz w:val="18"/>
                  <w:szCs w:val="18"/>
                  <w:u w:val="single" w:color="auto"/>
                  <w:color w:val="0000EE"/>
                  <w:w w:val="99"/>
                </w:rPr>
                <w:t>(2)</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New Accounting Pronouncements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21</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33">
              <w:r>
                <w:rPr>
                  <w:rFonts w:ascii="Arial" w:cs="Arial" w:eastAsia="Arial" w:hAnsi="Arial"/>
                  <w:sz w:val="18"/>
                  <w:szCs w:val="18"/>
                  <w:u w:val="single" w:color="auto"/>
                  <w:color w:val="0000EE"/>
                  <w:w w:val="99"/>
                </w:rPr>
                <w:t>(3)</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Held for Sale and Discontinued Operations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21</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37">
              <w:r>
                <w:rPr>
                  <w:rFonts w:ascii="Arial" w:cs="Arial" w:eastAsia="Arial" w:hAnsi="Arial"/>
                  <w:sz w:val="18"/>
                  <w:szCs w:val="18"/>
                  <w:u w:val="single" w:color="auto"/>
                  <w:color w:val="0000EE"/>
                  <w:w w:val="99"/>
                </w:rPr>
                <w:t>(4)</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Revenue Recognition</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25</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40">
              <w:r>
                <w:rPr>
                  <w:rFonts w:ascii="Arial" w:cs="Arial" w:eastAsia="Arial" w:hAnsi="Arial"/>
                  <w:sz w:val="18"/>
                  <w:szCs w:val="18"/>
                  <w:u w:val="single" w:color="auto"/>
                  <w:color w:val="0000EE"/>
                  <w:w w:val="99"/>
                </w:rPr>
                <w:t>(5)</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Employee Benefit Plans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28</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41">
              <w:r>
                <w:rPr>
                  <w:rFonts w:ascii="Arial" w:cs="Arial" w:eastAsia="Arial" w:hAnsi="Arial"/>
                  <w:sz w:val="18"/>
                  <w:szCs w:val="18"/>
                  <w:u w:val="single" w:color="auto"/>
                  <w:color w:val="0000EE"/>
                  <w:w w:val="99"/>
                </w:rPr>
                <w:t>(6)</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Regulatory Accounting</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29</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43">
              <w:r>
                <w:rPr>
                  <w:rFonts w:ascii="Arial" w:cs="Arial" w:eastAsia="Arial" w:hAnsi="Arial"/>
                  <w:sz w:val="18"/>
                  <w:szCs w:val="18"/>
                  <w:u w:val="single" w:color="auto"/>
                  <w:color w:val="0000EE"/>
                  <w:w w:val="99"/>
                </w:rPr>
                <w:t>(7)</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Derivative Instruments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31</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48">
              <w:r>
                <w:rPr>
                  <w:rFonts w:ascii="Arial" w:cs="Arial" w:eastAsia="Arial" w:hAnsi="Arial"/>
                  <w:sz w:val="18"/>
                  <w:szCs w:val="18"/>
                  <w:u w:val="single" w:color="auto"/>
                  <w:color w:val="0000EE"/>
                  <w:w w:val="99"/>
                </w:rPr>
                <w:t>(8)</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Fair Value Measurements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36</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52">
              <w:r>
                <w:rPr>
                  <w:rFonts w:ascii="Arial" w:cs="Arial" w:eastAsia="Arial" w:hAnsi="Arial"/>
                  <w:sz w:val="18"/>
                  <w:szCs w:val="18"/>
                  <w:u w:val="single" w:color="auto"/>
                  <w:color w:val="0000EE"/>
                  <w:w w:val="99"/>
                </w:rPr>
                <w:t>(9)</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Unconsolidated Affiliates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40</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55">
              <w:r>
                <w:rPr>
                  <w:rFonts w:ascii="Arial" w:cs="Arial" w:eastAsia="Arial" w:hAnsi="Arial"/>
                  <w:sz w:val="18"/>
                  <w:szCs w:val="18"/>
                  <w:u w:val="single" w:color="auto"/>
                  <w:color w:val="0000EE"/>
                  <w:w w:val="93"/>
                </w:rPr>
                <w:t>(10)</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Goodwill and Other Intangibles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43</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40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(11) Indexed Debt Securities (ZENS) and Securities Related to ZENS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45</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57">
              <w:r>
                <w:rPr>
                  <w:rFonts w:ascii="Arial" w:cs="Arial" w:eastAsia="Arial" w:hAnsi="Arial"/>
                  <w:sz w:val="18"/>
                  <w:szCs w:val="18"/>
                  <w:u w:val="single" w:color="auto"/>
                  <w:color w:val="0000EE"/>
                  <w:w w:val="93"/>
                </w:rPr>
                <w:t>(12)</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Short-term Borrowings and Long-term Debt</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45</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59">
              <w:r>
                <w:rPr>
                  <w:rFonts w:ascii="Arial" w:cs="Arial" w:eastAsia="Arial" w:hAnsi="Arial"/>
                  <w:sz w:val="18"/>
                  <w:szCs w:val="18"/>
                  <w:u w:val="single" w:color="auto"/>
                  <w:color w:val="0000EE"/>
                  <w:w w:val="93"/>
                </w:rPr>
                <w:t>(13)</w:t>
              </w:r>
            </w:hyperlink>
          </w:p>
        </w:tc>
        <w:tc>
          <w:tcPr>
            <w:tcW w:w="7460" w:type="dxa"/>
            <w:vAlign w:val="bottom"/>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Income Taxes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47</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60">
              <w:r>
                <w:rPr>
                  <w:rFonts w:ascii="Arial" w:cs="Arial" w:eastAsia="Arial" w:hAnsi="Arial"/>
                  <w:sz w:val="18"/>
                  <w:szCs w:val="18"/>
                  <w:u w:val="single" w:color="auto"/>
                  <w:color w:val="0000EE"/>
                  <w:w w:val="93"/>
                </w:rPr>
                <w:t>(14)</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Commitments and Contingencies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60">
              <w:r>
                <w:rPr>
                  <w:rFonts w:ascii="Arial" w:cs="Arial" w:eastAsia="Arial" w:hAnsi="Arial"/>
                  <w:sz w:val="18"/>
                  <w:szCs w:val="18"/>
                  <w:u w:val="single" w:color="auto"/>
                  <w:color w:val="0000EE"/>
                  <w:w w:val="89"/>
                </w:rPr>
                <w:t>48</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64">
              <w:r>
                <w:rPr>
                  <w:rFonts w:ascii="Arial" w:cs="Arial" w:eastAsia="Arial" w:hAnsi="Arial"/>
                  <w:sz w:val="18"/>
                  <w:szCs w:val="18"/>
                  <w:u w:val="single" w:color="auto"/>
                  <w:color w:val="0000EE"/>
                  <w:w w:val="93"/>
                </w:rPr>
                <w:t>(15)</w:t>
              </w:r>
            </w:hyperlink>
          </w:p>
        </w:tc>
        <w:tc>
          <w:tcPr>
            <w:tcW w:w="7460" w:type="dxa"/>
            <w:vAlign w:val="bottom"/>
          </w:tcPr>
          <w:p>
            <w:pPr>
              <w:ind w:left="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Earnings Per Share</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64">
              <w:r>
                <w:rPr>
                  <w:rFonts w:ascii="Arial" w:cs="Arial" w:eastAsia="Arial" w:hAnsi="Arial"/>
                  <w:sz w:val="18"/>
                  <w:szCs w:val="18"/>
                  <w:u w:val="single" w:color="auto"/>
                  <w:color w:val="0000EE"/>
                  <w:w w:val="89"/>
                </w:rPr>
                <w:t>52</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65">
              <w:r>
                <w:rPr>
                  <w:rFonts w:ascii="Arial" w:cs="Arial" w:eastAsia="Arial" w:hAnsi="Arial"/>
                  <w:sz w:val="18"/>
                  <w:szCs w:val="18"/>
                  <w:u w:val="single" w:color="auto"/>
                  <w:color w:val="0000EE"/>
                  <w:w w:val="93"/>
                </w:rPr>
                <w:t>(16)</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Reportable Segments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65">
              <w:r>
                <w:rPr>
                  <w:rFonts w:ascii="Arial" w:cs="Arial" w:eastAsia="Arial" w:hAnsi="Arial"/>
                  <w:sz w:val="18"/>
                  <w:szCs w:val="18"/>
                  <w:u w:val="single" w:color="auto"/>
                  <w:color w:val="0000EE"/>
                  <w:w w:val="89"/>
                </w:rPr>
                <w:t>53</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68">
              <w:r>
                <w:rPr>
                  <w:rFonts w:ascii="Arial" w:cs="Arial" w:eastAsia="Arial" w:hAnsi="Arial"/>
                  <w:sz w:val="18"/>
                  <w:szCs w:val="18"/>
                  <w:u w:val="single" w:color="auto"/>
                  <w:color w:val="0000EE"/>
                  <w:w w:val="93"/>
                </w:rPr>
                <w:t>(17)</w:t>
              </w:r>
            </w:hyperlink>
          </w:p>
        </w:tc>
        <w:tc>
          <w:tcPr>
            <w:tcW w:w="7460" w:type="dxa"/>
            <w:vAlign w:val="bottom"/>
          </w:tcPr>
          <w:p>
            <w:pPr>
              <w:ind w:left="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Supplemental Disclosure of Cash Flow Information</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56</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68">
              <w:r>
                <w:rPr>
                  <w:rFonts w:ascii="Arial" w:cs="Arial" w:eastAsia="Arial" w:hAnsi="Arial"/>
                  <w:sz w:val="18"/>
                  <w:szCs w:val="18"/>
                  <w:u w:val="single" w:color="auto"/>
                  <w:color w:val="0000EE"/>
                  <w:w w:val="93"/>
                </w:rPr>
                <w:t>(18)</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Related Party Transactions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56</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69">
              <w:r>
                <w:rPr>
                  <w:rFonts w:ascii="Arial" w:cs="Arial" w:eastAsia="Arial" w:hAnsi="Arial"/>
                  <w:sz w:val="18"/>
                  <w:szCs w:val="18"/>
                  <w:u w:val="single" w:color="auto"/>
                  <w:color w:val="0000EE"/>
                  <w:w w:val="93"/>
                </w:rPr>
                <w:t>(19)</w:t>
              </w:r>
            </w:hyperlink>
          </w:p>
        </w:tc>
        <w:tc>
          <w:tcPr>
            <w:tcW w:w="7460" w:type="dxa"/>
            <w:vAlign w:val="bottom"/>
          </w:tcPr>
          <w:p>
            <w:pPr>
              <w:ind w:left="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Equity</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69">
              <w:r>
                <w:rPr>
                  <w:rFonts w:ascii="Arial" w:cs="Arial" w:eastAsia="Arial" w:hAnsi="Arial"/>
                  <w:sz w:val="18"/>
                  <w:szCs w:val="18"/>
                  <w:u w:val="single" w:color="auto"/>
                  <w:color w:val="0000EE"/>
                  <w:w w:val="89"/>
                </w:rPr>
                <w:t>57</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71">
              <w:r>
                <w:rPr>
                  <w:rFonts w:ascii="Arial" w:cs="Arial" w:eastAsia="Arial" w:hAnsi="Arial"/>
                  <w:sz w:val="18"/>
                  <w:szCs w:val="18"/>
                  <w:u w:val="single" w:color="auto"/>
                  <w:color w:val="0000EE"/>
                  <w:w w:val="93"/>
                </w:rPr>
                <w:t>(20)</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Subsequent Events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71">
              <w:r>
                <w:rPr>
                  <w:rFonts w:ascii="Arial" w:cs="Arial" w:eastAsia="Arial" w:hAnsi="Arial"/>
                  <w:sz w:val="18"/>
                  <w:szCs w:val="18"/>
                  <w:u w:val="single" w:color="auto"/>
                  <w:color w:val="0000EE"/>
                  <w:w w:val="89"/>
                </w:rPr>
                <w:t>59</w:t>
              </w:r>
            </w:hyperlink>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2.</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Management’s Discussion and Analysis of Financial Condition and Results of Operations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73">
              <w:r>
                <w:rPr>
                  <w:rFonts w:ascii="Arial" w:cs="Arial" w:eastAsia="Arial" w:hAnsi="Arial"/>
                  <w:sz w:val="18"/>
                  <w:szCs w:val="18"/>
                  <w:u w:val="single" w:color="auto"/>
                  <w:color w:val="0000EE"/>
                  <w:w w:val="89"/>
                </w:rPr>
                <w:t>61</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4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Recent Events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73">
              <w:r>
                <w:rPr>
                  <w:rFonts w:ascii="Arial" w:cs="Arial" w:eastAsia="Arial" w:hAnsi="Arial"/>
                  <w:sz w:val="18"/>
                  <w:szCs w:val="18"/>
                  <w:u w:val="single" w:color="auto"/>
                  <w:color w:val="0000EE"/>
                  <w:w w:val="89"/>
                </w:rPr>
                <w:t>61</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40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Results of Operations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63</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40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Results of Operations by Reportable Segment</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79">
              <w:r>
                <w:rPr>
                  <w:rFonts w:ascii="Arial" w:cs="Arial" w:eastAsia="Arial" w:hAnsi="Arial"/>
                  <w:sz w:val="18"/>
                  <w:szCs w:val="18"/>
                  <w:u w:val="single" w:color="auto"/>
                  <w:color w:val="0000EE"/>
                  <w:w w:val="89"/>
                </w:rPr>
                <w:t>67</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40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Certain Factors Affecting Future Earnings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89">
              <w:r>
                <w:rPr>
                  <w:rFonts w:ascii="Arial" w:cs="Arial" w:eastAsia="Arial" w:hAnsi="Arial"/>
                  <w:sz w:val="18"/>
                  <w:szCs w:val="18"/>
                  <w:u w:val="single" w:color="auto"/>
                  <w:color w:val="0000EE"/>
                  <w:w w:val="89"/>
                </w:rPr>
                <w:t>77</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40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Liquidity and Capital Resources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90">
              <w:r>
                <w:rPr>
                  <w:rFonts w:ascii="Arial" w:cs="Arial" w:eastAsia="Arial" w:hAnsi="Arial"/>
                  <w:sz w:val="18"/>
                  <w:szCs w:val="18"/>
                  <w:u w:val="single" w:color="auto"/>
                  <w:color w:val="0000EE"/>
                  <w:w w:val="89"/>
                </w:rPr>
                <w:t>78</w:t>
              </w:r>
            </w:hyperlink>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3.</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Quantitative and Qualitative Disclosures about Market Risk</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105">
              <w:r>
                <w:rPr>
                  <w:rFonts w:ascii="Arial" w:cs="Arial" w:eastAsia="Arial" w:hAnsi="Arial"/>
                  <w:sz w:val="18"/>
                  <w:szCs w:val="18"/>
                  <w:u w:val="single" w:color="auto"/>
                  <w:color w:val="0000EE"/>
                  <w:w w:val="89"/>
                </w:rPr>
                <w:t>93</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Item 4.</w:t>
            </w: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Controls and Procedures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106">
              <w:r>
                <w:rPr>
                  <w:rFonts w:ascii="Arial" w:cs="Arial" w:eastAsia="Arial" w:hAnsi="Arial"/>
                  <w:sz w:val="18"/>
                  <w:szCs w:val="18"/>
                  <w:u w:val="single" w:color="auto"/>
                  <w:color w:val="0000EE"/>
                  <w:w w:val="89"/>
                </w:rPr>
                <w:t>94</w:t>
              </w:r>
            </w:hyperlink>
          </w:p>
        </w:tc>
      </w:tr>
      <w:tr>
        <w:trPr>
          <w:trHeight w:val="270"/>
        </w:trPr>
        <w:tc>
          <w:tcPr>
            <w:tcW w:w="1120" w:type="dxa"/>
            <w:vAlign w:val="bottom"/>
          </w:tcPr>
          <w:p>
            <w:pPr>
              <w:spacing w:after="0"/>
              <w:rPr>
                <w:sz w:val="23"/>
                <w:szCs w:val="23"/>
                <w:color w:val="auto"/>
              </w:rPr>
            </w:pPr>
          </w:p>
        </w:tc>
        <w:tc>
          <w:tcPr>
            <w:tcW w:w="8180" w:type="dxa"/>
            <w:vAlign w:val="bottom"/>
            <w:gridSpan w:val="3"/>
          </w:tcPr>
          <w:p>
            <w:pPr>
              <w:spacing w:after="0"/>
              <w:rPr>
                <w:sz w:val="23"/>
                <w:szCs w:val="23"/>
                <w:color w:val="auto"/>
              </w:rPr>
            </w:pPr>
          </w:p>
        </w:tc>
        <w:tc>
          <w:tcPr>
            <w:tcW w:w="1920" w:type="dxa"/>
            <w:vAlign w:val="bottom"/>
          </w:tcPr>
          <w:p>
            <w:pPr>
              <w:spacing w:after="0"/>
              <w:rPr>
                <w:sz w:val="23"/>
                <w:szCs w:val="23"/>
                <w:color w:val="auto"/>
              </w:rPr>
            </w:pPr>
          </w:p>
        </w:tc>
      </w:tr>
      <w:tr>
        <w:trPr>
          <w:trHeight w:val="25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8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OTHER INFORMATION</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1.</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Legal Proceedings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107">
              <w:r>
                <w:rPr>
                  <w:rFonts w:ascii="Arial" w:cs="Arial" w:eastAsia="Arial" w:hAnsi="Arial"/>
                  <w:sz w:val="18"/>
                  <w:szCs w:val="18"/>
                  <w:u w:val="single" w:color="auto"/>
                  <w:color w:val="0000EE"/>
                  <w:w w:val="89"/>
                </w:rPr>
                <w:t>95</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Item 1A.</w:t>
            </w: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Risk Factors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107">
              <w:r>
                <w:rPr>
                  <w:rFonts w:ascii="Arial" w:cs="Arial" w:eastAsia="Arial" w:hAnsi="Arial"/>
                  <w:sz w:val="18"/>
                  <w:szCs w:val="18"/>
                  <w:u w:val="single" w:color="auto"/>
                  <w:color w:val="0000EE"/>
                  <w:w w:val="89"/>
                </w:rPr>
                <w:t>95</w:t>
              </w:r>
            </w:hyperlink>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6.</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109">
              <w:r>
                <w:rPr>
                  <w:rFonts w:ascii="Arial" w:cs="Arial" w:eastAsia="Arial" w:hAnsi="Arial"/>
                  <w:sz w:val="18"/>
                  <w:szCs w:val="18"/>
                  <w:u w:val="single" w:color="auto"/>
                  <w:color w:val="0000EE"/>
                  <w:w w:val="89"/>
                </w:rPr>
                <w:t>97</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1120" w:type="dxa"/>
            <w:vAlign w:val="bottom"/>
            <w:shd w:val="clear" w:color="auto" w:fill="CCEEFF"/>
          </w:tcPr>
          <w:p>
            <w:pPr>
              <w:spacing w:after="0"/>
              <w:rPr>
                <w:sz w:val="21"/>
                <w:szCs w:val="21"/>
                <w:color w:val="auto"/>
              </w:rPr>
            </w:pPr>
          </w:p>
        </w:tc>
        <w:tc>
          <w:tcPr>
            <w:tcW w:w="8180" w:type="dxa"/>
            <w:vAlign w:val="bottom"/>
            <w:gridSpan w:val="3"/>
            <w:shd w:val="clear" w:color="auto" w:fill="CCEEFF"/>
          </w:tcPr>
          <w:p>
            <w:pPr>
              <w:ind w:left="16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Signatures</w:t>
              </w:r>
            </w:hyperlink>
          </w:p>
        </w:tc>
        <w:tc>
          <w:tcPr>
            <w:tcW w:w="1920" w:type="dxa"/>
            <w:vAlign w:val="bottom"/>
            <w:shd w:val="clear" w:color="auto" w:fill="CCEEFF"/>
          </w:tcPr>
          <w:p>
            <w:pPr>
              <w:jc w:val="center"/>
              <w:ind w:left="1370"/>
              <w:spacing w:after="0"/>
              <w:rPr>
                <w:rFonts w:ascii="Arial" w:cs="Arial" w:eastAsia="Arial" w:hAnsi="Arial"/>
                <w:sz w:val="18"/>
                <w:szCs w:val="18"/>
                <w:u w:val="single" w:color="auto"/>
                <w:color w:val="0000EE"/>
                <w:w w:val="86"/>
              </w:rPr>
            </w:pPr>
            <w:hyperlink w:anchor="page113">
              <w:r>
                <w:rPr>
                  <w:rFonts w:ascii="Arial" w:cs="Arial" w:eastAsia="Arial" w:hAnsi="Arial"/>
                  <w:sz w:val="18"/>
                  <w:szCs w:val="18"/>
                  <w:u w:val="single" w:color="auto"/>
                  <w:color w:val="0000EE"/>
                  <w:w w:val="86"/>
                </w:rPr>
                <w:t>101</w:t>
              </w:r>
            </w:hyperlink>
          </w:p>
        </w:tc>
      </w:tr>
      <w:tr>
        <w:trPr>
          <w:trHeight w:val="27"/>
        </w:trPr>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33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760" w:type="dxa"/>
            <w:vAlign w:val="bottom"/>
          </w:tcPr>
          <w:p>
            <w:pPr>
              <w:ind w:left="170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4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Affordable Clean Energy</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760" w:type="dxa"/>
            <w:vAlign w:val="bottom"/>
          </w:tcPr>
          <w:p>
            <w:pPr>
              <w:ind w:left="1200"/>
              <w:spacing w:after="0"/>
              <w:rPr>
                <w:sz w:val="20"/>
                <w:szCs w:val="20"/>
                <w:color w:val="auto"/>
              </w:rPr>
            </w:pPr>
            <w:r>
              <w:rPr>
                <w:rFonts w:ascii="Arial" w:cs="Arial" w:eastAsia="Arial" w:hAnsi="Arial"/>
                <w:sz w:val="18"/>
                <w:szCs w:val="18"/>
                <w:color w:val="auto"/>
              </w:rPr>
              <w:t>Asset Management Agreement</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AMS</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Advanced Metering System</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APSC</w:t>
            </w:r>
          </w:p>
        </w:tc>
        <w:tc>
          <w:tcPr>
            <w:tcW w:w="7760" w:type="dxa"/>
            <w:vAlign w:val="bottom"/>
          </w:tcPr>
          <w:p>
            <w:pPr>
              <w:ind w:left="1200"/>
              <w:spacing w:after="0"/>
              <w:rPr>
                <w:sz w:val="20"/>
                <w:szCs w:val="20"/>
                <w:color w:val="auto"/>
              </w:rPr>
            </w:pPr>
            <w:r>
              <w:rPr>
                <w:rFonts w:ascii="Arial" w:cs="Arial" w:eastAsia="Arial" w:hAnsi="Arial"/>
                <w:sz w:val="18"/>
                <w:szCs w:val="18"/>
                <w:color w:val="auto"/>
              </w:rPr>
              <w:t>Arkansas Public Service Commission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ARAM</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Average rate assumption method</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760" w:type="dxa"/>
            <w:vAlign w:val="bottom"/>
          </w:tcPr>
          <w:p>
            <w:pPr>
              <w:ind w:left="1200"/>
              <w:spacing w:after="0"/>
              <w:rPr>
                <w:sz w:val="20"/>
                <w:szCs w:val="20"/>
                <w:color w:val="auto"/>
              </w:rPr>
            </w:pPr>
            <w:r>
              <w:rPr>
                <w:rFonts w:ascii="Arial" w:cs="Arial" w:eastAsia="Arial" w:hAnsi="Arial"/>
                <w:sz w:val="18"/>
                <w:szCs w:val="18"/>
                <w:color w:val="auto"/>
              </w:rPr>
              <w:t>Asset retirement obligation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Alternative revenue program</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760" w:type="dxa"/>
            <w:vAlign w:val="bottom"/>
          </w:tcPr>
          <w:p>
            <w:pPr>
              <w:ind w:left="1200"/>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ASU</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Accounting Standards Update</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760" w:type="dxa"/>
            <w:vAlign w:val="bottom"/>
          </w:tcPr>
          <w:p>
            <w:pPr>
              <w:ind w:left="1200"/>
              <w:spacing w:after="0"/>
              <w:rPr>
                <w:sz w:val="20"/>
                <w:szCs w:val="20"/>
                <w:color w:val="auto"/>
              </w:rPr>
            </w:pPr>
            <w:r>
              <w:rPr>
                <w:rFonts w:ascii="Arial" w:cs="Arial" w:eastAsia="Arial" w:hAnsi="Arial"/>
                <w:sz w:val="18"/>
                <w:szCs w:val="18"/>
                <w:color w:val="auto"/>
              </w:rPr>
              <w:t>AT&amp;T Inc. common stock</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Athena Energy Services</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2"/>
              </w:rPr>
              <w:t>Athena Energy Services Buyer, LLC, a Delaware limited liability company and subsidiary</w:t>
            </w:r>
          </w:p>
        </w:tc>
      </w:tr>
      <w:tr>
        <w:trPr>
          <w:trHeight w:val="237"/>
        </w:trPr>
        <w:tc>
          <w:tcPr>
            <w:tcW w:w="34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of Energy Capital Partners, LLC</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Bailey to Jones Creek Project</w:t>
            </w:r>
          </w:p>
        </w:tc>
        <w:tc>
          <w:tcPr>
            <w:tcW w:w="7760" w:type="dxa"/>
            <w:vAlign w:val="bottom"/>
          </w:tcPr>
          <w:p>
            <w:pPr>
              <w:ind w:left="1200"/>
              <w:spacing w:after="0"/>
              <w:rPr>
                <w:sz w:val="20"/>
                <w:szCs w:val="20"/>
                <w:color w:val="auto"/>
              </w:rPr>
            </w:pPr>
            <w:r>
              <w:rPr>
                <w:rFonts w:ascii="Arial" w:cs="Arial" w:eastAsia="Arial" w:hAnsi="Arial"/>
                <w:sz w:val="18"/>
                <w:szCs w:val="18"/>
                <w:color w:val="auto"/>
                <w:w w:val="91"/>
              </w:rPr>
              <w:t>A transmission project in the greater Freeport, Texas area, which includes enhancements</w:t>
            </w:r>
          </w:p>
        </w:tc>
      </w:tr>
      <w:tr>
        <w:trPr>
          <w:trHeight w:val="216"/>
        </w:trPr>
        <w:tc>
          <w:tcPr>
            <w:tcW w:w="3420" w:type="dxa"/>
            <w:vAlign w:val="bottom"/>
          </w:tcPr>
          <w:p>
            <w:pPr>
              <w:spacing w:after="0"/>
              <w:rPr>
                <w:sz w:val="18"/>
                <w:szCs w:val="18"/>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w w:val="93"/>
              </w:rPr>
              <w:t>to two existing substations and the construction of a new 345 kV double-circuit line to be</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located in the counties of Brazoria, Matagorda and Wharton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Billion cubic feet</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Bond Companies</w:t>
            </w:r>
          </w:p>
        </w:tc>
        <w:tc>
          <w:tcPr>
            <w:tcW w:w="7760" w:type="dxa"/>
            <w:vAlign w:val="bottom"/>
          </w:tcPr>
          <w:p>
            <w:pPr>
              <w:ind w:left="1200"/>
              <w:spacing w:after="0"/>
              <w:rPr>
                <w:sz w:val="20"/>
                <w:szCs w:val="20"/>
                <w:color w:val="auto"/>
              </w:rPr>
            </w:pPr>
            <w:r>
              <w:rPr>
                <w:rFonts w:ascii="Arial" w:cs="Arial" w:eastAsia="Arial" w:hAnsi="Arial"/>
                <w:sz w:val="18"/>
                <w:szCs w:val="18"/>
                <w:color w:val="auto"/>
              </w:rPr>
              <w:t>Bond Company II, Bond Company III, Bond Company IV and Restoration Bond</w:t>
            </w:r>
          </w:p>
        </w:tc>
      </w:tr>
      <w:tr>
        <w:trPr>
          <w:trHeight w:val="216"/>
        </w:trPr>
        <w:tc>
          <w:tcPr>
            <w:tcW w:w="3420" w:type="dxa"/>
            <w:vAlign w:val="bottom"/>
          </w:tcPr>
          <w:p>
            <w:pPr>
              <w:spacing w:after="0"/>
              <w:rPr>
                <w:sz w:val="18"/>
                <w:szCs w:val="18"/>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w w:val="93"/>
              </w:rPr>
              <w:t>Company, each a wholly-owned, bankruptcy remote entity formed solely for the purpose</w:t>
            </w:r>
          </w:p>
        </w:tc>
      </w:tr>
      <w:tr>
        <w:trPr>
          <w:trHeight w:val="216"/>
        </w:trPr>
        <w:tc>
          <w:tcPr>
            <w:tcW w:w="3420" w:type="dxa"/>
            <w:vAlign w:val="bottom"/>
          </w:tcPr>
          <w:p>
            <w:pPr>
              <w:spacing w:after="0"/>
              <w:rPr>
                <w:sz w:val="18"/>
                <w:szCs w:val="18"/>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w w:val="93"/>
              </w:rPr>
              <w:t>of purchasing and owning transition or system restoration property through the issuance</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of Securitization Bonds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Bond Company II</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7"/>
              </w:rPr>
              <w:t>CenterPoint Energy Transition Bond Company II, LLC, a wholly-owned subsidiary of</w:t>
            </w:r>
          </w:p>
        </w:tc>
      </w:tr>
      <w:tr>
        <w:trPr>
          <w:trHeight w:val="237"/>
        </w:trPr>
        <w:tc>
          <w:tcPr>
            <w:tcW w:w="34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Houston Electric</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Bond Company III</w:t>
            </w:r>
          </w:p>
        </w:tc>
        <w:tc>
          <w:tcPr>
            <w:tcW w:w="7760" w:type="dxa"/>
            <w:vAlign w:val="bottom"/>
          </w:tcPr>
          <w:p>
            <w:pPr>
              <w:ind w:left="1200"/>
              <w:spacing w:after="0"/>
              <w:rPr>
                <w:sz w:val="20"/>
                <w:szCs w:val="20"/>
                <w:color w:val="auto"/>
              </w:rPr>
            </w:pPr>
            <w:r>
              <w:rPr>
                <w:rFonts w:ascii="Arial" w:cs="Arial" w:eastAsia="Arial" w:hAnsi="Arial"/>
                <w:sz w:val="18"/>
                <w:szCs w:val="18"/>
                <w:color w:val="auto"/>
                <w:w w:val="97"/>
              </w:rPr>
              <w:t>CenterPoint Energy Transition Bond Company III, LLC, a wholly-owned subsidiary of</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Houston Electric</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Bond Company IV</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6"/>
              </w:rPr>
              <w:t>CenterPoint Energy Transition Bond Company IV, LLC, a wholly-owned subsidiary of</w:t>
            </w:r>
          </w:p>
        </w:tc>
      </w:tr>
      <w:tr>
        <w:trPr>
          <w:trHeight w:val="237"/>
        </w:trPr>
        <w:tc>
          <w:tcPr>
            <w:tcW w:w="34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Houston Electric</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760" w:type="dxa"/>
            <w:vAlign w:val="bottom"/>
          </w:tcPr>
          <w:p>
            <w:pPr>
              <w:ind w:left="1200"/>
              <w:spacing w:after="0"/>
              <w:rPr>
                <w:sz w:val="20"/>
                <w:szCs w:val="20"/>
                <w:color w:val="auto"/>
              </w:rPr>
            </w:pPr>
            <w:r>
              <w:rPr>
                <w:rFonts w:ascii="Arial" w:cs="Arial" w:eastAsia="Arial" w:hAnsi="Arial"/>
                <w:sz w:val="18"/>
                <w:szCs w:val="18"/>
                <w:color w:val="auto"/>
              </w:rPr>
              <w:t>Coronavirus Aid, Relief, and Economic Security Act</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Coal Combustion Residuals</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CECA</w:t>
            </w:r>
          </w:p>
        </w:tc>
        <w:tc>
          <w:tcPr>
            <w:tcW w:w="7760" w:type="dxa"/>
            <w:vAlign w:val="bottom"/>
          </w:tcPr>
          <w:p>
            <w:pPr>
              <w:ind w:left="1200"/>
              <w:spacing w:after="0"/>
              <w:rPr>
                <w:sz w:val="20"/>
                <w:szCs w:val="20"/>
                <w:color w:val="auto"/>
              </w:rPr>
            </w:pPr>
            <w:r>
              <w:rPr>
                <w:rFonts w:ascii="Arial" w:cs="Arial" w:eastAsia="Arial" w:hAnsi="Arial"/>
                <w:sz w:val="18"/>
                <w:szCs w:val="18"/>
                <w:color w:val="auto"/>
              </w:rPr>
              <w:t>Clean Energy Cost Adjustment</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CECL</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Current expected credit losses</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760" w:type="dxa"/>
            <w:vAlign w:val="bottom"/>
          </w:tcPr>
          <w:p>
            <w:pPr>
              <w:ind w:left="120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CenterPoint Energy, Inc., and its subsidiaries</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760" w:type="dxa"/>
            <w:vAlign w:val="bottom"/>
          </w:tcPr>
          <w:p>
            <w:pPr>
              <w:ind w:left="1200"/>
              <w:spacing w:after="0"/>
              <w:rPr>
                <w:sz w:val="20"/>
                <w:szCs w:val="20"/>
                <w:color w:val="auto"/>
              </w:rPr>
            </w:pPr>
            <w:r>
              <w:rPr>
                <w:rFonts w:ascii="Arial" w:cs="Arial" w:eastAsia="Arial" w:hAnsi="Arial"/>
                <w:sz w:val="18"/>
                <w:szCs w:val="18"/>
                <w:color w:val="auto"/>
              </w:rPr>
              <w:t>CERC Corp., together with its subsidiaries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CenterPoint Energy Resources Corp.</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CES</w:t>
            </w:r>
          </w:p>
        </w:tc>
        <w:tc>
          <w:tcPr>
            <w:tcW w:w="7760" w:type="dxa"/>
            <w:vAlign w:val="bottom"/>
          </w:tcPr>
          <w:p>
            <w:pPr>
              <w:ind w:left="1200"/>
              <w:spacing w:after="0"/>
              <w:rPr>
                <w:sz w:val="20"/>
                <w:szCs w:val="20"/>
                <w:color w:val="auto"/>
              </w:rPr>
            </w:pPr>
            <w:r>
              <w:rPr>
                <w:rFonts w:ascii="Arial" w:cs="Arial" w:eastAsia="Arial" w:hAnsi="Arial"/>
                <w:sz w:val="18"/>
                <w:szCs w:val="18"/>
                <w:color w:val="auto"/>
              </w:rPr>
              <w:t>CenterPoint Energy Services, Inc., a wholly-owned subsidiary of CERC Corp.</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Charter Communications, Inc. common stock</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760" w:type="dxa"/>
            <w:vAlign w:val="bottom"/>
          </w:tcPr>
          <w:p>
            <w:pPr>
              <w:ind w:left="1200"/>
              <w:spacing w:after="0"/>
              <w:rPr>
                <w:sz w:val="20"/>
                <w:szCs w:val="20"/>
                <w:color w:val="auto"/>
              </w:rPr>
            </w:pPr>
            <w:r>
              <w:rPr>
                <w:rFonts w:ascii="Arial" w:cs="Arial" w:eastAsia="Arial" w:hAnsi="Arial"/>
                <w:sz w:val="18"/>
                <w:szCs w:val="18"/>
                <w:color w:val="auto"/>
              </w:rPr>
              <w:t>Conservation Improvement Program</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CME</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Chicago Mercantile Exchange</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CNG</w:t>
            </w:r>
          </w:p>
        </w:tc>
        <w:tc>
          <w:tcPr>
            <w:tcW w:w="7760" w:type="dxa"/>
            <w:vAlign w:val="bottom"/>
          </w:tcPr>
          <w:p>
            <w:pPr>
              <w:ind w:left="1200"/>
              <w:spacing w:after="0"/>
              <w:rPr>
                <w:sz w:val="20"/>
                <w:szCs w:val="20"/>
                <w:color w:val="auto"/>
              </w:rPr>
            </w:pPr>
            <w:r>
              <w:rPr>
                <w:rFonts w:ascii="Arial" w:cs="Arial" w:eastAsia="Arial" w:hAnsi="Arial"/>
                <w:sz w:val="18"/>
                <w:szCs w:val="18"/>
                <w:color w:val="auto"/>
              </w:rPr>
              <w:t>Compressed Natural Gas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CNP Midstream</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5"/>
              </w:rPr>
              <w:t>CenterPoint Energy Midstream, Inc., a wholly-owned subsidiary of CenterPoint Energy</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760" w:type="dxa"/>
            <w:vAlign w:val="bottom"/>
          </w:tcPr>
          <w:p>
            <w:pPr>
              <w:ind w:left="1200"/>
              <w:spacing w:after="0"/>
              <w:rPr>
                <w:sz w:val="20"/>
                <w:szCs w:val="20"/>
                <w:color w:val="auto"/>
              </w:rPr>
            </w:pPr>
            <w:r>
              <w:rPr>
                <w:rFonts w:ascii="Arial" w:cs="Arial" w:eastAsia="Arial" w:hAnsi="Arial"/>
                <w:sz w:val="18"/>
                <w:szCs w:val="18"/>
                <w:color w:val="auto"/>
              </w:rPr>
              <w:t>Chief Operating Decision Maker, the Registrants’ Chief Executive Officer</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CenterPoint Energy, Inc. common stock, par value $0.01 per share</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COVID-19</w:t>
            </w:r>
          </w:p>
        </w:tc>
        <w:tc>
          <w:tcPr>
            <w:tcW w:w="7760" w:type="dxa"/>
            <w:vAlign w:val="bottom"/>
          </w:tcPr>
          <w:p>
            <w:pPr>
              <w:ind w:left="1200"/>
              <w:spacing w:after="0"/>
              <w:rPr>
                <w:sz w:val="20"/>
                <w:szCs w:val="20"/>
                <w:color w:val="auto"/>
              </w:rPr>
            </w:pPr>
            <w:r>
              <w:rPr>
                <w:rFonts w:ascii="Arial" w:cs="Arial" w:eastAsia="Arial" w:hAnsi="Arial"/>
                <w:sz w:val="18"/>
                <w:szCs w:val="18"/>
                <w:color w:val="auto"/>
                <w:w w:val="98"/>
              </w:rPr>
              <w:t>Novel coronavirus disease 2019 and related global outbreak that was subsequently</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declared a pandemic by the World Health Organization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COVID-19 ERP</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COVID-19 Electricity Relief Program</w:t>
            </w:r>
          </w:p>
        </w:tc>
      </w:tr>
      <w:tr>
        <w:trPr>
          <w:trHeight w:val="243"/>
        </w:trPr>
        <w:tc>
          <w:tcPr>
            <w:tcW w:w="3420" w:type="dxa"/>
            <w:vAlign w:val="bottom"/>
            <w:shd w:val="clear" w:color="auto" w:fill="CCEEFF"/>
          </w:tcPr>
          <w:p>
            <w:pPr>
              <w:spacing w:after="0"/>
              <w:rPr>
                <w:sz w:val="21"/>
                <w:szCs w:val="21"/>
                <w:color w:val="auto"/>
              </w:rPr>
            </w:pPr>
          </w:p>
        </w:tc>
        <w:tc>
          <w:tcPr>
            <w:tcW w:w="7760" w:type="dxa"/>
            <w:vAlign w:val="bottom"/>
            <w:shd w:val="clear" w:color="auto" w:fill="CCEEFF"/>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760" w:type="dxa"/>
            <w:vAlign w:val="bottom"/>
          </w:tcPr>
          <w:p>
            <w:pPr>
              <w:ind w:left="1200"/>
              <w:spacing w:after="0"/>
              <w:rPr>
                <w:sz w:val="20"/>
                <w:szCs w:val="20"/>
                <w:color w:val="auto"/>
              </w:rPr>
            </w:pPr>
            <w:r>
              <w:rPr>
                <w:rFonts w:ascii="Arial" w:cs="Arial" w:eastAsia="Arial" w:hAnsi="Arial"/>
                <w:sz w:val="18"/>
                <w:szCs w:val="18"/>
                <w:color w:val="auto"/>
              </w:rPr>
              <w:t>Clean Power Plan</w:t>
            </w:r>
          </w:p>
        </w:tc>
      </w:tr>
      <w:tr>
        <w:trPr>
          <w:trHeight w:val="459"/>
        </w:trPr>
        <w:tc>
          <w:tcPr>
            <w:tcW w:w="3420" w:type="dxa"/>
            <w:vAlign w:val="bottom"/>
          </w:tcPr>
          <w:p>
            <w:pPr>
              <w:spacing w:after="0"/>
              <w:rPr>
                <w:sz w:val="24"/>
                <w:szCs w:val="24"/>
                <w:color w:val="auto"/>
              </w:rPr>
            </w:pPr>
          </w:p>
        </w:tc>
        <w:tc>
          <w:tcPr>
            <w:tcW w:w="7760" w:type="dxa"/>
            <w:vAlign w:val="bottom"/>
          </w:tcPr>
          <w:p>
            <w:pPr>
              <w:ind w:left="212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180"/>
          </w:cols>
          <w:pgMar w:left="360" w:top="719" w:right="3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320" w:type="dxa"/>
            <w:vAlign w:val="bottom"/>
          </w:tcPr>
          <w:p>
            <w:pPr>
              <w:ind w:left="126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86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Compliance and System Improvement Adjustment</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320" w:type="dxa"/>
            <w:vAlign w:val="bottom"/>
          </w:tcPr>
          <w:p>
            <w:pPr>
              <w:ind w:left="760"/>
              <w:spacing w:after="0"/>
              <w:rPr>
                <w:sz w:val="20"/>
                <w:szCs w:val="20"/>
                <w:color w:val="auto"/>
              </w:rPr>
            </w:pPr>
            <w:r>
              <w:rPr>
                <w:rFonts w:ascii="Arial" w:cs="Arial" w:eastAsia="Arial" w:hAnsi="Arial"/>
                <w:sz w:val="18"/>
                <w:szCs w:val="18"/>
                <w:color w:val="auto"/>
              </w:rPr>
              <w:t>Distribution Cost Recovery Factor</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Distribution Replacement Rider</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320" w:type="dxa"/>
            <w:vAlign w:val="bottom"/>
          </w:tcPr>
          <w:p>
            <w:pPr>
              <w:ind w:left="760"/>
              <w:spacing w:after="0"/>
              <w:rPr>
                <w:sz w:val="20"/>
                <w:szCs w:val="20"/>
                <w:color w:val="auto"/>
              </w:rPr>
            </w:pPr>
            <w:r>
              <w:rPr>
                <w:rFonts w:ascii="Arial" w:cs="Arial" w:eastAsia="Arial" w:hAnsi="Arial"/>
                <w:sz w:val="18"/>
                <w:szCs w:val="18"/>
                <w:color w:val="auto"/>
              </w:rPr>
              <w:t>Demand Side Management Adjustment</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Earnings before income taxes, depreciation and amortization</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20" w:type="dxa"/>
            <w:vAlign w:val="bottom"/>
          </w:tcPr>
          <w:p>
            <w:pPr>
              <w:ind w:left="760"/>
              <w:spacing w:after="0"/>
              <w:rPr>
                <w:sz w:val="20"/>
                <w:szCs w:val="20"/>
                <w:color w:val="auto"/>
              </w:rPr>
            </w:pPr>
            <w:r>
              <w:rPr>
                <w:rFonts w:ascii="Arial" w:cs="Arial" w:eastAsia="Arial" w:hAnsi="Arial"/>
                <w:sz w:val="18"/>
                <w:szCs w:val="18"/>
                <w:color w:val="auto"/>
              </w:rPr>
              <w:t>Excess deferred income taxes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Energy Efficiency Cost Recovery</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Efficiency Cost Recovery Factor</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Energy Efficiency Funding Component</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Efficiency Funding Rider</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ELG</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Effluent Limitation Guidelines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20" w:type="dxa"/>
            <w:vAlign w:val="bottom"/>
          </w:tcPr>
          <w:p>
            <w:pPr>
              <w:ind w:left="760"/>
              <w:spacing w:after="0"/>
              <w:rPr>
                <w:sz w:val="20"/>
                <w:szCs w:val="20"/>
                <w:color w:val="auto"/>
              </w:rPr>
            </w:pPr>
            <w:r>
              <w:rPr>
                <w:rFonts w:ascii="Arial" w:cs="Arial" w:eastAsia="Arial" w:hAnsi="Arial"/>
                <w:sz w:val="18"/>
                <w:szCs w:val="18"/>
                <w:color w:val="auto"/>
              </w:rPr>
              <w:t>Enable Midstream Partners, LP</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Enable GP, LLC, Enable’s general partner</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Series A Preferred Units</w:t>
            </w:r>
          </w:p>
        </w:tc>
        <w:tc>
          <w:tcPr>
            <w:tcW w:w="7320" w:type="dxa"/>
            <w:vAlign w:val="bottom"/>
          </w:tcPr>
          <w:p>
            <w:pPr>
              <w:ind w:left="760"/>
              <w:spacing w:after="0"/>
              <w:rPr>
                <w:sz w:val="20"/>
                <w:szCs w:val="20"/>
                <w:color w:val="auto"/>
              </w:rPr>
            </w:pPr>
            <w:r>
              <w:rPr>
                <w:rFonts w:ascii="Arial" w:cs="Arial" w:eastAsia="Arial" w:hAnsi="Arial"/>
                <w:sz w:val="18"/>
                <w:szCs w:val="18"/>
                <w:color w:val="auto"/>
              </w:rPr>
              <w:t>Enable’s 10% Series A Fixed-to-Floating Non-Cumulative Redeemable Perpetual</w:t>
            </w:r>
          </w:p>
        </w:tc>
      </w:tr>
      <w:tr>
        <w:trPr>
          <w:trHeight w:val="230"/>
        </w:trPr>
        <w:tc>
          <w:tcPr>
            <w:tcW w:w="3860" w:type="dxa"/>
            <w:vAlign w:val="bottom"/>
          </w:tcPr>
          <w:p>
            <w:pPr>
              <w:spacing w:after="0"/>
              <w:rPr>
                <w:sz w:val="20"/>
                <w:szCs w:val="20"/>
                <w:color w:val="auto"/>
              </w:rPr>
            </w:pPr>
          </w:p>
        </w:tc>
        <w:tc>
          <w:tcPr>
            <w:tcW w:w="7320" w:type="dxa"/>
            <w:vAlign w:val="bottom"/>
          </w:tcPr>
          <w:p>
            <w:pPr>
              <w:ind w:left="760"/>
              <w:spacing w:after="0"/>
              <w:rPr>
                <w:sz w:val="20"/>
                <w:szCs w:val="20"/>
                <w:color w:val="auto"/>
              </w:rPr>
            </w:pPr>
            <w:r>
              <w:rPr>
                <w:rFonts w:ascii="Arial" w:cs="Arial" w:eastAsia="Arial" w:hAnsi="Arial"/>
                <w:sz w:val="18"/>
                <w:szCs w:val="18"/>
                <w:color w:val="auto"/>
              </w:rPr>
              <w:t>Preferred Units, representing limited partner interests in Enable</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Services</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6"/>
              </w:rPr>
              <w:t>Offers competitive variable and fixed-priced physical natural gas supplies primarily to</w:t>
            </w:r>
          </w:p>
        </w:tc>
      </w:tr>
      <w:tr>
        <w:trPr>
          <w:trHeight w:val="216"/>
        </w:trPr>
        <w:tc>
          <w:tcPr>
            <w:tcW w:w="3860" w:type="dxa"/>
            <w:vAlign w:val="bottom"/>
            <w:shd w:val="clear" w:color="auto" w:fill="CCEEFF"/>
          </w:tcPr>
          <w:p>
            <w:pPr>
              <w:spacing w:after="0"/>
              <w:rPr>
                <w:sz w:val="18"/>
                <w:szCs w:val="18"/>
                <w:color w:val="auto"/>
              </w:rPr>
            </w:pP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5"/>
              </w:rPr>
              <w:t>commercial and industrial customers and electric and natural gas utilities through CES</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and its subsidiary, CEIP</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Services Disposal Group</w:t>
            </w:r>
          </w:p>
        </w:tc>
        <w:tc>
          <w:tcPr>
            <w:tcW w:w="7320" w:type="dxa"/>
            <w:vAlign w:val="bottom"/>
          </w:tcPr>
          <w:p>
            <w:pPr>
              <w:ind w:left="760"/>
              <w:spacing w:after="0"/>
              <w:rPr>
                <w:sz w:val="20"/>
                <w:szCs w:val="20"/>
                <w:color w:val="auto"/>
              </w:rPr>
            </w:pPr>
            <w:r>
              <w:rPr>
                <w:rFonts w:ascii="Arial" w:cs="Arial" w:eastAsia="Arial" w:hAnsi="Arial"/>
                <w:sz w:val="18"/>
                <w:szCs w:val="18"/>
                <w:color w:val="auto"/>
                <w:w w:val="98"/>
              </w:rPr>
              <w:t>Substantially all of the businesses within CenterPoint Energy’s and CERC’s Energy</w:t>
            </w:r>
          </w:p>
        </w:tc>
      </w:tr>
      <w:tr>
        <w:trPr>
          <w:trHeight w:val="230"/>
        </w:trPr>
        <w:tc>
          <w:tcPr>
            <w:tcW w:w="3860" w:type="dxa"/>
            <w:vAlign w:val="bottom"/>
          </w:tcPr>
          <w:p>
            <w:pPr>
              <w:spacing w:after="0"/>
              <w:rPr>
                <w:sz w:val="20"/>
                <w:szCs w:val="20"/>
                <w:color w:val="auto"/>
              </w:rPr>
            </w:pPr>
          </w:p>
        </w:tc>
        <w:tc>
          <w:tcPr>
            <w:tcW w:w="7320" w:type="dxa"/>
            <w:vAlign w:val="bottom"/>
          </w:tcPr>
          <w:p>
            <w:pPr>
              <w:ind w:left="760"/>
              <w:spacing w:after="0"/>
              <w:rPr>
                <w:sz w:val="20"/>
                <w:szCs w:val="20"/>
                <w:color w:val="auto"/>
              </w:rPr>
            </w:pPr>
            <w:r>
              <w:rPr>
                <w:rFonts w:ascii="Arial" w:cs="Arial" w:eastAsia="Arial" w:hAnsi="Arial"/>
                <w:sz w:val="18"/>
                <w:szCs w:val="18"/>
                <w:color w:val="auto"/>
              </w:rPr>
              <w:t>Services reporting unit that will be sold under the Equity Purchase Agreement</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Environmental Protection Agency</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Equity Purchase Agreement</w:t>
            </w:r>
          </w:p>
        </w:tc>
        <w:tc>
          <w:tcPr>
            <w:tcW w:w="7320" w:type="dxa"/>
            <w:vAlign w:val="bottom"/>
          </w:tcPr>
          <w:p>
            <w:pPr>
              <w:ind w:left="760"/>
              <w:spacing w:after="0"/>
              <w:rPr>
                <w:sz w:val="20"/>
                <w:szCs w:val="20"/>
                <w:color w:val="auto"/>
              </w:rPr>
            </w:pPr>
            <w:r>
              <w:rPr>
                <w:rFonts w:ascii="Arial" w:cs="Arial" w:eastAsia="Arial" w:hAnsi="Arial"/>
                <w:sz w:val="18"/>
                <w:szCs w:val="18"/>
                <w:color w:val="auto"/>
                <w:w w:val="91"/>
              </w:rPr>
              <w:t>Equity Purchase Agreement, dated as of February 24, 2020, by and between CERC Corp.</w:t>
            </w:r>
          </w:p>
        </w:tc>
      </w:tr>
      <w:tr>
        <w:trPr>
          <w:trHeight w:val="230"/>
        </w:trPr>
        <w:tc>
          <w:tcPr>
            <w:tcW w:w="3860" w:type="dxa"/>
            <w:vAlign w:val="bottom"/>
          </w:tcPr>
          <w:p>
            <w:pPr>
              <w:spacing w:after="0"/>
              <w:rPr>
                <w:sz w:val="20"/>
                <w:szCs w:val="20"/>
                <w:color w:val="auto"/>
              </w:rPr>
            </w:pPr>
          </w:p>
        </w:tc>
        <w:tc>
          <w:tcPr>
            <w:tcW w:w="7320" w:type="dxa"/>
            <w:vAlign w:val="bottom"/>
          </w:tcPr>
          <w:p>
            <w:pPr>
              <w:ind w:left="760"/>
              <w:spacing w:after="0"/>
              <w:rPr>
                <w:sz w:val="20"/>
                <w:szCs w:val="20"/>
                <w:color w:val="auto"/>
              </w:rPr>
            </w:pPr>
            <w:r>
              <w:rPr>
                <w:rFonts w:ascii="Arial" w:cs="Arial" w:eastAsia="Arial" w:hAnsi="Arial"/>
                <w:sz w:val="18"/>
                <w:szCs w:val="18"/>
                <w:color w:val="auto"/>
              </w:rPr>
              <w:t>and Athena Energy Services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Electric Reliability Council of Texas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ESG</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Systems Group, LLC, a wholly-owned subsidiary of Vectren</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20" w:type="dxa"/>
            <w:vAlign w:val="bottom"/>
          </w:tcPr>
          <w:p>
            <w:pPr>
              <w:ind w:left="760"/>
              <w:spacing w:after="0"/>
              <w:rPr>
                <w:sz w:val="20"/>
                <w:szCs w:val="20"/>
                <w:color w:val="auto"/>
              </w:rPr>
            </w:pPr>
            <w:r>
              <w:rPr>
                <w:rFonts w:ascii="Arial" w:cs="Arial" w:eastAsia="Arial" w:hAnsi="Arial"/>
                <w:sz w:val="18"/>
                <w:szCs w:val="18"/>
                <w:color w:val="auto"/>
              </w:rPr>
              <w:t>Fitch, Inc.</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Quarterly Report on Form 10-Q</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FRP</w:t>
            </w:r>
          </w:p>
        </w:tc>
        <w:tc>
          <w:tcPr>
            <w:tcW w:w="7320" w:type="dxa"/>
            <w:vAlign w:val="bottom"/>
          </w:tcPr>
          <w:p>
            <w:pPr>
              <w:ind w:left="760"/>
              <w:spacing w:after="0"/>
              <w:rPr>
                <w:sz w:val="20"/>
                <w:szCs w:val="20"/>
                <w:color w:val="auto"/>
              </w:rPr>
            </w:pPr>
            <w:r>
              <w:rPr>
                <w:rFonts w:ascii="Arial" w:cs="Arial" w:eastAsia="Arial" w:hAnsi="Arial"/>
                <w:sz w:val="18"/>
                <w:szCs w:val="18"/>
                <w:color w:val="auto"/>
              </w:rPr>
              <w:t>Formula Rate Plan</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Gas Daily</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Platts gas daily indices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20" w:type="dxa"/>
            <w:vAlign w:val="bottom"/>
          </w:tcPr>
          <w:p>
            <w:pPr>
              <w:ind w:left="760"/>
              <w:spacing w:after="0"/>
              <w:rPr>
                <w:sz w:val="20"/>
                <w:szCs w:val="20"/>
                <w:color w:val="auto"/>
              </w:rPr>
            </w:pPr>
            <w:r>
              <w:rPr>
                <w:rFonts w:ascii="Arial" w:cs="Arial" w:eastAsia="Arial" w:hAnsi="Arial"/>
                <w:sz w:val="18"/>
                <w:szCs w:val="18"/>
                <w:color w:val="auto"/>
              </w:rPr>
              <w:t>Greenhouse gases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Gas Reliability Infrastructure Program</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20" w:type="dxa"/>
            <w:vAlign w:val="bottom"/>
          </w:tcPr>
          <w:p>
            <w:pPr>
              <w:ind w:left="760"/>
              <w:spacing w:after="0"/>
              <w:rPr>
                <w:sz w:val="20"/>
                <w:szCs w:val="20"/>
                <w:color w:val="auto"/>
              </w:rPr>
            </w:pPr>
            <w:r>
              <w:rPr>
                <w:rFonts w:ascii="Arial" w:cs="Arial" w:eastAsia="Arial" w:hAnsi="Arial"/>
                <w:sz w:val="18"/>
                <w:szCs w:val="18"/>
                <w:color w:val="auto"/>
              </w:rPr>
              <w:t>Gigawatt-hours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CenterPoint Energy Houston Electric, LLC and its subsidiaries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20" w:type="dxa"/>
            <w:vAlign w:val="bottom"/>
          </w:tcPr>
          <w:p>
            <w:pPr>
              <w:ind w:left="760"/>
              <w:spacing w:after="0"/>
              <w:rPr>
                <w:sz w:val="20"/>
                <w:szCs w:val="20"/>
                <w:color w:val="auto"/>
              </w:rPr>
            </w:pPr>
            <w:r>
              <w:rPr>
                <w:rFonts w:ascii="Arial" w:cs="Arial" w:eastAsia="Arial" w:hAnsi="Arial"/>
                <w:sz w:val="18"/>
                <w:szCs w:val="18"/>
                <w:color w:val="auto"/>
              </w:rPr>
              <w:t>Indiana Department of Environmental Management</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Electric</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3"/>
              </w:rPr>
              <w:t>Operations of SIGECO’s electric transmission and distribution services, and includes its</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power generating and wholesale power operations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320" w:type="dxa"/>
            <w:vAlign w:val="bottom"/>
          </w:tcPr>
          <w:p>
            <w:pPr>
              <w:ind w:left="760"/>
              <w:spacing w:after="0"/>
              <w:rPr>
                <w:sz w:val="20"/>
                <w:szCs w:val="20"/>
                <w:color w:val="auto"/>
              </w:rPr>
            </w:pPr>
            <w:r>
              <w:rPr>
                <w:rFonts w:ascii="Arial" w:cs="Arial" w:eastAsia="Arial" w:hAnsi="Arial"/>
                <w:sz w:val="18"/>
                <w:szCs w:val="18"/>
                <w:color w:val="auto"/>
              </w:rPr>
              <w:t>Indiana Gas Company, Inc., a wholly-owned subsidiary of Vectren</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Gas operations of Indiana Gas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20" w:type="dxa"/>
            <w:vAlign w:val="bottom"/>
          </w:tcPr>
          <w:p>
            <w:pPr>
              <w:ind w:left="760"/>
              <w:spacing w:after="0"/>
              <w:rPr>
                <w:sz w:val="20"/>
                <w:szCs w:val="20"/>
                <w:color w:val="auto"/>
              </w:rPr>
            </w:pPr>
            <w:r>
              <w:rPr>
                <w:rFonts w:ascii="Arial" w:cs="Arial" w:eastAsia="Arial" w:hAnsi="Arial"/>
                <w:sz w:val="18"/>
                <w:szCs w:val="18"/>
                <w:color w:val="auto"/>
              </w:rPr>
              <w:t>Gas operations of SIGECO</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The combination of Indiana Electric, Indiana North and Indiana South</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Infrastructure Services</w:t>
            </w:r>
          </w:p>
        </w:tc>
        <w:tc>
          <w:tcPr>
            <w:tcW w:w="7320" w:type="dxa"/>
            <w:vAlign w:val="bottom"/>
          </w:tcPr>
          <w:p>
            <w:pPr>
              <w:ind w:left="760"/>
              <w:spacing w:after="0"/>
              <w:rPr>
                <w:sz w:val="20"/>
                <w:szCs w:val="20"/>
                <w:color w:val="auto"/>
              </w:rPr>
            </w:pPr>
            <w:r>
              <w:rPr>
                <w:rFonts w:ascii="Arial" w:cs="Arial" w:eastAsia="Arial" w:hAnsi="Arial"/>
                <w:sz w:val="18"/>
                <w:szCs w:val="18"/>
                <w:color w:val="auto"/>
                <w:w w:val="92"/>
              </w:rPr>
              <w:t>Provides underground pipeline construction and repair services through Vectren’s wholly-</w:t>
            </w:r>
          </w:p>
        </w:tc>
      </w:tr>
      <w:tr>
        <w:trPr>
          <w:trHeight w:val="230"/>
        </w:trPr>
        <w:tc>
          <w:tcPr>
            <w:tcW w:w="3860" w:type="dxa"/>
            <w:vAlign w:val="bottom"/>
          </w:tcPr>
          <w:p>
            <w:pPr>
              <w:spacing w:after="0"/>
              <w:rPr>
                <w:sz w:val="20"/>
                <w:szCs w:val="20"/>
                <w:color w:val="auto"/>
              </w:rPr>
            </w:pPr>
          </w:p>
        </w:tc>
        <w:tc>
          <w:tcPr>
            <w:tcW w:w="7320" w:type="dxa"/>
            <w:vAlign w:val="bottom"/>
          </w:tcPr>
          <w:p>
            <w:pPr>
              <w:ind w:left="760"/>
              <w:spacing w:after="0"/>
              <w:rPr>
                <w:sz w:val="20"/>
                <w:szCs w:val="20"/>
                <w:color w:val="auto"/>
              </w:rPr>
            </w:pPr>
            <w:r>
              <w:rPr>
                <w:rFonts w:ascii="Arial" w:cs="Arial" w:eastAsia="Arial" w:hAnsi="Arial"/>
                <w:sz w:val="18"/>
                <w:szCs w:val="18"/>
                <w:color w:val="auto"/>
              </w:rPr>
              <w:t>owned subsidiaries, Miller Pipeline, LLC and Minnesota Limited, LLC</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Infrastructure Services Disposal Group</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Businesses within the Infrastructure Services reporting unit that were sold under the</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Securities Purchase Agreement</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20" w:type="dxa"/>
            <w:vAlign w:val="bottom"/>
          </w:tcPr>
          <w:p>
            <w:pPr>
              <w:ind w:left="76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Integrated Resource Plan</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20" w:type="dxa"/>
            <w:vAlign w:val="bottom"/>
          </w:tcPr>
          <w:p>
            <w:pPr>
              <w:ind w:left="760"/>
              <w:spacing w:after="0"/>
              <w:rPr>
                <w:sz w:val="20"/>
                <w:szCs w:val="20"/>
                <w:color w:val="auto"/>
              </w:rPr>
            </w:pPr>
            <w:r>
              <w:rPr>
                <w:rFonts w:ascii="Arial" w:cs="Arial" w:eastAsia="Arial" w:hAnsi="Arial"/>
                <w:sz w:val="18"/>
                <w:szCs w:val="18"/>
                <w:color w:val="auto"/>
              </w:rPr>
              <w:t>Internal Revenue Service</w:t>
            </w:r>
          </w:p>
        </w:tc>
      </w:tr>
      <w:tr>
        <w:trPr>
          <w:trHeight w:val="459"/>
        </w:trPr>
        <w:tc>
          <w:tcPr>
            <w:tcW w:w="3860" w:type="dxa"/>
            <w:vAlign w:val="bottom"/>
          </w:tcPr>
          <w:p>
            <w:pPr>
              <w:spacing w:after="0"/>
              <w:rPr>
                <w:sz w:val="24"/>
                <w:szCs w:val="24"/>
                <w:color w:val="auto"/>
              </w:rPr>
            </w:pPr>
          </w:p>
        </w:tc>
        <w:tc>
          <w:tcPr>
            <w:tcW w:w="7320" w:type="dxa"/>
            <w:vAlign w:val="bottom"/>
          </w:tcPr>
          <w:p>
            <w:pPr>
              <w:ind w:left="164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180"/>
          </w:cols>
          <w:pgMar w:left="360" w:top="503" w:right="3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00" w:type="dxa"/>
            <w:vAlign w:val="bottom"/>
          </w:tcPr>
          <w:p>
            <w:pPr>
              <w:ind w:left="164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48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4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Indiana Utility Regulatory Commission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kV</w:t>
            </w:r>
          </w:p>
        </w:tc>
        <w:tc>
          <w:tcPr>
            <w:tcW w:w="7700" w:type="dxa"/>
            <w:vAlign w:val="bottom"/>
          </w:tcPr>
          <w:p>
            <w:pPr>
              <w:ind w:left="1140"/>
              <w:spacing w:after="0"/>
              <w:rPr>
                <w:sz w:val="20"/>
                <w:szCs w:val="20"/>
                <w:color w:val="auto"/>
              </w:rPr>
            </w:pPr>
            <w:r>
              <w:rPr>
                <w:rFonts w:ascii="Arial" w:cs="Arial" w:eastAsia="Arial" w:hAnsi="Arial"/>
                <w:sz w:val="18"/>
                <w:szCs w:val="18"/>
                <w:color w:val="auto"/>
              </w:rPr>
              <w:t>Kilovolt</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KW</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Kilowatts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700" w:type="dxa"/>
            <w:vAlign w:val="bottom"/>
          </w:tcPr>
          <w:p>
            <w:pPr>
              <w:ind w:left="114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LNG</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Liquefied Natural Gas</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Merger</w:t>
            </w:r>
          </w:p>
        </w:tc>
        <w:tc>
          <w:tcPr>
            <w:tcW w:w="7700" w:type="dxa"/>
            <w:vAlign w:val="bottom"/>
          </w:tcPr>
          <w:p>
            <w:pPr>
              <w:ind w:left="1140"/>
              <w:spacing w:after="0"/>
              <w:rPr>
                <w:sz w:val="20"/>
                <w:szCs w:val="20"/>
                <w:color w:val="auto"/>
              </w:rPr>
            </w:pPr>
            <w:r>
              <w:rPr>
                <w:rFonts w:ascii="Arial" w:cs="Arial" w:eastAsia="Arial" w:hAnsi="Arial"/>
                <w:sz w:val="18"/>
                <w:szCs w:val="18"/>
                <w:color w:val="auto"/>
              </w:rPr>
              <w:t>The merger of Merger Sub with and into Vectren on the terms and subject to the</w:t>
            </w:r>
          </w:p>
        </w:tc>
      </w:tr>
      <w:tr>
        <w:trPr>
          <w:trHeight w:val="216"/>
        </w:trPr>
        <w:tc>
          <w:tcPr>
            <w:tcW w:w="3480" w:type="dxa"/>
            <w:vAlign w:val="bottom"/>
          </w:tcPr>
          <w:p>
            <w:pPr>
              <w:spacing w:after="0"/>
              <w:rPr>
                <w:sz w:val="18"/>
                <w:szCs w:val="18"/>
                <w:color w:val="auto"/>
              </w:rPr>
            </w:pPr>
          </w:p>
        </w:tc>
        <w:tc>
          <w:tcPr>
            <w:tcW w:w="7700" w:type="dxa"/>
            <w:vAlign w:val="bottom"/>
          </w:tcPr>
          <w:p>
            <w:pPr>
              <w:ind w:left="1140"/>
              <w:spacing w:after="0"/>
              <w:rPr>
                <w:sz w:val="20"/>
                <w:szCs w:val="20"/>
                <w:color w:val="auto"/>
              </w:rPr>
            </w:pPr>
            <w:r>
              <w:rPr>
                <w:rFonts w:ascii="Arial" w:cs="Arial" w:eastAsia="Arial" w:hAnsi="Arial"/>
                <w:sz w:val="18"/>
                <w:szCs w:val="18"/>
                <w:color w:val="auto"/>
                <w:w w:val="95"/>
              </w:rPr>
              <w:t>conditions set forth in the Merger Agreement, with Vectren continuing as the surviving</w:t>
            </w:r>
          </w:p>
        </w:tc>
      </w:tr>
      <w:tr>
        <w:trPr>
          <w:trHeight w:val="230"/>
        </w:trPr>
        <w:tc>
          <w:tcPr>
            <w:tcW w:w="3480" w:type="dxa"/>
            <w:vAlign w:val="bottom"/>
          </w:tcPr>
          <w:p>
            <w:pPr>
              <w:spacing w:after="0"/>
              <w:rPr>
                <w:sz w:val="20"/>
                <w:szCs w:val="20"/>
                <w:color w:val="auto"/>
              </w:rPr>
            </w:pPr>
          </w:p>
        </w:tc>
        <w:tc>
          <w:tcPr>
            <w:tcW w:w="7700" w:type="dxa"/>
            <w:vAlign w:val="bottom"/>
          </w:tcPr>
          <w:p>
            <w:pPr>
              <w:ind w:left="1140"/>
              <w:spacing w:after="0"/>
              <w:rPr>
                <w:sz w:val="20"/>
                <w:szCs w:val="20"/>
                <w:color w:val="auto"/>
              </w:rPr>
            </w:pPr>
            <w:r>
              <w:rPr>
                <w:rFonts w:ascii="Arial" w:cs="Arial" w:eastAsia="Arial" w:hAnsi="Arial"/>
                <w:sz w:val="18"/>
                <w:szCs w:val="18"/>
                <w:color w:val="auto"/>
              </w:rPr>
              <w:t>corporation and as a wholly-owned subsidiary of CenterPoint Energy, Inc.</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Merger Agreement</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Agreement and Plan of Merger, dated as of April 21, 2018, among CenterPoint Energy,</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Vectren and Merger Sub</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Merger Sub</w:t>
            </w:r>
          </w:p>
        </w:tc>
        <w:tc>
          <w:tcPr>
            <w:tcW w:w="7700" w:type="dxa"/>
            <w:vAlign w:val="bottom"/>
          </w:tcPr>
          <w:p>
            <w:pPr>
              <w:ind w:left="1140"/>
              <w:spacing w:after="0"/>
              <w:rPr>
                <w:sz w:val="20"/>
                <w:szCs w:val="20"/>
                <w:color w:val="auto"/>
              </w:rPr>
            </w:pPr>
            <w:r>
              <w:rPr>
                <w:rFonts w:ascii="Arial" w:cs="Arial" w:eastAsia="Arial" w:hAnsi="Arial"/>
                <w:sz w:val="18"/>
                <w:szCs w:val="18"/>
                <w:color w:val="auto"/>
              </w:rPr>
              <w:t>Pacer Merger Sub, Inc., an Indiana corporation and wholly-owned subsidiary of</w:t>
            </w:r>
          </w:p>
        </w:tc>
      </w:tr>
      <w:tr>
        <w:trPr>
          <w:trHeight w:val="230"/>
        </w:trPr>
        <w:tc>
          <w:tcPr>
            <w:tcW w:w="3480" w:type="dxa"/>
            <w:vAlign w:val="bottom"/>
          </w:tcPr>
          <w:p>
            <w:pPr>
              <w:spacing w:after="0"/>
              <w:rPr>
                <w:sz w:val="20"/>
                <w:szCs w:val="20"/>
                <w:color w:val="auto"/>
              </w:rPr>
            </w:pPr>
          </w:p>
        </w:tc>
        <w:tc>
          <w:tcPr>
            <w:tcW w:w="7700" w:type="dxa"/>
            <w:vAlign w:val="bottom"/>
          </w:tcPr>
          <w:p>
            <w:pPr>
              <w:ind w:left="1140"/>
              <w:spacing w:after="0"/>
              <w:rPr>
                <w:sz w:val="20"/>
                <w:szCs w:val="20"/>
                <w:color w:val="auto"/>
              </w:rPr>
            </w:pPr>
            <w:r>
              <w:rPr>
                <w:rFonts w:ascii="Arial" w:cs="Arial" w:eastAsia="Arial" w:hAnsi="Arial"/>
                <w:sz w:val="18"/>
                <w:szCs w:val="18"/>
                <w:color w:val="auto"/>
              </w:rPr>
              <w:t>CenterPoint Energy</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MES</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4"/>
              </w:rPr>
              <w:t>CenterPoint Energy Mobile Energy Solutions, Inc., a wholly-owned subsidiary of CERC</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700" w:type="dxa"/>
            <w:vAlign w:val="bottom"/>
          </w:tcPr>
          <w:p>
            <w:pPr>
              <w:ind w:left="1140"/>
              <w:spacing w:after="0"/>
              <w:rPr>
                <w:sz w:val="20"/>
                <w:szCs w:val="20"/>
                <w:color w:val="auto"/>
              </w:rPr>
            </w:pPr>
            <w:r>
              <w:rPr>
                <w:rFonts w:ascii="Arial" w:cs="Arial" w:eastAsia="Arial" w:hAnsi="Arial"/>
                <w:sz w:val="18"/>
                <w:szCs w:val="18"/>
                <w:color w:val="auto"/>
              </w:rPr>
              <w:t>Manufactured gas plant</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Master Limited Partnership</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MMBtu</w:t>
            </w:r>
          </w:p>
        </w:tc>
        <w:tc>
          <w:tcPr>
            <w:tcW w:w="7700" w:type="dxa"/>
            <w:vAlign w:val="bottom"/>
          </w:tcPr>
          <w:p>
            <w:pPr>
              <w:ind w:left="1140"/>
              <w:spacing w:after="0"/>
              <w:rPr>
                <w:sz w:val="20"/>
                <w:szCs w:val="20"/>
                <w:color w:val="auto"/>
              </w:rPr>
            </w:pPr>
            <w:r>
              <w:rPr>
                <w:rFonts w:ascii="Arial" w:cs="Arial" w:eastAsia="Arial" w:hAnsi="Arial"/>
                <w:sz w:val="18"/>
                <w:szCs w:val="18"/>
                <w:color w:val="auto"/>
              </w:rPr>
              <w:t>One million British thermal units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700" w:type="dxa"/>
            <w:vAlign w:val="bottom"/>
          </w:tcPr>
          <w:p>
            <w:pPr>
              <w:ind w:left="1140"/>
              <w:spacing w:after="0"/>
              <w:rPr>
                <w:sz w:val="20"/>
                <w:szCs w:val="20"/>
                <w:color w:val="auto"/>
              </w:rPr>
            </w:pPr>
            <w:r>
              <w:rPr>
                <w:rFonts w:ascii="Arial" w:cs="Arial" w:eastAsia="Arial" w:hAnsi="Arial"/>
                <w:sz w:val="18"/>
                <w:szCs w:val="18"/>
                <w:color w:val="auto"/>
              </w:rPr>
              <w:t>Mississippi Public Service Commission</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MRT</w:t>
            </w:r>
          </w:p>
        </w:tc>
        <w:tc>
          <w:tcPr>
            <w:tcW w:w="7700" w:type="dxa"/>
            <w:vAlign w:val="bottom"/>
          </w:tcPr>
          <w:p>
            <w:pPr>
              <w:ind w:left="1140"/>
              <w:spacing w:after="0"/>
              <w:rPr>
                <w:sz w:val="20"/>
                <w:szCs w:val="20"/>
                <w:color w:val="auto"/>
              </w:rPr>
            </w:pPr>
            <w:r>
              <w:rPr>
                <w:rFonts w:ascii="Arial" w:cs="Arial" w:eastAsia="Arial" w:hAnsi="Arial"/>
                <w:sz w:val="18"/>
                <w:szCs w:val="18"/>
                <w:color w:val="auto"/>
              </w:rPr>
              <w:t>Enable Mississippi River Transmission, LLC</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Megawatts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NGD</w:t>
            </w:r>
          </w:p>
        </w:tc>
        <w:tc>
          <w:tcPr>
            <w:tcW w:w="7700" w:type="dxa"/>
            <w:vAlign w:val="bottom"/>
          </w:tcPr>
          <w:p>
            <w:pPr>
              <w:ind w:left="1140"/>
              <w:spacing w:after="0"/>
              <w:rPr>
                <w:sz w:val="20"/>
                <w:szCs w:val="20"/>
                <w:color w:val="auto"/>
              </w:rPr>
            </w:pPr>
            <w:r>
              <w:rPr>
                <w:rFonts w:ascii="Arial" w:cs="Arial" w:eastAsia="Arial" w:hAnsi="Arial"/>
                <w:sz w:val="18"/>
                <w:szCs w:val="18"/>
                <w:color w:val="auto"/>
              </w:rPr>
              <w:t>Natural gas distribution business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NGLs</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Natural gas liquids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700" w:type="dxa"/>
            <w:vAlign w:val="bottom"/>
          </w:tcPr>
          <w:p>
            <w:pPr>
              <w:ind w:left="1140"/>
              <w:spacing w:after="0"/>
              <w:rPr>
                <w:sz w:val="20"/>
                <w:szCs w:val="20"/>
                <w:color w:val="auto"/>
              </w:rPr>
            </w:pPr>
            <w:r>
              <w:rPr>
                <w:rFonts w:ascii="Arial" w:cs="Arial" w:eastAsia="Arial" w:hAnsi="Arial"/>
                <w:sz w:val="18"/>
                <w:szCs w:val="18"/>
                <w:color w:val="auto"/>
              </w:rPr>
              <w:t>Net operating losses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NRG Energy, Inc.</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NYMEX</w:t>
            </w:r>
          </w:p>
        </w:tc>
        <w:tc>
          <w:tcPr>
            <w:tcW w:w="7700" w:type="dxa"/>
            <w:vAlign w:val="bottom"/>
          </w:tcPr>
          <w:p>
            <w:pPr>
              <w:ind w:left="1140"/>
              <w:spacing w:after="0"/>
              <w:rPr>
                <w:sz w:val="20"/>
                <w:szCs w:val="20"/>
                <w:color w:val="auto"/>
              </w:rPr>
            </w:pPr>
            <w:r>
              <w:rPr>
                <w:rFonts w:ascii="Arial" w:cs="Arial" w:eastAsia="Arial" w:hAnsi="Arial"/>
                <w:sz w:val="18"/>
                <w:szCs w:val="18"/>
                <w:color w:val="auto"/>
              </w:rPr>
              <w:t>New York Mercantile Exchange</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OCC</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Oklahoma Corporation Commission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OGE</w:t>
            </w:r>
          </w:p>
        </w:tc>
        <w:tc>
          <w:tcPr>
            <w:tcW w:w="7700" w:type="dxa"/>
            <w:vAlign w:val="bottom"/>
          </w:tcPr>
          <w:p>
            <w:pPr>
              <w:ind w:left="1140"/>
              <w:spacing w:after="0"/>
              <w:rPr>
                <w:sz w:val="20"/>
                <w:szCs w:val="20"/>
                <w:color w:val="auto"/>
              </w:rPr>
            </w:pPr>
            <w:r>
              <w:rPr>
                <w:rFonts w:ascii="Arial" w:cs="Arial" w:eastAsia="Arial" w:hAnsi="Arial"/>
                <w:sz w:val="18"/>
                <w:szCs w:val="18"/>
                <w:color w:val="auto"/>
              </w:rPr>
              <w:t>OGE Energy Corp.</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PBRC</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Performance Based Rate Change</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PowerTeam Services</w:t>
            </w:r>
          </w:p>
        </w:tc>
        <w:tc>
          <w:tcPr>
            <w:tcW w:w="7700" w:type="dxa"/>
            <w:vAlign w:val="bottom"/>
          </w:tcPr>
          <w:p>
            <w:pPr>
              <w:ind w:left="1140"/>
              <w:spacing w:after="0"/>
              <w:rPr>
                <w:sz w:val="20"/>
                <w:szCs w:val="20"/>
                <w:color w:val="auto"/>
              </w:rPr>
            </w:pPr>
            <w:r>
              <w:rPr>
                <w:rFonts w:ascii="Arial" w:cs="Arial" w:eastAsia="Arial" w:hAnsi="Arial"/>
                <w:sz w:val="18"/>
                <w:szCs w:val="18"/>
                <w:color w:val="auto"/>
              </w:rPr>
              <w:t>PowerTeam Services, LLC, a Delaware limited liability company</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Potentially responsible parties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700" w:type="dxa"/>
            <w:vAlign w:val="bottom"/>
          </w:tcPr>
          <w:p>
            <w:pPr>
              <w:ind w:left="1140"/>
              <w:spacing w:after="0"/>
              <w:rPr>
                <w:sz w:val="20"/>
                <w:szCs w:val="20"/>
                <w:color w:val="auto"/>
              </w:rPr>
            </w:pPr>
            <w:r>
              <w:rPr>
                <w:rFonts w:ascii="Arial" w:cs="Arial" w:eastAsia="Arial" w:hAnsi="Arial"/>
                <w:sz w:val="18"/>
                <w:szCs w:val="18"/>
                <w:color w:val="auto"/>
              </w:rPr>
              <w:t>Public Utilities Commission of Ohio</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Public Utility Commission of Texas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700" w:type="dxa"/>
            <w:vAlign w:val="bottom"/>
          </w:tcPr>
          <w:p>
            <w:pPr>
              <w:ind w:left="1140"/>
              <w:spacing w:after="0"/>
              <w:rPr>
                <w:sz w:val="20"/>
                <w:szCs w:val="20"/>
                <w:color w:val="auto"/>
              </w:rPr>
            </w:pPr>
            <w:r>
              <w:rPr>
                <w:rFonts w:ascii="Arial" w:cs="Arial" w:eastAsia="Arial" w:hAnsi="Arial"/>
                <w:sz w:val="18"/>
                <w:szCs w:val="18"/>
                <w:color w:val="auto"/>
              </w:rPr>
              <w:t>Railroad Commission of Texas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Resource Conservation and Recovery Act of 1976</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700" w:type="dxa"/>
            <w:vAlign w:val="bottom"/>
          </w:tcPr>
          <w:p>
            <w:pPr>
              <w:ind w:left="1140"/>
              <w:spacing w:after="0"/>
              <w:rPr>
                <w:sz w:val="20"/>
                <w:szCs w:val="20"/>
                <w:color w:val="auto"/>
              </w:rPr>
            </w:pPr>
            <w:r>
              <w:rPr>
                <w:rFonts w:ascii="Arial" w:cs="Arial" w:eastAsia="Arial" w:hAnsi="Arial"/>
                <w:sz w:val="18"/>
                <w:szCs w:val="18"/>
                <w:color w:val="auto"/>
              </w:rPr>
              <w:t>CenterPoint Energy, Houston Electric and CERC, collectively</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Reliant Energy</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Reliant Energy, Incorporated</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700" w:type="dxa"/>
            <w:vAlign w:val="bottom"/>
          </w:tcPr>
          <w:p>
            <w:pPr>
              <w:ind w:left="1140"/>
              <w:spacing w:after="0"/>
              <w:rPr>
                <w:sz w:val="20"/>
                <w:szCs w:val="20"/>
                <w:color w:val="auto"/>
              </w:rPr>
            </w:pPr>
            <w:r>
              <w:rPr>
                <w:rFonts w:ascii="Arial" w:cs="Arial" w:eastAsia="Arial" w:hAnsi="Arial"/>
                <w:sz w:val="18"/>
                <w:szCs w:val="18"/>
                <w:color w:val="auto"/>
              </w:rPr>
              <w:t>Retail electric provider</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Restoration Bond Company</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8"/>
              </w:rPr>
              <w:t>CenterPoint Energy Restoration Bond Company, LLC, a wholly-owned subsidiary of</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Houston Electric</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700" w:type="dxa"/>
            <w:vAlign w:val="bottom"/>
          </w:tcPr>
          <w:p>
            <w:pPr>
              <w:ind w:left="1140"/>
              <w:spacing w:after="0"/>
              <w:rPr>
                <w:sz w:val="20"/>
                <w:szCs w:val="20"/>
                <w:color w:val="auto"/>
              </w:rPr>
            </w:pPr>
            <w:r>
              <w:rPr>
                <w:rFonts w:ascii="Arial" w:cs="Arial" w:eastAsia="Arial" w:hAnsi="Arial"/>
                <w:sz w:val="18"/>
                <w:szCs w:val="18"/>
                <w:color w:val="auto"/>
              </w:rPr>
              <w:t>Return on equity</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Right of use</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700" w:type="dxa"/>
            <w:vAlign w:val="bottom"/>
          </w:tcPr>
          <w:p>
            <w:pPr>
              <w:ind w:left="1140"/>
              <w:spacing w:after="0"/>
              <w:rPr>
                <w:sz w:val="20"/>
                <w:szCs w:val="20"/>
                <w:color w:val="auto"/>
              </w:rPr>
            </w:pPr>
            <w:r>
              <w:rPr>
                <w:rFonts w:ascii="Arial" w:cs="Arial" w:eastAsia="Arial" w:hAnsi="Arial"/>
                <w:sz w:val="18"/>
                <w:szCs w:val="18"/>
                <w:color w:val="auto"/>
              </w:rPr>
              <w:t>Rate Regulation Adjustment</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Rate Stabilization Plan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700" w:type="dxa"/>
            <w:vAlign w:val="bottom"/>
          </w:tcPr>
          <w:p>
            <w:pPr>
              <w:ind w:left="114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Securities Purchase Agreement</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7"/>
              </w:rPr>
              <w:t>Securities Purchase Agreement, dated as of February 3, 2020, by and among VUSI,</w:t>
            </w:r>
          </w:p>
        </w:tc>
      </w:tr>
      <w:tr>
        <w:trPr>
          <w:trHeight w:val="216"/>
        </w:trPr>
        <w:tc>
          <w:tcPr>
            <w:tcW w:w="3480" w:type="dxa"/>
            <w:vAlign w:val="bottom"/>
            <w:shd w:val="clear" w:color="auto" w:fill="CCEEFF"/>
          </w:tcPr>
          <w:p>
            <w:pPr>
              <w:spacing w:after="0"/>
              <w:rPr>
                <w:sz w:val="18"/>
                <w:szCs w:val="18"/>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0"/>
              </w:rPr>
              <w:t>PowerTeam Services, and, solely for purposes of Section 10.17 of the Securities Purchase</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Agreement, Vectren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700" w:type="dxa"/>
            <w:vAlign w:val="bottom"/>
          </w:tcPr>
          <w:p>
            <w:pPr>
              <w:ind w:left="1140"/>
              <w:spacing w:after="0"/>
              <w:rPr>
                <w:sz w:val="20"/>
                <w:szCs w:val="20"/>
                <w:color w:val="auto"/>
              </w:rPr>
            </w:pPr>
            <w:r>
              <w:rPr>
                <w:rFonts w:ascii="Arial" w:cs="Arial" w:eastAsia="Arial" w:hAnsi="Arial"/>
                <w:sz w:val="18"/>
                <w:szCs w:val="18"/>
                <w:color w:val="auto"/>
              </w:rPr>
              <w:t>Transition and system restoration bonds</w:t>
            </w:r>
          </w:p>
        </w:tc>
      </w:tr>
      <w:tr>
        <w:trPr>
          <w:trHeight w:val="459"/>
        </w:trPr>
        <w:tc>
          <w:tcPr>
            <w:tcW w:w="3480" w:type="dxa"/>
            <w:vAlign w:val="bottom"/>
          </w:tcPr>
          <w:p>
            <w:pPr>
              <w:spacing w:after="0"/>
              <w:rPr>
                <w:sz w:val="24"/>
                <w:szCs w:val="24"/>
                <w:color w:val="auto"/>
              </w:rPr>
            </w:pPr>
          </w:p>
        </w:tc>
        <w:tc>
          <w:tcPr>
            <w:tcW w:w="7700" w:type="dxa"/>
            <w:vAlign w:val="bottom"/>
          </w:tcPr>
          <w:p>
            <w:pPr>
              <w:ind w:left="204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180"/>
          </w:cols>
          <w:pgMar w:left="360" w:top="503" w:right="3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7920" w:type="dxa"/>
            <w:vAlign w:val="bottom"/>
          </w:tcPr>
          <w:p>
            <w:pPr>
              <w:ind w:left="186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26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Series A Preferred Stock</w:t>
            </w:r>
          </w:p>
        </w:tc>
        <w:tc>
          <w:tcPr>
            <w:tcW w:w="792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2"/>
              </w:rPr>
              <w:t>CenterPoint Energy’s Series A Fixed-to-Floating Rate Cumulative Redeemable Perpetual</w:t>
            </w:r>
          </w:p>
        </w:tc>
      </w:tr>
      <w:tr>
        <w:trPr>
          <w:trHeight w:val="216"/>
        </w:trPr>
        <w:tc>
          <w:tcPr>
            <w:tcW w:w="3260" w:type="dxa"/>
            <w:vAlign w:val="bottom"/>
            <w:shd w:val="clear" w:color="auto" w:fill="CCEEFF"/>
          </w:tcPr>
          <w:p>
            <w:pPr>
              <w:spacing w:after="0"/>
              <w:rPr>
                <w:sz w:val="18"/>
                <w:szCs w:val="18"/>
                <w:color w:val="auto"/>
              </w:rPr>
            </w:pPr>
          </w:p>
        </w:tc>
        <w:tc>
          <w:tcPr>
            <w:tcW w:w="792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5"/>
              </w:rPr>
              <w:t>Preferred Stock, par value $0.01 per share, with a liquidation preference of $1,000 per</w:t>
            </w:r>
          </w:p>
        </w:tc>
      </w:tr>
      <w:tr>
        <w:trPr>
          <w:trHeight w:val="237"/>
        </w:trPr>
        <w:tc>
          <w:tcPr>
            <w:tcW w:w="326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share</w:t>
            </w: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Series B Preferred Stock</w:t>
            </w:r>
          </w:p>
        </w:tc>
        <w:tc>
          <w:tcPr>
            <w:tcW w:w="7920" w:type="dxa"/>
            <w:vAlign w:val="bottom"/>
          </w:tcPr>
          <w:p>
            <w:pPr>
              <w:ind w:left="1360"/>
              <w:spacing w:after="0"/>
              <w:rPr>
                <w:sz w:val="20"/>
                <w:szCs w:val="20"/>
                <w:color w:val="auto"/>
              </w:rPr>
            </w:pPr>
            <w:r>
              <w:rPr>
                <w:rFonts w:ascii="Arial" w:cs="Arial" w:eastAsia="Arial" w:hAnsi="Arial"/>
                <w:sz w:val="18"/>
                <w:szCs w:val="18"/>
                <w:color w:val="auto"/>
                <w:w w:val="93"/>
              </w:rPr>
              <w:t>CenterPoint Energy’s 7.00% Series B Mandatory Convertible Preferred Stock, par value</w:t>
            </w:r>
          </w:p>
        </w:tc>
      </w:tr>
      <w:tr>
        <w:trPr>
          <w:trHeight w:val="230"/>
        </w:trPr>
        <w:tc>
          <w:tcPr>
            <w:tcW w:w="3260" w:type="dxa"/>
            <w:vAlign w:val="bottom"/>
          </w:tcPr>
          <w:p>
            <w:pPr>
              <w:spacing w:after="0"/>
              <w:rPr>
                <w:sz w:val="20"/>
                <w:szCs w:val="20"/>
                <w:color w:val="auto"/>
              </w:rPr>
            </w:pPr>
          </w:p>
        </w:tc>
        <w:tc>
          <w:tcPr>
            <w:tcW w:w="7920" w:type="dxa"/>
            <w:vAlign w:val="bottom"/>
          </w:tcPr>
          <w:p>
            <w:pPr>
              <w:ind w:left="1360"/>
              <w:spacing w:after="0"/>
              <w:rPr>
                <w:sz w:val="20"/>
                <w:szCs w:val="20"/>
                <w:color w:val="auto"/>
              </w:rPr>
            </w:pPr>
            <w:r>
              <w:rPr>
                <w:rFonts w:ascii="Arial" w:cs="Arial" w:eastAsia="Arial" w:hAnsi="Arial"/>
                <w:sz w:val="18"/>
                <w:szCs w:val="18"/>
                <w:color w:val="auto"/>
              </w:rPr>
              <w:t>$0.01 per share, with a liquidation preference of $1,000 per share</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Series C Preferred Stock</w:t>
            </w:r>
          </w:p>
        </w:tc>
        <w:tc>
          <w:tcPr>
            <w:tcW w:w="792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4"/>
              </w:rPr>
              <w:t>CenterPoint Energy’s Series C Mandatory Convertible Preferred Stock, par value $0.01</w:t>
            </w:r>
          </w:p>
        </w:tc>
      </w:tr>
      <w:tr>
        <w:trPr>
          <w:trHeight w:val="237"/>
        </w:trPr>
        <w:tc>
          <w:tcPr>
            <w:tcW w:w="326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per share, with a liquidation preference of $1,000 per share</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920" w:type="dxa"/>
            <w:vAlign w:val="bottom"/>
          </w:tcPr>
          <w:p>
            <w:pPr>
              <w:ind w:left="136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S&amp;P Global Ratings</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920" w:type="dxa"/>
            <w:vAlign w:val="bottom"/>
          </w:tcPr>
          <w:p>
            <w:pPr>
              <w:ind w:left="1360"/>
              <w:spacing w:after="0"/>
              <w:rPr>
                <w:sz w:val="20"/>
                <w:szCs w:val="20"/>
                <w:color w:val="auto"/>
              </w:rPr>
            </w:pPr>
            <w:r>
              <w:rPr>
                <w:rFonts w:ascii="Arial" w:cs="Arial" w:eastAsia="Arial" w:hAnsi="Arial"/>
                <w:sz w:val="18"/>
                <w:szCs w:val="18"/>
                <w:color w:val="auto"/>
              </w:rPr>
              <w:t>Sales Reconciliation Component</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To be determined</w:t>
            </w: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TCEH Corp.</w:t>
            </w:r>
          </w:p>
        </w:tc>
        <w:tc>
          <w:tcPr>
            <w:tcW w:w="7920" w:type="dxa"/>
            <w:vAlign w:val="bottom"/>
          </w:tcPr>
          <w:p>
            <w:pPr>
              <w:ind w:left="1360"/>
              <w:spacing w:after="0"/>
              <w:rPr>
                <w:sz w:val="20"/>
                <w:szCs w:val="20"/>
                <w:color w:val="auto"/>
              </w:rPr>
            </w:pPr>
            <w:r>
              <w:rPr>
                <w:rFonts w:ascii="Arial" w:cs="Arial" w:eastAsia="Arial" w:hAnsi="Arial"/>
                <w:sz w:val="18"/>
                <w:szCs w:val="18"/>
                <w:color w:val="auto"/>
                <w:w w:val="98"/>
              </w:rPr>
              <w:t>Formerly Texas Competitive Electric Holdings Company LLC, predecessor to Vistra</w:t>
            </w:r>
          </w:p>
        </w:tc>
      </w:tr>
      <w:tr>
        <w:trPr>
          <w:trHeight w:val="230"/>
        </w:trPr>
        <w:tc>
          <w:tcPr>
            <w:tcW w:w="3260" w:type="dxa"/>
            <w:vAlign w:val="bottom"/>
          </w:tcPr>
          <w:p>
            <w:pPr>
              <w:spacing w:after="0"/>
              <w:rPr>
                <w:sz w:val="20"/>
                <w:szCs w:val="20"/>
                <w:color w:val="auto"/>
              </w:rPr>
            </w:pPr>
          </w:p>
        </w:tc>
        <w:tc>
          <w:tcPr>
            <w:tcW w:w="7920" w:type="dxa"/>
            <w:vAlign w:val="bottom"/>
          </w:tcPr>
          <w:p>
            <w:pPr>
              <w:ind w:left="1360"/>
              <w:spacing w:after="0"/>
              <w:rPr>
                <w:sz w:val="20"/>
                <w:szCs w:val="20"/>
                <w:color w:val="auto"/>
              </w:rPr>
            </w:pPr>
            <w:r>
              <w:rPr>
                <w:rFonts w:ascii="Arial" w:cs="Arial" w:eastAsia="Arial" w:hAnsi="Arial"/>
                <w:sz w:val="18"/>
                <w:szCs w:val="18"/>
                <w:color w:val="auto"/>
              </w:rPr>
              <w:t>Energy Corp. whose major subsidiaries include Luminant and TXU Energy</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Tax reform legislation informally called the Tax Cuts and Jobs Act of 2017</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920" w:type="dxa"/>
            <w:vAlign w:val="bottom"/>
          </w:tcPr>
          <w:p>
            <w:pPr>
              <w:ind w:left="1360"/>
              <w:spacing w:after="0"/>
              <w:rPr>
                <w:sz w:val="20"/>
                <w:szCs w:val="20"/>
                <w:color w:val="auto"/>
              </w:rPr>
            </w:pPr>
            <w:r>
              <w:rPr>
                <w:rFonts w:ascii="Arial" w:cs="Arial" w:eastAsia="Arial" w:hAnsi="Arial"/>
                <w:sz w:val="18"/>
                <w:szCs w:val="18"/>
                <w:color w:val="auto"/>
              </w:rPr>
              <w:t>Transmission Cost of Service</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Transmission Cost Recovery Factor</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920" w:type="dxa"/>
            <w:vAlign w:val="bottom"/>
          </w:tcPr>
          <w:p>
            <w:pPr>
              <w:ind w:left="1360"/>
              <w:spacing w:after="0"/>
              <w:rPr>
                <w:sz w:val="20"/>
                <w:szCs w:val="20"/>
                <w:color w:val="auto"/>
              </w:rPr>
            </w:pPr>
            <w:r>
              <w:rPr>
                <w:rFonts w:ascii="Arial" w:cs="Arial" w:eastAsia="Arial" w:hAnsi="Arial"/>
                <w:sz w:val="18"/>
                <w:szCs w:val="18"/>
                <w:color w:val="auto"/>
              </w:rPr>
              <w:t>Transmission, Distribution and Storage System Improvement Charge</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Transmission and distribution utility</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TSCR</w:t>
            </w:r>
          </w:p>
        </w:tc>
        <w:tc>
          <w:tcPr>
            <w:tcW w:w="7920" w:type="dxa"/>
            <w:vAlign w:val="bottom"/>
          </w:tcPr>
          <w:p>
            <w:pPr>
              <w:ind w:left="1360"/>
              <w:spacing w:after="0"/>
              <w:rPr>
                <w:sz w:val="20"/>
                <w:szCs w:val="20"/>
                <w:color w:val="auto"/>
              </w:rPr>
            </w:pPr>
            <w:r>
              <w:rPr>
                <w:rFonts w:ascii="Arial" w:cs="Arial" w:eastAsia="Arial" w:hAnsi="Arial"/>
                <w:sz w:val="18"/>
                <w:szCs w:val="18"/>
                <w:color w:val="auto"/>
              </w:rPr>
              <w:t>Tax Savings Credit Rider</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Utility Holding</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Utility Holding, LLC, a wholly-owned subsidiary of CenterPoint Energy</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VCC</w:t>
            </w:r>
          </w:p>
        </w:tc>
        <w:tc>
          <w:tcPr>
            <w:tcW w:w="7920" w:type="dxa"/>
            <w:vAlign w:val="bottom"/>
          </w:tcPr>
          <w:p>
            <w:pPr>
              <w:ind w:left="1360"/>
              <w:spacing w:after="0"/>
              <w:rPr>
                <w:sz w:val="20"/>
                <w:szCs w:val="20"/>
                <w:color w:val="auto"/>
              </w:rPr>
            </w:pPr>
            <w:r>
              <w:rPr>
                <w:rFonts w:ascii="Arial" w:cs="Arial" w:eastAsia="Arial" w:hAnsi="Arial"/>
                <w:sz w:val="18"/>
                <w:szCs w:val="18"/>
                <w:color w:val="auto"/>
              </w:rPr>
              <w:t>Vectren Capital Corp., a wholly-owned subsidiary of Vectren</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Vectren</w:t>
            </w:r>
          </w:p>
        </w:tc>
        <w:tc>
          <w:tcPr>
            <w:tcW w:w="792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2"/>
              </w:rPr>
              <w:t>Vectren Corporation, a wholly-owned subsidiary of CenterPoint Energy as of February 1,</w:t>
            </w:r>
          </w:p>
        </w:tc>
      </w:tr>
      <w:tr>
        <w:trPr>
          <w:trHeight w:val="237"/>
        </w:trPr>
        <w:tc>
          <w:tcPr>
            <w:tcW w:w="326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2019</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7920" w:type="dxa"/>
            <w:vAlign w:val="bottom"/>
          </w:tcPr>
          <w:p>
            <w:pPr>
              <w:ind w:left="1360"/>
              <w:spacing w:after="0"/>
              <w:rPr>
                <w:sz w:val="20"/>
                <w:szCs w:val="20"/>
                <w:color w:val="auto"/>
              </w:rPr>
            </w:pPr>
            <w:r>
              <w:rPr>
                <w:rFonts w:ascii="Arial" w:cs="Arial" w:eastAsia="Arial" w:hAnsi="Arial"/>
                <w:sz w:val="18"/>
                <w:szCs w:val="18"/>
                <w:color w:val="auto"/>
              </w:rPr>
              <w:t>Vectren Energy Delivery of Ohio, Inc., a wholly-owned subsidiary of Vectren</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Variable interest entity</w:t>
            </w: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Vistra Energy Corp.</w:t>
            </w:r>
          </w:p>
        </w:tc>
        <w:tc>
          <w:tcPr>
            <w:tcW w:w="7920" w:type="dxa"/>
            <w:vAlign w:val="bottom"/>
          </w:tcPr>
          <w:p>
            <w:pPr>
              <w:ind w:left="1360"/>
              <w:spacing w:after="0"/>
              <w:rPr>
                <w:sz w:val="20"/>
                <w:szCs w:val="20"/>
                <w:color w:val="auto"/>
              </w:rPr>
            </w:pPr>
            <w:r>
              <w:rPr>
                <w:rFonts w:ascii="Arial" w:cs="Arial" w:eastAsia="Arial" w:hAnsi="Arial"/>
                <w:sz w:val="18"/>
                <w:szCs w:val="18"/>
                <w:color w:val="auto"/>
                <w:w w:val="93"/>
              </w:rPr>
              <w:t>Texas-based energy company focused on the competitive energy and power generation</w:t>
            </w:r>
          </w:p>
        </w:tc>
      </w:tr>
      <w:tr>
        <w:trPr>
          <w:trHeight w:val="230"/>
        </w:trPr>
        <w:tc>
          <w:tcPr>
            <w:tcW w:w="3260" w:type="dxa"/>
            <w:vAlign w:val="bottom"/>
          </w:tcPr>
          <w:p>
            <w:pPr>
              <w:spacing w:after="0"/>
              <w:rPr>
                <w:sz w:val="20"/>
                <w:szCs w:val="20"/>
                <w:color w:val="auto"/>
              </w:rPr>
            </w:pPr>
          </w:p>
        </w:tc>
        <w:tc>
          <w:tcPr>
            <w:tcW w:w="7920" w:type="dxa"/>
            <w:vAlign w:val="bottom"/>
          </w:tcPr>
          <w:p>
            <w:pPr>
              <w:ind w:left="1360"/>
              <w:spacing w:after="0"/>
              <w:rPr>
                <w:sz w:val="20"/>
                <w:szCs w:val="20"/>
                <w:color w:val="auto"/>
              </w:rPr>
            </w:pPr>
            <w:r>
              <w:rPr>
                <w:rFonts w:ascii="Arial" w:cs="Arial" w:eastAsia="Arial" w:hAnsi="Arial"/>
                <w:sz w:val="18"/>
                <w:szCs w:val="18"/>
                <w:color w:val="auto"/>
              </w:rPr>
              <w:t>markets</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Voluntary Remediation Program</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7920" w:type="dxa"/>
            <w:vAlign w:val="bottom"/>
          </w:tcPr>
          <w:p>
            <w:pPr>
              <w:ind w:left="1360"/>
              <w:spacing w:after="0"/>
              <w:rPr>
                <w:sz w:val="20"/>
                <w:szCs w:val="20"/>
                <w:color w:val="auto"/>
              </w:rPr>
            </w:pPr>
            <w:r>
              <w:rPr>
                <w:rFonts w:ascii="Arial" w:cs="Arial" w:eastAsia="Arial" w:hAnsi="Arial"/>
                <w:sz w:val="18"/>
                <w:szCs w:val="18"/>
                <w:color w:val="auto"/>
              </w:rPr>
              <w:t>Vectren Utility Holdings, Inc., a wholly-owned subsidiary of Vectren</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2.0% Zero-Premium Exchangeable Subordinated Notes due 2029</w:t>
            </w: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ZENS-Related Securities</w:t>
            </w:r>
          </w:p>
        </w:tc>
        <w:tc>
          <w:tcPr>
            <w:tcW w:w="7920" w:type="dxa"/>
            <w:vAlign w:val="bottom"/>
          </w:tcPr>
          <w:p>
            <w:pPr>
              <w:ind w:left="1360"/>
              <w:spacing w:after="0"/>
              <w:rPr>
                <w:sz w:val="20"/>
                <w:szCs w:val="20"/>
                <w:color w:val="auto"/>
              </w:rPr>
            </w:pPr>
            <w:r>
              <w:rPr>
                <w:rFonts w:ascii="Arial" w:cs="Arial" w:eastAsia="Arial" w:hAnsi="Arial"/>
                <w:sz w:val="18"/>
                <w:szCs w:val="18"/>
                <w:color w:val="auto"/>
                <w:w w:val="96"/>
              </w:rPr>
              <w:t>As of both March 31, 2020 and December 31, 2019, consisted of AT&amp;T Common and</w:t>
            </w:r>
          </w:p>
        </w:tc>
      </w:tr>
      <w:tr>
        <w:trPr>
          <w:trHeight w:val="230"/>
        </w:trPr>
        <w:tc>
          <w:tcPr>
            <w:tcW w:w="3260" w:type="dxa"/>
            <w:vAlign w:val="bottom"/>
          </w:tcPr>
          <w:p>
            <w:pPr>
              <w:spacing w:after="0"/>
              <w:rPr>
                <w:sz w:val="20"/>
                <w:szCs w:val="20"/>
                <w:color w:val="auto"/>
              </w:rPr>
            </w:pPr>
          </w:p>
        </w:tc>
        <w:tc>
          <w:tcPr>
            <w:tcW w:w="7920" w:type="dxa"/>
            <w:vAlign w:val="bottom"/>
          </w:tcPr>
          <w:p>
            <w:pPr>
              <w:ind w:left="1360"/>
              <w:spacing w:after="0"/>
              <w:rPr>
                <w:sz w:val="20"/>
                <w:szCs w:val="20"/>
                <w:color w:val="auto"/>
              </w:rPr>
            </w:pPr>
            <w:r>
              <w:rPr>
                <w:rFonts w:ascii="Arial" w:cs="Arial" w:eastAsia="Arial" w:hAnsi="Arial"/>
                <w:sz w:val="18"/>
                <w:szCs w:val="18"/>
                <w:color w:val="auto"/>
              </w:rPr>
              <w:t>Charter Common</w:t>
            </w:r>
          </w:p>
        </w:tc>
      </w:tr>
      <w:tr>
        <w:trPr>
          <w:trHeight w:val="27"/>
        </w:trPr>
        <w:tc>
          <w:tcPr>
            <w:tcW w:w="326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2019 Form 10-K</w:t>
            </w:r>
          </w:p>
        </w:tc>
        <w:tc>
          <w:tcPr>
            <w:tcW w:w="79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Annual Report on Form 10-K for the fiscal year ended December 31, 2019</w:t>
            </w:r>
          </w:p>
        </w:tc>
      </w:tr>
      <w:tr>
        <w:trPr>
          <w:trHeight w:val="432"/>
        </w:trPr>
        <w:tc>
          <w:tcPr>
            <w:tcW w:w="3260" w:type="dxa"/>
            <w:vAlign w:val="bottom"/>
          </w:tcPr>
          <w:p>
            <w:pPr>
              <w:spacing w:after="0"/>
              <w:rPr>
                <w:sz w:val="24"/>
                <w:szCs w:val="24"/>
                <w:color w:val="auto"/>
              </w:rPr>
            </w:pPr>
          </w:p>
        </w:tc>
        <w:tc>
          <w:tcPr>
            <w:tcW w:w="7920" w:type="dxa"/>
            <w:vAlign w:val="bottom"/>
          </w:tcPr>
          <w:p>
            <w:pPr>
              <w:ind w:left="228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180"/>
          </w:cols>
          <w:pgMar w:left="360" w:top="50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70"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spacing w:after="0" w:line="183" w:lineRule="exact"/>
        <w:rPr>
          <w:rFonts w:ascii="Arial" w:cs="Arial" w:eastAsia="Arial" w:hAnsi="Arial"/>
          <w:sz w:val="18"/>
          <w:szCs w:val="18"/>
          <w:color w:val="auto"/>
        </w:rPr>
      </w:pPr>
    </w:p>
    <w:p>
      <w:pPr>
        <w:ind w:left="1300" w:hanging="644"/>
        <w:spacing w:after="0" w:line="263"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competitive conditions in the midstream industry, and actions taken by Enable’s customers and competitors, including drilling, production and capital spending decisions of third parties and the extent and timing of the entry of additional competition in the markets served by Enable;</w:t>
      </w:r>
    </w:p>
    <w:p>
      <w:pPr>
        <w:spacing w:after="0" w:line="183" w:lineRule="exact"/>
        <w:rPr>
          <w:rFonts w:ascii="Arial" w:cs="Arial" w:eastAsia="Arial" w:hAnsi="Arial"/>
          <w:sz w:val="18"/>
          <w:szCs w:val="18"/>
          <w:color w:val="auto"/>
        </w:rPr>
      </w:pPr>
    </w:p>
    <w:p>
      <w:pPr>
        <w:ind w:left="1300" w:hanging="644"/>
        <w:spacing w:after="0" w:line="259"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w:t>
      </w:r>
    </w:p>
    <w:p>
      <w:pPr>
        <w:spacing w:after="0" w:line="186" w:lineRule="exact"/>
        <w:rPr>
          <w:rFonts w:ascii="Arial" w:cs="Arial" w:eastAsia="Arial" w:hAnsi="Arial"/>
          <w:sz w:val="18"/>
          <w:szCs w:val="18"/>
          <w:color w:val="auto"/>
        </w:rPr>
      </w:pPr>
    </w:p>
    <w:p>
      <w:pPr>
        <w:ind w:left="1300" w:hanging="644"/>
        <w:spacing w:after="0" w:line="308" w:lineRule="auto"/>
        <w:tabs>
          <w:tab w:leader="none" w:pos="976" w:val="left"/>
        </w:tabs>
        <w:numPr>
          <w:ilvl w:val="1"/>
          <w:numId w:val="3"/>
        </w:numPr>
        <w:rPr>
          <w:rFonts w:ascii="Arial" w:cs="Arial" w:eastAsia="Arial" w:hAnsi="Arial"/>
          <w:sz w:val="17"/>
          <w:szCs w:val="17"/>
          <w:color w:val="auto"/>
        </w:rPr>
      </w:pPr>
      <w:r>
        <w:rPr>
          <w:rFonts w:ascii="Arial" w:cs="Arial" w:eastAsia="Arial" w:hAnsi="Arial"/>
          <w:sz w:val="17"/>
          <w:szCs w:val="17"/>
          <w:color w:val="auto"/>
        </w:rPr>
        <w:t>economic effects of the recent actions of Saudi Arabia, Russia and other oil-producing countries, which have resulted in a substantial decrease in oil and natural gas prices, and the combined impact of these events and COVID-19 on commodity prices;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demand for crude oil, natural gas, NGLs and transportation and storage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environmental and other governmental regulations, including the availability of drilling permits and the regulation of hydraulic fracturing;</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goodwill, long-lived asset or other than temporary impairment charges by or related to Enable;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of payments from Enable’s customers under existing contracts, including minimum volume commitment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status;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access to debt and equity capital;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effect on our and Enable’s operations, business and financial condition, our industries and the communities we serve, U.S. and world financial markets and supply chains, potential regulatory actions and changes in customer and stakeholder behaviors relating thereto;</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a substantial recent decline in the markets for oil and natural gas as a result of the actions of crude-oil exporting nations and the Organization of Petroleum Exporting Countries and reduced worldwide consumption due to the COVID-19 pandemic;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40"/>
          </w:cols>
          <w:pgMar w:left="320" w:top="337" w:right="339" w:bottom="1440" w:gutter="0" w:footer="0" w:header="0"/>
        </w:sectPr>
      </w:pPr>
    </w:p>
    <w:bookmarkStart w:id="8" w:name="page9"/>
    <w:bookmarkEnd w:id="8"/>
    <w:p>
      <w:pPr>
        <w:jc w:val="both"/>
        <w:ind w:left="328" w:hanging="328"/>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benefits of the Merger and integration, including the outcome of shareholder litigation filed against Vectren that could reduce anticipated benefits of the Merger, as well as the ability to successfully integrate the Vectren businesses and to realize anticipated benefits and commercial opportunities;</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recording of impairment charges, including any impairment or loss associated with the sale of the Infrastructure Services and Energy Services Disposal Groups;</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w:t>
      </w:r>
    </w:p>
    <w:p>
      <w:pPr>
        <w:spacing w:after="0" w:line="225" w:lineRule="exact"/>
        <w:rPr>
          <w:rFonts w:ascii="Arial" w:cs="Arial" w:eastAsia="Arial" w:hAnsi="Arial"/>
          <w:sz w:val="18"/>
          <w:szCs w:val="18"/>
          <w:color w:val="auto"/>
        </w:rPr>
      </w:pPr>
    </w:p>
    <w:p>
      <w:pPr>
        <w:jc w:val="both"/>
        <w:ind w:left="328" w:hanging="328"/>
        <w:spacing w:after="0" w:line="286"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spacing w:after="0" w:line="165"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legislation, including the effects of the CARES Act and of the TCJA (which includes any potential changes to interest deductibility) and uncertainties involving state commissions’ and local municipalities’ regulatory requirements and determinations regarding the treatment of EDIT and our rates;</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and CERC’s ability to mitigate weather impacts through normalization or rate mechanisms, and the effectiveness of such mechanisms;</w:t>
      </w:r>
    </w:p>
    <w:p>
      <w:pPr>
        <w:spacing w:after="0" w:line="183"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extent of changes in commodity prices, particularly natural gas and coal, and the effects of geographic and seasonal commodity price differentials on CERC and Enable</w:t>
      </w:r>
      <w:r>
        <w:rPr>
          <w:rFonts w:ascii="Arial" w:cs="Arial" w:eastAsia="Arial" w:hAnsi="Arial"/>
          <w:sz w:val="19"/>
          <w:szCs w:val="19"/>
          <w:color w:val="auto"/>
        </w:rPr>
        <w:t>;</w:t>
      </w:r>
    </w:p>
    <w:p>
      <w:pPr>
        <w:spacing w:after="0" w:line="17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CenterPoint Energy’s and CERC’s non-utility business operating in the Energy Services Disposal Group to effectively optimize opportunities related to natural gas price volatility and storage activities, including weather-related impacts;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actions by credit rating agencies, including any potential downgrades to credit ratings;</w:t>
      </w:r>
    </w:p>
    <w:p>
      <w:pPr>
        <w:spacing w:after="0" w:line="215" w:lineRule="exact"/>
        <w:rPr>
          <w:rFonts w:ascii="Arial" w:cs="Arial" w:eastAsia="Arial" w:hAnsi="Arial"/>
          <w:sz w:val="20"/>
          <w:szCs w:val="20"/>
          <w:color w:val="auto"/>
        </w:rPr>
      </w:pPr>
    </w:p>
    <w:p>
      <w:pPr>
        <w:ind w:left="328" w:hanging="328"/>
        <w:spacing w:after="0" w:line="266"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problems with regulatory approval, legislative actions, construction, implementation of necessary technology or other issues with respect to major capital projects that result in delays or cancellation or in cost overruns that cannot be recouped in rates;</w:t>
      </w:r>
    </w:p>
    <w:p>
      <w:pPr>
        <w:spacing w:after="0" w:line="177" w:lineRule="exact"/>
        <w:rPr>
          <w:rFonts w:ascii="Arial" w:cs="Arial" w:eastAsia="Arial" w:hAnsi="Arial"/>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w:t>
      </w:r>
    </w:p>
    <w:p>
      <w:pPr>
        <w:spacing w:after="0" w:line="238"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the continued operation, and/or cost recovery of generation plant costs and related assets;</w:t>
      </w:r>
    </w:p>
    <w:p>
      <w:pPr>
        <w:spacing w:after="0" w:line="182" w:lineRule="exact"/>
        <w:rPr>
          <w:rFonts w:ascii="Arial" w:cs="Arial" w:eastAsia="Arial" w:hAnsi="Arial"/>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225" w:lineRule="exact"/>
        <w:rPr>
          <w:rFonts w:ascii="Arial" w:cs="Arial" w:eastAsia="Arial" w:hAnsi="Arial"/>
          <w:sz w:val="18"/>
          <w:szCs w:val="18"/>
          <w:color w:val="auto"/>
        </w:rPr>
      </w:pPr>
    </w:p>
    <w:p>
      <w:pPr>
        <w:jc w:val="both"/>
        <w:ind w:left="328" w:right="20" w:hanging="328"/>
        <w:spacing w:after="0" w:line="286"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direct or indirect effects on our or Enable’s facilities, operations and financial condition resulting from terrorism, cyber-attacks, data security breaches or other attempts to disrupt our businesses or the businesses of third parties, or other catastrophic events such as fires, ice, earthquakes, explosions, leaks, floods, droughts, hurricanes, tornadoes, pandemic health events or other occurrences;</w:t>
      </w:r>
    </w:p>
    <w:p>
      <w:pPr>
        <w:spacing w:after="0" w:line="165"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invest planned capital and the timely recovery of our investments, including those related to Indiana Electric’s anticipated IRP;</w:t>
      </w:r>
    </w:p>
    <w:p>
      <w:pPr>
        <w:spacing w:after="0" w:line="236"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908"/>
          </w:cols>
          <w:pgMar w:left="652" w:top="341" w:right="339" w:bottom="1440" w:gutter="0" w:footer="0" w:header="0"/>
        </w:sectPr>
      </w:pPr>
    </w:p>
    <w:bookmarkStart w:id="9" w:name="page10"/>
    <w:bookmarkEnd w:id="9"/>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control operation and maintenance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and effectiveness of our and Enable’s risk management and hedging activities, including, but not limited to financial and weather hedges and commodity risk management activities;</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natural disasters or other recovery of costs;</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formerly known as TCEH Corp., to satisfy their obligations to CenterPoint Energy and Houston Electric;</w:t>
      </w:r>
    </w:p>
    <w:p>
      <w:pPr>
        <w:spacing w:after="0" w:line="170" w:lineRule="exact"/>
        <w:rPr>
          <w:rFonts w:ascii="Arial" w:cs="Arial" w:eastAsia="Arial" w:hAnsi="Arial"/>
          <w:sz w:val="18"/>
          <w:szCs w:val="18"/>
          <w:color w:val="auto"/>
        </w:rPr>
      </w:pPr>
    </w:p>
    <w:p>
      <w:pPr>
        <w:jc w:val="both"/>
        <w:ind w:left="328" w:right="20" w:hanging="328"/>
        <w:spacing w:after="0" w:line="263"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CenterPoint Energy’s or Enable’s potential business strategies and strategic initiatives, including restructurings, joint ventures and acquisitions or dispositions of assets or businesses, including the proposed sale of CES, which CenterPoint Energy and Enable cannot assure will be completed or will have the anticipated benefits to CenterPoint Energy or Enable;</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Enable’s ability to recruit, effectively transition and retain management and key employees and maintain good labor relations;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25"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development of new opportunities and the performance of projects undertaken by ESG, including, among other factors, the level of success in bidding contracts and cancellation and/or reductions in the scope of projects by customers, and obligations related to warranties and guarantees;</w:t>
      </w:r>
    </w:p>
    <w:p>
      <w:pPr>
        <w:spacing w:after="0" w:line="123"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hyperlink r:id="rId10">
        <w:r>
          <w:rPr>
            <w:rFonts w:ascii="Arial" w:cs="Arial" w:eastAsia="Arial" w:hAnsi="Arial"/>
            <w:sz w:val="18"/>
            <w:szCs w:val="18"/>
            <w:u w:val="single" w:color="auto"/>
            <w:color w:val="0000EE"/>
          </w:rPr>
          <w:t>“Risk Factors” in Item 1A of Part I of the Registrants’ combined 2019 Form 10-K</w:t>
        </w:r>
      </w:hyperlink>
      <w:r>
        <w:rPr>
          <w:rFonts w:ascii="Arial" w:cs="Arial" w:eastAsia="Arial" w:hAnsi="Arial"/>
          <w:sz w:val="18"/>
          <w:szCs w:val="18"/>
          <w:color w:val="auto"/>
        </w:rPr>
        <w:t>, which are incorporated herein by reference, in Item 1A of Part II of this Form 10-Q and other reports the Registrants file from time to time with the SEC.</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908"/>
          </w:cols>
          <w:pgMar w:left="652" w:top="557" w:right="339" w:bottom="1440" w:gutter="0" w:footer="0" w:header="0"/>
        </w:sectPr>
      </w:pPr>
    </w:p>
    <w:bookmarkStart w:id="10" w:name="page11"/>
    <w:bookmarkEnd w:id="10"/>
    <w:p>
      <w:pPr>
        <w:jc w:val="both"/>
        <w:ind w:firstLine="324"/>
        <w:spacing w:after="0" w:line="255"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40"/>
          </w:cols>
          <w:pgMar w:left="320" w:top="557"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6"/>
                <w:szCs w:val="16"/>
                <w:color w:val="auto"/>
              </w:rPr>
            </w:pPr>
          </w:p>
        </w:tc>
      </w:tr>
      <w:tr>
        <w:trPr>
          <w:trHeight w:val="276"/>
        </w:trPr>
        <w:tc>
          <w:tcPr>
            <w:tcW w:w="8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24"/>
                <w:szCs w:val="24"/>
                <w:color w:val="auto"/>
              </w:rPr>
            </w:pPr>
          </w:p>
        </w:tc>
      </w:tr>
      <w:tr>
        <w:trPr>
          <w:trHeight w:val="263"/>
        </w:trPr>
        <w:tc>
          <w:tcPr>
            <w:tcW w:w="82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634"/>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revenues</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2,171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Non-utility revenues</w:t>
            </w:r>
          </w:p>
        </w:tc>
        <w:tc>
          <w:tcPr>
            <w:tcW w:w="86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2,229</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natural gas, fuel and purchased power</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86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86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2,018</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Gain (loss) on marketable securities</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indexed debt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Securitization Bonds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Equity in earnings (loss) of unconsolidated affiliates, net</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(1,475)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Interest income from Securitization Bonds</w:t>
            </w:r>
          </w:p>
        </w:tc>
        <w:tc>
          <w:tcPr>
            <w:tcW w:w="86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8220" w:type="dxa"/>
            <w:vAlign w:val="bottom"/>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(1,617)</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w w:val="98"/>
              </w:rPr>
              <w:t>Income (loss) from discontinued operations (net of tax expense (benefit) of ($17) and $8, respectively)</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(1,199)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Preferred stock dividend requirement</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Available to Common Shareholders</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(1,228)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0"/>
        </w:trPr>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70"/>
        </w:trPr>
        <w:tc>
          <w:tcPr>
            <w:tcW w:w="8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earnings (loss) per common share - continuing operations</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Basic earnings (loss) per common share - discontinued operations</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8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(Loss) Per Common Share</w:t>
            </w:r>
          </w:p>
        </w:tc>
        <w:tc>
          <w:tcPr>
            <w:tcW w:w="8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0"/>
        </w:trPr>
        <w:tc>
          <w:tcPr>
            <w:tcW w:w="8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0"/>
        </w:trPr>
        <w:tc>
          <w:tcPr>
            <w:tcW w:w="8220" w:type="dxa"/>
            <w:vAlign w:val="bottom"/>
          </w:tcPr>
          <w:p>
            <w:pPr>
              <w:ind w:left="200"/>
              <w:spacing w:after="0"/>
              <w:rPr>
                <w:sz w:val="20"/>
                <w:szCs w:val="20"/>
                <w:color w:val="auto"/>
              </w:rPr>
            </w:pPr>
            <w:r>
              <w:rPr>
                <w:rFonts w:ascii="Arial" w:cs="Arial" w:eastAsia="Arial" w:hAnsi="Arial"/>
                <w:sz w:val="18"/>
                <w:szCs w:val="18"/>
                <w:color w:val="auto"/>
              </w:rPr>
              <w:t>Diluted earnings (loss) per common share - continuing operations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920" w:type="dxa"/>
            <w:vAlign w:val="bottom"/>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earnings (loss) per common share - discontinued operations</w:t>
            </w: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9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Diluted Earnings (Loss) Per Common Share</w:t>
            </w: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270"/>
        </w:trPr>
        <w:tc>
          <w:tcPr>
            <w:tcW w:w="8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 Basic</w:t>
            </w:r>
          </w:p>
        </w:tc>
        <w:tc>
          <w:tcPr>
            <w:tcW w:w="86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 Diluted</w:t>
            </w:r>
          </w:p>
        </w:tc>
        <w:tc>
          <w:tcPr>
            <w:tcW w:w="8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8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646"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6"/>
                <w:szCs w:val="16"/>
                <w:color w:val="auto"/>
              </w:rPr>
            </w:pPr>
          </w:p>
        </w:tc>
      </w:tr>
      <w:tr>
        <w:trPr>
          <w:trHeight w:val="276"/>
        </w:trPr>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24"/>
                <w:szCs w:val="24"/>
                <w:color w:val="auto"/>
              </w:rPr>
            </w:pPr>
          </w:p>
        </w:tc>
      </w:tr>
      <w:tr>
        <w:trPr>
          <w:trHeight w:val="264"/>
        </w:trPr>
        <w:tc>
          <w:tcPr>
            <w:tcW w:w="8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r>
      <w:tr>
        <w:trPr>
          <w:trHeight w:val="250"/>
        </w:trPr>
        <w:tc>
          <w:tcPr>
            <w:tcW w:w="8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8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r>
      <w:tr>
        <w:trPr>
          <w:trHeight w:val="276"/>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(1,199)</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 to pension and other postretirement plans (net of tax of $1 and $1)</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Net deferred loss from cash flow hedges (net of tax of $-0- and $-0-)</w:t>
            </w:r>
          </w:p>
        </w:tc>
        <w:tc>
          <w:tcPr>
            <w:tcW w:w="8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Reclassification of deferred loss from cash flow hedges realized in net income (net of tax of $-0- and $-0-)</w:t>
            </w: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from unconsolidated affiliates (net of tax of $-0- and $-0-)</w:t>
            </w:r>
          </w:p>
        </w:tc>
        <w:tc>
          <w:tcPr>
            <w:tcW w:w="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(1,201)</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Preferred stock dividend requirement</w:t>
            </w: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57"/>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available to common shareholders</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(1,230)</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44"/>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 ($190 and $216 related to VIEs, respectively)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Investment in marketable securities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822</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Accounts receivable ($22 and $26 related to VIEs, respectively), less bad debt reserve of $30 and $21,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Accrued unbilled revenues, less bad debt reserve of $3 and $-0-, respectively</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469</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Natural gas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Materials and supplies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Current assets held for sale</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1,002</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 ($19 and $19 related to VIEs,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3,937</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30,324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9,700</w:t>
            </w:r>
          </w:p>
        </w:tc>
      </w:tr>
      <w:tr>
        <w:trPr>
          <w:trHeight w:val="236"/>
        </w:trPr>
        <w:tc>
          <w:tcPr>
            <w:tcW w:w="818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20,624</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4,882</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Regulatory assets ($758 and $788 related to VIEs,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2,117</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2,408</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units – unconsolidated affiliate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Non-current assets held for sale</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962</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10,968</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35,529</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SHAREHOLDERS’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44"/>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(in millions, except share amounts)</w:t>
            </w:r>
          </w:p>
        </w:tc>
      </w:tr>
      <w:tr>
        <w:trPr>
          <w:trHeight w:val="255"/>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VIE Securitization Bonds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Indexed debt, net</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other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Indexed debt securities derivative</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893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Taxes accrued</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239</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accrued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124</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Non-trading 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Current liabilities held for sale</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455</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3,978</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3,928</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Non-trading 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750</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3,474</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Non-current liabilities held for sale</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r>
      <w:tr>
        <w:trPr>
          <w:trHeight w:val="236"/>
        </w:trPr>
        <w:tc>
          <w:tcPr>
            <w:tcW w:w="8180" w:type="dxa"/>
            <w:vAlign w:val="bottom"/>
          </w:tcPr>
          <w:p>
            <w:pPr>
              <w:ind w:left="50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8,948</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VIE Securitization Bonds, net</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746</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debt,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13,498</w:t>
            </w: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auto"/>
              </w:rPr>
              <w:t>Total long-term debt, net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14,244</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preferred stock, $0.01 par value, 20,000,000 shares authorized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Series A Preferred Stock, $0.01 par value, $800 aggregate liquidation preference, 800,000 shares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50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790</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Preferred Stock, $0.01 par value, $978 aggregate liquidation preference, 977,500 shares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w w:val="89"/>
              </w:rPr>
              <w:t>Common stock, $0.01 par value, 1,000,000,000 shares authorized, 502,647,495 shares and 502,242,061 shares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2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6,080</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632</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6"/>
        </w:trPr>
        <w:tc>
          <w:tcPr>
            <w:tcW w:w="818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8,359</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35,529</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8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Depreciation and amortization on assets held for sale</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Amortization of intangible assets in non-utility cost of revenues</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Goodwill impairment and loss from reclassification to held for sale</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Unrealized loss (gain) on marketable securities</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indexed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Write-down of natural gas inventory</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(earnings) losses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4"/>
        </w:trPr>
        <w:tc>
          <w:tcPr>
            <w:tcW w:w="8440" w:type="dxa"/>
            <w:vAlign w:val="bottom"/>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280" w:type="dxa"/>
            <w:vAlign w:val="bottom"/>
          </w:tcPr>
          <w:p>
            <w:pPr>
              <w:spacing w:after="0"/>
              <w:rPr>
                <w:sz w:val="19"/>
                <w:szCs w:val="19"/>
                <w:color w:val="auto"/>
              </w:rPr>
            </w:pPr>
          </w:p>
        </w:tc>
        <w:tc>
          <w:tcPr>
            <w:tcW w:w="1080" w:type="dxa"/>
            <w:vAlign w:val="bottom"/>
            <w:vMerge w:val="restart"/>
          </w:tcPr>
          <w:p>
            <w:pPr>
              <w:jc w:val="right"/>
              <w:ind w:right="4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Changes in other assets and liabilities, excluding acquisitions: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and unbilled revenues,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Fuel cost recovery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Non-trading derivatives,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Margin deposits,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Interest and taxes accrued</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regulatory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84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8440" w:type="dxa"/>
            <w:vAlign w:val="bottom"/>
          </w:tcPr>
          <w:p>
            <w:pPr>
              <w:ind w:left="38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0"/>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(5,987)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from unconsolidated affiliate in excess of cumulative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Other investing activities, net</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(6,539)</w:t>
            </w:r>
          </w:p>
        </w:tc>
        <w:tc>
          <w:tcPr>
            <w:tcW w:w="0" w:type="dxa"/>
            <w:vAlign w:val="bottom"/>
          </w:tcPr>
          <w:p>
            <w:pPr>
              <w:spacing w:after="0"/>
              <w:rPr>
                <w:sz w:val="1"/>
                <w:szCs w:val="1"/>
                <w:color w:val="auto"/>
              </w:rPr>
            </w:pPr>
          </w:p>
        </w:tc>
      </w:tr>
      <w:tr>
        <w:trPr>
          <w:trHeight w:val="230"/>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(payments of) commercial paper,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Proceeds from long-term debt, net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Long-term revolving credit facility, net</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Payment of dividends on Common Stock</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dividends on 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Other financing activities,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17"/>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(3,923)</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Combined Notes to Unaudited Condensed Consolidated Financial Statements</w:t>
      </w:r>
    </w:p>
    <w:p>
      <w:pPr>
        <w:sectPr>
          <w:pgSz w:w="11900" w:h="16838" w:orient="portrait"/>
          <w:cols w:equalWidth="0" w:num="1">
            <w:col w:w="11240"/>
          </w:cols>
          <w:pgMar w:left="320" w:top="125" w:right="339" w:bottom="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341" w:right="1440"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left="340" w:right="256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w w:val="97"/>
              </w:rPr>
              <w:t>Three Months Ended March 31,</w:t>
            </w:r>
          </w:p>
        </w:tc>
        <w:tc>
          <w:tcPr>
            <w:tcW w:w="660" w:type="dxa"/>
            <w:vAlign w:val="bottom"/>
            <w:tcBorders>
              <w:bottom w:val="single" w:sz="8" w:color="auto"/>
            </w:tcBorders>
          </w:tcPr>
          <w:p>
            <w:pPr>
              <w:spacing w:after="0"/>
              <w:rPr>
                <w:sz w:val="16"/>
                <w:szCs w:val="16"/>
                <w:color w:val="auto"/>
              </w:rPr>
            </w:pPr>
          </w:p>
        </w:tc>
      </w:tr>
      <w:tr>
        <w:trPr>
          <w:trHeight w:val="263"/>
        </w:trPr>
        <w:tc>
          <w:tcPr>
            <w:tcW w:w="77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2020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r>
      <w:tr>
        <w:trPr>
          <w:trHeight w:val="263"/>
        </w:trPr>
        <w:tc>
          <w:tcPr>
            <w:tcW w:w="77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r>
      <w:tr>
        <w:trPr>
          <w:trHeight w:val="51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Cumulative Preferred Stock, $0.01 par value; authorized 20,000,000 shares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beginning of period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1,740</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 $0.01 par value; authorized 1,000,000,000 shares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Issuances related to benefit and investment plans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Paid-in-Capital</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6,072</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Issuances related to benefit and investment plans</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6,086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6,060</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 (Accumulated Deficit)</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Common Stock dividends declared ($0.2900 and $-0- per share, respectively)</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Series A Preferred Stock dividends declared ($30.6250 and $-0- per share, respectively)</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Series B Preferred Stock dividends declared ($17.5000 and $-0- per share, respectively)</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Adoption of ASU 2016-13</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68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6,970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8,216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r>
      <w:tr>
        <w:trPr>
          <w:trHeight w:val="250"/>
        </w:trPr>
        <w:tc>
          <w:tcPr>
            <w:tcW w:w="8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r>
      <w:tr>
        <w:trPr>
          <w:trHeight w:val="27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686</w:t>
            </w: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368</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175</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605</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2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Interest expense on Securitization Bonds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Interest income from Securitization Bonds</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r>
      <w:tr>
        <w:trPr>
          <w:trHeight w:val="263"/>
        </w:trPr>
        <w:tc>
          <w:tcPr>
            <w:tcW w:w="8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r>
      <w:tr>
        <w:trPr>
          <w:trHeight w:val="250"/>
        </w:trPr>
        <w:tc>
          <w:tcPr>
            <w:tcW w:w="8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r>
      <w:tr>
        <w:trPr>
          <w:trHeight w:val="276"/>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loss from cash flow hedges (net of tax of $-0- and $-0-)</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($190 and $216 related to VIEs, respectively)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w w:val="93"/>
              </w:rPr>
              <w:t>Accounts and notes receivable ($22 and $26 related to VIEs, respectively), less bad debt reserve of $1 and $1,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4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receivable–affiliated companies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Accrued unbilled revenues</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($19 and $19 related to VIEs, respectively)</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3,797</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assets ($758 and $788 related to VIEs,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r>
      <w:tr>
        <w:trPr>
          <w:trHeight w:val="257"/>
        </w:trPr>
        <w:tc>
          <w:tcPr>
            <w:tcW w:w="84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11,262</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VIE Securitization Bonds long-term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268</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payable–affiliated companies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Taxes accrued</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accrued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63</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2,462</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VIE Securitization Bonds,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3,973</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 net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780</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440" w:type="dxa"/>
            <w:vAlign w:val="bottom"/>
          </w:tcPr>
          <w:p>
            <w:pPr>
              <w:ind w:left="420"/>
              <w:spacing w:after="0"/>
              <w:rPr>
                <w:sz w:val="20"/>
                <w:szCs w:val="20"/>
                <w:color w:val="auto"/>
              </w:rPr>
            </w:pPr>
            <w:r>
              <w:rPr>
                <w:rFonts w:ascii="Arial" w:cs="Arial" w:eastAsia="Arial" w:hAnsi="Arial"/>
                <w:sz w:val="18"/>
                <w:szCs w:val="18"/>
                <w:color w:val="auto"/>
              </w:rPr>
              <w:t>Total member’s equity</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3,251</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11,262</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Interest and taxes accrued</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Non-trading derivatives, net</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(increase) in notes receivable–affiliated companies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net</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Payments of long-term debt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notes payable–affiliated companies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Dividend to parent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 from parent</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8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844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(315)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1,078</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370</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r>
      <w:tr>
        <w:trPr>
          <w:trHeight w:val="263"/>
        </w:trPr>
        <w:tc>
          <w:tcPr>
            <w:tcW w:w="77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r>
      <w:tr>
        <w:trPr>
          <w:trHeight w:val="51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Common Stock</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Paid-in-Capital</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1,896</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 from Parent</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2,486</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800</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Dividend to parent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68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2,899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3,274</w:t>
            </w:r>
          </w:p>
        </w:tc>
      </w:tr>
      <w:tr>
        <w:trPr>
          <w:trHeight w:val="20"/>
        </w:trPr>
        <w:tc>
          <w:tcPr>
            <w:tcW w:w="7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87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44"/>
        </w:trPr>
        <w:tc>
          <w:tcPr>
            <w:tcW w:w="8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1"/>
                <w:szCs w:val="21"/>
                <w:color w:val="auto"/>
              </w:rPr>
            </w:pPr>
          </w:p>
        </w:tc>
      </w:tr>
      <w:tr>
        <w:trPr>
          <w:trHeight w:val="255"/>
        </w:trPr>
        <w:tc>
          <w:tcPr>
            <w:tcW w:w="89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Utility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r>
      <w:tr>
        <w:trPr>
          <w:trHeight w:val="243"/>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Non-utility revenues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8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r>
      <w:tr>
        <w:trPr>
          <w:trHeight w:val="223"/>
        </w:trPr>
        <w:tc>
          <w:tcPr>
            <w:tcW w:w="89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Utility natural gas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r>
      <w:tr>
        <w:trPr>
          <w:trHeight w:val="243"/>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43"/>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89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1,052</w:t>
            </w:r>
          </w:p>
        </w:tc>
      </w:tr>
      <w:tr>
        <w:trPr>
          <w:trHeight w:val="27"/>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23"/>
        </w:trPr>
        <w:tc>
          <w:tcPr>
            <w:tcW w:w="8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Expense: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90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6"/>
        </w:trPr>
        <w:tc>
          <w:tcPr>
            <w:tcW w:w="89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89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8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 (net of tax expense (benefit) of ($11) and $8,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57"/>
        </w:trPr>
        <w:tc>
          <w:tcPr>
            <w:tcW w:w="89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w:t>
            </w:r>
          </w:p>
        </w:tc>
      </w:tr>
      <w:tr>
        <w:trPr>
          <w:trHeight w:val="20"/>
        </w:trPr>
        <w:tc>
          <w:tcPr>
            <w:tcW w:w="8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r>
      <w:tr>
        <w:trPr>
          <w:trHeight w:val="276"/>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24"/>
                <w:szCs w:val="24"/>
                <w:color w:val="auto"/>
              </w:rPr>
            </w:pPr>
          </w:p>
        </w:tc>
      </w:tr>
      <w:tr>
        <w:trPr>
          <w:trHeight w:val="264"/>
        </w:trPr>
        <w:tc>
          <w:tcPr>
            <w:tcW w:w="8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50"/>
        </w:trPr>
        <w:tc>
          <w:tcPr>
            <w:tcW w:w="8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4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76"/>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57"/>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receivable, less bad debt reserve of $24 and $15, respectively</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322</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unbilled revenues, less bad debt reserve of $2 and $-0-,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and notes receivable–affiliated companies</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Natural gas inventory</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2,270</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5,809</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Regulatory assets</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191</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r>
      <w:tr>
        <w:trPr>
          <w:trHeight w:val="257"/>
        </w:trPr>
        <w:tc>
          <w:tcPr>
            <w:tcW w:w="84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8,512</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333</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payable–affiliated companies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Taxes accrued</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accrued</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Non-current liabilities held for sale</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2,214</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2,546</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515</w:t>
            </w: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2,641</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8,512</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Depreciation and amortization on assets held for sale</w:t>
            </w:r>
          </w:p>
        </w:tc>
        <w:tc>
          <w:tcPr>
            <w:tcW w:w="8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and loss from reclassification to held for sale</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Write-down of natural gas inventory</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Fuel cost recovery</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Margin deposits,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Dividends to parent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6"/>
        </w:trPr>
        <w:tc>
          <w:tcPr>
            <w:tcW w:w="844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c>
          <w:tcPr>
            <w:tcW w:w="6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r>
      <w:tr>
        <w:trPr>
          <w:trHeight w:val="263"/>
        </w:trPr>
        <w:tc>
          <w:tcPr>
            <w:tcW w:w="77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r>
      <w:tr>
        <w:trPr>
          <w:trHeight w:val="51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Common Stock</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Paid-in-Capital</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2,015</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 from parent</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2,015</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423</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Dividend to parent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Adoption of ASU 2016-13</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541</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Income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3"/>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68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2,561</w:t>
            </w:r>
          </w:p>
        </w:tc>
      </w:tr>
      <w:tr>
        <w:trPr>
          <w:trHeight w:val="20"/>
        </w:trPr>
        <w:tc>
          <w:tcPr>
            <w:tcW w:w="7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COMBINED 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discussed in the last paragraph in Note 12 to the Registrants’ Condensed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Combined Notes to the Unaudited Condensed Consolidated Financial Statements apply to all Registrants and specific references to Houston Electric and CERC herein also pertain to CenterPoint Energy, unless otherwise indicated. The Interim Condensed Financial Statements are unaudited, omit certain financial statement disclosures and should be read with the Registrants’ financial statements included in the Registrants’ combined 2019 Form 10-K.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Background. </w:t>
      </w:r>
      <w:r>
        <w:rPr>
          <w:rFonts w:ascii="Arial" w:cs="Arial" w:eastAsia="Arial" w:hAnsi="Arial"/>
          <w:sz w:val="16"/>
          <w:szCs w:val="16"/>
          <w:color w:val="auto"/>
        </w:rPr>
        <w:t>CenterPoint Energy, Inc. is a public utility holding company and owns interests in Enable as described below. As of March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Energy’s operating subsidiaries reported as continuing operations were as follows:</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Houston Electric owns and operates electric transmission and distribution facilities in the Texas Gulf Coast area that includes the city of Houston.</w:t>
      </w:r>
    </w:p>
    <w:p>
      <w:pPr>
        <w:spacing w:after="0" w:line="2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CERC (i) owns and operates natural gas distribution systems in six states; (ii) owns and operates permanent pipeline connections through interconnects with various interstate and intrastate pipeline companies through CEIP; and (iii) provides temporary delivery of LNG and CNG throughout the contiguous 48 states through MES.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25" w:lineRule="exact"/>
        <w:rPr>
          <w:rFonts w:ascii="Arial" w:cs="Arial" w:eastAsia="Arial" w:hAnsi="Arial"/>
          <w:sz w:val="18"/>
          <w:szCs w:val="18"/>
          <w:color w:val="auto"/>
        </w:rPr>
      </w:pPr>
    </w:p>
    <w:p>
      <w:pPr>
        <w:jc w:val="both"/>
        <w:ind w:left="130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SIGECO provides energy delivery services to electric and natural gas customers located near Evansville in southwestern Indiana and owns and operates electric generation assets to serve its electric customers and optimizes those assets in the wholesale power market; and</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near Dayton in west-central Ohio.</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performs non-utility activities through ESG, which provides energy performance contracting and sustainable infrastructure services, such as renewables, distributed generation and combined heat and power projects.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2020, CenterPoint Energy, indirectly through CNP Midstream, owned approximately 53.7% of the common units representing limited partner interests in Enable, 50% of the management rights and 40% of the incentive distribution rights in Enable GP and also directly owned an aggregate of 14,520,000 Enable Series A Preferred Units. Enable owns, operates and develops natural gas and crude oil infrastructure assets.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2020,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and energy services, (b) changes in energy commodity prices, (c) timing of maintenance and other expenditures and (d) acquisitions and dispositions of businesses, assets and other interests. Certain prior year amounts have been reclassified to conform to the current year presentation.</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On February 3, 2020, CenterPoint Energy, through its subsidiary VUSI, entered into the Securities Purchase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the Infrastructure Services Disposal Group, which provide underground pipeline construction and repair services through wholly-owned subsidiaries Miller Pipeline, LLC and Minnesota Limited, LLC and serve natural gas utilities across the United States, focusing on recurring integrity, station and maintenance work and opportunities for large transmission pipeline construction projects. The transaction closed on April 9, 2020. See Note 3 for further information.</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on February 24, 2020, CenterPoint Energy, through its subsidiary CERC Corp., entered into the Equity Purchase Agreement to sell the Energy Services Disposal Group, which obtains and offers competitive variable and fixed-price physical natural gas supplies and services primarily to commercial and industrial customers and electric and natural gas utilities in over 30 states. The transaction is expected to close in the second quarter of 2020. See Note 3 for further information.</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COVID-19 Impacts. </w:t>
      </w:r>
      <w:r>
        <w:rPr>
          <w:rFonts w:ascii="Arial" w:cs="Arial" w:eastAsia="Arial" w:hAnsi="Arial"/>
          <w:sz w:val="16"/>
          <w:szCs w:val="16"/>
          <w:color w:val="auto"/>
        </w:rPr>
        <w:t>On March 11, 2020, the World Health Organization declared the current COVID-19 outbreak to be a global pandemic, and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13, 2020, the United States declared a national emergency. In response to these declarations and the rapid spread of COVID-19, federal, state and local governments have imposed varying degrees of restrictions on business and social activities to contain COVID-19, including quarantine and “stay-at-home” orders in the Registrants’ service territories. The Registrants have experienced some resulting disruptions to their business operations, as these restrictions have significantly impacted many sectors of the economy, with businesses curtailing or ceasing normal operations. The ultimate impacts will depend on future 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thirds parties, workforce availability, and the timing and extent to which normal economic and operating conditions resume. While the Registrants continue to assess the COVID-19 situation and cannot estimate with any degree of certainty the full impact of the COVID-19 outbreak on their liquidity, financial condition and future results of operations, the Registrants expect the COVID-19 situation to adversely impact future quarters. See Notes 5 and 6 for further information on COVID-19’s impact on the Registrants.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an overview of certain recently adopted or issued accounting pronouncements applicable to all the Registrants, unless otherwise noted.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ASU Number and Name</w:t>
            </w:r>
          </w:p>
        </w:tc>
        <w:tc>
          <w:tcPr>
            <w:tcW w:w="120" w:type="dxa"/>
            <w:vAlign w:val="bottom"/>
            <w:vMerge w:val="restart"/>
          </w:tcPr>
          <w:p>
            <w:pPr>
              <w:spacing w:after="0"/>
              <w:rPr>
                <w:sz w:val="14"/>
                <w:szCs w:val="14"/>
                <w:color w:val="auto"/>
              </w:rPr>
            </w:pPr>
          </w:p>
        </w:tc>
        <w:tc>
          <w:tcPr>
            <w:tcW w:w="35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 Adoption</w:t>
            </w:r>
          </w:p>
        </w:tc>
        <w:tc>
          <w:tcPr>
            <w:tcW w:w="100" w:type="dxa"/>
            <w:vAlign w:val="bottom"/>
            <w:vMerge w:val="restart"/>
          </w:tcPr>
          <w:p>
            <w:pPr>
              <w:spacing w:after="0"/>
              <w:rPr>
                <w:sz w:val="14"/>
                <w:szCs w:val="14"/>
                <w:color w:val="auto"/>
              </w:rPr>
            </w:pPr>
          </w:p>
        </w:tc>
        <w:tc>
          <w:tcPr>
            <w:tcW w:w="3600" w:type="dxa"/>
            <w:vAlign w:val="bottom"/>
          </w:tcPr>
          <w:p>
            <w:pPr>
              <w:ind w:left="940"/>
              <w:spacing w:after="0"/>
              <w:rPr>
                <w:sz w:val="20"/>
                <w:szCs w:val="20"/>
                <w:color w:val="auto"/>
              </w:rPr>
            </w:pPr>
            <w:r>
              <w:rPr>
                <w:rFonts w:ascii="Arial" w:cs="Arial" w:eastAsia="Arial" w:hAnsi="Arial"/>
                <w:sz w:val="14"/>
                <w:szCs w:val="14"/>
                <w:b w:val="1"/>
                <w:bCs w:val="1"/>
                <w:color w:val="auto"/>
              </w:rPr>
              <w:t>Financial Statement Impact</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upon Adoption</w:t>
            </w:r>
          </w:p>
        </w:tc>
        <w:tc>
          <w:tcPr>
            <w:tcW w:w="0" w:type="dxa"/>
            <w:vAlign w:val="bottom"/>
          </w:tcPr>
          <w:p>
            <w:pPr>
              <w:spacing w:after="0"/>
              <w:rPr>
                <w:sz w:val="1"/>
                <w:szCs w:val="1"/>
                <w:color w:val="auto"/>
              </w:rPr>
            </w:pPr>
          </w:p>
        </w:tc>
      </w:tr>
      <w:tr>
        <w:trPr>
          <w:trHeight w:val="156"/>
        </w:trPr>
        <w:tc>
          <w:tcPr>
            <w:tcW w:w="2280" w:type="dxa"/>
            <w:vAlign w:val="bottom"/>
            <w:gridSpan w:val="2"/>
            <w:shd w:val="clear" w:color="auto" w:fill="CCEEFF"/>
          </w:tcPr>
          <w:p>
            <w:pPr>
              <w:ind w:left="40"/>
              <w:spacing w:after="0" w:line="156" w:lineRule="exact"/>
              <w:rPr>
                <w:sz w:val="20"/>
                <w:szCs w:val="20"/>
                <w:color w:val="auto"/>
              </w:rPr>
            </w:pPr>
            <w:r>
              <w:rPr>
                <w:rFonts w:ascii="Arial" w:cs="Arial" w:eastAsia="Arial" w:hAnsi="Arial"/>
                <w:sz w:val="14"/>
                <w:szCs w:val="14"/>
                <w:color w:val="auto"/>
              </w:rPr>
              <w:t>ASU 2016-13- Financial</w:t>
            </w:r>
          </w:p>
        </w:tc>
        <w:tc>
          <w:tcPr>
            <w:tcW w:w="37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w w:val="99"/>
              </w:rPr>
              <w:t>This standard, including standards amending this standard,</w:t>
            </w:r>
          </w:p>
        </w:tc>
        <w:tc>
          <w:tcPr>
            <w:tcW w:w="1660" w:type="dxa"/>
            <w:vAlign w:val="bottom"/>
            <w:gridSpan w:val="2"/>
            <w:shd w:val="clear" w:color="auto" w:fill="CCEEFF"/>
          </w:tcPr>
          <w:p>
            <w:pPr>
              <w:jc w:val="center"/>
              <w:ind w:right="100"/>
              <w:spacing w:after="0" w:line="156" w:lineRule="exact"/>
              <w:rPr>
                <w:sz w:val="20"/>
                <w:szCs w:val="20"/>
                <w:color w:val="auto"/>
              </w:rPr>
            </w:pPr>
            <w:r>
              <w:rPr>
                <w:rFonts w:ascii="Arial" w:cs="Arial" w:eastAsia="Arial" w:hAnsi="Arial"/>
                <w:sz w:val="14"/>
                <w:szCs w:val="14"/>
                <w:color w:val="auto"/>
                <w:w w:val="91"/>
              </w:rPr>
              <w:t>January 1, 2020</w:t>
            </w:r>
          </w:p>
        </w:tc>
        <w:tc>
          <w:tcPr>
            <w:tcW w:w="3600" w:type="dxa"/>
            <w:vAlign w:val="bottom"/>
            <w:shd w:val="clear" w:color="auto" w:fill="CCEEFF"/>
          </w:tcPr>
          <w:p>
            <w:pPr>
              <w:ind w:left="40"/>
              <w:spacing w:after="0" w:line="156" w:lineRule="exact"/>
              <w:rPr>
                <w:sz w:val="20"/>
                <w:szCs w:val="20"/>
                <w:color w:val="auto"/>
              </w:rPr>
            </w:pPr>
            <w:r>
              <w:rPr>
                <w:rFonts w:ascii="Arial" w:cs="Arial" w:eastAsia="Arial" w:hAnsi="Arial"/>
                <w:sz w:val="14"/>
                <w:szCs w:val="14"/>
                <w:color w:val="auto"/>
              </w:rPr>
              <w:t>The Registrants adopted the standard and recognized a</w:t>
            </w: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Instruments-Credit Losses (Topic</w:t>
            </w: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requires a new model called CECL to estimate credit losses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cumulative-effect adjustment of the transition to opening</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326): Measurement of Credit</w:t>
            </w: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for (1) financial assets subject to credit losses and measured</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retained earnings and allowance for doubtful accounts with</w:t>
            </w: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Losses on Financial Instruments</w:t>
            </w: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at amortized cost and (2) certain off-balance sheet credit</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no impact on results of operations and cash flows. See Note</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exposures. Upon initial recognition of the exposure, the</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 for more information.</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CECL model requires an entity to estimate the credit losses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expected over the life of an exposure based on historical</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information, current information and reasonable and</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supportable forecasts, including estimates of prepayments.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modified retrospective</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7" w:lineRule="exact"/>
        <w:rPr>
          <w:sz w:val="20"/>
          <w:szCs w:val="20"/>
          <w:color w:val="auto"/>
        </w:rPr>
      </w:pPr>
    </w:p>
    <w:p>
      <w:pPr>
        <w:ind w:left="40"/>
        <w:spacing w:after="0" w:line="231" w:lineRule="auto"/>
        <w:rPr>
          <w:sz w:val="20"/>
          <w:szCs w:val="20"/>
          <w:color w:val="auto"/>
        </w:rPr>
      </w:pPr>
      <w:r>
        <w:rPr>
          <w:rFonts w:ascii="Arial" w:cs="Arial" w:eastAsia="Arial" w:hAnsi="Arial"/>
          <w:sz w:val="14"/>
          <w:szCs w:val="14"/>
          <w:color w:val="auto"/>
        </w:rPr>
        <w:t>ASU 2018-13- Fair Value Measurement (Topic 820): Disclosure Framework-Changes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This standard eliminates, modifies and adds certain</w:t>
            </w:r>
          </w:p>
        </w:tc>
        <w:tc>
          <w:tcPr>
            <w:tcW w:w="1800" w:type="dxa"/>
            <w:vAlign w:val="bottom"/>
          </w:tcPr>
          <w:p>
            <w:pPr>
              <w:jc w:val="center"/>
              <w:ind w:left="88"/>
              <w:spacing w:after="0" w:line="157" w:lineRule="exact"/>
              <w:rPr>
                <w:sz w:val="20"/>
                <w:szCs w:val="20"/>
                <w:color w:val="auto"/>
              </w:rPr>
            </w:pPr>
            <w:r>
              <w:rPr>
                <w:rFonts w:ascii="Arial" w:cs="Arial" w:eastAsia="Arial" w:hAnsi="Arial"/>
                <w:sz w:val="14"/>
                <w:szCs w:val="14"/>
                <w:color w:val="auto"/>
                <w:w w:val="96"/>
              </w:rPr>
              <w:t>Adoption of eliminations</w:t>
            </w:r>
          </w:p>
        </w:tc>
        <w:tc>
          <w:tcPr>
            <w:tcW w:w="3600" w:type="dxa"/>
            <w:vAlign w:val="bottom"/>
          </w:tcPr>
          <w:p>
            <w:pPr>
              <w:ind w:left="100"/>
              <w:spacing w:after="0" w:line="157" w:lineRule="exact"/>
              <w:rPr>
                <w:sz w:val="20"/>
                <w:szCs w:val="20"/>
                <w:color w:val="auto"/>
              </w:rPr>
            </w:pPr>
            <w:r>
              <w:rPr>
                <w:rFonts w:ascii="Arial" w:cs="Arial" w:eastAsia="Arial" w:hAnsi="Arial"/>
                <w:sz w:val="14"/>
                <w:szCs w:val="14"/>
                <w:color w:val="auto"/>
                <w:w w:val="93"/>
              </w:rPr>
              <w:t>The adoption of this standard did not impact the Registrants’</w:t>
            </w: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disclosure requirements for fair value measurements.</w:t>
            </w:r>
          </w:p>
        </w:tc>
        <w:tc>
          <w:tcPr>
            <w:tcW w:w="18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4"/>
              </w:rPr>
              <w:t>and modifications as of</w:t>
            </w:r>
          </w:p>
        </w:tc>
        <w:tc>
          <w:tcPr>
            <w:tcW w:w="3600" w:type="dxa"/>
            <w:vAlign w:val="bottom"/>
          </w:tcPr>
          <w:p>
            <w:pPr>
              <w:ind w:left="100"/>
              <w:spacing w:after="0" w:line="149" w:lineRule="exact"/>
              <w:rPr>
                <w:sz w:val="20"/>
                <w:szCs w:val="20"/>
                <w:color w:val="auto"/>
              </w:rPr>
            </w:pPr>
            <w:r>
              <w:rPr>
                <w:rFonts w:ascii="Arial" w:cs="Arial" w:eastAsia="Arial" w:hAnsi="Arial"/>
                <w:sz w:val="14"/>
                <w:szCs w:val="14"/>
                <w:color w:val="auto"/>
                <w:w w:val="93"/>
              </w:rPr>
              <w:t>financial position, results of operations or cash flows. Note 8</w:t>
            </w: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for additions and one</w:t>
            </w:r>
          </w:p>
        </w:tc>
        <w:tc>
          <w:tcPr>
            <w:tcW w:w="18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0"/>
              </w:rPr>
              <w:t>September 30, 2018 and</w:t>
            </w:r>
          </w:p>
        </w:tc>
        <w:tc>
          <w:tcPr>
            <w:tcW w:w="3600" w:type="dxa"/>
            <w:vAlign w:val="bottom"/>
          </w:tcPr>
          <w:p>
            <w:pPr>
              <w:ind w:left="100"/>
              <w:spacing w:after="0" w:line="149" w:lineRule="exact"/>
              <w:rPr>
                <w:sz w:val="20"/>
                <w:szCs w:val="20"/>
                <w:color w:val="auto"/>
              </w:rPr>
            </w:pPr>
            <w:r>
              <w:rPr>
                <w:rFonts w:ascii="Arial" w:cs="Arial" w:eastAsia="Arial" w:hAnsi="Arial"/>
                <w:sz w:val="14"/>
                <w:szCs w:val="14"/>
                <w:color w:val="auto"/>
                <w:w w:val="95"/>
              </w:rPr>
              <w:t>reflects the disclosures modified and added upon adoption.</w:t>
            </w: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modification and retrospective for all other amendments</w:t>
            </w:r>
          </w:p>
        </w:tc>
        <w:tc>
          <w:tcPr>
            <w:tcW w:w="18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2"/>
              </w:rPr>
              <w:t>additions as of January 1,</w:t>
            </w:r>
          </w:p>
        </w:tc>
        <w:tc>
          <w:tcPr>
            <w:tcW w:w="3600" w:type="dxa"/>
            <w:vAlign w:val="bottom"/>
          </w:tcPr>
          <w:p>
            <w:pPr>
              <w:spacing w:after="0"/>
              <w:rPr>
                <w:sz w:val="12"/>
                <w:szCs w:val="12"/>
                <w:color w:val="auto"/>
              </w:rPr>
            </w:pPr>
          </w:p>
        </w:tc>
      </w:tr>
      <w:tr>
        <w:trPr>
          <w:trHeight w:val="182"/>
        </w:trPr>
        <w:tc>
          <w:tcPr>
            <w:tcW w:w="3480" w:type="dxa"/>
            <w:vAlign w:val="bottom"/>
          </w:tcPr>
          <w:p>
            <w:pPr>
              <w:spacing w:after="0"/>
              <w:rPr>
                <w:sz w:val="15"/>
                <w:szCs w:val="15"/>
                <w:color w:val="auto"/>
              </w:rPr>
            </w:pPr>
          </w:p>
        </w:tc>
        <w:tc>
          <w:tcPr>
            <w:tcW w:w="1800" w:type="dxa"/>
            <w:vAlign w:val="bottom"/>
          </w:tcPr>
          <w:p>
            <w:pPr>
              <w:jc w:val="center"/>
              <w:ind w:left="88"/>
              <w:spacing w:after="0"/>
              <w:rPr>
                <w:sz w:val="20"/>
                <w:szCs w:val="20"/>
                <w:color w:val="auto"/>
              </w:rPr>
            </w:pPr>
            <w:r>
              <w:rPr>
                <w:rFonts w:ascii="Arial" w:cs="Arial" w:eastAsia="Arial" w:hAnsi="Arial"/>
                <w:sz w:val="14"/>
                <w:szCs w:val="14"/>
                <w:color w:val="auto"/>
                <w:w w:val="89"/>
              </w:rPr>
              <w:t>2020</w:t>
            </w:r>
          </w:p>
        </w:tc>
        <w:tc>
          <w:tcPr>
            <w:tcW w:w="3600" w:type="dxa"/>
            <w:vAlign w:val="bottom"/>
          </w:tcPr>
          <w:p>
            <w:pPr>
              <w:spacing w:after="0"/>
              <w:rPr>
                <w:sz w:val="15"/>
                <w:szCs w:val="15"/>
                <w:color w:val="auto"/>
              </w:rPr>
            </w:pPr>
          </w:p>
        </w:tc>
      </w:tr>
    </w:tbl>
    <w:p>
      <w:pPr>
        <w:spacing w:after="0" w:line="156" w:lineRule="exact"/>
        <w:rPr>
          <w:sz w:val="20"/>
          <w:szCs w:val="20"/>
          <w:color w:val="auto"/>
        </w:rPr>
      </w:pPr>
    </w:p>
    <w:p>
      <w:pPr>
        <w:sectPr>
          <w:pgSz w:w="11900" w:h="16838" w:orient="portrait"/>
          <w:cols w:equalWidth="0" w:num="2">
            <w:col w:w="2040" w:space="260"/>
            <w:col w:w="8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Accounting Standards Update</w:t>
            </w: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This standard simplifies accounting for income taxes by</w:t>
            </w:r>
          </w:p>
        </w:tc>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January 1, 2020</w:t>
            </w:r>
          </w:p>
        </w:tc>
        <w:tc>
          <w:tcPr>
            <w:tcW w:w="38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5"/>
              </w:rPr>
              <w:t>Upon adoption, the Registrants are not required to apply the</w:t>
            </w: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(ASU) No. 2019-12: Income Taxes</w:t>
            </w: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eliminating certain exceptions to the guidance for intraperiod</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6"/>
              </w:rPr>
              <w:t>intraperiod tax allocation exception when there is a current-</w:t>
            </w: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(Topic 740): Simplifying the</w:t>
            </w: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tax allocation, the methodology for calculating income taxes</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period loss from continuing operations. Accordingly,</w:t>
            </w: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Accounting for Income Taxes</w:t>
            </w: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 an interim period and the recognition of deferred tax</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CenterPoint Energy determined the tax effect of income from</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liabilities for outside basis differences. It also simplifies</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7"/>
              </w:rPr>
              <w:t>continuing operations without considering the tax effects of</w:t>
            </w:r>
          </w:p>
        </w:tc>
      </w:tr>
      <w:tr>
        <w:trPr>
          <w:trHeight w:val="149"/>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aspects of the accounting for franchise taxes that are partially</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items that are not included in continuing operations (i.e.,</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based on income and enacted changes in tax laws or rates</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7"/>
              </w:rPr>
              <w:t>discontinued operations). Additionally, CenterPoint Energy</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and clarifies the accounting for transactions that result in a</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is no longer required to limit the year-to-date tax benefit</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step-up in the tax basis of goodwill.</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recognized when the year-to-date benefit exceeds the</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for all amendments that</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anticipated full year benefit.</w:t>
            </w:r>
          </w:p>
        </w:tc>
      </w:tr>
      <w:tr>
        <w:trPr>
          <w:trHeight w:val="182"/>
        </w:trPr>
        <w:tc>
          <w:tcPr>
            <w:tcW w:w="2180" w:type="dxa"/>
            <w:vAlign w:val="bottom"/>
            <w:shd w:val="clear" w:color="auto" w:fill="CCEEFF"/>
          </w:tcPr>
          <w:p>
            <w:pPr>
              <w:spacing w:after="0"/>
              <w:rPr>
                <w:sz w:val="15"/>
                <w:szCs w:val="15"/>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apply to the Registrants</w:t>
            </w:r>
          </w:p>
        </w:tc>
        <w:tc>
          <w:tcPr>
            <w:tcW w:w="13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r>
      <w:tr>
        <w:trPr>
          <w:trHeight w:val="309"/>
        </w:trPr>
        <w:tc>
          <w:tcPr>
            <w:tcW w:w="218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other recently adopted or issued accounting standards that are not yet effective will not have a material impact on the Registrants’ financial position, results of operations or cash flows upon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Held for Sale and Discontinued Operations (CenterPoint Energy and CERC)</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Divestiture of Infrastructure Services (CenterPoint Energy). </w:t>
      </w:r>
      <w:r>
        <w:rPr>
          <w:rFonts w:ascii="Arial" w:cs="Arial" w:eastAsia="Arial" w:hAnsi="Arial"/>
          <w:sz w:val="18"/>
          <w:szCs w:val="18"/>
          <w:color w:val="auto"/>
        </w:rPr>
        <w:t>On February 3, 2020, CenterPoint Energy, through its subsidiary VUSI, entered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Purchase Agreement to sell the Infrastructure Services Disposal Group. The transaction closed on April 9, 2020.</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2020, certain assets and liabilities representing the Infrastructure Services Disposal Group met the held for sale criteria and represented all of the businesses within the reporting unit. In accordance with the Securities Purchase Agreement, VISCO was converted from a wholly-owned corporation to a limited liability company that was disregarded for federal income tax purposes immediately prior to the closing of the transaction resulting in the sale of membership units at closing. The sale was considered an asset sale for tax purposes, requiring net deferred tax liabilities of approximately $125 million as of March 31, 2020 to be excluded from the Infrastructure Services Disposal Group and to be recognized as a deferred income tax benefit by CenterPoint Energy upon closing.</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classifying the Infrastructure Services Disposal Group as held for sale and in connection with the preparation of CenterPoint Energy’s financial statements for the three months ended March 31, 2020, CenterPoint Energy recorded a goodwill impairment of approximately $82 million, plus an additional loss of $14 million for cost to sell.</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the Infrastructure Services Disposal Group met the held for sale criteria during the three months ended March 31, 2020 and the proposed sale was completed on April 9, 2020, all Infrastructure Services Disposal Group assets and liabilities as of March 31, 2020 have been classified as current assets and liabilities held for sale. The assets and liabilities as of December 31, 2019 have been recast as assets and liabilities held for sale and retained their current or long-term classification applicable as of December 31, 2019. L</w:t>
      </w:r>
      <w:r>
        <w:rPr>
          <w:rFonts w:ascii="Arial" w:cs="Arial" w:eastAsia="Arial" w:hAnsi="Arial"/>
          <w:sz w:val="18"/>
          <w:szCs w:val="18"/>
          <w:color w:val="211D1E"/>
        </w:rPr>
        <w:t>ong-lived assets are not depreciated or amortized once they are classified as held</w:t>
      </w:r>
      <w:r>
        <w:rPr>
          <w:rFonts w:ascii="Arial" w:cs="Arial" w:eastAsia="Arial" w:hAnsi="Arial"/>
          <w:sz w:val="18"/>
          <w:szCs w:val="18"/>
          <w:color w:val="auto"/>
        </w:rPr>
        <w:t xml:space="preserve"> </w:t>
      </w:r>
      <w:r>
        <w:rPr>
          <w:rFonts w:ascii="Arial" w:cs="Arial" w:eastAsia="Arial" w:hAnsi="Arial"/>
          <w:sz w:val="18"/>
          <w:szCs w:val="18"/>
          <w:color w:val="211D1E"/>
        </w:rPr>
        <w:t>for sale.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Divestiture of Energy Services (CenterPoint Energy and CERC). </w:t>
      </w:r>
      <w:r>
        <w:rPr>
          <w:rFonts w:ascii="Arial" w:cs="Arial" w:eastAsia="Arial" w:hAnsi="Arial"/>
          <w:sz w:val="18"/>
          <w:szCs w:val="18"/>
          <w:color w:val="auto"/>
        </w:rPr>
        <w:t>On February 24, 2020, CenterPoint Energy, through its subsidiary CERC Corp.,</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the Equity Purchase Agreement to sell the Energy Services Disposal Group. This transaction does not include CEIP and its assets. The transaction is expected to close in the second quarter of 2020.</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2020, certain assets and liabilities representing the Energy Services Disposal Group met the criteria to be classified as held for sale and represented substantially all of the businesses within the reporting unit. In accordance with the Equity Purchase Agreement, CES will be converted from a wholly-owned corporation to a limited liability company that is disregarded for federal income tax purposes immediately prior to the closing of the transaction resulting in the sale of membership units at closing. The sale will be considered an asset sale for tax purposes, requiring the net deferred tax asset of approximately $3 million as of March 31, 2020 to be included within the retained component of the reporting unit and to be recognized as a deferred tax expense by CenterPoint Energy upon closing.</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classifying the Energy Services Disposal Group as held for sale and in connection with the preparation of CenterPoint Energy’s and CERC’s respective financial statements for the three months ended March 31, 2020, CenterPoint Energy and CERC recorded a goodwill impairment of approximately $62 million and a loss on assets held for sale of approximately $70 million, plus an additional loss of $6 million for cost to sell recorded only at CenterPoint Energy.</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the Energy Services Disposal Group met the held for sale criteria and the proposed sale is expected to be completed within one year, all Energy Services Disposal Group assets and liabilities as of March 31, 2020 have been classified as current assets and liabilities held for sale. The assets and liabilities as of December 31, 2019 have been recast as assets and liabilities held for sale and retained their current or long-term classification applicable as of December 31, 2019. L</w:t>
      </w:r>
      <w:r>
        <w:rPr>
          <w:rFonts w:ascii="Arial" w:cs="Arial" w:eastAsia="Arial" w:hAnsi="Arial"/>
          <w:sz w:val="17"/>
          <w:szCs w:val="17"/>
          <w:color w:val="211D1E"/>
        </w:rPr>
        <w:t>ong-lived assets are not depreciated or amortized once they are classified as held for sale.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assets and liabilities of the Infrastructure Services and Energy Services Disposal Groups classified as held for sale in CenterPoint Energy’s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CERC’s Condensed Consolidated Balance Sheets, as applicable, include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CenterPoint Energy</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Infrastructure</w:t>
            </w: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Energy Services</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9"/>
              </w:rPr>
              <w:t>Energy Services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Services Disposal</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Group</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Disposal Group</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Disposal Group</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Accrued unbilled revenues</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Non-trading 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Loss on assets held for sale</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assets held for sale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accrued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Non-trading derivative liabilities</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CenterPoint Energy</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Infrastructure</w:t>
            </w: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Energy Services</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Energy Services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Services Disposal</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Group</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Disposal Group</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Disposal Group</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Accrued unbilled revenues</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Non-trading 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Non-trading derivative assets</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8"/>
                <w:szCs w:val="18"/>
                <w:color w:val="auto"/>
              </w:rPr>
              <w:t>Total non-current assets held for sale</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Taxes accrued</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Non-trading derivative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Non-trading derivative liabilities</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 held for sale</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5520" w:type="dxa"/>
            <w:vAlign w:val="bottom"/>
          </w:tcPr>
          <w:p>
            <w:pPr>
              <w:ind w:left="380"/>
              <w:spacing w:after="0"/>
              <w:rPr>
                <w:sz w:val="20"/>
                <w:szCs w:val="20"/>
                <w:color w:val="auto"/>
              </w:rPr>
            </w:pPr>
            <w:r>
              <w:rPr>
                <w:rFonts w:ascii="Arial" w:cs="Arial" w:eastAsia="Arial" w:hAnsi="Arial"/>
                <w:sz w:val="18"/>
                <w:szCs w:val="18"/>
                <w:color w:val="auto"/>
              </w:rPr>
              <w:t>Total liabilities held for sale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Infrastructure Services and Energy Services Disposal Groups met the held for sale criteria and their disposals also represent a strategic shift to CenterPoint Energy and CERC, as applicable, they are reflected as discontinued operations on CenterPoint Energy’s and CERC’s Statements of Consolidated Income, as applicable, and as a result, prior periods have been recast to reflect the earnings or losses from such businesses as income from discontinued operations, net of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Infrastructure Services and Energy Services Disposal Groups presented in CenterPoint Energy’s and CERC’s Condensed Statements of Consolidated Income, as applicable,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CenterPoint Energy</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CERC</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2320" w:type="dxa"/>
            <w:vAlign w:val="bottom"/>
            <w:gridSpan w:val="6"/>
          </w:tcPr>
          <w:p>
            <w:pPr>
              <w:ind w:left="120"/>
              <w:spacing w:after="0" w:line="153" w:lineRule="exact"/>
              <w:rPr>
                <w:sz w:val="20"/>
                <w:szCs w:val="20"/>
                <w:color w:val="auto"/>
              </w:rPr>
            </w:pPr>
            <w:r>
              <w:rPr>
                <w:rFonts w:ascii="Arial" w:cs="Arial" w:eastAsia="Arial" w:hAnsi="Arial"/>
                <w:sz w:val="14"/>
                <w:szCs w:val="14"/>
                <w:b w:val="1"/>
                <w:bCs w:val="1"/>
                <w:color w:val="auto"/>
              </w:rPr>
              <w:t>Infrastructure Services Disposal</w:t>
            </w:r>
          </w:p>
        </w:tc>
        <w:tc>
          <w:tcPr>
            <w:tcW w:w="22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7"/>
              </w:rPr>
              <w:t>Energy Services Disposal Group</w:t>
            </w:r>
          </w:p>
        </w:tc>
        <w:tc>
          <w:tcPr>
            <w:tcW w:w="320" w:type="dxa"/>
            <w:vAlign w:val="bottom"/>
          </w:tcPr>
          <w:p>
            <w:pPr>
              <w:spacing w:after="0"/>
              <w:rPr>
                <w:sz w:val="13"/>
                <w:szCs w:val="13"/>
                <w:color w:val="auto"/>
              </w:rPr>
            </w:pPr>
          </w:p>
        </w:tc>
        <w:tc>
          <w:tcPr>
            <w:tcW w:w="10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Energy Services Disposal Group</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Group</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222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263"/>
        </w:trPr>
        <w:tc>
          <w:tcPr>
            <w:tcW w:w="2380" w:type="dxa"/>
            <w:vAlign w:val="bottom"/>
          </w:tcPr>
          <w:p>
            <w:pPr>
              <w:ind w:left="40"/>
              <w:spacing w:after="0"/>
              <w:rPr>
                <w:sz w:val="20"/>
                <w:szCs w:val="20"/>
                <w:color w:val="auto"/>
              </w:rPr>
            </w:pPr>
            <w:r>
              <w:rPr>
                <w:rFonts w:ascii="Arial" w:cs="Arial" w:eastAsia="Arial" w:hAnsi="Arial"/>
                <w:sz w:val="14"/>
                <w:szCs w:val="14"/>
                <w:color w:val="auto"/>
              </w:rPr>
              <w:t>Expenses:</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Non-utility cost of revenues</w:t>
            </w: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6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163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Taxes other than income taxes</w:t>
            </w:r>
          </w:p>
        </w:tc>
        <w:tc>
          <w:tcPr>
            <w:tcW w:w="6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3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680" w:type="dxa"/>
            <w:vAlign w:val="bottom"/>
            <w:tcBorders>
              <w:top w:val="single" w:sz="8" w:color="auto"/>
              <w:bottom w:val="single" w:sz="8" w:color="auto"/>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208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1,206</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37"/>
        </w:trPr>
        <w:tc>
          <w:tcPr>
            <w:tcW w:w="2380" w:type="dxa"/>
            <w:vAlign w:val="bottom"/>
          </w:tcPr>
          <w:p>
            <w:pPr>
              <w:ind w:left="40"/>
              <w:spacing w:after="0" w:line="137" w:lineRule="exact"/>
              <w:rPr>
                <w:sz w:val="20"/>
                <w:szCs w:val="20"/>
                <w:color w:val="auto"/>
              </w:rPr>
            </w:pPr>
            <w:r>
              <w:rPr>
                <w:rFonts w:ascii="Arial" w:cs="Arial" w:eastAsia="Arial" w:hAnsi="Arial"/>
                <w:sz w:val="14"/>
                <w:szCs w:val="14"/>
                <w:color w:val="auto"/>
              </w:rPr>
              <w:t>Income (loss) from Discontinued</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0"/>
              <w:spacing w:after="0"/>
              <w:rPr>
                <w:sz w:val="20"/>
                <w:szCs w:val="20"/>
                <w:color w:val="auto"/>
              </w:rPr>
            </w:pPr>
            <w:r>
              <w:rPr>
                <w:rFonts w:ascii="Arial" w:cs="Arial" w:eastAsia="Arial" w:hAnsi="Arial"/>
                <w:sz w:val="14"/>
                <w:szCs w:val="14"/>
                <w:color w:val="auto"/>
              </w:rPr>
              <w:t>Operations before income taxes</w:t>
            </w:r>
          </w:p>
        </w:tc>
        <w:tc>
          <w:tcPr>
            <w:tcW w:w="68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classification to held for</w:t>
            </w: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 (2)</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Income tax expense (benefit)</w:t>
            </w:r>
          </w:p>
        </w:tc>
        <w:tc>
          <w:tcPr>
            <w:tcW w:w="6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23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(loss) from Discontinued</w:t>
            </w:r>
          </w:p>
        </w:tc>
        <w:tc>
          <w:tcPr>
            <w:tcW w:w="680" w:type="dxa"/>
            <w:vAlign w:val="bottom"/>
            <w:tcBorders>
              <w:top w:val="single" w:sz="8" w:color="auto"/>
            </w:tcBorders>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1"/>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February 1, 2019 to March 31, 2019 results only due to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from classification to held for sale is inclusive of goodwill impairment and, for CenterPoint Energy, its costs to sell.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and CERC have elected not to separately disclose discontinued operations on their respective Condensed Statements of Consolidated Cash Flows. L</w:t>
      </w:r>
      <w:r>
        <w:rPr>
          <w:rFonts w:ascii="Arial" w:cs="Arial" w:eastAsia="Arial" w:hAnsi="Arial"/>
          <w:sz w:val="18"/>
          <w:szCs w:val="18"/>
          <w:color w:val="211D1E"/>
        </w:rPr>
        <w:t>ong-lived assets are not depreciated or amortized once they are classified as held for sale.</w:t>
      </w:r>
      <w:r>
        <w:rPr>
          <w:rFonts w:ascii="Arial" w:cs="Arial" w:eastAsia="Arial" w:hAnsi="Arial"/>
          <w:sz w:val="18"/>
          <w:szCs w:val="18"/>
          <w:color w:val="auto"/>
        </w:rPr>
        <w:t xml:space="preserve"> The following table summarizes CenterPoint Energy’s and CERC’s cash flows from discontinued operations and certain supplemental cash flow disclosures related to the Infrastructure Services and Energy Services Disposal Groups, as applicable: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4"/>
                <w:szCs w:val="14"/>
                <w:b w:val="1"/>
                <w:bCs w:val="1"/>
                <w:color w:val="auto"/>
              </w:rPr>
              <w:t>CenterPoint Energy</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CERC</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3"/>
          </w:tcPr>
          <w:p>
            <w:pPr>
              <w:jc w:val="center"/>
              <w:ind w:right="82"/>
              <w:spacing w:after="0" w:line="153" w:lineRule="exact"/>
              <w:rPr>
                <w:sz w:val="20"/>
                <w:szCs w:val="20"/>
                <w:color w:val="auto"/>
              </w:rPr>
            </w:pPr>
            <w:r>
              <w:rPr>
                <w:rFonts w:ascii="Arial" w:cs="Arial" w:eastAsia="Arial" w:hAnsi="Arial"/>
                <w:sz w:val="14"/>
                <w:szCs w:val="14"/>
                <w:b w:val="1"/>
                <w:bCs w:val="1"/>
                <w:color w:val="auto"/>
                <w:w w:val="92"/>
              </w:rPr>
              <w:t>Infrastructure Services Disposal</w:t>
            </w:r>
          </w:p>
        </w:tc>
        <w:tc>
          <w:tcPr>
            <w:tcW w:w="220" w:type="dxa"/>
            <w:vAlign w:val="bottom"/>
          </w:tcPr>
          <w:p>
            <w:pPr>
              <w:spacing w:after="0"/>
              <w:rPr>
                <w:sz w:val="13"/>
                <w:szCs w:val="13"/>
                <w:color w:val="auto"/>
              </w:rPr>
            </w:pPr>
          </w:p>
        </w:tc>
        <w:tc>
          <w:tcPr>
            <w:tcW w:w="2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Energy Services Disposal Group</w:t>
            </w:r>
          </w:p>
        </w:tc>
        <w:tc>
          <w:tcPr>
            <w:tcW w:w="140" w:type="dxa"/>
            <w:vAlign w:val="bottom"/>
          </w:tcPr>
          <w:p>
            <w:pPr>
              <w:spacing w:after="0"/>
              <w:rPr>
                <w:sz w:val="13"/>
                <w:szCs w:val="13"/>
                <w:color w:val="auto"/>
              </w:rPr>
            </w:pPr>
          </w:p>
        </w:tc>
        <w:tc>
          <w:tcPr>
            <w:tcW w:w="218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w w:val="92"/>
              </w:rPr>
              <w:t>Energy Services Disposal Group</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622"/>
              <w:spacing w:after="0"/>
              <w:rPr>
                <w:sz w:val="20"/>
                <w:szCs w:val="20"/>
                <w:color w:val="auto"/>
              </w:rPr>
            </w:pPr>
            <w:r>
              <w:rPr>
                <w:rFonts w:ascii="Arial" w:cs="Arial" w:eastAsia="Arial" w:hAnsi="Arial"/>
                <w:sz w:val="14"/>
                <w:szCs w:val="14"/>
                <w:b w:val="1"/>
                <w:bCs w:val="1"/>
                <w:color w:val="auto"/>
                <w:w w:val="99"/>
              </w:rPr>
              <w:t>Group</w:t>
            </w: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3940" w:type="dxa"/>
            <w:vAlign w:val="bottom"/>
          </w:tcPr>
          <w:p>
            <w:pPr>
              <w:ind w:left="40"/>
              <w:spacing w:after="0"/>
              <w:rPr>
                <w:sz w:val="20"/>
                <w:szCs w:val="20"/>
                <w:color w:val="auto"/>
              </w:rPr>
            </w:pPr>
            <w:r>
              <w:rPr>
                <w:rFonts w:ascii="Arial" w:cs="Arial" w:eastAsia="Arial" w:hAnsi="Arial"/>
                <w:sz w:val="16"/>
                <w:szCs w:val="16"/>
                <w:color w:val="auto"/>
              </w:rPr>
              <w:t>Amortization of intangible assets in Non-utility cost of</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40" w:type="dxa"/>
            <w:vAlign w:val="bottom"/>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440" w:type="dxa"/>
            <w:vAlign w:val="bottom"/>
          </w:tcPr>
          <w:p>
            <w:pPr>
              <w:jc w:val="right"/>
              <w:ind w:right="483"/>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Write-down of natural gas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6"/>
                <w:szCs w:val="16"/>
                <w:color w:val="auto"/>
              </w:rPr>
              <w:t>3</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rPr>
              <w:t>3</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0"/>
                <w:szCs w:val="20"/>
                <w:color w:val="auto"/>
              </w:rPr>
            </w:pPr>
          </w:p>
        </w:tc>
        <w:tc>
          <w:tcPr>
            <w:tcW w:w="1440" w:type="dxa"/>
            <w:vAlign w:val="bottom"/>
          </w:tcPr>
          <w:p>
            <w:pPr>
              <w:jc w:val="right"/>
              <w:ind w:right="483"/>
              <w:spacing w:after="0"/>
              <w:rPr>
                <w:sz w:val="20"/>
                <w:szCs w:val="20"/>
                <w:color w:val="auto"/>
              </w:rPr>
            </w:pPr>
            <w:r>
              <w:rPr>
                <w:rFonts w:ascii="Arial" w:cs="Arial" w:eastAsia="Arial" w:hAnsi="Arial"/>
                <w:sz w:val="16"/>
                <w:szCs w:val="16"/>
                <w:color w:val="auto"/>
              </w:rPr>
              <w:t>1</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Accounts payable related to capital expenditures</w:t>
            </w:r>
          </w:p>
        </w:tc>
        <w:tc>
          <w:tcPr>
            <w:tcW w:w="180" w:type="dxa"/>
            <w:vAlign w:val="bottom"/>
          </w:tcPr>
          <w:p>
            <w:pPr>
              <w:spacing w:after="0"/>
              <w:rPr>
                <w:sz w:val="20"/>
                <w:szCs w:val="20"/>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1440" w:type="dxa"/>
            <w:vAlign w:val="bottom"/>
          </w:tcPr>
          <w:p>
            <w:pPr>
              <w:jc w:val="right"/>
              <w:ind w:right="483"/>
              <w:spacing w:after="0"/>
              <w:rPr>
                <w:sz w:val="20"/>
                <w:szCs w:val="20"/>
                <w:color w:val="auto"/>
              </w:rPr>
            </w:pPr>
            <w:r>
              <w:rPr>
                <w:rFonts w:ascii="Arial" w:cs="Arial" w:eastAsia="Arial" w:hAnsi="Arial"/>
                <w:sz w:val="16"/>
                <w:szCs w:val="16"/>
                <w:color w:val="auto"/>
              </w:rPr>
              <w:t>4</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4</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Sale Related Matters (CenterPoint Energy and CERC). </w:t>
      </w:r>
      <w:r>
        <w:rPr>
          <w:rFonts w:ascii="Arial" w:cs="Arial" w:eastAsia="Arial" w:hAnsi="Arial"/>
          <w:sz w:val="18"/>
          <w:szCs w:val="18"/>
          <w:color w:val="auto"/>
        </w:rPr>
        <w:t>CES provides natural gas supply to CenterPoint Energy’s and CERC’s NGD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executed in a competitive bidding process, with the duration of some contracts extending into 2021. In addition, CERC is the natural gas transportation provider for a portion of CES’s customer base and will continue to be the transportation provider for these customers as long as these customers retain a relationship with the divested CES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and expenses incurred by CenterPoint Energy and CERC for natural gas transportation and supply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w w:val="93"/>
              </w:rPr>
              <w:t>CenterPoint Energy</w:t>
            </w:r>
          </w:p>
        </w:tc>
        <w:tc>
          <w:tcPr>
            <w:tcW w:w="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CERC</w:t>
            </w:r>
          </w:p>
        </w:tc>
        <w:tc>
          <w:tcPr>
            <w:tcW w:w="1080" w:type="dxa"/>
            <w:vAlign w:val="bottom"/>
            <w:tcBorders>
              <w:bottom w:val="single" w:sz="8" w:color="auto"/>
            </w:tcBorders>
          </w:tcPr>
          <w:p>
            <w:pPr>
              <w:spacing w:after="0"/>
              <w:rPr>
                <w:sz w:val="21"/>
                <w:szCs w:val="21"/>
                <w:color w:val="auto"/>
              </w:rPr>
            </w:pPr>
          </w:p>
        </w:tc>
      </w:tr>
      <w:tr>
        <w:trPr>
          <w:trHeight w:val="250"/>
        </w:trPr>
        <w:tc>
          <w:tcPr>
            <w:tcW w:w="5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revenue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Natural gas expense</w:t>
            </w:r>
          </w:p>
        </w:tc>
        <w:tc>
          <w:tcPr>
            <w:tcW w:w="900" w:type="dxa"/>
            <w:vAlign w:val="bottom"/>
          </w:tcPr>
          <w:p>
            <w:pPr>
              <w:spacing w:after="0"/>
              <w:rPr>
                <w:sz w:val="21"/>
                <w:szCs w:val="21"/>
                <w:color w:val="auto"/>
              </w:rPr>
            </w:pP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110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63</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Infrastructure Services Disposal Group provides pipeline construction and repair services to CenterPoint Energy’s and CERC’s NGD. In accordance with consolidation guidance in ASC 980—Regulated Operations, costs incurred by NGD utilities for these pipeline construction and repair services are not eliminated in consolidation when capitalized and included in rate base by the NGD utility. Amounts charged for these services that are not capitalized are included primarily in Operation and maintenance expenses. Fees incurred by CenterPoint Energy’s and CERC’s NGD for pipeline construction and repair services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left="422"/>
              <w:spacing w:after="0"/>
              <w:rPr>
                <w:sz w:val="20"/>
                <w:szCs w:val="20"/>
                <w:color w:val="auto"/>
              </w:rPr>
            </w:pPr>
            <w:r>
              <w:rPr>
                <w:rFonts w:ascii="Arial" w:cs="Arial" w:eastAsia="Arial" w:hAnsi="Arial"/>
                <w:sz w:val="14"/>
                <w:szCs w:val="14"/>
                <w:b w:val="1"/>
                <w:bCs w:val="1"/>
                <w:color w:val="auto"/>
                <w:w w:val="95"/>
              </w:rPr>
              <w:t>Three Months Ended March 31,</w:t>
            </w:r>
          </w:p>
        </w:tc>
        <w:tc>
          <w:tcPr>
            <w:tcW w:w="8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r>
      <w:tr>
        <w:trPr>
          <w:trHeight w:val="250"/>
        </w:trPr>
        <w:tc>
          <w:tcPr>
            <w:tcW w:w="50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4"/>
                <w:szCs w:val="14"/>
                <w:b w:val="1"/>
                <w:bCs w:val="1"/>
                <w:color w:val="auto"/>
                <w:w w:val="93"/>
              </w:rPr>
              <w:t>CenterPoint Energy</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CERC</w:t>
            </w:r>
          </w:p>
        </w:tc>
        <w:tc>
          <w:tcPr>
            <w:tcW w:w="1120" w:type="dxa"/>
            <w:vAlign w:val="bottom"/>
            <w:tcBorders>
              <w:bottom w:val="single" w:sz="8" w:color="auto"/>
            </w:tcBorders>
          </w:tcPr>
          <w:p>
            <w:pPr>
              <w:spacing w:after="0"/>
              <w:rPr>
                <w:sz w:val="21"/>
                <w:szCs w:val="21"/>
                <w:color w:val="auto"/>
              </w:rPr>
            </w:pPr>
          </w:p>
        </w:tc>
      </w:tr>
      <w:tr>
        <w:trPr>
          <w:trHeight w:val="250"/>
        </w:trPr>
        <w:tc>
          <w:tcPr>
            <w:tcW w:w="5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gridSpan w:val="3"/>
          </w:tcPr>
          <w:p>
            <w:pPr>
              <w:jc w:val="center"/>
              <w:ind w:right="579"/>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 construction and repair services capitalized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w:t>
            </w:r>
          </w:p>
        </w:tc>
        <w:tc>
          <w:tcPr>
            <w:tcW w:w="11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5"/>
              </w:rPr>
              <w:t>Pipeline construction and repair service charges in operations and</w:t>
            </w:r>
          </w:p>
        </w:tc>
        <w:tc>
          <w:tcPr>
            <w:tcW w:w="90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19"/>
                <w:szCs w:val="19"/>
                <w:color w:val="auto"/>
              </w:rPr>
            </w:pP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jc w:val="right"/>
              <w:ind w:right="476"/>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maintenance expense</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Represents charges for the period February 1, 2019 through March 31, 2019 only due to the Merger.</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Provision for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The revenues and related balances in the following tables exclude operating revenues and balances from the Energy Services Disposal Group and Infrastructure Services Disposal Group, which are now reflected as discontinued operations and assets held for sale.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6"/>
          </w:tcPr>
          <w:p>
            <w:pPr>
              <w:jc w:val="center"/>
              <w:ind w:left="1067"/>
              <w:spacing w:after="0"/>
              <w:rPr>
                <w:sz w:val="20"/>
                <w:szCs w:val="20"/>
                <w:color w:val="auto"/>
              </w:rPr>
            </w:pPr>
            <w:r>
              <w:rPr>
                <w:rFonts w:ascii="Arial" w:cs="Arial" w:eastAsia="Arial" w:hAnsi="Arial"/>
                <w:sz w:val="14"/>
                <w:szCs w:val="14"/>
                <w:b w:val="1"/>
                <w:bCs w:val="1"/>
                <w:color w:val="auto"/>
                <w:w w:val="95"/>
              </w:rPr>
              <w:t>Three Months Ended March 31, 2020</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3"/>
        </w:trPr>
        <w:tc>
          <w:tcPr>
            <w:tcW w:w="2380" w:type="dxa"/>
            <w:vAlign w:val="bottom"/>
          </w:tcPr>
          <w:p>
            <w:pPr>
              <w:spacing w:after="0"/>
              <w:rPr>
                <w:sz w:val="12"/>
                <w:szCs w:val="12"/>
                <w:color w:val="auto"/>
              </w:rPr>
            </w:pPr>
          </w:p>
        </w:tc>
        <w:tc>
          <w:tcPr>
            <w:tcW w:w="1340" w:type="dxa"/>
            <w:vAlign w:val="bottom"/>
          </w:tcPr>
          <w:p>
            <w:pPr>
              <w:jc w:val="center"/>
              <w:ind w:left="308"/>
              <w:spacing w:after="0" w:line="144" w:lineRule="exact"/>
              <w:rPr>
                <w:sz w:val="20"/>
                <w:szCs w:val="20"/>
                <w:color w:val="auto"/>
              </w:rPr>
            </w:pPr>
            <w:r>
              <w:rPr>
                <w:rFonts w:ascii="Arial" w:cs="Arial" w:eastAsia="Arial" w:hAnsi="Arial"/>
                <w:sz w:val="13"/>
                <w:szCs w:val="13"/>
                <w:b w:val="1"/>
                <w:bCs w:val="1"/>
                <w:color w:val="auto"/>
                <w:w w:val="89"/>
              </w:rPr>
              <w:t>Houston Electric</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Indiana</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90"/>
              </w:rPr>
              <w:t>Corporate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1340" w:type="dxa"/>
            <w:vAlign w:val="bottom"/>
            <w:tcBorders>
              <w:bottom w:val="single" w:sz="8" w:color="auto"/>
            </w:tcBorders>
          </w:tcPr>
          <w:p>
            <w:pPr>
              <w:jc w:val="center"/>
              <w:ind w:left="348"/>
              <w:spacing w:after="0"/>
              <w:rPr>
                <w:sz w:val="20"/>
                <w:szCs w:val="20"/>
                <w:color w:val="auto"/>
              </w:rPr>
            </w:pPr>
            <w:r>
              <w:rPr>
                <w:rFonts w:ascii="Arial" w:cs="Arial" w:eastAsia="Arial" w:hAnsi="Arial"/>
                <w:sz w:val="13"/>
                <w:szCs w:val="13"/>
                <w:b w:val="1"/>
                <w:bCs w:val="1"/>
                <w:color w:val="auto"/>
              </w:rPr>
              <w:t>T&amp;D</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Electric Integrated</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Natural Gas Distribution</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w w:val="91"/>
              </w:rPr>
              <w:t>and Other</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Total</w:t>
            </w:r>
          </w:p>
        </w:tc>
      </w:tr>
      <w:tr>
        <w:trPr>
          <w:trHeight w:val="250"/>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contracts</w:t>
            </w:r>
          </w:p>
        </w:tc>
        <w:tc>
          <w:tcPr>
            <w:tcW w:w="1340" w:type="dxa"/>
            <w:vAlign w:val="bottom"/>
            <w:tcBorders>
              <w:bottom w:val="single" w:sz="8" w:color="CCEEFF"/>
            </w:tcBorders>
            <w:shd w:val="clear" w:color="auto" w:fill="CCEEFF"/>
          </w:tcPr>
          <w:p>
            <w:pPr>
              <w:jc w:val="right"/>
              <w:ind w:right="114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2,141</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4"/>
                <w:szCs w:val="14"/>
                <w:color w:val="auto"/>
              </w:rPr>
              <w:t>(1)</w:t>
            </w:r>
          </w:p>
        </w:tc>
        <w:tc>
          <w:tcPr>
            <w:tcW w:w="134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26</w:t>
            </w:r>
          </w:p>
        </w:tc>
      </w:tr>
      <w:tr>
        <w:trPr>
          <w:trHeight w:val="33"/>
        </w:trPr>
        <w:tc>
          <w:tcPr>
            <w:tcW w:w="23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34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2,167</w:t>
            </w:r>
          </w:p>
        </w:tc>
      </w:tr>
      <w:tr>
        <w:trPr>
          <w:trHeight w:val="20"/>
        </w:trPr>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02"/>
        </w:trPr>
        <w:tc>
          <w:tcPr>
            <w:tcW w:w="23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6"/>
          </w:tcPr>
          <w:p>
            <w:pPr>
              <w:jc w:val="center"/>
              <w:ind w:left="1067"/>
              <w:spacing w:after="0"/>
              <w:rPr>
                <w:sz w:val="20"/>
                <w:szCs w:val="20"/>
                <w:color w:val="auto"/>
              </w:rPr>
            </w:pPr>
            <w:r>
              <w:rPr>
                <w:rFonts w:ascii="Arial" w:cs="Arial" w:eastAsia="Arial" w:hAnsi="Arial"/>
                <w:sz w:val="14"/>
                <w:szCs w:val="14"/>
                <w:b w:val="1"/>
                <w:bCs w:val="1"/>
                <w:color w:val="auto"/>
                <w:w w:val="95"/>
              </w:rPr>
              <w:t>Three Months Ended March 31, 2019</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3"/>
        </w:trPr>
        <w:tc>
          <w:tcPr>
            <w:tcW w:w="2380" w:type="dxa"/>
            <w:vAlign w:val="bottom"/>
          </w:tcPr>
          <w:p>
            <w:pPr>
              <w:spacing w:after="0"/>
              <w:rPr>
                <w:sz w:val="12"/>
                <w:szCs w:val="12"/>
                <w:color w:val="auto"/>
              </w:rPr>
            </w:pPr>
          </w:p>
        </w:tc>
        <w:tc>
          <w:tcPr>
            <w:tcW w:w="1340" w:type="dxa"/>
            <w:vAlign w:val="bottom"/>
          </w:tcPr>
          <w:p>
            <w:pPr>
              <w:jc w:val="center"/>
              <w:ind w:left="308"/>
              <w:spacing w:after="0" w:line="144" w:lineRule="exact"/>
              <w:rPr>
                <w:sz w:val="20"/>
                <w:szCs w:val="20"/>
                <w:color w:val="auto"/>
              </w:rPr>
            </w:pPr>
            <w:r>
              <w:rPr>
                <w:rFonts w:ascii="Arial" w:cs="Arial" w:eastAsia="Arial" w:hAnsi="Arial"/>
                <w:sz w:val="13"/>
                <w:szCs w:val="13"/>
                <w:b w:val="1"/>
                <w:bCs w:val="1"/>
                <w:color w:val="auto"/>
                <w:w w:val="89"/>
              </w:rPr>
              <w:t>Houston Electric</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2"/>
              </w:rPr>
              <w:t>Indiana</w:t>
            </w: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440"/>
              <w:spacing w:after="0" w:line="144" w:lineRule="exact"/>
              <w:rPr>
                <w:sz w:val="20"/>
                <w:szCs w:val="20"/>
                <w:color w:val="auto"/>
              </w:rPr>
            </w:pPr>
            <w:r>
              <w:rPr>
                <w:rFonts w:ascii="Arial" w:cs="Arial" w:eastAsia="Arial" w:hAnsi="Arial"/>
                <w:sz w:val="13"/>
                <w:szCs w:val="13"/>
                <w:b w:val="1"/>
                <w:bCs w:val="1"/>
                <w:color w:val="auto"/>
                <w:w w:val="90"/>
              </w:rPr>
              <w:t>Corporate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1340" w:type="dxa"/>
            <w:vAlign w:val="bottom"/>
            <w:tcBorders>
              <w:bottom w:val="single" w:sz="8" w:color="auto"/>
            </w:tcBorders>
          </w:tcPr>
          <w:p>
            <w:pPr>
              <w:jc w:val="center"/>
              <w:ind w:left="348"/>
              <w:spacing w:after="0"/>
              <w:rPr>
                <w:sz w:val="20"/>
                <w:szCs w:val="20"/>
                <w:color w:val="auto"/>
              </w:rPr>
            </w:pPr>
            <w:r>
              <w:rPr>
                <w:rFonts w:ascii="Arial" w:cs="Arial" w:eastAsia="Arial" w:hAnsi="Arial"/>
                <w:sz w:val="13"/>
                <w:szCs w:val="13"/>
                <w:b w:val="1"/>
                <w:bCs w:val="1"/>
                <w:color w:val="auto"/>
              </w:rPr>
              <w:t>T&amp;D</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Electric Integrated (2)</w:t>
            </w: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Natural Gas Distribution (2)</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1"/>
              </w:rPr>
              <w:t>and Other (2)</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Total</w:t>
            </w:r>
          </w:p>
        </w:tc>
      </w:tr>
      <w:tr>
        <w:trPr>
          <w:trHeight w:val="250"/>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contracts</w:t>
            </w:r>
          </w:p>
        </w:tc>
        <w:tc>
          <w:tcPr>
            <w:tcW w:w="1340" w:type="dxa"/>
            <w:vAlign w:val="bottom"/>
            <w:tcBorders>
              <w:bottom w:val="single" w:sz="8" w:color="CCEEFF"/>
            </w:tcBorders>
            <w:shd w:val="clear" w:color="auto" w:fill="CCEEFF"/>
          </w:tcPr>
          <w:p>
            <w:pPr>
              <w:jc w:val="right"/>
              <w:ind w:right="114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2,227</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4"/>
                <w:szCs w:val="14"/>
                <w:color w:val="auto"/>
              </w:rPr>
              <w:t>(1)</w:t>
            </w:r>
          </w:p>
        </w:tc>
        <w:tc>
          <w:tcPr>
            <w:tcW w:w="13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2</w:t>
            </w:r>
          </w:p>
        </w:tc>
      </w:tr>
      <w:tr>
        <w:trPr>
          <w:trHeight w:val="33"/>
        </w:trPr>
        <w:tc>
          <w:tcPr>
            <w:tcW w:w="23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34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2,229</w:t>
            </w:r>
          </w:p>
        </w:tc>
      </w:tr>
      <w:tr>
        <w:trPr>
          <w:trHeight w:val="20"/>
        </w:trPr>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Total lease income was $1 million and $2 million for the three months ended March 31, 2020 and 2019, respectively.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Reflects revenues from Vectren subsidiaries for the period from February 1, 2019 to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3"/>
        </w:trPr>
        <w:tc>
          <w:tcPr>
            <w:tcW w:w="7320" w:type="dxa"/>
            <w:vAlign w:val="bottom"/>
          </w:tcPr>
          <w:p>
            <w:pPr>
              <w:spacing w:after="0"/>
              <w:rPr>
                <w:sz w:val="22"/>
                <w:szCs w:val="22"/>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250"/>
        </w:trPr>
        <w:tc>
          <w:tcPr>
            <w:tcW w:w="7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0" w:type="dxa"/>
            <w:vAlign w:val="bottom"/>
            <w:gridSpan w:val="3"/>
          </w:tcPr>
          <w:p>
            <w:pPr>
              <w:jc w:val="right"/>
              <w:ind w:right="89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w:t>
            </w:r>
          </w:p>
        </w:tc>
        <w:tc>
          <w:tcPr>
            <w:tcW w:w="132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0"/>
        </w:trPr>
        <w:tc>
          <w:tcPr>
            <w:tcW w:w="7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Lease income was not significant for the three months ended March 31,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2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43"/>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Natural Gas</w:t>
            </w:r>
          </w:p>
        </w:tc>
        <w:tc>
          <w:tcPr>
            <w:tcW w:w="1020" w:type="dxa"/>
            <w:vAlign w:val="bottom"/>
          </w:tcPr>
          <w:p>
            <w:pPr>
              <w:jc w:val="center"/>
              <w:ind w:left="228"/>
              <w:spacing w:after="0" w:line="144" w:lineRule="exact"/>
              <w:rPr>
                <w:sz w:val="20"/>
                <w:szCs w:val="20"/>
                <w:color w:val="auto"/>
              </w:rPr>
            </w:pPr>
            <w:r>
              <w:rPr>
                <w:rFonts w:ascii="Arial" w:cs="Arial" w:eastAsia="Arial" w:hAnsi="Arial"/>
                <w:sz w:val="13"/>
                <w:szCs w:val="13"/>
                <w:b w:val="1"/>
                <w:bCs w:val="1"/>
                <w:color w:val="auto"/>
                <w:w w:val="90"/>
              </w:rPr>
              <w:t>Corporate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Natural Gas</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0"/>
              </w:rPr>
              <w:t>Corporate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4"/>
        </w:trPr>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Distribution</w:t>
            </w:r>
          </w:p>
        </w:tc>
        <w:tc>
          <w:tcPr>
            <w:tcW w:w="1020" w:type="dxa"/>
            <w:vAlign w:val="bottom"/>
            <w:tcBorders>
              <w:bottom w:val="single" w:sz="8" w:color="auto"/>
            </w:tcBorders>
          </w:tcPr>
          <w:p>
            <w:pPr>
              <w:jc w:val="center"/>
              <w:ind w:left="268"/>
              <w:spacing w:after="0"/>
              <w:rPr>
                <w:sz w:val="20"/>
                <w:szCs w:val="20"/>
                <w:color w:val="auto"/>
              </w:rPr>
            </w:pPr>
            <w:r>
              <w:rPr>
                <w:rFonts w:ascii="Arial" w:cs="Arial" w:eastAsia="Arial" w:hAnsi="Arial"/>
                <w:sz w:val="13"/>
                <w:szCs w:val="13"/>
                <w:b w:val="1"/>
                <w:bCs w:val="1"/>
                <w:color w:val="auto"/>
                <w:w w:val="91"/>
              </w:rPr>
              <w:t>and Other</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Distribution</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1"/>
              </w:rPr>
              <w:t>and Other</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Total</w:t>
            </w:r>
          </w:p>
        </w:tc>
      </w:tr>
      <w:tr>
        <w:trPr>
          <w:trHeight w:val="250"/>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contracts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1,206</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20" w:type="dxa"/>
            <w:vAlign w:val="bottom"/>
          </w:tcPr>
          <w:p>
            <w:pPr>
              <w:spacing w:after="0"/>
              <w:rPr>
                <w:sz w:val="20"/>
                <w:szCs w:val="20"/>
                <w:color w:val="auto"/>
              </w:rPr>
            </w:pPr>
          </w:p>
        </w:tc>
        <w:tc>
          <w:tcPr>
            <w:tcW w:w="1160" w:type="dxa"/>
            <w:vAlign w:val="bottom"/>
          </w:tcPr>
          <w:p>
            <w:pPr>
              <w:jc w:val="right"/>
              <w:ind w:right="66"/>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6</w:t>
            </w:r>
          </w:p>
        </w:tc>
      </w:tr>
      <w:tr>
        <w:trPr>
          <w:trHeight w:val="33"/>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1,212</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Lease income was not significant for the three months ended March 31, 2020 and 2019.</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Houston Electric T&amp;D (CenterPoint Energy and Houston Electric). </w:t>
      </w:r>
      <w:r>
        <w:rPr>
          <w:rFonts w:ascii="Arial" w:cs="Arial" w:eastAsia="Arial" w:hAnsi="Arial"/>
          <w:sz w:val="17"/>
          <w:szCs w:val="17"/>
          <w:color w:val="auto"/>
        </w:rPr>
        <w:t>Houston Electric distributes electricity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electricity when delivered. Revenue, consisting of both volumetric and fixed tariff rates set by the PUCT, is recognized as electricity is delivered and represents amounts both billed and unbilled. Discretionary services requested by customers are provided at a point in time with control transferring upon the completion of the service. Revenue for discretionary services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PUCT. Payments are received on a monthly basis.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Indiana Electric Integrated (CenterPoint Energy). </w:t>
      </w:r>
      <w:r>
        <w:rPr>
          <w:rFonts w:ascii="Arial" w:cs="Arial" w:eastAsia="Arial" w:hAnsi="Arial"/>
          <w:sz w:val="18"/>
          <w:szCs w:val="18"/>
          <w:color w:val="auto"/>
        </w:rPr>
        <w:t>Indiana Electric generates, distributes and transmits electricity to customers over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consume the electricity when delivered. Revenue, consisting of both volumetric and fixed tariff rates set by state regulators, is recognized as electricity is delivered and represents amounts both billed and unbilled. Customers are billed monthly and payment terms, set by the regulator, require payment within a month of billing.</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Natural Gas Distribution (CenterPoint Energy and CERC). </w:t>
      </w:r>
      <w:r>
        <w:rPr>
          <w:rFonts w:ascii="Arial" w:cs="Arial" w:eastAsia="Arial" w:hAnsi="Arial"/>
          <w:sz w:val="18"/>
          <w:szCs w:val="18"/>
          <w:color w:val="auto"/>
        </w:rPr>
        <w:t>CERC distributes and transports natural gas to customers over time, and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 the natural gas when delivered. Revenue, consisting of both volumetric and fixed tariff rates set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1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221F1F"/>
        </w:rPr>
        <w:t xml:space="preserve">Contract Balances. </w:t>
      </w:r>
      <w:r>
        <w:rPr>
          <w:rFonts w:ascii="Arial" w:cs="Arial" w:eastAsia="Arial" w:hAnsi="Arial"/>
          <w:sz w:val="16"/>
          <w:szCs w:val="16"/>
          <w:color w:val="221F1F"/>
        </w:rPr>
        <w:t>When the timing of delivery of service is different from the timing of the payments made by customers and when the right to</w:t>
      </w:r>
      <w:r>
        <w:rPr>
          <w:rFonts w:ascii="Arial" w:cs="Arial" w:eastAsia="Arial" w:hAnsi="Arial"/>
          <w:sz w:val="16"/>
          <w:szCs w:val="16"/>
          <w:b w:val="1"/>
          <w:bCs w:val="1"/>
          <w:i w:val="1"/>
          <w:iCs w:val="1"/>
          <w:color w:val="221F1F"/>
        </w:rPr>
        <w:t xml:space="preserve"> </w:t>
      </w:r>
      <w:r>
        <w:rPr>
          <w:rFonts w:ascii="Arial" w:cs="Arial" w:eastAsia="Arial" w:hAnsi="Arial"/>
          <w:sz w:val="16"/>
          <w:szCs w:val="16"/>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March 31, 2020, the CenterPoint Energy’s contract assets primarily relate to ESG contracts where revenue is recognized using the input method. The Registrants’ contract liabilities are included in Accounts payable and Other current liabilities in their Condensed Consolidated Balance Sheets. As of March 31, 2020, CenterPoint Energy’s contract liabilities primarily relate to ESG contracts where revenue is recognized using the input method.</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21F1F"/>
        </w:rPr>
        <w:t>The opening and closing balances of accounts receivable, other accrued unbilled revenue, contract assets and contract liabilities from contracts with customers from continuing operations for the three months ended March 31, 2020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3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4"/>
                <w:szCs w:val="14"/>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5"/>
              </w:rPr>
              <w:t>Contract Liabilities</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Unbilled Revenues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2019</w:t>
            </w: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Closing balance as of March 31, 2020</w:t>
            </w:r>
          </w:p>
        </w:tc>
        <w:tc>
          <w:tcPr>
            <w:tcW w:w="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(decrease)</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three-month period ended March 31, 2020 that was included in the opening contract liability was $25 million. The difference between the opening and closing balances of the contract liabilities primarily results from the timing difference between CenterPoint Energy’s performance and the customer’s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Other Accrued</w:t>
            </w:r>
          </w:p>
        </w:tc>
        <w:tc>
          <w:tcPr>
            <w:tcW w:w="120" w:type="dxa"/>
            <w:vAlign w:val="bottom"/>
          </w:tcPr>
          <w:p>
            <w:pPr>
              <w:spacing w:after="0"/>
              <w:rPr>
                <w:sz w:val="14"/>
                <w:szCs w:val="14"/>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5"/>
              </w:rPr>
              <w:t>Contract Liabilities</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Unbilled Revenues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2019</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Closing balance as of March 31, 2020</w:t>
            </w:r>
          </w:p>
        </w:tc>
        <w:tc>
          <w:tcPr>
            <w:tcW w:w="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three-month period ended March 31, 2020 that was included in the opening contract liability was $1 million. The difference between the opening and closing balances of the contract liabilities primarily results from the timing difference between Houston Electric’s performance and the customer’s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Accounts Receivable</w:t>
            </w:r>
          </w:p>
        </w:tc>
        <w:tc>
          <w:tcPr>
            <w:tcW w:w="180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Other Accrued Unbilled</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Closing balance as of March 31, 2020</w:t>
            </w:r>
          </w:p>
        </w:tc>
        <w:tc>
          <w:tcPr>
            <w:tcW w:w="20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221F1F"/>
        </w:rPr>
        <w:t>CERC does not have any opening or closing contract asset or contract liability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1F1F"/>
        </w:rPr>
        <w:t>period for contracts and (2) when CenterPoint Energy expects to recognize this revenue. Such contracts include energy performance and sustainable infrastructure services contracts of ESG, which are included in Corporate and Other.</w:t>
      </w:r>
    </w:p>
    <w:p>
      <w:pPr>
        <w:spacing w:after="0" w:line="175" w:lineRule="exact"/>
        <w:rPr>
          <w:sz w:val="20"/>
          <w:szCs w:val="20"/>
          <w:color w:val="auto"/>
        </w:rPr>
      </w:pPr>
    </w:p>
    <w:p>
      <w:pPr>
        <w:ind w:left="7380"/>
        <w:spacing w:after="0"/>
        <w:tabs>
          <w:tab w:leader="none" w:pos="8940" w:val="left"/>
          <w:tab w:leader="none" w:pos="10440" w:val="left"/>
        </w:tabs>
        <w:rPr>
          <w:sz w:val="20"/>
          <w:szCs w:val="20"/>
          <w:color w:val="auto"/>
        </w:rPr>
      </w:pPr>
      <w:r>
        <w:rPr>
          <w:rFonts w:ascii="Arial" w:cs="Arial" w:eastAsia="Arial" w:hAnsi="Arial"/>
          <w:sz w:val="14"/>
          <w:szCs w:val="14"/>
          <w:b w:val="1"/>
          <w:bCs w:val="1"/>
          <w:color w:val="auto"/>
        </w:rPr>
        <w:t>Rolling 12 Months</w:t>
      </w:r>
      <w:r>
        <w:rPr>
          <w:sz w:val="20"/>
          <w:szCs w:val="20"/>
          <w:color w:val="auto"/>
        </w:rPr>
        <w:tab/>
      </w:r>
      <w:r>
        <w:rPr>
          <w:rFonts w:ascii="Arial" w:cs="Arial" w:eastAsia="Arial" w:hAnsi="Arial"/>
          <w:sz w:val="14"/>
          <w:szCs w:val="14"/>
          <w:b w:val="1"/>
          <w:bCs w:val="1"/>
          <w:color w:val="auto"/>
        </w:rPr>
        <w:t>Thereafter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9"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Revenue expected to be recognized on contracts in place as of March 31, 2020:</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r>
      <w:tr>
        <w:trPr>
          <w:trHeight w:val="237"/>
        </w:trPr>
        <w:tc>
          <w:tcPr>
            <w:tcW w:w="73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w:t>
            </w:r>
          </w:p>
        </w:tc>
      </w:tr>
      <w:tr>
        <w:trPr>
          <w:trHeight w:val="27"/>
        </w:trPr>
        <w:tc>
          <w:tcPr>
            <w:tcW w:w="7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contracts for which revenue from the satisfaction of the performance obligations is recognized in the amount invoiced, the practical expedient was elected and revenue expected to be recognized on these contracts has not been disclosed.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Provision of Doubtful Accounts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21F1F"/>
        </w:rPr>
        <w:t>The Registrants adopted ASU 2016-13, Financial Instruments—Credit Losses (Topic 326): Measurement of Credit Losses on Financial Instruments and all related amendments on January 1, 2020 using a modified retrospective method. ASU 2016-13 replaces the “incurred loss” model with a CECL model for financial assets measured at amortized cost and for certain off-balance sheet credit exposures. Adoption of this standard did not have a material impact on the Registrants’ respective consolidated financial statements. CenterPoint Energy and CERC applied the $5 million cumulative-effect adjustment of the transition to opening retained earnings as of the effective date, which included $2 million related to the Energy Services Disposal Group. There was no material cumulative-effect adjustment for Houston Electric. The disclosures for periods prior to adoption will be presented in accordance with accounting standards in effect for those periods.</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263"/>
        </w:trPr>
        <w:tc>
          <w:tcPr>
            <w:tcW w:w="8220" w:type="dxa"/>
            <w:vAlign w:val="bottom"/>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r>
      <w:tr>
        <w:trPr>
          <w:trHeight w:val="250"/>
        </w:trPr>
        <w:tc>
          <w:tcPr>
            <w:tcW w:w="8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(1)</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cost (2)</w:t>
            </w:r>
          </w:p>
        </w:tc>
        <w:tc>
          <w:tcPr>
            <w:tcW w:w="98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 (2)</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Amortization of prior service cost (2)</w:t>
            </w:r>
          </w:p>
        </w:tc>
        <w:tc>
          <w:tcPr>
            <w:tcW w:w="9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 (2)</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Curtailment gain (2) (3)</w:t>
            </w:r>
          </w:p>
        </w:tc>
        <w:tc>
          <w:tcPr>
            <w:tcW w:w="9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cost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each of the Registrants’ respective Condensed Statements of Consolidated Income, net of amounts capitalized and regulatory deferrals.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(expense), net in each of the Registrants’ respective Condensed Statements of Consolidated Income, net of regulatory deferrals.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curtailment gain or loss is required when the expected future services of a significant number of employees are reduced or eliminated for the accrual of benefits. In February 2019, CenterPoint Energy recognized a pension curtailment gain of $1 million related to Vectren employees whose employment was terminated after the Merger 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 March 31,</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120" w:type="dxa"/>
            <w:vAlign w:val="bottom"/>
          </w:tcPr>
          <w:p>
            <w:pPr>
              <w:spacing w:after="0"/>
              <w:rPr>
                <w:sz w:val="13"/>
                <w:szCs w:val="13"/>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 (1)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Interest cost (2)</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 (2)</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prior service cost (credit) (2)</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periodic cost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CenterPoint Energy</w:t>
            </w: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93"/>
              </w:rPr>
              <w:t>Houston Electric</w:t>
            </w: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CERC</w:t>
            </w: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center"/>
              <w:ind w:right="499"/>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tcPr>
          <w:p>
            <w:pPr>
              <w:spacing w:after="0"/>
              <w:rPr>
                <w:sz w:val="21"/>
                <w:szCs w:val="2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minimum contribution to pension plans during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contribution to postretirement benefit plans in 2020</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1720" w:type="dxa"/>
            <w:vAlign w:val="bottom"/>
          </w:tcPr>
          <w:p>
            <w:pPr>
              <w:ind w:left="1000"/>
              <w:spacing w:after="0"/>
              <w:rPr>
                <w:sz w:val="20"/>
                <w:szCs w:val="20"/>
                <w:color w:val="auto"/>
              </w:rPr>
            </w:pPr>
            <w:r>
              <w:rPr>
                <w:rFonts w:ascii="Arial" w:cs="Arial" w:eastAsia="Arial" w:hAnsi="Arial"/>
                <w:sz w:val="18"/>
                <w:szCs w:val="18"/>
                <w:color w:val="auto"/>
              </w:rPr>
              <w:t>10</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w:t>
            </w: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 during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 March 31, 2020</w:t>
            </w: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3"/>
              </w:rPr>
              <w:t>CenterPoint</w:t>
            </w:r>
          </w:p>
        </w:tc>
        <w:tc>
          <w:tcPr>
            <w:tcW w:w="240" w:type="dxa"/>
            <w:vAlign w:val="bottom"/>
          </w:tcPr>
          <w:p>
            <w:pPr>
              <w:spacing w:after="0"/>
              <w:rPr>
                <w:sz w:val="13"/>
                <w:szCs w:val="13"/>
                <w:color w:val="auto"/>
              </w:rPr>
            </w:pPr>
          </w:p>
        </w:tc>
        <w:tc>
          <w:tcPr>
            <w:tcW w:w="1700" w:type="dxa"/>
            <w:vAlign w:val="bottom"/>
            <w:gridSpan w:val="2"/>
            <w:vMerge w:val="restart"/>
          </w:tcPr>
          <w:p>
            <w:pPr>
              <w:jc w:val="center"/>
              <w:ind w:right="196"/>
              <w:spacing w:after="0"/>
              <w:rPr>
                <w:sz w:val="20"/>
                <w:szCs w:val="20"/>
                <w:color w:val="auto"/>
              </w:rPr>
            </w:pPr>
            <w:r>
              <w:rPr>
                <w:rFonts w:ascii="Arial" w:cs="Arial" w:eastAsia="Arial" w:hAnsi="Arial"/>
                <w:sz w:val="14"/>
                <w:szCs w:val="14"/>
                <w:b w:val="1"/>
                <w:bCs w:val="1"/>
                <w:color w:val="auto"/>
                <w:w w:val="91"/>
              </w:rPr>
              <w:t>Houston Electric</w:t>
            </w:r>
          </w:p>
        </w:tc>
        <w:tc>
          <w:tcPr>
            <w:tcW w:w="9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Energy</w:t>
            </w: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596"/>
              <w:spacing w:after="0"/>
              <w:rPr>
                <w:sz w:val="20"/>
                <w:szCs w:val="20"/>
                <w:color w:val="auto"/>
              </w:rPr>
            </w:pPr>
            <w:r>
              <w:rPr>
                <w:rFonts w:ascii="Arial" w:cs="Arial" w:eastAsia="Arial" w:hAnsi="Arial"/>
                <w:sz w:val="14"/>
                <w:szCs w:val="14"/>
                <w:b w:val="1"/>
                <w:bCs w:val="1"/>
                <w:color w:val="auto"/>
                <w:w w:val="96"/>
              </w:rPr>
              <w:t>(in millions)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plans</w:t>
            </w:r>
          </w:p>
        </w:tc>
        <w:tc>
          <w:tcPr>
            <w:tcW w:w="114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Postretirement benefit plans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21"/>
                <w:szCs w:val="21"/>
                <w:color w:val="auto"/>
              </w:rPr>
            </w:pPr>
          </w:p>
        </w:tc>
        <w:tc>
          <w:tcPr>
            <w:tcW w:w="1460" w:type="dxa"/>
            <w:vAlign w:val="bottom"/>
          </w:tcPr>
          <w:p>
            <w:pPr>
              <w:jc w:val="right"/>
              <w:ind w:right="396"/>
              <w:spacing w:after="0"/>
              <w:rPr>
                <w:sz w:val="20"/>
                <w:szCs w:val="20"/>
                <w:color w:val="auto"/>
              </w:rPr>
            </w:pPr>
            <w:r>
              <w:rPr>
                <w:rFonts w:ascii="Arial" w:cs="Arial" w:eastAsia="Arial" w:hAnsi="Arial"/>
                <w:sz w:val="18"/>
                <w:szCs w:val="18"/>
                <w:color w:val="auto"/>
              </w:rPr>
              <w:t>2</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COVID-19 Impacts. </w:t>
      </w:r>
      <w:r>
        <w:rPr>
          <w:rFonts w:ascii="Arial" w:cs="Arial" w:eastAsia="Arial" w:hAnsi="Arial"/>
          <w:sz w:val="16"/>
          <w:szCs w:val="16"/>
          <w:color w:val="auto"/>
        </w:rPr>
        <w:t>The Registrants remeasure the funded status of each plan as of December 31 each year, and at an interim period when a</w:t>
      </w:r>
      <w:r>
        <w:rPr>
          <w:rFonts w:ascii="Arial" w:cs="Arial" w:eastAsia="Arial" w:hAnsi="Arial"/>
          <w:sz w:val="16"/>
          <w:szCs w:val="16"/>
          <w:i w:val="1"/>
          <w:iCs w:val="1"/>
          <w:color w:val="auto"/>
        </w:rPr>
        <w:t xml:space="preserve"> </w:t>
      </w:r>
      <w:r>
        <w:rPr>
          <w:rFonts w:ascii="Arial" w:cs="Arial" w:eastAsia="Arial" w:hAnsi="Arial"/>
          <w:sz w:val="16"/>
          <w:szCs w:val="16"/>
          <w:color w:val="auto"/>
        </w:rPr>
        <w:t>curtailment, settlement, or material plan amendment occurs. On the measurement date, actuarial gains or losses are recognized in accumulated other comprehensive income, or when cost is recovered through regulated rates, as a regulatory asset or liability. During the three months ended March 31, 2020, the pension plan assets declined by approximately $171 million or 10% from December 31, 2019. The fair value of pension plan assets on the plan remeasurement date impacts the funded status, net period cost, and the required cash contributions; however, changes to pension plan assets do not impact the Condensed Statements of Consolidated Income or Condensed Consolidated Balance Sheets in interim periods when a plan remeasurement is not required. An interim remeasurement of the plans was not required, and therefore did not occur, during the three months ended March 31,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Return (CenterPoint Energy and Houston Electric)</w:t>
      </w:r>
    </w:p>
    <w:p>
      <w:pPr>
        <w:spacing w:after="0" w:line="225" w:lineRule="exact"/>
        <w:rPr>
          <w:sz w:val="20"/>
          <w:szCs w:val="20"/>
          <w:color w:val="auto"/>
        </w:rPr>
      </w:pPr>
    </w:p>
    <w:p>
      <w:pPr>
        <w:jc w:val="both"/>
        <w:ind w:left="60" w:firstLine="324"/>
        <w:spacing w:after="0" w:line="263" w:lineRule="auto"/>
        <w:rPr>
          <w:sz w:val="20"/>
          <w:szCs w:val="20"/>
          <w:color w:val="auto"/>
        </w:rPr>
      </w:pPr>
      <w:r>
        <w:rPr>
          <w:rFonts w:ascii="Arial" w:cs="Arial" w:eastAsia="Arial" w:hAnsi="Arial"/>
          <w:sz w:val="18"/>
          <w:szCs w:val="18"/>
          <w:color w:val="auto"/>
        </w:rPr>
        <w:t>As of March 31, 2020, CenterPoint Energy and Houston Electric have not recognized an allowed equity return of $162 million because such return will be recognized as it is recovered in future rates. The timing of CenterPoint Energy’s and Houston Electric’s recognition of the equity return will vary each period based on amounts actually collected during that period. The unrecognized</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equity return will be recognized as it is recovered in rates through 2024. The actual amounts recognized are adjusted at least annually to correct any over-collections or under-collections during the preceding 12 months.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left="184"/>
              <w:spacing w:after="0"/>
              <w:rPr>
                <w:sz w:val="20"/>
                <w:szCs w:val="20"/>
                <w:color w:val="auto"/>
              </w:rPr>
            </w:pPr>
            <w:r>
              <w:rPr>
                <w:rFonts w:ascii="Arial" w:cs="Arial" w:eastAsia="Arial" w:hAnsi="Arial"/>
                <w:sz w:val="14"/>
                <w:szCs w:val="14"/>
                <w:b w:val="1"/>
                <w:bCs w:val="1"/>
                <w:color w:val="auto"/>
                <w:w w:val="94"/>
              </w:rPr>
              <w:t>Three Months Ended March 31,</w:t>
            </w: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1280" w:type="dxa"/>
            <w:vAlign w:val="bottom"/>
            <w:tcBorders>
              <w:bottom w:val="single" w:sz="8" w:color="auto"/>
            </w:tcBorders>
          </w:tcPr>
          <w:p>
            <w:pPr>
              <w:spacing w:after="0"/>
              <w:rPr>
                <w:sz w:val="22"/>
                <w:szCs w:val="22"/>
                <w:color w:val="auto"/>
              </w:rPr>
            </w:pPr>
          </w:p>
        </w:tc>
      </w:tr>
      <w:tr>
        <w:trPr>
          <w:trHeight w:val="263"/>
        </w:trPr>
        <w:tc>
          <w:tcPr>
            <w:tcW w:w="508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Houston Electric</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Houston Electric</w:t>
            </w:r>
          </w:p>
        </w:tc>
      </w:tr>
      <w:tr>
        <w:trPr>
          <w:trHeight w:val="250"/>
        </w:trPr>
        <w:tc>
          <w:tcPr>
            <w:tcW w:w="5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gridSpan w:val="3"/>
          </w:tcPr>
          <w:p>
            <w:pPr>
              <w:jc w:val="center"/>
              <w:ind w:left="204"/>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Allowed equity return recognized</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w:t>
            </w:r>
          </w:p>
        </w:tc>
      </w:tr>
      <w:tr>
        <w:trPr>
          <w:trHeight w:val="27"/>
        </w:trPr>
        <w:tc>
          <w:tcPr>
            <w:tcW w:w="50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Houston Electric Base Rate Case (CenterPoint Energy and Houston Electric)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5, 2019, and subsequently adjusted in errata filings in May and June 2019, Houston Electric filed its base rate application with the PUCT and the cities in its service area to change its rates, seeking approval for revenue increases of approximately $194 million, among other requests. On January 23, 2020, Houston Electric filed a Stipulation and Settlement Agreement with the PUCT that provided for the following, among other things:</w:t>
      </w:r>
    </w:p>
    <w:p>
      <w:pPr>
        <w:spacing w:after="0" w:line="1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overall revenue requirement increase of approximately $13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ROE of 9.4%;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capital structure of 57.5% debt/42.5%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refund of unprotected EDIT of $105 million plus carrying costs over approximately 30-36 months;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recovery of all retail transmission related costs through the TCRF.</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Also, Houston Electric is not required to make a one-time refund of capital recovery from its TCOS and DCRF mechanisms. Future TCOS filings will take into account both ADFIT and EDIT until the final order from Houston Electric’s next base rate proceeding. No rate base items are required to be written off; however, approximately $12 million in rate case expenses were written off in 2019. A base rate application must be filed for Houston Electric no later than four years from the date of the PUCT’s final order in the proceeding. Additionally, Houston Electric will not file a DCRF in 2020, nor will a subsequent separate proceeding with the PUCT be instituted regarding EDIT on Houston Electric’s securitized assets. Furthermore, under the terms of the Stipulation and Settlement Agreement, Houston Electric agreed to adopt certain ring-fencing measures to increase its financial separateness from CenterPoint Energy. The PUCT approved the Stipulation and Settlement Agreement at its February 14, 2020 open meeting and issued a final order on March 9, 2020. The PUCT declined to impose a dividend restriction in the final order. The rates were implemented on April 23, 2020.</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Houston Electric record pre-tax expense for (i) probable disallowances of capital investments and (ii) customer refund obligations and costs deferred in regulatory assets when recovery of such amounts is no longer considered probable.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Governors, public utility commissions and other authorities in the states in which the Registrants operate have issued a number of different orders related to the COVID-19 pandemic. On March 26, 2020, the PUCT issued two orders related to COVID-19 issues that affect Houston Electric. First, the PUCT issued an order related to Accrual of Regulatory Assets granting authority for utilities to record as a regulatory asset expenses resulting from the effects of COVID-19. In the order, the PUCT noted that it will consider whether a utility’s request for recovery of the regulatory asset is reasonable and necessary in a future proceeding. Second, the PUCT issued an order related to COVID-19 ERP, as modified, which, in light of the disaster declarations issued by the Governor of Texas, authorized a customer assistance program for certain residential customers of electric service in areas of Texas open to customer choice, which includes Houston Electric’s service territory.</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COVID-19 ERP will end on July 17, 2020, unless otherwise extended by the PUCT. Final claims for reimbursement must be submitted to transmission and distribution utilities not later than 90 days after the end of the COVID-19 ERP. The transmission and distribution utilities riders will remain in place and reimbursements will continue after the end of the COVID-19 ERP has ended to complete cost recovery and disburse all reimbursement amounts or remaining balances.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Similarly, regulatory authorities have issued orders addressing customer non-payment and disconnection. In Indiana, the IURC issued an order that, among other things, permits utilities to voluntarily suspend or waive late fees and reconnection fees and reconnect customers who have been disconnected due to non-payment, provided that such actions are taken on a non-discriminatory basis and apply to all customers. Commissions in other states have issued similar orders. In CenterPoint Energy’s and CERC’s NGD service territories and for Indiana Electric, CenterPoint Energy and CERC, as applicable, have temporarily suspended disconnections for non-payment and will continue to support those customers who may need payment assistance, arrangements or extensions.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other states in which the Registrants operate, public utility commissions have authorized utilities to employ deferred accounting authority for certain COVID-19 related costs and savings.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physical forward contracts, swaps and options to mitigate the impact of changes in commodity prices, weather and interest rates on operating results and cash flows.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The transaction is expected to close in the second quarter of 2020. The following disclosures include the Energy Services Disposal Group and are identified as held for sale or discontinued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Commodity Derivative Instruments (CenterPoint Energy and CERC). </w:t>
      </w:r>
      <w:r>
        <w:rPr>
          <w:rFonts w:ascii="Arial" w:cs="Arial" w:eastAsia="Arial" w:hAnsi="Arial"/>
          <w:sz w:val="18"/>
          <w:szCs w:val="18"/>
          <w:color w:val="auto"/>
        </w:rPr>
        <w:t>CenterPoint Energy, through its Indiana Utilities, and CERC, through the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Disposal Group, enter into certain derivative instruments to mitigate the effects of commodity price movements. Certain financial instruments used to hedge portions of the natural gas inventory of the Energy Services Disposal Group are designated as fair value hedges for accounting purposes.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Interest Rate Risk Derivative Instruments. </w:t>
      </w:r>
      <w:r>
        <w:rPr>
          <w:rFonts w:ascii="Arial" w:cs="Arial" w:eastAsia="Arial" w:hAnsi="Arial"/>
          <w:sz w:val="18"/>
          <w:szCs w:val="18"/>
          <w:color w:val="auto"/>
        </w:rPr>
        <w:t>From time to time, the Registrants may enter into interest rate derivatives that are designated as economic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 For the impacts of cash flow hedges to Accumulated other comprehensive income, see Note 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14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842"/>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154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2"/>
          </w:tcPr>
          <w:p>
            <w:pPr>
              <w:jc w:val="right"/>
              <w:ind w:right="2060"/>
              <w:spacing w:after="0"/>
              <w:rPr>
                <w:sz w:val="20"/>
                <w:szCs w:val="20"/>
                <w:color w:val="auto"/>
              </w:rPr>
            </w:pPr>
            <w:r>
              <w:rPr>
                <w:rFonts w:ascii="Arial" w:cs="Arial" w:eastAsia="Arial" w:hAnsi="Arial"/>
                <w:sz w:val="14"/>
                <w:szCs w:val="14"/>
                <w:b w:val="1"/>
                <w:bCs w:val="1"/>
                <w:color w:val="auto"/>
              </w:rPr>
              <w:t>Hedging Classification</w:t>
            </w: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2"/>
          </w:tcPr>
          <w:p>
            <w:pPr>
              <w:jc w:val="right"/>
              <w:ind w:right="864"/>
              <w:spacing w:after="0"/>
              <w:rPr>
                <w:sz w:val="20"/>
                <w:szCs w:val="20"/>
                <w:color w:val="auto"/>
              </w:rPr>
            </w:pPr>
            <w:r>
              <w:rPr>
                <w:rFonts w:ascii="Arial" w:cs="Arial" w:eastAsia="Arial" w:hAnsi="Arial"/>
                <w:sz w:val="14"/>
                <w:szCs w:val="14"/>
                <w:b w:val="1"/>
                <w:bCs w:val="1"/>
                <w:color w:val="auto"/>
              </w:rPr>
              <w:t>Notional Principal</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52"/>
        </w:trPr>
        <w:tc>
          <w:tcPr>
            <w:tcW w:w="15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3"/>
              </w:rPr>
              <w:t>CenterPoint</w:t>
            </w:r>
          </w:p>
        </w:tc>
        <w:tc>
          <w:tcPr>
            <w:tcW w:w="540" w:type="dxa"/>
            <w:vAlign w:val="bottom"/>
          </w:tcPr>
          <w:p>
            <w:pPr>
              <w:spacing w:after="0"/>
              <w:rPr>
                <w:sz w:val="13"/>
                <w:szCs w:val="13"/>
                <w:color w:val="auto"/>
              </w:rPr>
            </w:pPr>
          </w:p>
        </w:tc>
        <w:tc>
          <w:tcPr>
            <w:tcW w:w="1460" w:type="dxa"/>
            <w:vAlign w:val="bottom"/>
          </w:tcPr>
          <w:p>
            <w:pPr>
              <w:jc w:val="right"/>
              <w:ind w:right="844"/>
              <w:spacing w:after="0" w:line="153" w:lineRule="exact"/>
              <w:rPr>
                <w:sz w:val="20"/>
                <w:szCs w:val="20"/>
                <w:color w:val="auto"/>
              </w:rPr>
            </w:pPr>
            <w:r>
              <w:rPr>
                <w:rFonts w:ascii="Arial" w:cs="Arial" w:eastAsia="Arial" w:hAnsi="Arial"/>
                <w:sz w:val="14"/>
                <w:szCs w:val="14"/>
                <w:b w:val="1"/>
                <w:bCs w:val="1"/>
                <w:color w:val="auto"/>
                <w:w w:val="91"/>
              </w:rPr>
              <w:t>Houston</w:t>
            </w:r>
          </w:p>
        </w:tc>
        <w:tc>
          <w:tcPr>
            <w:tcW w:w="1120" w:type="dxa"/>
            <w:vAlign w:val="bottom"/>
          </w:tcPr>
          <w:p>
            <w:pPr>
              <w:jc w:val="center"/>
              <w:ind w:right="284"/>
              <w:spacing w:after="0" w:line="153" w:lineRule="exact"/>
              <w:rPr>
                <w:sz w:val="20"/>
                <w:szCs w:val="20"/>
                <w:color w:val="auto"/>
              </w:rPr>
            </w:pPr>
            <w:r>
              <w:rPr>
                <w:rFonts w:ascii="Arial" w:cs="Arial" w:eastAsia="Arial" w:hAnsi="Arial"/>
                <w:sz w:val="14"/>
                <w:szCs w:val="14"/>
                <w:b w:val="1"/>
                <w:bCs w:val="1"/>
                <w:color w:val="auto"/>
                <w:w w:val="95"/>
              </w:rPr>
              <w:t>CenterPoint</w:t>
            </w:r>
          </w:p>
        </w:tc>
        <w:tc>
          <w:tcPr>
            <w:tcW w:w="400" w:type="dxa"/>
            <w:vAlign w:val="bottom"/>
          </w:tcPr>
          <w:p>
            <w:pPr>
              <w:spacing w:after="0"/>
              <w:rPr>
                <w:sz w:val="13"/>
                <w:szCs w:val="13"/>
                <w:color w:val="auto"/>
              </w:rPr>
            </w:pPr>
          </w:p>
        </w:tc>
        <w:tc>
          <w:tcPr>
            <w:tcW w:w="1160" w:type="dxa"/>
            <w:vAlign w:val="bottom"/>
          </w:tcPr>
          <w:p>
            <w:pPr>
              <w:jc w:val="right"/>
              <w:ind w:right="382"/>
              <w:spacing w:after="0" w:line="153" w:lineRule="exact"/>
              <w:rPr>
                <w:sz w:val="20"/>
                <w:szCs w:val="20"/>
                <w:color w:val="auto"/>
              </w:rPr>
            </w:pPr>
            <w:r>
              <w:rPr>
                <w:rFonts w:ascii="Arial" w:cs="Arial" w:eastAsia="Arial" w:hAnsi="Arial"/>
                <w:sz w:val="14"/>
                <w:szCs w:val="14"/>
                <w:b w:val="1"/>
                <w:bCs w:val="1"/>
                <w:color w:val="auto"/>
              </w:rPr>
              <w:t>Houston</w:t>
            </w:r>
          </w:p>
        </w:tc>
      </w:tr>
      <w:tr>
        <w:trPr>
          <w:trHeight w:val="192"/>
        </w:trPr>
        <w:tc>
          <w:tcPr>
            <w:tcW w:w="1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44"/>
              <w:spacing w:after="0"/>
              <w:rPr>
                <w:sz w:val="20"/>
                <w:szCs w:val="20"/>
                <w:color w:val="auto"/>
              </w:rPr>
            </w:pPr>
            <w:r>
              <w:rPr>
                <w:rFonts w:ascii="Arial" w:cs="Arial" w:eastAsia="Arial" w:hAnsi="Arial"/>
                <w:sz w:val="14"/>
                <w:szCs w:val="14"/>
                <w:b w:val="1"/>
                <w:bCs w:val="1"/>
                <w:color w:val="auto"/>
              </w:rPr>
              <w:t>Electric</w:t>
            </w:r>
          </w:p>
        </w:tc>
        <w:tc>
          <w:tcPr>
            <w:tcW w:w="112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Electric</w:t>
            </w:r>
          </w:p>
        </w:tc>
      </w:tr>
      <w:tr>
        <w:trPr>
          <w:trHeight w:val="250"/>
        </w:trPr>
        <w:tc>
          <w:tcPr>
            <w:tcW w:w="15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9"/>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Economic hedge</w:t>
            </w:r>
          </w:p>
        </w:tc>
        <w:tc>
          <w:tcPr>
            <w:tcW w:w="3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7"/>
        </w:trPr>
        <w:tc>
          <w:tcPr>
            <w:tcW w:w="154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Weather Hedges (CenterPoint Energy and CERC). </w:t>
      </w:r>
      <w:r>
        <w:rPr>
          <w:rFonts w:ascii="Arial" w:cs="Arial" w:eastAsia="Arial" w:hAnsi="Arial"/>
          <w:sz w:val="18"/>
          <w:szCs w:val="18"/>
          <w:color w:val="auto"/>
        </w:rPr>
        <w:t>CenterPoint Energy and CERC have weather normalization or other rate mechanisms that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impact of weather on NGD in Arkansas, Indiana, Louisiana, Mississippi, Minnesota, Ohio and Oklahoma, as applicable. CenterPoint Energy’s and CERC’s NGD in Texas and CenterPoint Energy’s electric operations in Texas and Indiana do not have such mechanisms, although fixed customer charges are historically higher in Texas for NGD compared to its other jurisdictions. As a result, fluctuations from normal weather may have a positive or negative effect on CenterPoint Energy’s and CERC’s NGD’s results in Texas and on CenterPoint Energy’s electric operations’ results in its Texas and Indiana service territories.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CenterPoint Energy and CERC, as applicable, enter into winter season weather hedges from time to time for certain NGD jurisdictions and electric operations’ service territory to mitigate the effect of fluctuations from normal weather on results of operations and cash flows. These weather hedges are based on heating degree days at 10-year normal weather. Houston Electric and Indiana Electric do not enter into weather hedges.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present information about derivative instruments and hedging activities. The first three tables provide a balance sheet overview of Derivative Assets and Liabilities, while the last two tables provide a breakdown of the related income statement impacts. The Energy Services Disposal Group’s derivative balances are reported in assets or liabilities held for sale. See Note 3 for further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9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394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3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500" w:type="dxa"/>
            <w:vAlign w:val="bottom"/>
          </w:tcPr>
          <w:p>
            <w:pPr>
              <w:ind w:left="40"/>
              <w:spacing w:after="0"/>
              <w:rPr>
                <w:sz w:val="20"/>
                <w:szCs w:val="20"/>
                <w:color w:val="auto"/>
              </w:rPr>
            </w:pPr>
            <w:r>
              <w:rPr>
                <w:rFonts w:ascii="Arial" w:cs="Arial" w:eastAsia="Arial" w:hAnsi="Arial"/>
                <w:sz w:val="13"/>
                <w:szCs w:val="13"/>
                <w:b w:val="1"/>
                <w:bCs w:val="1"/>
                <w:color w:val="auto"/>
                <w:w w:val="89"/>
              </w:rPr>
              <w:t>Derivatives designated as fair value hedges:</w:t>
            </w: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 (2) (3)</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 Current liabilities held for sale</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6440" w:type="dxa"/>
            <w:vAlign w:val="bottom"/>
            <w:gridSpan w:val="3"/>
          </w:tcPr>
          <w:p>
            <w:pPr>
              <w:ind w:left="40"/>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 (2) (3)</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Assets: Current assets held for sale</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62"/>
        </w:trPr>
        <w:tc>
          <w:tcPr>
            <w:tcW w:w="2500" w:type="dxa"/>
            <w:vAlign w:val="bottom"/>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 (2) (3)</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Other Assets: Non-current assets held for sale</w:t>
            </w: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 (2) (3)</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 Non-trading derivative liabilities</w:t>
            </w: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2"/>
        </w:trPr>
        <w:tc>
          <w:tcPr>
            <w:tcW w:w="2500" w:type="dxa"/>
            <w:vAlign w:val="bottom"/>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 (2) (3)</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Current Liabilities: Current liabilities held for sale</w:t>
            </w:r>
          </w:p>
        </w:tc>
        <w:tc>
          <w:tcPr>
            <w:tcW w:w="160" w:type="dxa"/>
            <w:vAlign w:val="bottom"/>
          </w:tcPr>
          <w:p>
            <w:pPr>
              <w:spacing w:after="0"/>
              <w:rPr>
                <w:sz w:val="22"/>
                <w:szCs w:val="22"/>
                <w:color w:val="auto"/>
              </w:rPr>
            </w:pPr>
          </w:p>
        </w:tc>
        <w:tc>
          <w:tcPr>
            <w:tcW w:w="980" w:type="dxa"/>
            <w:vAlign w:val="bottom"/>
          </w:tcPr>
          <w:p>
            <w:pPr>
              <w:jc w:val="right"/>
              <w:ind w:right="54"/>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 (2) (3)</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 Non-trading derivative liabilities</w:t>
            </w: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62"/>
        </w:trPr>
        <w:tc>
          <w:tcPr>
            <w:tcW w:w="2500" w:type="dxa"/>
            <w:vAlign w:val="bottom"/>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 (2) (3)</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Other Liabilities: Non-current liabilities held for sale</w:t>
            </w: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rate derivatives</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3"/>
                <w:szCs w:val="13"/>
                <w:color w:val="auto"/>
              </w:rPr>
              <w:t>Indexed debt securities derivative</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243"/>
        </w:trPr>
        <w:tc>
          <w:tcPr>
            <w:tcW w:w="250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CenterPoint Energy</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1,144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value shown for natural gas contracts is comprised of derivative gross volumes totaling 2,126 Bcf or a net 232 Bcf long position and 2,226 Bcf or a net 374 Bcf long position as of March 31, 2020 and December 31, 2019, respectively. Certain natural gas contracts hedge basis risk only and lack a fixed price exposure.</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Natural gas contracts are subject to master netting arrangements. This netting applies to all undisputed amounts due or past due. The net of total non-trading natural gas derivative assets and liabilities is detailed in the Offsetting of Natural Gas Derivative Assets and Liabilities table below.</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Derivative Assets and Derivative Liabilities include no material amounts related to physical forward transactions with Enable.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9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394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3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4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designated as fair value hedges: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25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 (2) (3)</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Current liabilities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4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 (2) (3)</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Assets: Current assets held for sale</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 (2) (3)</w:t>
            </w:r>
          </w:p>
        </w:tc>
        <w:tc>
          <w:tcPr>
            <w:tcW w:w="3940" w:type="dxa"/>
            <w:vAlign w:val="bottom"/>
            <w:gridSpan w:val="2"/>
          </w:tcPr>
          <w:p>
            <w:pPr>
              <w:ind w:left="20"/>
              <w:spacing w:after="0"/>
              <w:rPr>
                <w:sz w:val="20"/>
                <w:szCs w:val="20"/>
                <w:color w:val="auto"/>
              </w:rPr>
            </w:pPr>
            <w:r>
              <w:rPr>
                <w:rFonts w:ascii="Arial" w:cs="Arial" w:eastAsia="Arial" w:hAnsi="Arial"/>
                <w:sz w:val="14"/>
                <w:szCs w:val="14"/>
                <w:color w:val="auto"/>
              </w:rPr>
              <w:t>Other Assets: Non-current assets held for sale</w:t>
            </w: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 (2) (3)</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 Current liabilities held for sale</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 (2) (3)</w:t>
            </w:r>
          </w:p>
        </w:tc>
        <w:tc>
          <w:tcPr>
            <w:tcW w:w="3940" w:type="dxa"/>
            <w:vAlign w:val="bottom"/>
            <w:gridSpan w:val="2"/>
          </w:tcPr>
          <w:p>
            <w:pPr>
              <w:ind w:left="20"/>
              <w:spacing w:after="0"/>
              <w:rPr>
                <w:sz w:val="20"/>
                <w:szCs w:val="20"/>
                <w:color w:val="auto"/>
              </w:rPr>
            </w:pPr>
            <w:r>
              <w:rPr>
                <w:rFonts w:ascii="Arial" w:cs="Arial" w:eastAsia="Arial" w:hAnsi="Arial"/>
                <w:sz w:val="14"/>
                <w:szCs w:val="14"/>
                <w:color w:val="auto"/>
              </w:rPr>
              <w:t>Other Liabilities: Non-current liabilities held for sale</w:t>
            </w: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2"/>
        </w:trPr>
        <w:tc>
          <w:tcPr>
            <w:tcW w:w="250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CERC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value shown for natural gas contracts is comprised of derivative gross volumes totaling 2,126 Bcf or a net 232 Bcf long position and 2,226 Bcf or a net 374 Bcf long position as of March 31, 2020 and December 31, 2019, respectively. Certain natural gas contracts hedge basis risk only and lack a fixed price exposure.</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Natural gas contracts are subject to master netting arrangements. This netting applies to all undisputed amounts due or past due The net of total non-trading natural gas derivative assets and liabilities is detailed in the Offsetting of Natural Gas Derivative Assets and Liabilities table below.</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Derivative Assets and Derivative Liabilities include no material amounts related to physical forward transactions with Enable.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Basis Adjustment for Fair Value Hedges (CenterPoint Energy and CERC)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820"/>
        <w:spacing w:after="0"/>
        <w:rPr>
          <w:sz w:val="20"/>
          <w:szCs w:val="20"/>
          <w:color w:val="auto"/>
        </w:rPr>
      </w:pPr>
      <w:r>
        <w:rPr>
          <w:rFonts w:ascii="Arial" w:cs="Arial" w:eastAsia="Arial" w:hAnsi="Arial"/>
          <w:sz w:val="14"/>
          <w:szCs w:val="14"/>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23495</wp:posOffset>
            </wp:positionV>
            <wp:extent cx="2717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Hedged items in fair value hedge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1"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4"/>
          <w:szCs w:val="14"/>
          <w:color w:val="auto"/>
        </w:rPr>
        <w:t>Natural gas inventory</w:t>
      </w:r>
      <w:r>
        <w:rPr>
          <w:sz w:val="20"/>
          <w:szCs w:val="20"/>
          <w:color w:val="auto"/>
        </w:rPr>
        <w:tab/>
      </w:r>
      <w:r>
        <w:rPr>
          <w:rFonts w:ascii="Arial" w:cs="Arial" w:eastAsia="Arial" w:hAnsi="Arial"/>
          <w:sz w:val="12"/>
          <w:szCs w:val="12"/>
          <w:color w:val="auto"/>
        </w:rPr>
        <w:t>Current Assets: Current assets held for sale</w:t>
      </w:r>
    </w:p>
    <w:p>
      <w:pPr>
        <w:spacing w:after="0" w:line="10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4"/>
          <w:szCs w:val="14"/>
          <w:color w:val="auto"/>
        </w:rPr>
        <w:t>Borrowed natural gas</w:t>
      </w:r>
      <w:r>
        <w:rPr>
          <w:sz w:val="20"/>
          <w:szCs w:val="20"/>
          <w:color w:val="auto"/>
        </w:rPr>
        <w:tab/>
      </w:r>
      <w:r>
        <w:rPr>
          <w:rFonts w:ascii="Arial" w:cs="Arial" w:eastAsia="Arial" w:hAnsi="Arial"/>
          <w:sz w:val="13"/>
          <w:szCs w:val="13"/>
          <w:color w:val="auto"/>
        </w:rPr>
        <w:t>Current Liabilities: Current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4"/>
          <w:szCs w:val="14"/>
          <w:color w:val="auto"/>
        </w:rPr>
        <w:t>Gas imbalance receivable</w:t>
      </w:r>
      <w:r>
        <w:rPr>
          <w:sz w:val="20"/>
          <w:szCs w:val="20"/>
          <w:color w:val="auto"/>
        </w:rPr>
        <w:tab/>
      </w:r>
      <w:r>
        <w:rPr>
          <w:rFonts w:ascii="Arial" w:cs="Arial" w:eastAsia="Arial" w:hAnsi="Arial"/>
          <w:sz w:val="12"/>
          <w:szCs w:val="12"/>
          <w:color w:val="auto"/>
        </w:rPr>
        <w:t>Current Assets: Current assets held for sale</w:t>
      </w:r>
    </w:p>
    <w:p>
      <w:pPr>
        <w:spacing w:after="0" w:line="10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4"/>
          <w:szCs w:val="14"/>
          <w:color w:val="auto"/>
        </w:rPr>
        <w:t>Gas imbalance payable</w:t>
      </w:r>
      <w:r>
        <w:rPr>
          <w:sz w:val="20"/>
          <w:szCs w:val="20"/>
          <w:color w:val="auto"/>
        </w:rPr>
        <w:tab/>
      </w:r>
      <w:r>
        <w:rPr>
          <w:rFonts w:ascii="Arial" w:cs="Arial" w:eastAsia="Arial" w:hAnsi="Arial"/>
          <w:sz w:val="13"/>
          <w:szCs w:val="13"/>
          <w:color w:val="auto"/>
        </w:rPr>
        <w:t>Current Liabilities: Current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820"/>
        <w:spacing w:after="0"/>
        <w:rPr>
          <w:sz w:val="20"/>
          <w:szCs w:val="20"/>
          <w:color w:val="auto"/>
        </w:rPr>
      </w:pPr>
      <w:r>
        <w:rPr>
          <w:rFonts w:ascii="Arial" w:cs="Arial" w:eastAsia="Arial" w:hAnsi="Arial"/>
          <w:sz w:val="14"/>
          <w:szCs w:val="14"/>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23495</wp:posOffset>
            </wp:positionV>
            <wp:extent cx="2717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Hedged items in fair value hedge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1"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4"/>
          <w:szCs w:val="14"/>
          <w:color w:val="auto"/>
        </w:rPr>
        <w:t>Natural gas inventory</w:t>
      </w:r>
      <w:r>
        <w:rPr>
          <w:sz w:val="20"/>
          <w:szCs w:val="20"/>
          <w:color w:val="auto"/>
        </w:rPr>
        <w:tab/>
      </w:r>
      <w:r>
        <w:rPr>
          <w:rFonts w:ascii="Arial" w:cs="Arial" w:eastAsia="Arial" w:hAnsi="Arial"/>
          <w:sz w:val="12"/>
          <w:szCs w:val="12"/>
          <w:color w:val="auto"/>
        </w:rPr>
        <w:t>Current Assets: Current assets held for sale</w:t>
      </w:r>
    </w:p>
    <w:p>
      <w:pPr>
        <w:spacing w:after="0" w:line="105"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051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96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4"/>
              </w:rPr>
              <w:t>Carrying Amount of Hedged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Hedging Adjustment Included in the</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2"/>
              </w:rPr>
              <w:t>Assets/(Liabilities)</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5"/>
              </w:rPr>
              <w:t>Carrying Amount of Hedged Item</w:t>
            </w: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CERC</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89"/>
              </w:rPr>
              <w:t>45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1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6"/>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45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960" w:type="dxa"/>
            <w:vAlign w:val="bottom"/>
            <w:gridSpan w:val="3"/>
            <w:vMerge w:val="restart"/>
          </w:tcPr>
          <w:p>
            <w:pPr>
              <w:jc w:val="center"/>
              <w:ind w:left="88"/>
              <w:spacing w:after="0"/>
              <w:rPr>
                <w:sz w:val="20"/>
                <w:szCs w:val="20"/>
                <w:color w:val="auto"/>
              </w:rPr>
            </w:pPr>
            <w:r>
              <w:rPr>
                <w:rFonts w:ascii="Arial" w:cs="Arial" w:eastAsia="Arial" w:hAnsi="Arial"/>
                <w:sz w:val="14"/>
                <w:szCs w:val="14"/>
                <w:b w:val="1"/>
                <w:bCs w:val="1"/>
                <w:color w:val="auto"/>
                <w:w w:val="94"/>
              </w:rPr>
              <w:t>Carrying Amount of Hedged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4"/>
          </w:tcPr>
          <w:p>
            <w:pPr>
              <w:jc w:val="center"/>
              <w:ind w:right="28"/>
              <w:spacing w:after="0" w:line="153" w:lineRule="exact"/>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Hedging Adjustment Included in the</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2"/>
              </w:rPr>
              <w:t>Assets/(Liabilities)</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5"/>
              </w:rPr>
              <w:t>Carrying Amount of Hedged Item</w:t>
            </w: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CERC</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Energy</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47</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9"/>
              </w:rPr>
              <w:t>47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720"/>
            <w:col w:w="4800"/>
          </w:cols>
          <w:pgMar w:left="320" w:top="125"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Natural Gas Derivative Assets and Liabilities (CenterPoint Energy and CERC)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43"/>
        </w:trPr>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Gross Amounts</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Net Amount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Gross Amounts</w:t>
            </w:r>
          </w:p>
        </w:tc>
        <w:tc>
          <w:tcPr>
            <w:tcW w:w="100" w:type="dxa"/>
            <w:vAlign w:val="bottom"/>
          </w:tcPr>
          <w:p>
            <w:pPr>
              <w:spacing w:after="0"/>
              <w:rPr>
                <w:sz w:val="12"/>
                <w:szCs w:val="12"/>
                <w:color w:val="auto"/>
              </w:rPr>
            </w:pPr>
          </w:p>
        </w:tc>
        <w:tc>
          <w:tcPr>
            <w:tcW w:w="1000" w:type="dxa"/>
            <w:vAlign w:val="bottom"/>
          </w:tcPr>
          <w:p>
            <w:pPr>
              <w:jc w:val="center"/>
              <w:ind w:right="31"/>
              <w:spacing w:after="0" w:line="144" w:lineRule="exact"/>
              <w:rPr>
                <w:sz w:val="20"/>
                <w:szCs w:val="20"/>
                <w:color w:val="auto"/>
              </w:rPr>
            </w:pPr>
            <w:r>
              <w:rPr>
                <w:rFonts w:ascii="Arial" w:cs="Arial" w:eastAsia="Arial" w:hAnsi="Arial"/>
                <w:sz w:val="13"/>
                <w:szCs w:val="13"/>
                <w:b w:val="1"/>
                <w:bCs w:val="1"/>
                <w:color w:val="auto"/>
                <w:w w:val="89"/>
              </w:rPr>
              <w:t>Net Amount</w:t>
            </w:r>
          </w:p>
        </w:tc>
      </w:tr>
      <w:tr>
        <w:trPr>
          <w:trHeight w:val="135"/>
        </w:trPr>
        <w:tc>
          <w:tcPr>
            <w:tcW w:w="3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Presented in the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00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Presented in the</w:t>
            </w:r>
          </w:p>
        </w:tc>
      </w:tr>
      <w:tr>
        <w:trPr>
          <w:trHeight w:val="135"/>
        </w:trPr>
        <w:tc>
          <w:tcPr>
            <w:tcW w:w="392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Amounts Recognized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Consolidated</w:t>
            </w:r>
          </w:p>
        </w:tc>
        <w:tc>
          <w:tcPr>
            <w:tcW w:w="120" w:type="dxa"/>
            <w:vAlign w:val="bottom"/>
          </w:tcPr>
          <w:p>
            <w:pPr>
              <w:spacing w:after="0"/>
              <w:rPr>
                <w:sz w:val="11"/>
                <w:szCs w:val="11"/>
                <w:color w:val="auto"/>
              </w:rPr>
            </w:pPr>
          </w:p>
        </w:tc>
        <w:tc>
          <w:tcPr>
            <w:tcW w:w="98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w w:val="86"/>
              </w:rPr>
              <w:t>Gross Amounts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100" w:type="dxa"/>
            <w:vAlign w:val="bottom"/>
          </w:tcPr>
          <w:p>
            <w:pPr>
              <w:spacing w:after="0"/>
              <w:rPr>
                <w:sz w:val="11"/>
                <w:szCs w:val="11"/>
                <w:color w:val="auto"/>
              </w:rPr>
            </w:pPr>
          </w:p>
        </w:tc>
        <w:tc>
          <w:tcPr>
            <w:tcW w:w="100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Consolidated</w:t>
            </w:r>
          </w:p>
        </w:tc>
      </w:tr>
      <w:tr>
        <w:trPr>
          <w:trHeight w:val="174"/>
        </w:trPr>
        <w:tc>
          <w:tcPr>
            <w:tcW w:w="3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3"/>
              </w:rPr>
              <w:t>Balance Sheets</w:t>
            </w: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4"/>
              </w:rPr>
              <w:t>Balance Sheets (2)</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88"/>
              </w:rPr>
              <w:t>Recognized (1)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3"/>
              </w:rPr>
              <w:t>Balance Sheets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Balance Sheets (2)</w:t>
            </w:r>
          </w:p>
        </w:tc>
      </w:tr>
      <w:tr>
        <w:trPr>
          <w:trHeight w:val="251"/>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4"/>
          </w:tcPr>
          <w:p>
            <w:pPr>
              <w:jc w:val="right"/>
              <w:ind w:right="73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Current assets held for sale</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136</w:t>
            </w: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Other Assets: Non-current assets held for sale</w:t>
            </w:r>
          </w:p>
        </w:tc>
        <w:tc>
          <w:tcPr>
            <w:tcW w:w="2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58</w:t>
            </w: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 Non-trading derivative liabilities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Current Liabilities: Current liabilities held for sale</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 Non-trading derivative liabilities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 liabilities held for sale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43"/>
        </w:trPr>
        <w:tc>
          <w:tcPr>
            <w:tcW w:w="39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CenterPoint Energy</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114</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43"/>
        </w:trPr>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Gross Amounts</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Net Amount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Gross Amounts</w:t>
            </w:r>
          </w:p>
        </w:tc>
        <w:tc>
          <w:tcPr>
            <w:tcW w:w="100" w:type="dxa"/>
            <w:vAlign w:val="bottom"/>
          </w:tcPr>
          <w:p>
            <w:pPr>
              <w:spacing w:after="0"/>
              <w:rPr>
                <w:sz w:val="12"/>
                <w:szCs w:val="12"/>
                <w:color w:val="auto"/>
              </w:rPr>
            </w:pPr>
          </w:p>
        </w:tc>
        <w:tc>
          <w:tcPr>
            <w:tcW w:w="1000" w:type="dxa"/>
            <w:vAlign w:val="bottom"/>
          </w:tcPr>
          <w:p>
            <w:pPr>
              <w:jc w:val="center"/>
              <w:ind w:right="31"/>
              <w:spacing w:after="0" w:line="144" w:lineRule="exact"/>
              <w:rPr>
                <w:sz w:val="20"/>
                <w:szCs w:val="20"/>
                <w:color w:val="auto"/>
              </w:rPr>
            </w:pPr>
            <w:r>
              <w:rPr>
                <w:rFonts w:ascii="Arial" w:cs="Arial" w:eastAsia="Arial" w:hAnsi="Arial"/>
                <w:sz w:val="13"/>
                <w:szCs w:val="13"/>
                <w:b w:val="1"/>
                <w:bCs w:val="1"/>
                <w:color w:val="auto"/>
                <w:w w:val="89"/>
              </w:rPr>
              <w:t>Net Amount</w:t>
            </w:r>
          </w:p>
        </w:tc>
      </w:tr>
      <w:tr>
        <w:trPr>
          <w:trHeight w:val="135"/>
        </w:trPr>
        <w:tc>
          <w:tcPr>
            <w:tcW w:w="3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Presented in the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100" w:type="dxa"/>
            <w:vAlign w:val="bottom"/>
          </w:tcPr>
          <w:p>
            <w:pPr>
              <w:spacing w:after="0"/>
              <w:rPr>
                <w:sz w:val="11"/>
                <w:szCs w:val="11"/>
                <w:color w:val="auto"/>
              </w:rPr>
            </w:pPr>
          </w:p>
        </w:tc>
        <w:tc>
          <w:tcPr>
            <w:tcW w:w="100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Presented in the</w:t>
            </w:r>
          </w:p>
        </w:tc>
      </w:tr>
      <w:tr>
        <w:trPr>
          <w:trHeight w:val="135"/>
        </w:trPr>
        <w:tc>
          <w:tcPr>
            <w:tcW w:w="392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Amounts Recognized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Consolidated</w:t>
            </w:r>
          </w:p>
        </w:tc>
        <w:tc>
          <w:tcPr>
            <w:tcW w:w="120" w:type="dxa"/>
            <w:vAlign w:val="bottom"/>
          </w:tcPr>
          <w:p>
            <w:pPr>
              <w:spacing w:after="0"/>
              <w:rPr>
                <w:sz w:val="11"/>
                <w:szCs w:val="11"/>
                <w:color w:val="auto"/>
              </w:rPr>
            </w:pPr>
          </w:p>
        </w:tc>
        <w:tc>
          <w:tcPr>
            <w:tcW w:w="980" w:type="dxa"/>
            <w:vAlign w:val="bottom"/>
          </w:tcPr>
          <w:p>
            <w:pPr>
              <w:jc w:val="right"/>
              <w:ind w:right="51"/>
              <w:spacing w:after="0" w:line="135" w:lineRule="exact"/>
              <w:rPr>
                <w:sz w:val="20"/>
                <w:szCs w:val="20"/>
                <w:color w:val="auto"/>
              </w:rPr>
            </w:pPr>
            <w:r>
              <w:rPr>
                <w:rFonts w:ascii="Arial" w:cs="Arial" w:eastAsia="Arial" w:hAnsi="Arial"/>
                <w:sz w:val="13"/>
                <w:szCs w:val="13"/>
                <w:b w:val="1"/>
                <w:bCs w:val="1"/>
                <w:color w:val="auto"/>
                <w:w w:val="86"/>
              </w:rPr>
              <w:t>Gross Amounts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100" w:type="dxa"/>
            <w:vAlign w:val="bottom"/>
          </w:tcPr>
          <w:p>
            <w:pPr>
              <w:spacing w:after="0"/>
              <w:rPr>
                <w:sz w:val="11"/>
                <w:szCs w:val="11"/>
                <w:color w:val="auto"/>
              </w:rPr>
            </w:pPr>
          </w:p>
        </w:tc>
        <w:tc>
          <w:tcPr>
            <w:tcW w:w="100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4"/>
              </w:rPr>
              <w:t>Consolidated</w:t>
            </w:r>
          </w:p>
        </w:tc>
      </w:tr>
      <w:tr>
        <w:trPr>
          <w:trHeight w:val="174"/>
        </w:trPr>
        <w:tc>
          <w:tcPr>
            <w:tcW w:w="3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3"/>
              </w:rPr>
              <w:t>Balance Sheets</w:t>
            </w: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4"/>
              </w:rPr>
              <w:t>Balance Sheets (2)</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w w:val="88"/>
              </w:rPr>
              <w:t>Recognized (1)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3"/>
              </w:rPr>
              <w:t>Balance Sheets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Balance Sheets (2)</w:t>
            </w:r>
          </w:p>
        </w:tc>
      </w:tr>
      <w:tr>
        <w:trPr>
          <w:trHeight w:val="251"/>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Current assets held for sale</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136</w:t>
            </w: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Other Assets: Non-current assets held for sale</w:t>
            </w:r>
          </w:p>
        </w:tc>
        <w:tc>
          <w:tcPr>
            <w:tcW w:w="2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58</w:t>
            </w: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 Current liabilities held for sale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6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 liabilities held for sale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42"/>
        </w:trPr>
        <w:tc>
          <w:tcPr>
            <w:tcW w:w="39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CERC</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amounts recognized include some derivative assets and liabilities that are not subject to master netting arrangements.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derivative assets and liabilities on the Registrant’s respective Condensed Consolidated Balance Sheets exclude accounts receivable or accounts payable that, should they exist, could be used as offsets to these balances in the event of a default.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 and CERC)</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5"/>
              </w:rPr>
              <w:t>Three Months Ended March 31,</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80" w:type="dxa"/>
            <w:vAlign w:val="bottom"/>
            <w:gridSpan w:val="7"/>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Location and Amount of Gain (Loss) recognized in Income on Hedging</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3"/>
              </w:rPr>
              <w:t xml:space="preserve">Relationship </w:t>
            </w:r>
            <w:r>
              <w:rPr>
                <w:rFonts w:ascii="Arial" w:cs="Arial" w:eastAsia="Arial" w:hAnsi="Arial"/>
                <w:sz w:val="10"/>
                <w:szCs w:val="10"/>
                <w:b w:val="1"/>
                <w:bCs w:val="1"/>
                <w:color w:val="auto"/>
                <w:w w:val="93"/>
              </w:rPr>
              <w:t>(1)</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Income from discontinued operations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6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CenterPoint</w:t>
            </w:r>
          </w:p>
        </w:tc>
        <w:tc>
          <w:tcPr>
            <w:tcW w:w="220" w:type="dxa"/>
            <w:vAlign w:val="bottom"/>
          </w:tcPr>
          <w:p>
            <w:pPr>
              <w:spacing w:after="0"/>
              <w:rPr>
                <w:sz w:val="13"/>
                <w:szCs w:val="13"/>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CERC</w:t>
            </w:r>
          </w:p>
        </w:tc>
        <w:tc>
          <w:tcPr>
            <w:tcW w:w="220" w:type="dxa"/>
            <w:vAlign w:val="bottom"/>
          </w:tcPr>
          <w:p>
            <w:pPr>
              <w:spacing w:after="0"/>
              <w:rPr>
                <w:sz w:val="13"/>
                <w:szCs w:val="13"/>
                <w:color w:val="auto"/>
              </w:rPr>
            </w:pPr>
          </w:p>
        </w:tc>
        <w:tc>
          <w:tcPr>
            <w:tcW w:w="10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8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Energy</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Energy</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8"/>
              </w:rPr>
              <w:t>Total amounts presented in the statements of income in which the effects of hedges are recorded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1,251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264"/>
        </w:trPr>
        <w:tc>
          <w:tcPr>
            <w:tcW w:w="6420" w:type="dxa"/>
            <w:vAlign w:val="bottom"/>
          </w:tcPr>
          <w:p>
            <w:pPr>
              <w:ind w:left="200"/>
              <w:spacing w:after="0"/>
              <w:rPr>
                <w:sz w:val="20"/>
                <w:szCs w:val="20"/>
                <w:color w:val="auto"/>
              </w:rPr>
            </w:pPr>
            <w:r>
              <w:rPr>
                <w:rFonts w:ascii="Arial" w:cs="Arial" w:eastAsia="Arial" w:hAnsi="Arial"/>
                <w:sz w:val="14"/>
                <w:szCs w:val="14"/>
                <w:b w:val="1"/>
                <w:bCs w:val="1"/>
                <w:color w:val="auto"/>
              </w:rPr>
              <w:t>Gain (loss) on fair value hedging relationships: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Commodity contracts: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20" w:type="dxa"/>
            <w:vAlign w:val="bottom"/>
          </w:tcPr>
          <w:p>
            <w:pPr>
              <w:ind w:left="360"/>
              <w:spacing w:after="0"/>
              <w:rPr>
                <w:sz w:val="20"/>
                <w:szCs w:val="20"/>
                <w:color w:val="auto"/>
              </w:rPr>
            </w:pPr>
            <w:r>
              <w:rPr>
                <w:rFonts w:ascii="Arial" w:cs="Arial" w:eastAsia="Arial" w:hAnsi="Arial"/>
                <w:sz w:val="14"/>
                <w:szCs w:val="14"/>
                <w:color w:val="auto"/>
              </w:rPr>
              <w:t>Hedged items in fair value hedging relationships</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Derivatives designated as hedging instruments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8"/>
        </w:trPr>
        <w:tc>
          <w:tcPr>
            <w:tcW w:w="6420" w:type="dxa"/>
            <w:vAlign w:val="bottom"/>
          </w:tcPr>
          <w:p>
            <w:pPr>
              <w:ind w:left="360"/>
              <w:spacing w:after="0"/>
              <w:rPr>
                <w:sz w:val="20"/>
                <w:szCs w:val="20"/>
                <w:color w:val="auto"/>
              </w:rPr>
            </w:pPr>
            <w:r>
              <w:rPr>
                <w:rFonts w:ascii="Arial" w:cs="Arial" w:eastAsia="Arial" w:hAnsi="Arial"/>
                <w:sz w:val="14"/>
                <w:szCs w:val="14"/>
                <w:color w:val="auto"/>
              </w:rPr>
              <w:t>Amounts excluded from effectiveness testing recognized in earnings immediately</w:t>
            </w:r>
          </w:p>
        </w:tc>
        <w:tc>
          <w:tcPr>
            <w:tcW w:w="14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statement impact associated with cash flow hedge activity is related to gains and losses reclassified from Accumulated other comprehensive income into income. Amounts are immaterial for each Registrant in the three months ended March 31,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23495</wp:posOffset>
            </wp:positionV>
            <wp:extent cx="1748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03"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Income Statement Location</w:t>
            </w:r>
          </w:p>
        </w:tc>
        <w:tc>
          <w:tcPr>
            <w:tcW w:w="2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bl>
    <w:p>
      <w:pPr>
        <w:spacing w:after="0" w:line="72"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42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Effects of derivatives not designated as hedging instruments on the income statement:</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6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Income from discontinued operations</w:t>
            </w:r>
          </w:p>
        </w:tc>
        <w:tc>
          <w:tcPr>
            <w:tcW w:w="56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1960" w:type="dxa"/>
            <w:vAlign w:val="bottom"/>
            <w:shd w:val="clear" w:color="auto" w:fill="CCEEFF"/>
          </w:tcPr>
          <w:p>
            <w:pPr>
              <w:spacing w:after="0"/>
              <w:rPr>
                <w:sz w:val="6"/>
                <w:szCs w:val="6"/>
                <w:color w:val="auto"/>
              </w:rPr>
            </w:pPr>
          </w:p>
        </w:tc>
        <w:tc>
          <w:tcPr>
            <w:tcW w:w="64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w w:val="92"/>
              </w:rPr>
              <w:t>Indexed debt securities derivative</w:t>
            </w:r>
          </w:p>
        </w:tc>
        <w:tc>
          <w:tcPr>
            <w:tcW w:w="6460" w:type="dxa"/>
            <w:vAlign w:val="bottom"/>
          </w:tcPr>
          <w:p>
            <w:pPr>
              <w:ind w:left="660"/>
              <w:spacing w:after="0"/>
              <w:rPr>
                <w:sz w:val="20"/>
                <w:szCs w:val="20"/>
                <w:color w:val="auto"/>
              </w:rPr>
            </w:pPr>
            <w:r>
              <w:rPr>
                <w:rFonts w:ascii="Arial" w:cs="Arial" w:eastAsia="Arial" w:hAnsi="Arial"/>
                <w:sz w:val="14"/>
                <w:szCs w:val="14"/>
                <w:color w:val="auto"/>
              </w:rPr>
              <w:t>Gain (loss) on indexed debt securities</w:t>
            </w:r>
          </w:p>
        </w:tc>
        <w:tc>
          <w:tcPr>
            <w:tcW w:w="5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73"/>
        </w:trPr>
        <w:tc>
          <w:tcPr>
            <w:tcW w:w="1960" w:type="dxa"/>
            <w:vAlign w:val="bottom"/>
            <w:tcBorders>
              <w:bottom w:val="single" w:sz="8" w:color="CCEEFF"/>
            </w:tcBorders>
          </w:tcPr>
          <w:p>
            <w:pPr>
              <w:spacing w:after="0"/>
              <w:rPr>
                <w:sz w:val="6"/>
                <w:szCs w:val="6"/>
                <w:color w:val="auto"/>
              </w:rPr>
            </w:pPr>
          </w:p>
        </w:tc>
        <w:tc>
          <w:tcPr>
            <w:tcW w:w="646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CenterPoint Energy</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7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582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Income Statement Location</w:t>
            </w: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bl>
    <w:p>
      <w:pPr>
        <w:spacing w:after="0" w:line="72"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(in millions)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Effects of derivatives not designated as hedging instruments on the income statement:</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68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Income from discontinued operations</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43"/>
        </w:trPr>
        <w:tc>
          <w:tcPr>
            <w:tcW w:w="1620" w:type="dxa"/>
            <w:vAlign w:val="bottom"/>
          </w:tcPr>
          <w:p>
            <w:pPr>
              <w:spacing w:after="0"/>
              <w:rPr>
                <w:sz w:val="21"/>
                <w:szCs w:val="21"/>
                <w:color w:val="auto"/>
              </w:rPr>
            </w:pPr>
          </w:p>
        </w:tc>
        <w:tc>
          <w:tcPr>
            <w:tcW w:w="6800" w:type="dxa"/>
            <w:vAlign w:val="bottom"/>
          </w:tcPr>
          <w:p>
            <w:pPr>
              <w:ind w:left="360"/>
              <w:spacing w:after="0"/>
              <w:rPr>
                <w:sz w:val="20"/>
                <w:szCs w:val="20"/>
                <w:color w:val="auto"/>
              </w:rPr>
            </w:pPr>
            <w:r>
              <w:rPr>
                <w:rFonts w:ascii="Arial" w:cs="Arial" w:eastAsia="Arial" w:hAnsi="Arial"/>
                <w:sz w:val="14"/>
                <w:szCs w:val="14"/>
                <w:b w:val="1"/>
                <w:bCs w:val="1"/>
                <w:color w:val="auto"/>
              </w:rPr>
              <w:t>Total CERC</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0"/>
        </w:trPr>
        <w:tc>
          <w:tcPr>
            <w:tcW w:w="16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Credit Risk Contingent Features (CenterPoint Energy and CERC)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CenterPoint Energy and CERC enter into financial derivative contracts containing material adverse change provisions. These provisions could require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or CERC to post additional collateral if the S&amp;P or Moody’s credit ratings of CenterPoint Energy, Inc. or its subsidiaries, including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CERC Corp., are downgraded.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6420" w:type="dxa"/>
            <w:vAlign w:val="bottom"/>
          </w:tcPr>
          <w:p>
            <w:pPr>
              <w:spacing w:after="0"/>
              <w:rPr>
                <w:sz w:val="13"/>
                <w:szCs w:val="13"/>
                <w:color w:val="auto"/>
              </w:rPr>
            </w:pPr>
          </w:p>
        </w:tc>
        <w:tc>
          <w:tcPr>
            <w:tcW w:w="11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CenterPoint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3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8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2"/>
              </w:rPr>
              <w:t>Energy</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Energy</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Aggregate fair value of derivatives containing material adverse change provisions in a net liability position</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Fair value of collateral already posted</w:t>
            </w:r>
          </w:p>
        </w:tc>
        <w:tc>
          <w:tcPr>
            <w:tcW w:w="840" w:type="dxa"/>
            <w:vAlign w:val="bottom"/>
          </w:tcPr>
          <w:p>
            <w:pPr>
              <w:spacing w:after="0"/>
              <w:rPr>
                <w:sz w:val="22"/>
                <w:szCs w:val="22"/>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collateral required to be posted if credit risk contingent features triggered</w:t>
            </w:r>
          </w:p>
        </w:tc>
        <w:tc>
          <w:tcPr>
            <w:tcW w:w="8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 as well as natural gas inventory that has been designated as the hedged item in a fair value hedge.</w:t>
      </w:r>
    </w:p>
    <w:p>
      <w:pPr>
        <w:spacing w:after="0" w:line="184"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7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 A market approach is utilized to value the Registrants’ Level 3 assets or liabilities. As of March 31, 2020, CenterPoint Energy’s and CERC’s Level 3 assets and liabilities are comprised of physical natural gas forward contracts and options. Level 3 physical natural gas forward contracts and options are valued using a discounted cash flow model which includes illiquid forward price curve locations (ranging from $1.15 to $4.83 per MMBtu for CenterPoint Energy, with a volumetrically weighted average of $2.22 per MMBtu, and from $1.15 to $4.83 per MMBtu for CERC, with a volumetrically weighted average of $2.22 per MMBtu) as an unobservable input. CenterPoint Energy’s and CERC’s Level 3 physical natural gas forward contracts and options derivative assets and liabilities consist of both long and short positions (forwards and options). Forward price decreases (increases) as of March 31, 2020 would have resulted in lower (higher) values, respectively, for long forwards and options and higher (lower) values, respectively, for short forwards and options.</w:t>
      </w:r>
    </w:p>
    <w:p>
      <w:pPr>
        <w:spacing w:after="0" w:line="18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Registrants determine the appropriate level for each financial asset and liability on a quarterly basis. The Registrants also recognize purchases of Level 3 financial assets and liabilities at their fair value at the end of the reporting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present information about the Registrants’ assets and liabilities (including derivatives that are presented net) measured at fair value on a recurring basis as of March 31, 2020 and December 31, 2019 and indicate the fair value hierarchy of the valuation techniques utilized by the Registrants to determine such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Netting</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Netting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5"/>
              </w:rPr>
              <w:t>Level 2</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5"/>
              </w:rPr>
              <w:t>Level 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w w:val="94"/>
              </w:rPr>
              <w:t>Investments, including money market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340"/>
              <w:spacing w:after="0"/>
              <w:rPr>
                <w:sz w:val="20"/>
                <w:szCs w:val="20"/>
                <w:color w:val="auto"/>
              </w:rPr>
            </w:pPr>
            <w:r>
              <w:rPr>
                <w:rFonts w:ascii="Arial" w:cs="Arial" w:eastAsia="Arial" w:hAnsi="Arial"/>
                <w:sz w:val="14"/>
                <w:szCs w:val="14"/>
                <w:color w:val="auto"/>
              </w:rPr>
              <w:t xml:space="preserve">funds </w:t>
            </w:r>
            <w:r>
              <w:rPr>
                <w:rFonts w:ascii="Arial" w:cs="Arial" w:eastAsia="Arial" w:hAnsi="Arial"/>
                <w:sz w:val="10"/>
                <w:szCs w:val="10"/>
                <w:color w:val="auto"/>
              </w:rPr>
              <w:t>(2)</w:t>
            </w:r>
          </w:p>
        </w:tc>
        <w:tc>
          <w:tcPr>
            <w:tcW w:w="14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(3)(4)(5)</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gas imbalance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payable</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Interest rate derivatives</w:t>
            </w:r>
          </w:p>
        </w:tc>
        <w:tc>
          <w:tcPr>
            <w:tcW w:w="1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(3)(4)(5)</w:t>
            </w:r>
          </w:p>
        </w:tc>
        <w:tc>
          <w:tcPr>
            <w:tcW w:w="1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ind w:left="40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38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Hedged portion of natural gas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inventory </w:t>
            </w:r>
            <w:r>
              <w:rPr>
                <w:rFonts w:ascii="Arial" w:cs="Arial" w:eastAsia="Arial" w:hAnsi="Arial"/>
                <w:sz w:val="10"/>
                <w:szCs w:val="10"/>
                <w:color w:val="auto"/>
              </w:rPr>
              <w:t>(5)</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gas imbalance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receivable</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317"/>
        </w:trPr>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Level 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3</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Netting</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Level 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Netting</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Total</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63"/>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Investments, including money market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88"/>
        </w:trPr>
        <w:tc>
          <w:tcPr>
            <w:tcW w:w="2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funds </w:t>
            </w:r>
            <w:r>
              <w:rPr>
                <w:rFonts w:ascii="Arial" w:cs="Arial" w:eastAsia="Arial" w:hAnsi="Arial"/>
                <w:sz w:val="10"/>
                <w:szCs w:val="10"/>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w:t>
            </w:r>
          </w:p>
        </w:tc>
      </w:tr>
      <w:tr>
        <w:trPr>
          <w:trHeight w:val="243"/>
        </w:trPr>
        <w:tc>
          <w:tcPr>
            <w:tcW w:w="238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3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80"/>
              <w:spacing w:after="0"/>
              <w:rPr>
                <w:sz w:val="20"/>
                <w:szCs w:val="20"/>
                <w:color w:val="auto"/>
              </w:rPr>
            </w:pPr>
            <w:r>
              <w:rPr>
                <w:rFonts w:ascii="Arial" w:cs="Arial" w:eastAsia="Arial" w:hAnsi="Arial"/>
                <w:sz w:val="14"/>
                <w:szCs w:val="14"/>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32</w:t>
            </w: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Netting</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Netting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w w:val="95"/>
              </w:rPr>
              <w:t>Level 2</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5"/>
              </w:rPr>
              <w:t>Level 2</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w w:val="94"/>
              </w:rPr>
              <w:t>Investments, including money market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340"/>
              <w:spacing w:after="0"/>
              <w:rPr>
                <w:sz w:val="20"/>
                <w:szCs w:val="20"/>
                <w:color w:val="auto"/>
              </w:rPr>
            </w:pPr>
            <w:r>
              <w:rPr>
                <w:rFonts w:ascii="Arial" w:cs="Arial" w:eastAsia="Arial" w:hAnsi="Arial"/>
                <w:sz w:val="14"/>
                <w:szCs w:val="14"/>
                <w:color w:val="auto"/>
              </w:rPr>
              <w:t xml:space="preserve">funds </w:t>
            </w:r>
            <w:r>
              <w:rPr>
                <w:rFonts w:ascii="Arial" w:cs="Arial" w:eastAsia="Arial" w:hAnsi="Arial"/>
                <w:sz w:val="10"/>
                <w:szCs w:val="10"/>
                <w:color w:val="auto"/>
              </w:rPr>
              <w:t>(2)</w:t>
            </w:r>
          </w:p>
        </w:tc>
        <w:tc>
          <w:tcPr>
            <w:tcW w:w="14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(3)(4)(5)</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gas imbalance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payable</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2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(3)(4)(5)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7"/>
        </w:trPr>
        <w:tc>
          <w:tcPr>
            <w:tcW w:w="2380" w:type="dxa"/>
            <w:vAlign w:val="bottom"/>
          </w:tcPr>
          <w:p>
            <w:pPr>
              <w:ind w:left="180"/>
              <w:spacing w:after="0" w:line="157" w:lineRule="exact"/>
              <w:rPr>
                <w:sz w:val="20"/>
                <w:szCs w:val="20"/>
                <w:color w:val="auto"/>
              </w:rPr>
            </w:pPr>
            <w:r>
              <w:rPr>
                <w:rFonts w:ascii="Arial" w:cs="Arial" w:eastAsia="Arial" w:hAnsi="Arial"/>
                <w:sz w:val="14"/>
                <w:szCs w:val="14"/>
                <w:color w:val="auto"/>
              </w:rPr>
              <w:t>Hedged portion of natural gas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340"/>
              <w:spacing w:after="0"/>
              <w:rPr>
                <w:sz w:val="20"/>
                <w:szCs w:val="20"/>
                <w:color w:val="auto"/>
              </w:rPr>
            </w:pPr>
            <w:r>
              <w:rPr>
                <w:rFonts w:ascii="Arial" w:cs="Arial" w:eastAsia="Arial" w:hAnsi="Arial"/>
                <w:sz w:val="14"/>
                <w:szCs w:val="14"/>
                <w:color w:val="auto"/>
              </w:rPr>
              <w:t xml:space="preserve">inventory </w:t>
            </w:r>
            <w:r>
              <w:rPr>
                <w:rFonts w:ascii="Arial" w:cs="Arial" w:eastAsia="Arial" w:hAnsi="Arial"/>
                <w:sz w:val="10"/>
                <w:szCs w:val="10"/>
                <w:color w:val="auto"/>
              </w:rPr>
              <w:t>(5)</w:t>
            </w:r>
          </w:p>
        </w:tc>
        <w:tc>
          <w:tcPr>
            <w:tcW w:w="14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Hedged portion of gas imbalance</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receivable</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23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201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ind w:left="40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195</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ind w:left="38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represent the impact of legally enforceable master netting arrangements that allow CenterPoint Energy and CERC to settle positive and negative positions and also include cash collateral posted with the same counterparties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50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3"/>
              </w:rPr>
              <w:t>CenterPoint Energy</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CERC</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CenterPoint Energy</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CERC</w:t>
            </w:r>
          </w:p>
        </w:tc>
      </w:tr>
      <w:tr>
        <w:trPr>
          <w:trHeight w:val="250"/>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collateral posted with the same counterparties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63</w:t>
            </w:r>
          </w:p>
        </w:tc>
      </w:tr>
      <w:tr>
        <w:trPr>
          <w:trHeight w:val="27"/>
        </w:trPr>
        <w:tc>
          <w:tcPr>
            <w:tcW w:w="5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are included in Prepaid expenses and other current assets in the Condensed Consolidated Balance Sheets.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gas derivatives include no material amounts related to physical forward transactions with Enable.</w:t>
      </w:r>
    </w:p>
    <w:p>
      <w:pPr>
        <w:spacing w:after="0" w:line="225"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Level 1 natural gas derivatives include exchange-traded derivatives cleared by the CME, which deems that financial instruments cleared by the CME are settled daily in connection with posted cash payments. As a result of this exchange rule, CME-related derivatives are considered to have no fair value at the balance sheet date for financial reporting purposes and are presented in Level 1 net of posted cash;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are classified as held for sale in the Registrants’ respective Condensed Consolidated Balance Sheets.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additional information about assets or liabilities, including derivatives that are measured at fair value on a recurring basis for which CenterPoint Energy and CERC have utilized Level 3 inputs to determine fair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w w:val="98"/>
              </w:rPr>
              <w:t>CenterPoint</w:t>
            </w:r>
          </w:p>
        </w:tc>
        <w:tc>
          <w:tcPr>
            <w:tcW w:w="80" w:type="dxa"/>
            <w:vAlign w:val="bottom"/>
          </w:tcPr>
          <w:p>
            <w:pPr>
              <w:spacing w:after="0"/>
              <w:rPr>
                <w:sz w:val="13"/>
                <w:szCs w:val="13"/>
                <w:color w:val="auto"/>
              </w:rPr>
            </w:pPr>
          </w:p>
        </w:tc>
        <w:tc>
          <w:tcPr>
            <w:tcW w:w="8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CERC</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CenterPoint</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Total gains (losses)</w:t>
            </w:r>
          </w:p>
        </w:tc>
        <w:tc>
          <w:tcPr>
            <w:tcW w:w="1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settlements</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Transfers into Level 3</w:t>
            </w:r>
          </w:p>
        </w:tc>
        <w:tc>
          <w:tcPr>
            <w:tcW w:w="160" w:type="dxa"/>
            <w:vAlign w:val="bottom"/>
          </w:tcPr>
          <w:p>
            <w:pPr>
              <w:spacing w:after="0"/>
              <w:rPr>
                <w:sz w:val="22"/>
                <w:szCs w:val="22"/>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out of Level 3</w:t>
            </w:r>
          </w:p>
        </w:tc>
        <w:tc>
          <w:tcPr>
            <w:tcW w:w="16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4"/>
                <w:szCs w:val="14"/>
                <w:color w:val="auto"/>
              </w:rPr>
              <w:t>Ending balance (1)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0140" w:type="dxa"/>
            <w:vAlign w:val="bottom"/>
            <w:gridSpan w:val="11"/>
          </w:tcPr>
          <w:p>
            <w:pPr>
              <w:ind w:left="40"/>
              <w:spacing w:after="0"/>
              <w:rPr>
                <w:sz w:val="20"/>
                <w:szCs w:val="20"/>
                <w:color w:val="auto"/>
              </w:rPr>
            </w:pPr>
            <w:r>
              <w:rPr>
                <w:rFonts w:ascii="Arial" w:cs="Arial" w:eastAsia="Arial" w:hAnsi="Arial"/>
                <w:sz w:val="14"/>
                <w:szCs w:val="14"/>
                <w:color w:val="auto"/>
                <w:w w:val="99"/>
              </w:rPr>
              <w:t>The amount of total gains for the period included in earnings attributable to the change in unrealized gains or losses relating to assets still held at the reporting date: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CenterPoint Energy and CERC did not have significant Level 3 purchases or sales during the three months ended March 31, 2020 or 2019. The Level 3 assets and liabilities as of March 31, 2020 and 2019 are classified in the CenterPoint Energy’s and CERC’s respective Condensed Consolidated Balance Sheets as held for 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the severity of the decline in Enable’s common unit price during the three months ended March 31, 2020 primarily due to the macroeconomic conditions related in part to the COVID-19 pandemic, combined with Enable’s announcement on April 1, 2020 to reduce its quarterly distributions per common unit by 50%, and the market outlook indicating excess supply and continued depressed crude oil and natural gas prices impacting the midstream oil and gas industry, CenterPoint Energy determined, in connection with its preparation of the financial statements, that an other than temporary decrease in the value of its investment in Enable had occurred. The impairment analysis compared the estimated fair value of CenterPoint Energy’s investment in Enable to its carrying value. The fair value of the investment was determined using multiple valuation methodologies under both the market and income approaches. Both of these approaches incorporate significant estimates and assumptions, including: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 Approach</w:t>
      </w:r>
    </w:p>
    <w:p>
      <w:pPr>
        <w:spacing w:after="0" w:line="225" w:lineRule="exact"/>
        <w:rPr>
          <w:sz w:val="20"/>
          <w:szCs w:val="20"/>
          <w:color w:val="auto"/>
        </w:rPr>
      </w:pPr>
    </w:p>
    <w:p>
      <w:pPr>
        <w:ind w:left="760" w:hanging="10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quoted price of Enable’s common units;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market transactions of comparable companies; and</w:t>
      </w:r>
    </w:p>
    <w:p>
      <w:pPr>
        <w:spacing w:after="0" w:line="225" w:lineRule="exact"/>
        <w:rPr>
          <w:rFonts w:ascii="Arial" w:cs="Arial" w:eastAsia="Arial" w:hAnsi="Arial"/>
          <w:sz w:val="18"/>
          <w:szCs w:val="18"/>
          <w:color w:val="auto"/>
        </w:rPr>
      </w:pPr>
    </w:p>
    <w:p>
      <w:pPr>
        <w:ind w:left="340" w:right="5800" w:firstLine="316"/>
        <w:spacing w:after="0" w:line="500" w:lineRule="auto"/>
        <w:tabs>
          <w:tab w:leader="none" w:pos="7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EBITDA to total enterprise multiples for comparable companies. </w:t>
      </w:r>
      <w:r>
        <w:rPr>
          <w:rFonts w:ascii="Arial" w:cs="Arial" w:eastAsia="Arial" w:hAnsi="Arial"/>
          <w:sz w:val="18"/>
          <w:szCs w:val="18"/>
          <w:u w:val="single" w:color="auto"/>
          <w:color w:val="auto"/>
        </w:rPr>
        <w:t>Income Approach</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Enable’s forecasted cash distributions;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projected cash flows of incentive distribution rights;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forecasted growth rate of Enable’s cash distributions; and</w:t>
      </w:r>
    </w:p>
    <w:p>
      <w:pPr>
        <w:spacing w:after="0" w:line="225" w:lineRule="exact"/>
        <w:rPr>
          <w:rFonts w:ascii="Arial" w:cs="Arial" w:eastAsia="Arial" w:hAnsi="Arial"/>
          <w:sz w:val="18"/>
          <w:szCs w:val="18"/>
          <w:color w:val="auto"/>
        </w:rPr>
      </w:pPr>
    </w:p>
    <w:p>
      <w:pPr>
        <w:ind w:left="340" w:right="5560" w:firstLine="316"/>
        <w:spacing w:after="0" w:line="500" w:lineRule="auto"/>
        <w:tabs>
          <w:tab w:leader="none" w:pos="7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determination of the cost of equity, including market risk premiums. </w:t>
      </w:r>
      <w:r>
        <w:rPr>
          <w:rFonts w:ascii="Arial" w:cs="Arial" w:eastAsia="Arial" w:hAnsi="Arial"/>
          <w:sz w:val="18"/>
          <w:szCs w:val="18"/>
          <w:u w:val="single" w:color="auto"/>
          <w:color w:val="auto"/>
        </w:rPr>
        <w:t>Weighting of the Different Approaches</w:t>
      </w:r>
    </w:p>
    <w:p>
      <w:pPr>
        <w:spacing w:after="0" w:line="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unobservable inputs used include the growth rate applied to the projected cash distributions beyond 2020 and the discount rate used to determine the present value of the estimated future cash flows. Based on the significant unobservable estimates and assumptions required, CenterPoint Energy concluded that the fair value estimate should be classified as a Level 3 measurement within the fair value hierarchy. As a result of this analysis, CenterPoint Energy recorded an other than temporary impairment on its investment in Enable of $1,541 million, reducing the fair value of the investment to $848 million. See Note 9 for further discussion of the impairment.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2020, CenterPoint Energy recorded a goodwill impairment charge of $185 million in the Indiana Electric Integrated reporting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further information.</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recognized a goodwill impairment charge of $82 million upon classifying the Infrastructure Services Disposal Group as held for sale and CenterPoint Energy and CERC recognized a goodwill impairment charge of approximately $62 million and a loss on assets held for sale of approximately $70 million upon classifying the Energy Services Disposal Group as held for sale. Using a market approach, the fair value of the Infrastructure Services Disposal Group as of March 31, 2020 is determined to be approximately $864 million and the fair value of the Energy Services Disposal Group as of March 31, 2020 is determined to be approximately $402 million. For both Disposal Groups, CenterPoint Energy and CERC, as applicable, used the contractual sales price adjusted for estimated working capital, and other contractual purchase price adjustments, which are Level 2 inputs. See Note 3 for further information.</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values of cash and cash equivalents, investments in debt and equity securities classified as “trading”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6"/>
                <w:szCs w:val="16"/>
                <w:color w:val="auto"/>
              </w:rPr>
            </w:pP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8"/>
              <w:spacing w:after="0" w:line="153" w:lineRule="exact"/>
              <w:rPr>
                <w:sz w:val="20"/>
                <w:szCs w:val="20"/>
                <w:color w:val="auto"/>
              </w:rPr>
            </w:pPr>
            <w:r>
              <w:rPr>
                <w:rFonts w:ascii="Arial" w:cs="Arial" w:eastAsia="Arial" w:hAnsi="Arial"/>
                <w:sz w:val="14"/>
                <w:szCs w:val="14"/>
                <w:b w:val="1"/>
                <w:bCs w:val="1"/>
                <w:color w:val="auto"/>
              </w:rPr>
              <w:t>Carrying</w:t>
            </w:r>
          </w:p>
        </w:tc>
        <w:tc>
          <w:tcPr>
            <w:tcW w:w="580" w:type="dxa"/>
            <w:vAlign w:val="bottom"/>
          </w:tcPr>
          <w:p>
            <w:pPr>
              <w:spacing w:after="0"/>
              <w:rPr>
                <w:sz w:val="13"/>
                <w:szCs w:val="13"/>
                <w:color w:val="auto"/>
              </w:rPr>
            </w:pPr>
          </w:p>
        </w:tc>
        <w:tc>
          <w:tcPr>
            <w:tcW w:w="108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3"/>
                <w:szCs w:val="13"/>
                <w:color w:val="auto"/>
              </w:rPr>
            </w:pPr>
          </w:p>
        </w:tc>
        <w:tc>
          <w:tcPr>
            <w:tcW w:w="108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44"/>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15,238</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15,093</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16,067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Houston Electric</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4,888</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4,950</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5,457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CERC</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2,377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2,546</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2,803</w:t>
            </w:r>
          </w:p>
        </w:tc>
      </w:tr>
      <w:tr>
        <w:trPr>
          <w:trHeight w:val="432"/>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58"/>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Includes Securitization Bonds debt.</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Affiliates (CenterPoint Energy and CERC)</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March 31, 2020, CenterPoint Energy’s maximum exposure to loss related to Enable is limited to its investment in unconsolidated affiliate, its investment in Enable Series A Preferred Units and outstanding current accounts receivable from Enable.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Unconsolidated Affiliates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7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Enable</w:t>
            </w:r>
          </w:p>
        </w:tc>
        <w:tc>
          <w:tcPr>
            <w:tcW w:w="1480" w:type="dxa"/>
            <w:vAlign w:val="bottom"/>
            <w:tcBorders>
              <w:bottom w:val="single" w:sz="8" w:color="CCEEFF"/>
            </w:tcBorders>
            <w:shd w:val="clear" w:color="auto" w:fill="CCEEFF"/>
          </w:tcPr>
          <w:p>
            <w:pPr>
              <w:jc w:val="right"/>
              <w:ind w:right="12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848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21"/>
                <w:szCs w:val="21"/>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12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850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2,408</w:t>
            </w:r>
          </w:p>
        </w:tc>
      </w:tr>
      <w:tr>
        <w:trPr>
          <w:trHeight w:val="20"/>
        </w:trPr>
        <w:tc>
          <w:tcPr>
            <w:tcW w:w="7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CenterPoint Energy evaluates its equity method investments for impairment when factors indicate that a decrease in the value of its investment has occurred and the carrying amount of its investment may not be recoverable. An impairment loss, based on the excess of the carrying value over the estimated fair value of the investment, is recognized in earnings when an impairment is deemed to be other than temporary. Considerable judgment is used in determining if an impairment loss is other than temporary and the amount of any impairment. Based on the severity of the decline in Enable’s common unit price during the three months ended March 31, 2020 due to the macroeconomic conditions related in part to the COVID-19 pandemic, combined with Enable’s announcement on April 1, 2020 to reduce its quarterly distributions per common unit by 50%, and the market outlook indicating excess supply of crude oil and natural gas and continued depressed crude oil and natural gas prices impacting the midstream oil and gas industry, CenterPoint Energy determined, in connection with its preparation of the financial statements, that an other than temporary decrease in the value of its investment in Enable had occurred. CenterPoint Energy wrote down the value of its investment in Enable to its estimated fair value of $848 million and recognized an impairment charge of $1,541 million during the three months ended March 31, 2020. Both the income approach and market approach were utilized to estimate the fair value of CenterPoint Energy’s equity investment in Enable, which includes common units, general partner interest and incentive distribution rights held by CenterPoint Energy through CNP Midstream. The determination of fair value considered a number of relevant factors including Enable’s common unit price and forecasted distributions, recent comparable transactions and the limited float of Enable’s publicly traded common units. See Note 8 for further discussion of the determination of fair value of CenterPoint Energy’s investment in Enable.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Earnings of Unconsolidated Affiliates, net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263"/>
        </w:trPr>
        <w:tc>
          <w:tcPr>
            <w:tcW w:w="80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50"/>
        </w:trPr>
        <w:tc>
          <w:tcPr>
            <w:tcW w:w="8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Enable</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(1,475)</w:t>
            </w: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recognized a loss of $1,475 million from its investment in Enable for the three months ended March 31, 2020. This loss included an impairment charge on its investment in Enable of $1,541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Limited Partner Interest and Units Held in Enable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March 31, 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Limited Partner Interest</w:t>
            </w:r>
          </w:p>
        </w:tc>
        <w:tc>
          <w:tcPr>
            <w:tcW w:w="16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Common Units </w:t>
            </w:r>
            <w:r>
              <w:rPr>
                <w:rFonts w:ascii="Arial" w:cs="Arial" w:eastAsia="Arial" w:hAnsi="Arial"/>
                <w:sz w:val="10"/>
                <w:szCs w:val="10"/>
                <w:b w:val="1"/>
                <w:bCs w:val="1"/>
                <w:color w:val="auto"/>
              </w:rPr>
              <w:t>(2)</w:t>
            </w:r>
          </w:p>
        </w:tc>
        <w:tc>
          <w:tcPr>
            <w:tcW w:w="1560" w:type="dxa"/>
            <w:vAlign w:val="bottom"/>
          </w:tcPr>
          <w:p>
            <w:pPr>
              <w:jc w:val="right"/>
              <w:ind w:right="216"/>
              <w:spacing w:after="0"/>
              <w:rPr>
                <w:sz w:val="20"/>
                <w:szCs w:val="20"/>
                <w:color w:val="auto"/>
              </w:rPr>
            </w:pPr>
            <w:r>
              <w:rPr>
                <w:rFonts w:ascii="Arial" w:cs="Arial" w:eastAsia="Arial" w:hAnsi="Arial"/>
                <w:sz w:val="14"/>
                <w:szCs w:val="14"/>
                <w:b w:val="1"/>
                <w:bCs w:val="1"/>
                <w:color w:val="auto"/>
              </w:rPr>
              <w:t>Enable Series A</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1660" w:type="dxa"/>
            <w:vAlign w:val="bottom"/>
          </w:tcPr>
          <w:p>
            <w:pPr>
              <w:jc w:val="right"/>
              <w:ind w:right="679"/>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60" w:type="dxa"/>
            <w:vAlign w:val="bottom"/>
          </w:tcPr>
          <w:p>
            <w:pPr>
              <w:jc w:val="right"/>
              <w:ind w:right="136"/>
              <w:spacing w:after="0"/>
              <w:rPr>
                <w:sz w:val="20"/>
                <w:szCs w:val="20"/>
                <w:color w:val="auto"/>
              </w:rPr>
            </w:pPr>
            <w:r>
              <w:rPr>
                <w:rFonts w:ascii="Arial" w:cs="Arial" w:eastAsia="Arial" w:hAnsi="Arial"/>
                <w:sz w:val="14"/>
                <w:szCs w:val="14"/>
                <w:b w:val="1"/>
                <w:bCs w:val="1"/>
                <w:color w:val="auto"/>
              </w:rPr>
              <w:t xml:space="preserve">Preferred Units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243"/>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233,856,623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OGE</w:t>
            </w:r>
          </w:p>
        </w:tc>
        <w:tc>
          <w:tcPr>
            <w:tcW w:w="16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110,982,805</w:t>
            </w:r>
          </w:p>
        </w:tc>
        <w:tc>
          <w:tcPr>
            <w:tcW w:w="1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unitholders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90,604,066</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40" w:type="dxa"/>
            <w:vAlign w:val="bottom"/>
          </w:tcPr>
          <w:p>
            <w:pPr>
              <w:ind w:left="400"/>
              <w:spacing w:after="0"/>
              <w:rPr>
                <w:sz w:val="20"/>
                <w:szCs w:val="20"/>
                <w:color w:val="auto"/>
              </w:rPr>
            </w:pPr>
            <w:r>
              <w:rPr>
                <w:rFonts w:ascii="Arial" w:cs="Arial" w:eastAsia="Arial" w:hAnsi="Arial"/>
                <w:sz w:val="18"/>
                <w:szCs w:val="18"/>
                <w:color w:val="auto"/>
              </w:rPr>
              <w:t>Total units outstanding</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435,443,494</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the Enable Series A Preferred Units owned by CenterPoint Energy.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Held indirectly through CNP Midstream by CenterPoint Energy.</w:t>
      </w:r>
    </w:p>
    <w:p>
      <w:pPr>
        <w:spacing w:after="0" w:line="225" w:lineRule="exact"/>
        <w:rPr>
          <w:rFonts w:ascii="Arial" w:cs="Arial" w:eastAsia="Arial" w:hAnsi="Arial"/>
          <w:sz w:val="18"/>
          <w:szCs w:val="18"/>
          <w:color w:val="auto"/>
        </w:rPr>
      </w:pPr>
    </w:p>
    <w:p>
      <w:pPr>
        <w:ind w:left="980" w:hanging="648"/>
        <w:spacing w:after="0" w:line="311" w:lineRule="auto"/>
        <w:tabs>
          <w:tab w:leader="none" w:pos="6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carrying amount of the Enable Series A Preferred Units, reflected as Preferred units - unconsolidated affiliate on CenterPoint Energy’s Condensed Consolidated Balance Sheets, was $363 million as of March 31, 2020 and $363 million as of December 31, 2019. No impairment charges or adjustment due to observable price changes were required or recorded during the current or prior reporting periods.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Interests Held in Enable GP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1344"/>
              <w:spacing w:after="0"/>
              <w:rPr>
                <w:sz w:val="20"/>
                <w:szCs w:val="20"/>
                <w:color w:val="auto"/>
              </w:rPr>
            </w:pPr>
            <w:r>
              <w:rPr>
                <w:rFonts w:ascii="Arial" w:cs="Arial" w:eastAsia="Arial" w:hAnsi="Arial"/>
                <w:sz w:val="14"/>
                <w:szCs w:val="14"/>
                <w:b w:val="1"/>
                <w:bCs w:val="1"/>
                <w:color w:val="auto"/>
              </w:rPr>
              <w:t>March 31, 2020</w:t>
            </w:r>
          </w:p>
        </w:tc>
      </w:tr>
      <w:tr>
        <w:trPr>
          <w:trHeight w:val="175"/>
        </w:trPr>
        <w:tc>
          <w:tcPr>
            <w:tcW w:w="7420" w:type="dxa"/>
            <w:vAlign w:val="bottom"/>
          </w:tcPr>
          <w:p>
            <w:pPr>
              <w:spacing w:after="0"/>
              <w:rPr>
                <w:sz w:val="15"/>
                <w:szCs w:val="15"/>
                <w:color w:val="auto"/>
              </w:rPr>
            </w:pPr>
          </w:p>
        </w:tc>
        <w:tc>
          <w:tcPr>
            <w:tcW w:w="1380" w:type="dxa"/>
            <w:vAlign w:val="bottom"/>
          </w:tcPr>
          <w:p>
            <w:pPr>
              <w:jc w:val="center"/>
              <w:ind w:left="388"/>
              <w:spacing w:after="0"/>
              <w:rPr>
                <w:sz w:val="20"/>
                <w:szCs w:val="20"/>
                <w:color w:val="auto"/>
              </w:rPr>
            </w:pPr>
            <w:r>
              <w:rPr>
                <w:rFonts w:ascii="Arial" w:cs="Arial" w:eastAsia="Arial" w:hAnsi="Arial"/>
                <w:sz w:val="14"/>
                <w:szCs w:val="14"/>
                <w:b w:val="1"/>
                <w:bCs w:val="1"/>
                <w:color w:val="auto"/>
                <w:w w:val="93"/>
              </w:rPr>
              <w:t>Management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w w:val="94"/>
              </w:rPr>
              <w:t>Incentive Distribution Rights</w:t>
            </w:r>
          </w:p>
        </w:tc>
      </w:tr>
      <w:tr>
        <w:trPr>
          <w:trHeight w:val="175"/>
        </w:trPr>
        <w:tc>
          <w:tcPr>
            <w:tcW w:w="74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3"/>
              </w:rPr>
              <w:t xml:space="preserve">Rights </w:t>
            </w:r>
            <w:r>
              <w:rPr>
                <w:rFonts w:ascii="Arial" w:cs="Arial" w:eastAsia="Arial" w:hAnsi="Arial"/>
                <w:sz w:val="10"/>
                <w:szCs w:val="10"/>
                <w:b w:val="1"/>
                <w:bCs w:val="1"/>
                <w:color w:val="auto"/>
                <w:w w:val="93"/>
              </w:rPr>
              <w:t>(1)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right"/>
              <w:ind w:right="784"/>
              <w:spacing w:after="0"/>
              <w:rPr>
                <w:sz w:val="20"/>
                <w:szCs w:val="20"/>
                <w:color w:val="auto"/>
              </w:rPr>
            </w:pPr>
            <w:r>
              <w:rPr>
                <w:rFonts w:ascii="Arial" w:cs="Arial" w:eastAsia="Arial" w:hAnsi="Arial"/>
                <w:sz w:val="11"/>
                <w:szCs w:val="11"/>
                <w:b w:val="1"/>
                <w:bCs w:val="1"/>
                <w:color w:val="auto"/>
              </w:rPr>
              <w:t>(2)</w:t>
            </w: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OGE</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45" w:lineRule="exact"/>
        <w:rPr>
          <w:sz w:val="20"/>
          <w:szCs w:val="20"/>
          <w:color w:val="auto"/>
        </w:rPr>
      </w:pPr>
    </w:p>
    <w:p>
      <w:pPr>
        <w:ind w:left="980" w:hanging="648"/>
        <w:spacing w:after="0" w:line="263" w:lineRule="auto"/>
        <w:tabs>
          <w:tab w:leader="none" w:pos="6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spacing w:after="0" w:line="183" w:lineRule="exact"/>
        <w:rPr>
          <w:rFonts w:ascii="Arial" w:cs="Arial" w:eastAsia="Arial" w:hAnsi="Arial"/>
          <w:sz w:val="18"/>
          <w:szCs w:val="18"/>
          <w:color w:val="auto"/>
        </w:rPr>
      </w:pPr>
    </w:p>
    <w:p>
      <w:pPr>
        <w:ind w:left="980" w:hanging="648"/>
        <w:spacing w:after="0" w:line="291" w:lineRule="auto"/>
        <w:tabs>
          <w:tab w:leader="none" w:pos="6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Enable previously expected to pay a minimum quarterly distribution of $0.2875 per common unit on its outstanding common units to the extent it has sufficient cash from operations after establishment of cash reserves and payment of fees and expenses, including payments to Enable GP and its affiliates, within 60 days after the end of each quarter. 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166"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Distributions Received from Enable (CenterPoint Energy):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9"/>
              </w:rPr>
              <w:t>2019</w:t>
            </w:r>
          </w:p>
        </w:tc>
        <w:tc>
          <w:tcPr>
            <w:tcW w:w="1300" w:type="dxa"/>
            <w:vAlign w:val="bottom"/>
            <w:tcBorders>
              <w:bottom w:val="single" w:sz="8" w:color="auto"/>
            </w:tcBorders>
          </w:tcPr>
          <w:p>
            <w:pPr>
              <w:spacing w:after="0"/>
              <w:rPr>
                <w:sz w:val="22"/>
                <w:szCs w:val="22"/>
                <w:color w:val="auto"/>
              </w:rPr>
            </w:pPr>
          </w:p>
        </w:tc>
      </w:tr>
      <w:tr>
        <w:trPr>
          <w:trHeight w:val="263"/>
        </w:trPr>
        <w:tc>
          <w:tcPr>
            <w:tcW w:w="5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Per Unit</w:t>
            </w: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4"/>
              </w:rPr>
              <w:t>Cash Distribution</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Per Unit</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4"/>
              </w:rPr>
              <w:t>Cash Distribution</w:t>
            </w:r>
          </w:p>
        </w:tc>
      </w:tr>
      <w:tr>
        <w:trPr>
          <w:trHeight w:val="283"/>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Enable common units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0.3305</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0.3180</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Enable Series A Preferred Units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0.6250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0.6250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9</w:t>
            </w:r>
          </w:p>
        </w:tc>
      </w:tr>
      <w:tr>
        <w:trPr>
          <w:trHeight w:val="33"/>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0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CenterPoint Energy</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On April 1, 2020, Enable announced a 50% reduction in its quarterly distribution per common unit from $0.3305 to $0.16525.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transactions with Enable in the following tables exclude transactions with the Energy Services Disposal Group, which are now reflected as discontinued operations and liabilities held for sale.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3"/>
        </w:trPr>
        <w:tc>
          <w:tcPr>
            <w:tcW w:w="7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44"/>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21"/>
                <w:szCs w:val="21"/>
                <w:color w:val="auto"/>
              </w:rPr>
            </w:pPr>
          </w:p>
        </w:tc>
      </w:tr>
      <w:tr>
        <w:trPr>
          <w:trHeight w:val="255"/>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expenses, includes transportation and storage costs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CERC</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expenses, includes transportation and storage costs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831"/>
        </w:trPr>
        <w:tc>
          <w:tcPr>
            <w:tcW w:w="7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1"/>
              </w:rPr>
              <w:t>December 31, 2019</w:t>
            </w:r>
          </w:p>
        </w:tc>
      </w:tr>
      <w:tr>
        <w:trPr>
          <w:trHeight w:val="244"/>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4"/>
              </w:rPr>
              <w:t>(in millions)</w:t>
            </w:r>
          </w:p>
        </w:tc>
      </w:tr>
      <w:tr>
        <w:trPr>
          <w:trHeight w:val="255"/>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for natural gas purchases from Enable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CERC</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for natural gas purchases from Enable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648"/>
        </w:trPr>
        <w:tc>
          <w:tcPr>
            <w:tcW w:w="7540" w:type="dxa"/>
            <w:vAlign w:val="bottom"/>
          </w:tcPr>
          <w:p>
            <w:pPr>
              <w:ind w:left="340"/>
              <w:spacing w:after="0"/>
              <w:rPr>
                <w:sz w:val="20"/>
                <w:szCs w:val="20"/>
                <w:color w:val="auto"/>
              </w:rPr>
            </w:pPr>
            <w:r>
              <w:rPr>
                <w:rFonts w:ascii="Arial" w:cs="Arial" w:eastAsia="Arial" w:hAnsi="Arial"/>
                <w:sz w:val="18"/>
                <w:szCs w:val="18"/>
                <w:color w:val="auto"/>
              </w:rPr>
              <w:t>Summarized unaudited consolidated income information for Enable is as follows:</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9"/>
        </w:trPr>
        <w:tc>
          <w:tcPr>
            <w:tcW w:w="7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50"/>
        </w:trPr>
        <w:tc>
          <w:tcPr>
            <w:tcW w:w="7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378</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 and long-lived assets impairments</w:t>
            </w:r>
          </w:p>
        </w:tc>
        <w:tc>
          <w:tcPr>
            <w:tcW w:w="28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income attributable to Enable common units</w:t>
            </w:r>
          </w:p>
        </w:tc>
        <w:tc>
          <w:tcPr>
            <w:tcW w:w="28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Equity in Earnings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CenterPoint Energy’s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61</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Basis difference amortization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Loss on dilution, net of proportional basis difference recognition</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CenterPoint Energy’s equity method investment in Enable</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CenterPoint Energy’s equity in earnings,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original investment in Enable and its underlying equity in net assets of Enable. The basis difference is being amortized through the year 2048.</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balance sheet information for Enable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7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11,877</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4,077</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Preferred equity</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362</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Enable partners’ equity</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7,013</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Investment in Enable:</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CenterPoint Energy’s ownership interest in Enable partners’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3,767</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Energy’s basis difference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CenterPoint Energy’s equity method investment in Enable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2,406</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Includes the impairment of CenterPoint Energy’s equity method investment in Enable of $1,541 million recorded during the three months ended March 31, 2020. The basis difference is being amortized through the year 2048.</w:t>
      </w:r>
    </w:p>
    <w:p>
      <w:pPr>
        <w:spacing w:after="0" w:line="166"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(CenterPoint Energy and CERC)</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and intangible assets related to the Infrastructure Services and Energy Services Disposal Groups are classified as held for sale on CenterPoint Energy’s and CERC’s respective Condensed Consolidated Balance Sheets, as applicable, and are excluded from the tabular disclosures below. See Note 3 for further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goodwill by reportable segment as of March 31, 2020 and December 31, 2019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4"/>
                <w:szCs w:val="14"/>
                <w:color w:val="auto"/>
              </w:rPr>
            </w:pPr>
          </w:p>
        </w:tc>
        <w:tc>
          <w:tcPr>
            <w:tcW w:w="16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Impairment</w:t>
            </w:r>
          </w:p>
        </w:tc>
        <w:tc>
          <w:tcPr>
            <w:tcW w:w="340" w:type="dxa"/>
            <w:vAlign w:val="bottom"/>
          </w:tcPr>
          <w:p>
            <w:pPr>
              <w:spacing w:after="0"/>
              <w:rPr>
                <w:sz w:val="14"/>
                <w:szCs w:val="14"/>
                <w:color w:val="auto"/>
              </w:rPr>
            </w:pPr>
          </w:p>
        </w:tc>
        <w:tc>
          <w:tcPr>
            <w:tcW w:w="1460" w:type="dxa"/>
            <w:vAlign w:val="bottom"/>
          </w:tcPr>
          <w:p>
            <w:pPr>
              <w:jc w:val="right"/>
              <w:ind w:right="51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 Electric Integrated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Arial" w:cs="Arial" w:eastAsia="Arial" w:hAnsi="Arial"/>
                <w:sz w:val="18"/>
                <w:szCs w:val="18"/>
                <w:color w:val="auto"/>
              </w:rPr>
              <w:t>Natural Gas Distribution</w:t>
            </w:r>
          </w:p>
        </w:tc>
        <w:tc>
          <w:tcPr>
            <w:tcW w:w="2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57"/>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CERC’s goodwill by reportable segment as of March 31, 2020 and December 31, 2019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8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Distribution</w:t>
            </w:r>
          </w:p>
        </w:tc>
        <w:tc>
          <w:tcPr>
            <w:tcW w:w="140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400" w:type="dxa"/>
            <w:vAlign w:val="bottom"/>
          </w:tcPr>
          <w:p>
            <w:pPr>
              <w:spacing w:after="0"/>
              <w:rPr>
                <w:sz w:val="21"/>
                <w:szCs w:val="21"/>
                <w:color w:val="auto"/>
              </w:rPr>
            </w:pPr>
          </w:p>
        </w:tc>
        <w:tc>
          <w:tcPr>
            <w:tcW w:w="4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1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0"/>
        </w:trPr>
        <w:tc>
          <w:tcPr>
            <w:tcW w:w="75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reporting units approximate the reportable segments, with the exception of ESG, which is a separate reporting unit but included in CenterPoint Energy’s Corporate and Other. The estimated fair value of the reporting unit is primarily determined based on an income approach or a weighted combination of income and market approaches. If the carrying amount is in excess of the estimated fair value of the reporting unit, then the excess amount is the impairment charge that should be recorded, not to exceed the carrying amount of goodwill.</w:t>
      </w: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their preparation of the financial statements for the three months ended March 31, 2020, CenterPoint Energy and CERC identified triggering events to perform interim goodwill impairment tests for each of their reporting units due to the macroeconomic conditions related in part to the COVID-19 pandemic and the resulting decrease in CenterPoint Energy’s enterprise market capitalization below book value from the decline in CenterPoint Energy’s common stock price.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CenterPoint Energy’s interim impairment test in the first quarter of 2020 resulted in a non-cash goodwill impairment charge</w:t>
      </w:r>
    </w:p>
    <w:p>
      <w:pPr>
        <w:spacing w:after="0" w:line="23" w:lineRule="exact"/>
        <w:rPr>
          <w:sz w:val="20"/>
          <w:szCs w:val="20"/>
          <w:color w:val="auto"/>
        </w:rPr>
      </w:pPr>
    </w:p>
    <w:p>
      <w:pPr>
        <w:jc w:val="both"/>
        <w:ind w:left="40"/>
        <w:spacing w:after="0" w:line="255" w:lineRule="auto"/>
        <w:rPr>
          <w:sz w:val="20"/>
          <w:szCs w:val="20"/>
          <w:color w:val="auto"/>
        </w:rPr>
      </w:pPr>
      <w:r>
        <w:rPr>
          <w:rFonts w:ascii="Arial" w:cs="Arial" w:eastAsia="Arial" w:hAnsi="Arial"/>
          <w:sz w:val="18"/>
          <w:szCs w:val="18"/>
          <w:color w:val="auto"/>
        </w:rPr>
        <w:t>in the amount of $185 million for the Indiana Electric Integrated reportable segment. The Indiana Electric Integrated reporting unit fair value analysis resulted in an implied fair value of goodwill of $936 million for this reporting unit, and as a result, the non-cash impairment charge was recorded in the three months ended March 31, 2020.</w:t>
      </w:r>
    </w:p>
    <w:p>
      <w:pPr>
        <w:spacing w:after="0" w:line="190" w:lineRule="exact"/>
        <w:rPr>
          <w:sz w:val="20"/>
          <w:szCs w:val="20"/>
          <w:color w:val="auto"/>
        </w:rPr>
      </w:pPr>
    </w:p>
    <w:p>
      <w:pPr>
        <w:jc w:val="both"/>
        <w:ind w:left="40" w:firstLine="324"/>
        <w:spacing w:after="0" w:line="257" w:lineRule="auto"/>
        <w:rPr>
          <w:sz w:val="20"/>
          <w:szCs w:val="20"/>
          <w:color w:val="auto"/>
        </w:rPr>
      </w:pPr>
      <w:r>
        <w:rPr>
          <w:rFonts w:ascii="Arial" w:cs="Arial" w:eastAsia="Arial" w:hAnsi="Arial"/>
          <w:sz w:val="18"/>
          <w:szCs w:val="18"/>
          <w:color w:val="auto"/>
        </w:rPr>
        <w:t>CenterPoint Energy estimated the value of the Indiana Electric Integrated reporting unit using primarily an income approach. Under the income approach, the fair value of the reporting unit is determined by using the present value of future expected cash flows, which include management’s projections of the amount and timing of future capital expenditures and the cash inflows from the related regulatory recovery. These estimated future cash flows are then discounted using a rate that approximates the weighted average cost of capital of a market participant. The selection of the discount rate requires significant judgment.</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 the exception of Indiana Electric Integrated discussed above, the fair value of each of CenterPoint Energy’s and CERC’s reporting units exceeded their carrying value, resulting in no goodwill impairment from the March 31, 2020 interim impairment test. See Note 3 for goodwill impairments included within discontinued operations.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tables below present information on CenterPoint Energy’s other intangible assets recorded in Other non-current assets on CenterPoint Energy’s Condensed Consolidated Balance Sheets and the related amortization expense included in Depreciation and amortization on CenterPoint Energy’s Condensed Statements of Consolidated Income,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December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263"/>
        </w:trPr>
        <w:tc>
          <w:tcPr>
            <w:tcW w:w="8220" w:type="dxa"/>
            <w:vAlign w:val="bottom"/>
          </w:tcPr>
          <w:p>
            <w:pPr>
              <w:spacing w:after="0"/>
              <w:rPr>
                <w:sz w:val="22"/>
                <w:szCs w:val="22"/>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r>
      <w:tr>
        <w:trPr>
          <w:trHeight w:val="250"/>
        </w:trPr>
        <w:tc>
          <w:tcPr>
            <w:tcW w:w="8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40" w:type="dxa"/>
            <w:vAlign w:val="bottom"/>
            <w:gridSpan w:val="3"/>
          </w:tcPr>
          <w:p>
            <w:pPr>
              <w:jc w:val="right"/>
              <w:ind w:right="71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of intangible assets recorded in Depreciation and amortization</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w w:val="98"/>
              </w:rPr>
              <w:t>Amortization expense of intangible assets recorded in Non-utility cost of revenues, including natural gas</w:t>
            </w:r>
          </w:p>
        </w:tc>
        <w:tc>
          <w:tcPr>
            <w:tcW w:w="980" w:type="dxa"/>
            <w:vAlign w:val="bottom"/>
          </w:tcPr>
          <w:p>
            <w:pPr>
              <w:spacing w:after="0"/>
              <w:rPr>
                <w:sz w:val="21"/>
                <w:szCs w:val="21"/>
                <w:color w:val="auto"/>
              </w:rPr>
            </w:pP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796"/>
        </w:trPr>
        <w:tc>
          <w:tcPr>
            <w:tcW w:w="8220" w:type="dxa"/>
            <w:vAlign w:val="bottom"/>
          </w:tcPr>
          <w:p>
            <w:pPr>
              <w:jc w:val="right"/>
              <w:ind w:right="2410"/>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be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43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nine months of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6</w:t>
            </w:r>
          </w:p>
        </w:tc>
      </w:tr>
      <w:tr>
        <w:trPr>
          <w:trHeight w:val="27"/>
        </w:trPr>
        <w:tc>
          <w:tcPr>
            <w:tcW w:w="9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6</w:t>
            </w:r>
          </w:p>
        </w:tc>
      </w:tr>
      <w:tr>
        <w:trPr>
          <w:trHeight w:val="27"/>
        </w:trPr>
        <w:tc>
          <w:tcPr>
            <w:tcW w:w="9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Indexed Debt Securities (ZENS) and Securities Related to ZENS (CenterPoint Energy)</w:t>
      </w:r>
    </w:p>
    <w:p>
      <w:pPr>
        <w:spacing w:after="0" w:line="229" w:lineRule="exact"/>
        <w:rPr>
          <w:rFonts w:ascii="Arial" w:cs="Arial" w:eastAsia="Arial" w:hAnsi="Arial"/>
          <w:sz w:val="18"/>
          <w:szCs w:val="18"/>
          <w:b w:val="1"/>
          <w:bCs w:val="1"/>
          <w:color w:val="auto"/>
        </w:rPr>
      </w:pPr>
    </w:p>
    <w:p>
      <w:pPr>
        <w:ind w:left="420" w:hanging="250"/>
        <w:spacing w:after="0"/>
        <w:tabs>
          <w:tab w:leader="none" w:pos="420"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Securities Related to ZENS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subsidiary of CenterPoint Energy holds shares of certain securities detailed in the table below, which are classified as trading securities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Shares Held</w:t>
            </w:r>
          </w:p>
        </w:tc>
      </w:tr>
      <w:tr>
        <w:trPr>
          <w:trHeight w:val="217"/>
        </w:trPr>
        <w:tc>
          <w:tcPr>
            <w:tcW w:w="7540" w:type="dxa"/>
            <w:vAlign w:val="bottom"/>
          </w:tcPr>
          <w:p>
            <w:pPr>
              <w:spacing w:after="0"/>
              <w:rPr>
                <w:sz w:val="18"/>
                <w:szCs w:val="18"/>
                <w:color w:val="auto"/>
              </w:rPr>
            </w:pP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 2020</w:t>
            </w:r>
          </w:p>
        </w:tc>
        <w:tc>
          <w:tcPr>
            <w:tcW w:w="178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 2019</w:t>
            </w:r>
          </w:p>
        </w:tc>
      </w:tr>
      <w:tr>
        <w:trPr>
          <w:trHeight w:val="53"/>
        </w:trPr>
        <w:tc>
          <w:tcPr>
            <w:tcW w:w="754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Common</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10,212,945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10,212,945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Charter Common</w:t>
            </w:r>
          </w:p>
        </w:tc>
        <w:tc>
          <w:tcPr>
            <w:tcW w:w="1800" w:type="dxa"/>
            <w:vAlign w:val="bottom"/>
          </w:tcPr>
          <w:p>
            <w:pPr>
              <w:jc w:val="right"/>
              <w:ind w:right="39"/>
              <w:spacing w:after="0"/>
              <w:rPr>
                <w:sz w:val="20"/>
                <w:szCs w:val="20"/>
                <w:color w:val="auto"/>
              </w:rPr>
            </w:pPr>
            <w:r>
              <w:rPr>
                <w:rFonts w:ascii="Arial" w:cs="Arial" w:eastAsia="Arial" w:hAnsi="Arial"/>
                <w:sz w:val="18"/>
                <w:szCs w:val="18"/>
                <w:color w:val="auto"/>
              </w:rPr>
              <w:t>872,503</w:t>
            </w:r>
          </w:p>
        </w:tc>
        <w:tc>
          <w:tcPr>
            <w:tcW w:w="12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872,503</w:t>
            </w:r>
          </w:p>
        </w:tc>
      </w:tr>
    </w:tbl>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ZENS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1999, CenterPoint Energy issued ZENS having an original principal amount of $1.0 billion of which $828 million remained outstanding as of March 31, 2020.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March 31, 2020</w:t>
            </w:r>
          </w:p>
        </w:tc>
        <w:tc>
          <w:tcPr>
            <w:tcW w:w="15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75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5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Common</w:t>
            </w:r>
          </w:p>
        </w:tc>
        <w:tc>
          <w:tcPr>
            <w:tcW w:w="22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8"/>
                <w:szCs w:val="18"/>
                <w:color w:val="auto"/>
              </w:rPr>
              <w:t>0.7185</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0.7185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Charter Common</w:t>
            </w:r>
          </w:p>
        </w:tc>
        <w:tc>
          <w:tcPr>
            <w:tcW w:w="2200" w:type="dxa"/>
            <w:vAlign w:val="bottom"/>
          </w:tcPr>
          <w:p>
            <w:pPr>
              <w:jc w:val="right"/>
              <w:ind w:right="439"/>
              <w:spacing w:after="0"/>
              <w:rPr>
                <w:sz w:val="20"/>
                <w:szCs w:val="20"/>
                <w:color w:val="auto"/>
              </w:rPr>
            </w:pPr>
            <w:r>
              <w:rPr>
                <w:rFonts w:ascii="Arial" w:cs="Arial" w:eastAsia="Arial" w:hAnsi="Arial"/>
                <w:sz w:val="18"/>
                <w:szCs w:val="18"/>
                <w:color w:val="auto"/>
              </w:rPr>
              <w:t>0.061382</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0.061382</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March 31, 2020, the ZENS, having an original principal amount of $828 million and a contingent principal amount of $70 million, were outstanding and were exchangeable, at the option of the holders, for cash equal to 95% of the market value of the reference shares attributable to the ZENS.</w:t>
      </w:r>
    </w:p>
    <w:p>
      <w:pPr>
        <w:spacing w:after="0" w:line="188"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and Long-term Debt</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Short-term Borrowings (CenterPoint Energy and CERC)</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Inventory Financing</w:t>
      </w:r>
      <w:r>
        <w:rPr>
          <w:rFonts w:ascii="Arial" w:cs="Arial" w:eastAsia="Arial" w:hAnsi="Arial"/>
          <w:sz w:val="16"/>
          <w:szCs w:val="16"/>
          <w:color w:val="auto"/>
        </w:rPr>
        <w:t>. NGD has AMAs associated with its utility distribution service in Arkansas, Louisiana, Mississippi, Oklahoma and Texas. The</w:t>
      </w:r>
      <w:r>
        <w:rPr>
          <w:rFonts w:ascii="Arial" w:cs="Arial" w:eastAsia="Arial" w:hAnsi="Arial"/>
          <w:sz w:val="16"/>
          <w:szCs w:val="16"/>
          <w:i w:val="1"/>
          <w:iCs w:val="1"/>
          <w:color w:val="auto"/>
        </w:rPr>
        <w:t xml:space="preserve"> </w:t>
      </w:r>
      <w:r>
        <w:rPr>
          <w:rFonts w:ascii="Arial" w:cs="Arial" w:eastAsia="Arial" w:hAnsi="Arial"/>
          <w:sz w:val="16"/>
          <w:szCs w:val="16"/>
          <w:color w:val="auto"/>
        </w:rPr>
        <w:t>AMAs have varying terms, the longest of which expires in 2021. Pursuant to the provisions of the agreements, NGD sells natural gas and agrees to repurchase an equivalent amount of natural gas during the winter heating seasons at the same cost. These transactions are accounted for as an inventory financing. CenterPoint Energy and CERC had no outstanding obligations related to the AMAs as of both March 31, 2020 and December 31, 2019.</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Long-term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The Registrants had the following revolving credit facilities as of March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3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Debt for</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Borrowed</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Covenant</w:t>
            </w: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Money to</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Limit on Debt</w:t>
            </w: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Capital</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Execution</w:t>
            </w: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88"/>
              </w:rPr>
              <w:t>Size of</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Draw Rate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Borrowed</w:t>
            </w: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Ratio as of</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vMerge w:val="continue"/>
          </w:tcPr>
          <w:p>
            <w:pPr>
              <w:spacing w:after="0"/>
              <w:rPr>
                <w:sz w:val="12"/>
                <w:szCs w:val="12"/>
                <w:color w:val="auto"/>
              </w:rPr>
            </w:pPr>
          </w:p>
        </w:tc>
        <w:tc>
          <w:tcPr>
            <w:tcW w:w="27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Registrant</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Money to</w:t>
            </w:r>
          </w:p>
        </w:tc>
        <w:tc>
          <w:tcPr>
            <w:tcW w:w="3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March 31, 2020</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76"/>
        </w:trPr>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xml:space="preserve">LIBOR plus </w:t>
            </w:r>
            <w:r>
              <w:rPr>
                <w:rFonts w:ascii="Arial" w:cs="Arial" w:eastAsia="Arial" w:hAnsi="Arial"/>
                <w:sz w:val="10"/>
                <w:szCs w:val="10"/>
                <w:b w:val="1"/>
                <w:bCs w:val="1"/>
                <w:color w:val="auto"/>
                <w:w w:val="99"/>
              </w:rPr>
              <w:t>(1)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 Ratio</w:t>
            </w:r>
          </w:p>
        </w:tc>
        <w:tc>
          <w:tcPr>
            <w:tcW w:w="3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CenterPoint Energy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3,300</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1.500%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59.0%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64"/>
        </w:trPr>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July 14, 2017</w:t>
            </w:r>
          </w:p>
        </w:tc>
        <w:tc>
          <w:tcPr>
            <w:tcW w:w="2720" w:type="dxa"/>
            <w:vAlign w:val="bottom"/>
            <w:gridSpan w:val="2"/>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(4)</w:t>
            </w:r>
          </w:p>
        </w:tc>
        <w:tc>
          <w:tcPr>
            <w:tcW w:w="2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1.125%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50.4%</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276"/>
        </w:trPr>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July 14, 2017</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(5)</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56.5%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264"/>
        </w:trPr>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2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2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53.4%</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70"/>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43.6%</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42"/>
        </w:trPr>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225"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CenterPoint Energy and Houston Electric, the financial covenant limit will temporarily increase from 65%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17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$10 million swing line sublimit and a $20 million letter of credit sublimit. This credit facility backstops VUHI’s commercial paper program.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credit facility was issued by VCC, is guaranteed by Vectren and includes a $40 million swing line sublimit and an $80 million letter of credit sublimit.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March 31,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March 31, 2020</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Commercial</w:t>
            </w: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3"/>
                <w:szCs w:val="13"/>
                <w:color w:val="auto"/>
              </w:rPr>
            </w:pPr>
          </w:p>
        </w:tc>
        <w:tc>
          <w:tcPr>
            <w:tcW w:w="9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w w:val="97"/>
              </w:rPr>
              <w:t>Commercial</w:t>
            </w:r>
          </w:p>
        </w:tc>
        <w:tc>
          <w:tcPr>
            <w:tcW w:w="114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21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Registrant</w:t>
            </w:r>
          </w:p>
        </w:tc>
        <w:tc>
          <w:tcPr>
            <w:tcW w:w="20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of Credit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Paper</w:t>
            </w:r>
          </w:p>
        </w:tc>
        <w:tc>
          <w:tcPr>
            <w:tcW w:w="12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 Rate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of Credit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Paper</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40" w:type="dxa"/>
            <w:vAlign w:val="bottom"/>
            <w:gridSpan w:val="9"/>
          </w:tcPr>
          <w:p>
            <w:pPr>
              <w:ind w:left="62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1,633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(2)</w:t>
            </w:r>
          </w:p>
        </w:tc>
        <w:tc>
          <w:tcPr>
            <w:tcW w:w="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14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268</w:t>
            </w:r>
          </w:p>
        </w:tc>
        <w:tc>
          <w:tcPr>
            <w:tcW w:w="11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(3)</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Houston Electric</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377</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42"/>
        </w:trPr>
        <w:tc>
          <w:tcPr>
            <w:tcW w:w="2160" w:type="dxa"/>
            <w:vAlign w:val="bottom"/>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1,450</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2,278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540" w:right="3700" w:hanging="5208"/>
        <w:spacing w:after="0" w:line="778" w:lineRule="auto"/>
        <w:tabs>
          <w:tab w:leader="none" w:pos="6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CenterPoint Energy’s outstanding commercial paper generally has maturities of 60 days or less. 46</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credit facility was issued by VCC and is guaranteed by Vectren.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March 31, 2020, certain financial institutions agreed to issue, from time to time, up to $50 million of letters of credit on behalf of Vectren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its subsidiaries in exchange for customary fees. These agreements to issue letters of credit expire on December 31, 2020. As of March 31, 2020, such financial institutions had issued $20 million of letters of credit on behalf of Vectren and certain of its subsidiaries.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 had $68 million and $68 million of general mortgage bonds outstanding as of March 31, 2020 and December 31, 2019, respectively, as collateral for long-term debt of CenterPoint Energy that matures in 2028. These bonds are not reflected in Houston Electric’s consolidated financial statements because of the contingent nature of the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230"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23495</wp:posOffset>
            </wp:positionV>
            <wp:extent cx="19888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 xml:space="preserve">CenterPoint Energy - Discontinued operations </w:t>
            </w:r>
            <w:r>
              <w:rPr>
                <w:rFonts w:ascii="Arial" w:cs="Arial" w:eastAsia="Arial" w:hAnsi="Arial"/>
                <w:sz w:val="14"/>
                <w:szCs w:val="14"/>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120" w:type="dxa"/>
            <w:vAlign w:val="bottom"/>
            <w:gridSpan w:val="2"/>
          </w:tcPr>
          <w:p>
            <w:pPr>
              <w:ind w:left="40"/>
              <w:spacing w:after="0"/>
              <w:rPr>
                <w:sz w:val="20"/>
                <w:szCs w:val="20"/>
                <w:color w:val="auto"/>
              </w:rPr>
            </w:pPr>
            <w:r>
              <w:rPr>
                <w:rFonts w:ascii="Arial" w:cs="Arial" w:eastAsia="Arial" w:hAnsi="Arial"/>
                <w:sz w:val="18"/>
                <w:szCs w:val="18"/>
                <w:color w:val="auto"/>
              </w:rPr>
              <w:t xml:space="preserve">CERC - Continuing operations </w:t>
            </w:r>
            <w:r>
              <w:rPr>
                <w:rFonts w:ascii="Arial" w:cs="Arial" w:eastAsia="Arial" w:hAnsi="Arial"/>
                <w:sz w:val="14"/>
                <w:szCs w:val="14"/>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CERC - Discontinued operations </w:t>
            </w:r>
            <w:r>
              <w:rPr>
                <w:rFonts w:ascii="Arial" w:cs="Arial" w:eastAsia="Arial" w:hAnsi="Arial"/>
                <w:sz w:val="14"/>
                <w:szCs w:val="14"/>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7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CenterPoint Energy’s higher effective tax rate on the loss from continuing operations for the three months ended March 31, 2020 compared to the three months ended March 31, 2019 was primarily due to lower earnings from the impairment of CenterPoint Energy’s investment in Enable. Other effective tax rate drivers include the non-deductible goodwill impairment at the Indiana Electric Integrated reporting unit, the impact of NOL carryback claims allowed under the CARES Act, and an increase in the amount of remeasurement of state deferred tax liabilities for changes in apportionment, the effects of which were compounded by the book loss in the three months ended March 31, 2020.</w:t>
      </w:r>
    </w:p>
    <w:p>
      <w:pPr>
        <w:spacing w:after="0" w:line="176"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CenterPoint Energy’s lower effective tax rate on the loss from discontinued operations for the three months ended March 31, 2020 was primarily due to the non-deductible portions of goodwill impairments on the Energy Services and Infrastructure Services Disposal Groups.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Houston Electric's lower effective tax rate for the three months ended March 31, 2020 compared to the three months ended March 31, 2019 was primarily due to an increase in the amount of amortization of the net regulatory EDIT liability.</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CERC’s higher effective tax rate on income from continuing operations for the three months ended March 31, 2020 compared to the three months ended March 31, 2019 was primarily due to a decrease in the amount of amortization of the net regulatory EDIT liability.</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CERC’s lower effective tax rate on the loss from discontinued operations for the three months ended March 31, 2020 was due to the non-deductible portion of the goodwill impairment on the Energy Services Disposal Group.</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27, 2020, the CARES Act was enacted in response to the COVID-19 pandemic. The CARES Act provides relief to corporate taxpayers by permitting a five-year carryback of 2018-2020 NOLs, deferring the payment of the employer share of payroll taxes for the remaining months of 2020 until 2021 and 2022, increasing the 30% limitation on interest expense deductibility to 50% of adjusted taxable income for 2019 and 2020, and accelerating refunds for minimum tax credit carryforwards, among other provisions. The tax effects of changes in tax laws are recognized in the period in which the law is enacted. As such, CenterPoint Energy recorded a $19 million benefit resulting from carryback claims expected to be filed to refund taxes paid in prior years.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Registrants reported a net uncertain tax liability, inclusive of interest and penalties, of $8 million as of March 31, 2020. A net $1 million decrease from December 31, 2019 was primarily driven by a favorable court of appeals decision resulting in a reduction of the associated state tax reserve. The Registrants believe that it is reasonably possible that a decrease of up to $5 million in unrecognized tax benefits may occur in the next 12 months as a result of a lapse of statutes on older exposures and/or the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applications for accounting method changes. For CenterPoint Energy, tax years through 2017 have been audited and settled with the IRS. For the 2018-2020 tax years, CenterPoint Energy is a participant in the IRS’s Compliance Assurance Process. Legacy Vectren is not currently under audit with the IRS, and the 2017-2019 tax years are still open.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Purchase Obligations (CenterPoint Energy and CERC)</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Distribution reportable segment and CenterPoint Energy’s Indiana Electric Integrated reportable segment. Contracts with minimum payment provisions have various quantity requirements and durations and are not classified as non-trading derivative assets and liabilities in CenterPoint Energy’s and CERC’s Condensed Consolidated Balance Sheets as of March 31, 2020 and December 31, 2019. These contracts meet an exception as “normal purchases contracts” or do not meet the definition of a derivative. Natural gas and coal supply commitments also include transportation contracts that do not meet the definition of a derivative.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minimum purchase obligations are approximately: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(1)</w:t>
            </w:r>
          </w:p>
        </w:tc>
      </w:tr>
      <w:tr>
        <w:trPr>
          <w:trHeight w:val="250"/>
        </w:trPr>
        <w:tc>
          <w:tcPr>
            <w:tcW w:w="7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nine months of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601</w:t>
            </w:r>
          </w:p>
        </w:tc>
        <w:tc>
          <w:tcPr>
            <w:tcW w:w="5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417</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409</w:t>
            </w:r>
          </w:p>
        </w:tc>
        <w:tc>
          <w:tcPr>
            <w:tcW w:w="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327</w:t>
            </w:r>
          </w:p>
        </w:tc>
        <w:tc>
          <w:tcPr>
            <w:tcW w:w="5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175</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263</w:t>
            </w:r>
          </w:p>
        </w:tc>
        <w:tc>
          <w:tcPr>
            <w:tcW w:w="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208</w:t>
            </w:r>
          </w:p>
        </w:tc>
        <w:tc>
          <w:tcPr>
            <w:tcW w:w="5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2026 and beyond</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1,622</w:t>
            </w:r>
          </w:p>
        </w:tc>
        <w:tc>
          <w:tcPr>
            <w:tcW w:w="5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1,329</w:t>
            </w:r>
          </w:p>
        </w:tc>
      </w:tr>
      <w:tr>
        <w:trPr>
          <w:trHeight w:val="27"/>
        </w:trPr>
        <w:tc>
          <w:tcPr>
            <w:tcW w:w="7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Excludes Energy Services Disposal Group obligations.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Indiana Electric Integrated also has other purchased power agreements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CenterPoint Energy’s and CERC’s NGD have AMAs associated with their utility distribution service in Arkansas, Louisiana and Oklahoma with the Energy Services Disposal Group. The AMAs have varying terms, the longest of which expires in 2021. For further information, see Note 3.</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Specific to ESG’s role as a general contractor in the performance contracting industry, as of March 31, 2020, there were 62 open surety bonds supporting future performance with an aggregate face amount of approximately $563 million. ESG’s exposure is less than the face amount of the surety bonds and is limited to the level of uncompleted work under the contracts. As of March 31, 2020, approximately 34%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Since ESG’s inception in 1994, CenterPoint Energy believes ESG has had a history of generally meeting its performance obligations and energy savings guarantees and its installed products operating effectively. CenterPoint Energy assessed the fair value of its obligation for such guarantees as of March 31, 2020 and no amounts were recorded on CenterPoint Energy’s Condensed Consolidated Balance Sheets.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March 31, 2020, CenterPoint Energy, primarily through Vectren, has issued parent company level guarantees supporting ESG’s obligations. For those obligations where potential exposure can be estimated, management estimates the maximum exposure under these guarantees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be approximately $513 million as of March 31, 2020.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normal course of business, the Energy Services Disposal Group trades natural gas under supply contracts and enters into natural gas related transactions under transportation, storage and other contracts. In connection with the Energy Services Disposal Group’s business activities, CERC Corp. has issued guarantees to the Energy Services Disposal Group’s counterparties to guarantee the payment of the Energy Services Disposal Group’s obligations. While the Energy Services Disposal Group remains wholly-owned by CERC Corp., these guarantees do not represent incremental consolidated obligations, but rather, represent guarantees of the Energy Services Disposal Group’s obligations to allow the Energy Services Disposal Group to conduct business without posting other forms of assurance. As of March 31, 2020, the face amount of CERC Corp.’s guarantees of the Energy Services Disposal Group’s obligations was approximately $1.5 billion.</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 CERC Corp. guarantee primarily has a one- or two-year term, although CERC Corp. would generally not be released from obligations incurred by the Energy Services Disposal Group prior to the termination of such guarantee unless the beneficiary of the guarantee affirmatively released CERC Corp. from its obligations under the guarantee. Since CERC Corp. has owned the Energy Services Disposal Group, CERC Corp. has not paid any amounts under any guarantees of the Energy Services Disposal Group’s obligations. While there can be no assurance that performance under any of these parent company guarantees will not be required in the future, CenterPoint Energy and CERC consider the likelihood of a material amount being incurred as remote.</w:t>
      </w:r>
    </w:p>
    <w:p>
      <w:pPr>
        <w:spacing w:after="0" w:line="16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February 24, 2020, CenterPoint Energy, through its subsidiary CERC Corp., entered into the Equity Purchase Agreement to sell the Energy Services Disposal Group. Under the terms of the Equity Purchase Agreement, Athena Energy Services must generally use reasonable best efforts to replace existing CERC Corp. guarantees with credit support provided by a party other than CERC Corp. as of and after closing of the sale. Additionally, to the extent that CERC Corp. retains any exposure relating to the guarantees of the Energy Services Disposal Group obligations 90 days after closing, Athena Energy Services will pay a 3% annualized fee on such exposure, increasing by 1% on an annualized basis every three months.</w:t>
      </w:r>
    </w:p>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March 31, 2020 and December 31, 2019 related to these guarantees.</w:t>
      </w:r>
    </w:p>
    <w:p>
      <w:pPr>
        <w:spacing w:after="0" w:line="170" w:lineRule="exact"/>
        <w:rPr>
          <w:sz w:val="20"/>
          <w:szCs w:val="20"/>
          <w:color w:val="auto"/>
        </w:rPr>
      </w:pPr>
    </w:p>
    <w:p>
      <w:pPr>
        <w:ind w:left="180" w:right="7540" w:firstLine="152"/>
        <w:spacing w:after="0" w:line="500" w:lineRule="auto"/>
        <w:tabs>
          <w:tab w:leader="none" w:pos="666"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spacing w:after="0" w:line="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Minnehaha Academy (CenterPoint Energy and CERC). </w:t>
      </w:r>
      <w:r>
        <w:rPr>
          <w:rFonts w:ascii="Arial" w:cs="Arial" w:eastAsia="Arial" w:hAnsi="Arial"/>
          <w:sz w:val="18"/>
          <w:szCs w:val="18"/>
          <w:color w:val="auto"/>
        </w:rPr>
        <w:t>On August 2, 2017, a natural gas explosion occurred at the Minnehaha Academy in</w:t>
      </w:r>
      <w:r>
        <w:rPr>
          <w:rFonts w:ascii="Arial" w:cs="Arial" w:eastAsia="Arial" w:hAnsi="Arial"/>
          <w:sz w:val="18"/>
          <w:szCs w:val="18"/>
          <w:i w:val="1"/>
          <w:iCs w:val="1"/>
          <w:color w:val="auto"/>
        </w:rPr>
        <w:t xml:space="preserve"> </w:t>
      </w:r>
      <w:r>
        <w:rPr>
          <w:rFonts w:ascii="Arial" w:cs="Arial" w:eastAsia="Arial" w:hAnsi="Arial"/>
          <w:sz w:val="18"/>
          <w:szCs w:val="18"/>
          <w:color w:val="auto"/>
        </w:rPr>
        <w:t>Minneapolis, Minnesota, resulting in the deaths of two school employees, serious injuries to others and significant property damage to the school. CenterPoint Energy, certain of its subsidiaries, including CERC, and the contractor company working in the school have been named in litigation arising out of this incident. CenterPoint Energy and CERC have reached confidential settlement agreements on all wrongful death and property damage claims and with some personal injury claimants. Additionally, CenterPoint Energy and CERC cooperated with the investigation conducted by the National Transportation Safety Board, which concluded its investigation in December 2019 and issued a report without making any recommendations. Further, CenterPoint Energy and CERC contested and reached a settlement regarding approximately $200,000 in fines imposed by the Minnesota Office of Pipeline Safety. In early 2018, the Minnesota Occupational Safety and Health Administration concluded its investigation without any adverse findings against CenterPoint Energy or CERC. CenterPoint Energy’s and CERC’s general and excess liability insurance policies provide coverage for third party bodily injury and property damage claims.</w:t>
      </w:r>
    </w:p>
    <w:p>
      <w:pPr>
        <w:spacing w:after="0" w:line="1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Litigation Related to the Merger (CenterPoint Energy). </w:t>
      </w:r>
      <w:r>
        <w:rPr>
          <w:rFonts w:ascii="Arial" w:cs="Arial" w:eastAsia="Arial" w:hAnsi="Arial"/>
          <w:sz w:val="17"/>
          <w:szCs w:val="17"/>
          <w:color w:val="auto"/>
        </w:rPr>
        <w:t>With respect to the Merger, in July 2018, seven separate lawsuits were filed against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individual directors of Vectren’s Board 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In August 2018, the seven lawsuits were consolidated, and the Court denied the plaintiffs’ request for a preliminary injunction. In October 2018, the plaintiffs filed their Consolidated Amended Class Action Complaint. In December 2018, two plaintiffs voluntarily dismissed their lawsuits. In September 2019, the court granted the defendants’ motion to dismiss and dismissed the remaining plaintiffs’ claims with prejudice, which the plaintiffs appealed in October 2019. The defendants believe that the allegations asserted are without merit and intend to vigorously defend themselves against the claims raised. CenterPoint Energy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does not expect the ultimate outcome of this matter to have a material adverse effect on its financial condition, results of operations or cash flows.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MGP Sites. </w:t>
      </w:r>
      <w:r>
        <w:rPr>
          <w:rFonts w:ascii="Arial" w:cs="Arial" w:eastAsia="Arial" w:hAnsi="Arial"/>
          <w:sz w:val="18"/>
          <w:szCs w:val="18"/>
          <w:color w:val="auto"/>
        </w:rPr>
        <w:t>CenterPoint Energy, CERC and their predecessors operated MGPs in the past. In addition, certain of CenterPoint Energy’s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through the Merger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all costs which they presently are obligated to incur in connection with activities at these sites, it is possible that future events may require remedial activities which are not presently foreseen, and those costs may not be subject to PRP or insurance recovery.</w:t>
      </w:r>
    </w:p>
    <w:p>
      <w:pPr>
        <w:spacing w:after="0" w:line="192" w:lineRule="exact"/>
        <w:rPr>
          <w:sz w:val="20"/>
          <w:szCs w:val="20"/>
          <w:color w:val="auto"/>
        </w:rPr>
      </w:pPr>
    </w:p>
    <w:p>
      <w:pPr>
        <w:jc w:val="both"/>
        <w:ind w:left="660" w:hanging="328"/>
        <w:spacing w:after="0" w:line="286"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65"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Indiana MGPs (CenterPoint Energy)</w:t>
      </w:r>
      <w:r>
        <w:rPr>
          <w:rFonts w:ascii="Arial" w:cs="Arial" w:eastAsia="Arial" w:hAnsi="Arial"/>
          <w:sz w:val="16"/>
          <w:szCs w:val="16"/>
          <w:color w:val="auto"/>
        </w:rPr>
        <w:t>. In the Indiana Gas service territory, the existence, location and certain general characteristics of 26 gas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6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Other MGPs (CenterPoint Energy and CERC). </w:t>
      </w:r>
      <w:r>
        <w:rPr>
          <w:rFonts w:ascii="Arial" w:cs="Arial" w:eastAsia="Arial" w:hAnsi="Arial"/>
          <w:sz w:val="16"/>
          <w:szCs w:val="16"/>
          <w:color w:val="auto"/>
        </w:rPr>
        <w:t>In addition to the Minnesota and Indiana sites, the EPA and other regulators have investigated</w:t>
      </w:r>
      <w:r>
        <w:rPr>
          <w:rFonts w:ascii="Arial" w:cs="Arial" w:eastAsia="Arial" w:hAnsi="Arial"/>
          <w:sz w:val="16"/>
          <w:szCs w:val="16"/>
          <w:i w:val="1"/>
          <w:iCs w:val="1"/>
          <w:color w:val="auto"/>
        </w:rPr>
        <w:t xml:space="preserve"> </w:t>
      </w:r>
      <w:r>
        <w:rPr>
          <w:rFonts w:ascii="Arial" w:cs="Arial" w:eastAsia="Arial" w:hAnsi="Arial"/>
          <w:sz w:val="16"/>
          <w:szCs w:val="16"/>
          <w:color w:val="auto"/>
        </w:rPr>
        <w:t>MGP sites that were owned or operated by CenterPoint Energy or CERC or may have been owned by one of their former affiliates.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 2020</w:t>
            </w:r>
          </w:p>
        </w:tc>
        <w:tc>
          <w:tcPr>
            <w:tcW w:w="124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9"/>
              </w:rPr>
              <w:t>CenterPoint Energy</w:t>
            </w:r>
          </w:p>
        </w:tc>
        <w:tc>
          <w:tcPr>
            <w:tcW w:w="6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CERC</w:t>
            </w: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gridSpan w:val="3"/>
          </w:tcPr>
          <w:p>
            <w:pPr>
              <w:jc w:val="right"/>
              <w:ind w:right="973"/>
              <w:spacing w:after="0"/>
              <w:rPr>
                <w:sz w:val="20"/>
                <w:szCs w:val="20"/>
                <w:color w:val="auto"/>
              </w:rPr>
            </w:pPr>
            <w:r>
              <w:rPr>
                <w:rFonts w:ascii="Arial" w:cs="Arial" w:eastAsia="Arial" w:hAnsi="Arial"/>
                <w:sz w:val="14"/>
                <w:szCs w:val="14"/>
                <w:b w:val="1"/>
                <w:bCs w:val="1"/>
                <w:color w:val="auto"/>
              </w:rPr>
              <w:t>(in millions, except years)</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accrued for remediation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21"/>
                <w:szCs w:val="21"/>
                <w:color w:val="auto"/>
              </w:rPr>
            </w:pP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53</w:t>
            </w:r>
          </w:p>
        </w:tc>
        <w:tc>
          <w:tcPr>
            <w:tcW w:w="6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21"/>
                <w:szCs w:val="21"/>
                <w:color w:val="auto"/>
              </w:rPr>
            </w:pP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1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CCR Rule (CenterPoint Energy). </w:t>
      </w:r>
      <w:r>
        <w:rPr>
          <w:rFonts w:ascii="Arial" w:cs="Arial" w:eastAsia="Arial" w:hAnsi="Arial"/>
          <w:sz w:val="18"/>
          <w:szCs w:val="18"/>
          <w:color w:val="auto"/>
        </w:rPr>
        <w:t>In April 2015, the EPA finalized its CCR Rule, which regulates ash as non-hazardous material under the RCRA.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While the EPA Phase I Reconsideration moves forward, the existing CCR compliance obligations remain in effect. In August 2019, the EPA proposed additional amendments to its CCR Rule with respect to beneficial reuse of ash and other materials. These amendments have not yet been finalized. The proposed revisions would not restrict Indiana Electric’s current beneficial reuse of its fly ash.</w:t>
      </w:r>
    </w:p>
    <w:p>
      <w:pPr>
        <w:spacing w:after="0" w:line="19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with bottom ash handling conversions completed. Indiana Electric’s Warrick generating unit is not included in the scope of the CCR Rule as this unit has historically been part of a larger generating station that predominantly serves an adjacent industrial facility. In March 2018, Indiana Electric began posting ground water data monitoring reports annually to its public website in accordance with the requirements of the CCR Rule. This data preliminarily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is required to cease disposal of new ash in the ponds and commence closure of the ponds by October 31, 2020. CenterPoint Energy plans to seek extensions available under the CCR Rule that would allow Indiana Electric to continue to use the ponds through December 31, 2023.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April 24, 2019, Indiana Electric received an order from the IURC approving recovery in rates of costs associated with the closure of the Culley West pond, which has already commenced closure activities. CenterPoint Energy believes the language in the IURC order is favorable for future recovery of closure costs for Indiana Electric’s remaining ponds.</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Indiana Electric continues to refine site specific estimates of closure costs.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 In March 2019, Indiana Electric entered into agreements with third parties for the excavation and beneficial reuse of the ash at the A.B. Brown ash pond. On August 14, 2019, Indiana Electric filed its petition with the IURC for recovery of costs associated with the closure of the A.B. Brown ash pond, which would include costs associated with the excavation and recycling of the ponded ash. On November 4, 2019, the EPA released a pre-publication copy of proposed revisions to the CCR Rule. CenterPoint Energy will evaluate the proposals to determine potential impacts to current compliance plans for its A.B. Brown and F.B. Culley generating stations.</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March 31, 2020, CenterPoint Energy has recorded an approximate $69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removal costs, Indiana Electric also anticipates equipment purchases of between $60 million and $80 million to complete the A.B. Brown closure project.</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Other Environmental. </w:t>
      </w:r>
      <w:r>
        <w:rPr>
          <w:rFonts w:ascii="Arial" w:cs="Arial" w:eastAsia="Arial" w:hAnsi="Arial"/>
          <w:sz w:val="16"/>
          <w:szCs w:val="16"/>
          <w:color w:val="auto"/>
        </w:rPr>
        <w:t>From time to time, the Registrants identify the presence of environmental contaminants during operations or on property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(CenterPoint Energy)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reconciles numerators and denominators of CenterPoint Energy’s basic and diluted earnings per common share. Basic earnings per common share is determined by dividing Income available to common shareholders - basic by the Weighted average common shares outstanding - basic for the applicable period. Diluted earnings per common share is determined by the inclusion of potentially dilutive common stock equivalent shares that may occur if securities to issue Common Stock were exercised or converted into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8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729"/>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Continuing Operations Numerator:</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Preferred stock dividend requirement</w:t>
            </w: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available to common shareholders - basic</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 xml:space="preserve">Add back: Series B Preferred Stock dividend </w:t>
            </w:r>
            <w:r>
              <w:rPr>
                <w:rFonts w:ascii="Arial" w:cs="Arial" w:eastAsia="Arial" w:hAnsi="Arial"/>
                <w:sz w:val="14"/>
                <w:szCs w:val="14"/>
                <w:color w:val="auto"/>
              </w:rPr>
              <w:t>(2)</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available to common shareholders from continuing operations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Discontinued Operations Numerator:</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502,388,000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501,521,000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 xml:space="preserve">Restricted stock </w:t>
            </w: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2,423,000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Series B Preferred Stock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502,388,000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503,944,000</w:t>
            </w: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Earnings (loss) per common share: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 -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Basic earnings (loss)per common share - discontinued operations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Earnings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 -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Diluted earnings (loss) per common share - discontinued operations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Earnings (Loss)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2,567,000 incremental shares from assumed conversions of restricted stock have not been included in the computation of diluted earnings (loss) per share for the three months ended March 31, 2020, as their inclusion would be anti-dilutive.</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potentially dilutive impact from Series B Preferred Stock applies the if-converted method in calculating diluted earnings per common share. Under this method, diluted earnings per common share is adjusted for the more dilutive effect of the Series B Preferred Stock as a result of either its accumulated dividend for the period in the numerator or the assumed-converted common share equivalent in the denominator. The computation of diluted earnings per common share outstanding for the three months ended March 31, 2020 and 2019 excludes Series B Preferred Stock dividends of $17 million and $17 million, respectively, and 35,923,000 and 34,354,000 potentially dilutive shares, respectively, because to include them would be anti-dilutive. However, these could be potentially dilutive in the future.</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Reportable Segments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Registrants’ determination of reportable segments considers the strategic operating units under which the Registrants’ CODM manages sales, allocates resources and assesses performance of various products and services to wholesale or retail customers in differing regulatory environments. As of January 1, 2020, the Registrants’ CODM views net income as the measure of profit or loss for the reportable segments rather than the previous measure of operating income. Certain prior year amounts have been reclassified to conform to the current year presentation.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reportable segments by Registrant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Registrants</w:t>
            </w:r>
          </w:p>
        </w:tc>
        <w:tc>
          <w:tcPr>
            <w:tcW w:w="120" w:type="dxa"/>
            <w:vAlign w:val="bottom"/>
            <w:vMerge w:val="restart"/>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Houston Electric T&amp;D</w:t>
            </w:r>
          </w:p>
        </w:tc>
        <w:tc>
          <w:tcPr>
            <w:tcW w:w="100" w:type="dxa"/>
            <w:vAlign w:val="bottom"/>
            <w:vMerge w:val="restart"/>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Indiana Electric</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Natural Gas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Midstream</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Integrated</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6"/>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CenterPoint Energy</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64"/>
        </w:trPr>
        <w:tc>
          <w:tcPr>
            <w:tcW w:w="508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Energy’s and Houston Electric’s Houston Electric T&amp;D reportable segment consists of electric transmission and distribution services in the Texas Gulf Coast area.</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Energy’s Indiana Electric Integrated reportable segment consists of electric transmission and distribution services primarily to southwestern Indiana and includes power generation and wholesale power operations.</w:t>
      </w:r>
    </w:p>
    <w:p>
      <w:pPr>
        <w:spacing w:after="0" w:line="170"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CenterPoint Energy’s Natural Gas Distribution reportable segment consists of (i) intrastate natural gas sales to, and natural gas transportation and distribution for residential, commercial, industrial and institutional customers in Arkansas, Indiana, Louisiana, Minnesota, Mississippi, Ohio, Oklahoma and Texas; (ii) permanent pipeline connections through interconnects with various interstate and intrastate pipeline companies through CEIP, formerly included in the Energy Services reportable segment; and (iii) temporary delivery of LNG and CNG throughout the contiguous 48 states through MES, formerly included in the Energy Services reportable segment.</w:t>
      </w:r>
    </w:p>
    <w:p>
      <w:pPr>
        <w:spacing w:after="0" w:line="17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CERC’s Natural Gas Distribution reportable segment consists of (i) intrastate natural gas sales to, and natural gas transportation and distribution for residential, commercial, industrial and institutional customers in Arkansas, Louisiana, Minnesota, Mississippi, Oklahoma and Texas; (ii) permanent pipeline connections through interconnects with various interstate and intrastate pipeline companies through CEIP, formerly included in the Energy Services reportable segment; and (iii) temporary delivery of LNG and CNG throughout the contiguous 48 states through MES, formerly included in the Energy Services reportable segment.</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Energy’s Midstream Investments reportable segment consists of the equity investment in Enable (excluding the Enable Series A Preferred Units).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Energy’s Corporate and Other consists of energy performance contracting and sustainable infrastructure services through ESG and other corporate operations which support all of the business operations of CenterPoint Energy.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CERC’s Corporate and Other consists primarily of corporate operations which support all of the business operations of CERC.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February 3, 2020, CenterPoint Energy, through its subsidiary VUSI, entered into the Securities Purchase Agreement to sell the Infrastructure Services Disposal Group, which consists of underground pipeline construction and repair services. Accordingly, the previously reported Infrastructure Services reportable segment has been eliminated. The transaction closed on April 9, 2020. See Note 3 for further information.</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on February 24, 2020, CenterPoint Energy, through its subsidiary CERC Corp., entered into the Equity Purchase Agreement to sell the Energy Services Disposal Group, which consists of non-rate regulated natural gas sales and service operations. Accordingly, the previously reported Energy Services reportable segment has been eliminated. The transaction is expected to close in the second quarter of 2020. See Note 3 for further information.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data for reportable segments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ind w:left="371"/>
              <w:spacing w:after="0"/>
              <w:rPr>
                <w:sz w:val="20"/>
                <w:szCs w:val="20"/>
                <w:color w:val="auto"/>
              </w:rPr>
            </w:pPr>
            <w:r>
              <w:rPr>
                <w:rFonts w:ascii="Arial" w:cs="Arial" w:eastAsia="Arial" w:hAnsi="Arial"/>
                <w:sz w:val="13"/>
                <w:szCs w:val="13"/>
                <w:b w:val="1"/>
                <w:bCs w:val="1"/>
                <w:color w:val="auto"/>
                <w:w w:val="89"/>
              </w:rPr>
              <w:t>Three Months Ended March 31,</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2020</w:t>
            </w: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340" w:type="dxa"/>
            <w:vAlign w:val="bottom"/>
          </w:tcPr>
          <w:p>
            <w:pPr>
              <w:spacing w:after="0"/>
              <w:rPr>
                <w:sz w:val="12"/>
                <w:szCs w:val="12"/>
                <w:color w:val="auto"/>
              </w:rPr>
            </w:pPr>
          </w:p>
        </w:tc>
        <w:tc>
          <w:tcPr>
            <w:tcW w:w="13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Equity in Earnings of</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3"/>
              </w:rPr>
              <w:t>External</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Unconsolidated</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and</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8"/>
              </w:rPr>
              <w:t>Net Income</w:t>
            </w: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5"/>
              </w:rPr>
              <w:t>Customers</w:t>
            </w: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Affiliates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Interest Income</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Interest Expense</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(Benefit)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248"/>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(in millions)</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638</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13"/>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129</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1,318</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(1,475)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82</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6"/>
              </w:rPr>
              <w:t>(50)</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2,167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 net</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5"/>
            <w:vMerge w:val="restart"/>
          </w:tcPr>
          <w:p>
            <w:pPr>
              <w:jc w:val="center"/>
              <w:ind w:left="371"/>
              <w:spacing w:after="0"/>
              <w:rPr>
                <w:sz w:val="20"/>
                <w:szCs w:val="20"/>
                <w:color w:val="auto"/>
              </w:rPr>
            </w:pPr>
            <w:r>
              <w:rPr>
                <w:rFonts w:ascii="Arial" w:cs="Arial" w:eastAsia="Arial" w:hAnsi="Arial"/>
                <w:sz w:val="13"/>
                <w:szCs w:val="13"/>
                <w:b w:val="1"/>
                <w:bCs w:val="1"/>
                <w:color w:val="auto"/>
                <w:w w:val="89"/>
              </w:rPr>
              <w:t>Three Months Ended March 31,</w:t>
            </w: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2019</w:t>
            </w: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340" w:type="dxa"/>
            <w:vAlign w:val="bottom"/>
          </w:tcPr>
          <w:p>
            <w:pPr>
              <w:spacing w:after="0"/>
              <w:rPr>
                <w:sz w:val="12"/>
                <w:szCs w:val="12"/>
                <w:color w:val="auto"/>
              </w:rPr>
            </w:pPr>
          </w:p>
        </w:tc>
        <w:tc>
          <w:tcPr>
            <w:tcW w:w="13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Equity in Earnings of</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3"/>
              </w:rPr>
              <w:t>External</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Unconsolidated</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and</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8"/>
              </w:rPr>
              <w:t>Net Income</w:t>
            </w: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5"/>
              </w:rPr>
              <w:t>Customers</w:t>
            </w: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Affiliates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Interest Income</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Interest Expense</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(Benefit)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248"/>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(in millions)</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689</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13"/>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83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1,415</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6"/>
              </w:rPr>
              <w:t>(41)</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Consolidated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2,229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 net</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2"/>
        </w:trPr>
        <w:tc>
          <w:tcPr>
            <w:tcW w:w="2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interest income from Securitization Bonds of $1 million and $2 million for the three months ended March 31, 2020 and 2019, respectively.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interest expense on Securitization Bonds of $8 million and $12 million for the three months ended March 31, 2020 and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CenterPoint Energy’s Houston Electric T&amp;D’s revenues from major external customers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312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94"/>
              </w:rPr>
              <w:t>Three Months Ended March 31,</w:t>
            </w:r>
          </w:p>
        </w:tc>
        <w:tc>
          <w:tcPr>
            <w:tcW w:w="560" w:type="dxa"/>
            <w:vAlign w:val="bottom"/>
            <w:tcBorders>
              <w:bottom w:val="single" w:sz="8" w:color="auto"/>
            </w:tcBorders>
          </w:tcPr>
          <w:p>
            <w:pPr>
              <w:spacing w:after="0"/>
              <w:rPr>
                <w:sz w:val="16"/>
                <w:szCs w:val="16"/>
                <w:color w:val="auto"/>
              </w:rPr>
            </w:pPr>
          </w:p>
        </w:tc>
      </w:tr>
      <w:tr>
        <w:trPr>
          <w:trHeight w:val="263"/>
        </w:trPr>
        <w:tc>
          <w:tcPr>
            <w:tcW w:w="7500" w:type="dxa"/>
            <w:vAlign w:val="bottom"/>
          </w:tcPr>
          <w:p>
            <w:pPr>
              <w:spacing w:after="0"/>
              <w:rPr>
                <w:sz w:val="22"/>
                <w:szCs w:val="22"/>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r>
      <w:tr>
        <w:trPr>
          <w:trHeight w:val="250"/>
        </w:trPr>
        <w:tc>
          <w:tcPr>
            <w:tcW w:w="7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00" w:type="dxa"/>
            <w:vAlign w:val="bottom"/>
            <w:gridSpan w:val="2"/>
          </w:tcPr>
          <w:p>
            <w:pPr>
              <w:jc w:val="center"/>
              <w:ind w:right="559"/>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21"/>
                <w:szCs w:val="21"/>
                <w:color w:val="auto"/>
              </w:rPr>
            </w:pPr>
          </w:p>
        </w:tc>
      </w:tr>
      <w:tr>
        <w:trPr>
          <w:trHeight w:val="25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1220" w:type="dxa"/>
            <w:vAlign w:val="bottom"/>
            <w:tcBorders>
              <w:bottom w:val="single" w:sz="8" w:color="CCEEFF"/>
            </w:tcBorders>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w:t>
            </w:r>
          </w:p>
        </w:tc>
        <w:tc>
          <w:tcPr>
            <w:tcW w:w="13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1220" w:type="dxa"/>
            <w:vAlign w:val="bottom"/>
          </w:tcPr>
          <w:p>
            <w:pPr>
              <w:spacing w:after="0"/>
              <w:rPr>
                <w:sz w:val="21"/>
                <w:szCs w:val="21"/>
                <w:color w:val="auto"/>
              </w:rPr>
            </w:pP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81</w:t>
            </w:r>
          </w:p>
        </w:tc>
        <w:tc>
          <w:tcPr>
            <w:tcW w:w="13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29" w:lineRule="exact"/>
        <w:rPr>
          <w:sz w:val="20"/>
          <w:szCs w:val="20"/>
          <w:color w:val="auto"/>
        </w:rPr>
      </w:pPr>
    </w:p>
    <w:p>
      <w:pPr>
        <w:ind w:right="2120" w:firstLine="324"/>
        <w:spacing w:after="0" w:line="277" w:lineRule="auto"/>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Houston Electric’s T&amp;D revenues from major external customers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312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94"/>
              </w:rPr>
              <w:t>Three Months Ended March 31,</w:t>
            </w:r>
          </w:p>
        </w:tc>
        <w:tc>
          <w:tcPr>
            <w:tcW w:w="560" w:type="dxa"/>
            <w:vAlign w:val="bottom"/>
            <w:tcBorders>
              <w:bottom w:val="single" w:sz="8" w:color="auto"/>
            </w:tcBorders>
          </w:tcPr>
          <w:p>
            <w:pPr>
              <w:spacing w:after="0"/>
              <w:rPr>
                <w:sz w:val="16"/>
                <w:szCs w:val="16"/>
                <w:color w:val="auto"/>
              </w:rPr>
            </w:pPr>
          </w:p>
        </w:tc>
      </w:tr>
      <w:tr>
        <w:trPr>
          <w:trHeight w:val="263"/>
        </w:trPr>
        <w:tc>
          <w:tcPr>
            <w:tcW w:w="7500" w:type="dxa"/>
            <w:vAlign w:val="bottom"/>
          </w:tcPr>
          <w:p>
            <w:pPr>
              <w:spacing w:after="0"/>
              <w:rPr>
                <w:sz w:val="22"/>
                <w:szCs w:val="22"/>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r>
      <w:tr>
        <w:trPr>
          <w:trHeight w:val="250"/>
        </w:trPr>
        <w:tc>
          <w:tcPr>
            <w:tcW w:w="7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00" w:type="dxa"/>
            <w:vAlign w:val="bottom"/>
            <w:gridSpan w:val="2"/>
          </w:tcPr>
          <w:p>
            <w:pPr>
              <w:jc w:val="center"/>
              <w:ind w:right="559"/>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21"/>
                <w:szCs w:val="21"/>
                <w:color w:val="auto"/>
              </w:rPr>
            </w:pPr>
          </w:p>
        </w:tc>
      </w:tr>
      <w:tr>
        <w:trPr>
          <w:trHeight w:val="25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1220" w:type="dxa"/>
            <w:vAlign w:val="bottom"/>
            <w:tcBorders>
              <w:bottom w:val="single" w:sz="8" w:color="CCEEFF"/>
            </w:tcBorders>
            <w:shd w:val="clear" w:color="auto" w:fill="CCEEFF"/>
          </w:tcPr>
          <w:p>
            <w:pPr>
              <w:jc w:val="right"/>
              <w:ind w:right="102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w:t>
            </w:r>
          </w:p>
        </w:tc>
        <w:tc>
          <w:tcPr>
            <w:tcW w:w="13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1220" w:type="dxa"/>
            <w:vAlign w:val="bottom"/>
          </w:tcPr>
          <w:p>
            <w:pPr>
              <w:spacing w:after="0"/>
              <w:rPr>
                <w:sz w:val="21"/>
                <w:szCs w:val="21"/>
                <w:color w:val="auto"/>
              </w:rPr>
            </w:pP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81</w:t>
            </w:r>
          </w:p>
        </w:tc>
        <w:tc>
          <w:tcPr>
            <w:tcW w:w="13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3"/>
                <w:szCs w:val="13"/>
                <w:b w:val="1"/>
                <w:bCs w:val="1"/>
                <w:color w:val="auto"/>
                <w:w w:val="90"/>
              </w:rPr>
              <w:t>Three Months Ended March 31,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center"/>
              <w:ind w:left="231"/>
              <w:spacing w:after="0"/>
              <w:rPr>
                <w:sz w:val="20"/>
                <w:szCs w:val="20"/>
                <w:color w:val="auto"/>
              </w:rPr>
            </w:pPr>
            <w:r>
              <w:rPr>
                <w:rFonts w:ascii="Arial" w:cs="Arial" w:eastAsia="Arial" w:hAnsi="Arial"/>
                <w:sz w:val="13"/>
                <w:szCs w:val="13"/>
                <w:b w:val="1"/>
                <w:bCs w:val="1"/>
                <w:color w:val="auto"/>
                <w:w w:val="89"/>
              </w:rPr>
              <w:t>2020</w:t>
            </w: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3"/>
              </w:rPr>
              <w:t>External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left="92"/>
              <w:spacing w:after="0" w:line="135" w:lineRule="exact"/>
              <w:rPr>
                <w:sz w:val="20"/>
                <w:szCs w:val="20"/>
                <w:color w:val="auto"/>
              </w:rPr>
            </w:pPr>
            <w:r>
              <w:rPr>
                <w:rFonts w:ascii="Arial" w:cs="Arial" w:eastAsia="Arial" w:hAnsi="Arial"/>
                <w:sz w:val="13"/>
                <w:szCs w:val="13"/>
                <w:b w:val="1"/>
                <w:bCs w:val="1"/>
                <w:color w:val="auto"/>
                <w:w w:val="85"/>
              </w:rPr>
              <w:t>Expense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Customers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90"/>
              </w:rPr>
              <w:t>Amortization</w:t>
            </w:r>
          </w:p>
        </w:tc>
        <w:tc>
          <w:tcPr>
            <w:tcW w:w="11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3"/>
                <w:szCs w:val="13"/>
                <w:b w:val="1"/>
                <w:bCs w:val="1"/>
                <w:color w:val="auto"/>
                <w:w w:val="99"/>
              </w:rPr>
              <w:t>Interest Income</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Interest Expense</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3"/>
                <w:szCs w:val="13"/>
                <w:b w:val="1"/>
                <w:bCs w:val="1"/>
                <w:color w:val="auto"/>
                <w:w w:val="87"/>
              </w:rPr>
              <w:t>(Benefit)</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Net Income (Loss)</w:t>
            </w:r>
          </w:p>
        </w:tc>
        <w:tc>
          <w:tcPr>
            <w:tcW w:w="0" w:type="dxa"/>
            <w:vAlign w:val="bottom"/>
          </w:tcPr>
          <w:p>
            <w:pPr>
              <w:spacing w:after="0"/>
              <w:rPr>
                <w:sz w:val="1"/>
                <w:szCs w:val="1"/>
                <w:color w:val="auto"/>
              </w:rPr>
            </w:pPr>
          </w:p>
        </w:tc>
      </w:tr>
      <w:tr>
        <w:trPr>
          <w:trHeight w:val="248"/>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(in millions)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32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Corporate and Other</w:t>
            </w:r>
          </w:p>
        </w:tc>
        <w:tc>
          <w:tcPr>
            <w:tcW w:w="1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94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1,011</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44"/>
        </w:trPr>
        <w:tc>
          <w:tcPr>
            <w:tcW w:w="3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Discontinued Operations, net</w:t>
            </w: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Consolidated</w:t>
            </w: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8"/>
        </w:trPr>
        <w:tc>
          <w:tcPr>
            <w:tcW w:w="3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3"/>
                <w:szCs w:val="13"/>
                <w:b w:val="1"/>
                <w:bCs w:val="1"/>
                <w:color w:val="auto"/>
                <w:w w:val="90"/>
              </w:rPr>
              <w:t>Three Months Ended March 31,</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center"/>
              <w:ind w:left="231"/>
              <w:spacing w:after="0"/>
              <w:rPr>
                <w:sz w:val="20"/>
                <w:szCs w:val="20"/>
                <w:color w:val="auto"/>
              </w:rPr>
            </w:pPr>
            <w:r>
              <w:rPr>
                <w:rFonts w:ascii="Arial" w:cs="Arial" w:eastAsia="Arial" w:hAnsi="Arial"/>
                <w:sz w:val="13"/>
                <w:szCs w:val="13"/>
                <w:b w:val="1"/>
                <w:bCs w:val="1"/>
                <w:color w:val="auto"/>
                <w:w w:val="89"/>
              </w:rPr>
              <w:t>2019</w:t>
            </w: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3"/>
              </w:rPr>
              <w:t>External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left="92"/>
              <w:spacing w:after="0" w:line="135" w:lineRule="exact"/>
              <w:rPr>
                <w:sz w:val="20"/>
                <w:szCs w:val="20"/>
                <w:color w:val="auto"/>
              </w:rPr>
            </w:pPr>
            <w:r>
              <w:rPr>
                <w:rFonts w:ascii="Arial" w:cs="Arial" w:eastAsia="Arial" w:hAnsi="Arial"/>
                <w:sz w:val="13"/>
                <w:szCs w:val="13"/>
                <w:b w:val="1"/>
                <w:bCs w:val="1"/>
                <w:color w:val="auto"/>
                <w:w w:val="85"/>
              </w:rPr>
              <w:t>Expense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Customers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90"/>
              </w:rPr>
              <w:t>Amortization</w:t>
            </w:r>
          </w:p>
        </w:tc>
        <w:tc>
          <w:tcPr>
            <w:tcW w:w="11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3"/>
                <w:szCs w:val="13"/>
                <w:b w:val="1"/>
                <w:bCs w:val="1"/>
                <w:color w:val="auto"/>
                <w:w w:val="99"/>
              </w:rPr>
              <w:t>Interest Income</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Interest Expense</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3"/>
                <w:szCs w:val="13"/>
                <w:b w:val="1"/>
                <w:bCs w:val="1"/>
                <w:color w:val="auto"/>
                <w:w w:val="87"/>
              </w:rPr>
              <w:t>(Benefit)</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Net Income (Loss)</w:t>
            </w:r>
          </w:p>
        </w:tc>
        <w:tc>
          <w:tcPr>
            <w:tcW w:w="0" w:type="dxa"/>
            <w:vAlign w:val="bottom"/>
          </w:tcPr>
          <w:p>
            <w:pPr>
              <w:spacing w:after="0"/>
              <w:rPr>
                <w:sz w:val="1"/>
                <w:szCs w:val="1"/>
                <w:color w:val="auto"/>
              </w:rPr>
            </w:pPr>
          </w:p>
        </w:tc>
      </w:tr>
      <w:tr>
        <w:trPr>
          <w:trHeight w:val="248"/>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(in millions)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32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Corporate and Other</w:t>
            </w:r>
          </w:p>
        </w:tc>
        <w:tc>
          <w:tcPr>
            <w:tcW w:w="1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94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1,212</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45"/>
        </w:trPr>
        <w:tc>
          <w:tcPr>
            <w:tcW w:w="3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Discontinued Operations, net</w:t>
            </w: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CenterPoint Energy and CERC</w:t>
            </w: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3"/>
                <w:szCs w:val="13"/>
                <w:b w:val="1"/>
                <w:bCs w:val="1"/>
                <w:color w:val="auto"/>
              </w:rPr>
              <w:t>March 31, 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December 31, 2019</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500"/>
              <w:spacing w:after="0" w:line="144" w:lineRule="exact"/>
              <w:rPr>
                <w:sz w:val="20"/>
                <w:szCs w:val="20"/>
                <w:color w:val="auto"/>
              </w:rPr>
            </w:pPr>
            <w:r>
              <w:rPr>
                <w:rFonts w:ascii="Arial" w:cs="Arial" w:eastAsia="Arial" w:hAnsi="Arial"/>
                <w:sz w:val="13"/>
                <w:szCs w:val="13"/>
                <w:b w:val="1"/>
                <w:bCs w:val="1"/>
                <w:color w:val="auto"/>
                <w:w w:val="89"/>
              </w:rPr>
              <w:t>CenterPoint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CenterPoint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3"/>
                <w:szCs w:val="13"/>
                <w:b w:val="1"/>
                <w:bCs w:val="1"/>
                <w:color w:val="auto"/>
                <w:w w:val="86"/>
              </w:rPr>
              <w:t>Energy</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CERC</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86"/>
              </w:rPr>
              <w:t>Energy</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CERC</w:t>
            </w:r>
          </w:p>
        </w:tc>
        <w:tc>
          <w:tcPr>
            <w:tcW w:w="0" w:type="dxa"/>
            <w:vAlign w:val="bottom"/>
          </w:tcPr>
          <w:p>
            <w:pPr>
              <w:spacing w:after="0"/>
              <w:rPr>
                <w:sz w:val="1"/>
                <w:szCs w:val="1"/>
                <w:color w:val="auto"/>
              </w:rPr>
            </w:pPr>
          </w:p>
        </w:tc>
      </w:tr>
      <w:tr>
        <w:trPr>
          <w:trHeight w:val="251"/>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10,870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7"/>
              </w:rPr>
              <w:t>11,264</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3,015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3,168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13,979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color w:val="auto"/>
              </w:rPr>
              <w:t>7,562</w:t>
            </w: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7"/>
              </w:rPr>
              <w:t>14,105</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7,698</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915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2,473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 net of eliminations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2,969</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(87)</w:t>
            </w:r>
          </w:p>
        </w:tc>
        <w:tc>
          <w:tcPr>
            <w:tcW w:w="3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2,555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50"/>
        </w:trPr>
        <w:tc>
          <w:tcPr>
            <w:tcW w:w="394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31,748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3"/>
          </w:tcPr>
          <w:p>
            <w:pPr>
              <w:jc w:val="right"/>
              <w:ind w:right="35"/>
              <w:spacing w:after="0"/>
              <w:rPr>
                <w:sz w:val="20"/>
                <w:szCs w:val="20"/>
                <w:color w:val="auto"/>
              </w:rPr>
            </w:pPr>
            <w:r>
              <w:rPr>
                <w:rFonts w:ascii="Arial" w:cs="Arial" w:eastAsia="Arial" w:hAnsi="Arial"/>
                <w:sz w:val="14"/>
                <w:szCs w:val="14"/>
                <w:color w:val="auto"/>
              </w:rPr>
              <w:t>7,475</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w w:val="97"/>
              </w:rPr>
              <w:t>33,565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7,608</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1,647</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gridSpan w:val="2"/>
            <w:shd w:val="clear" w:color="auto" w:fill="CCEEFF"/>
          </w:tcPr>
          <w:p>
            <w:pPr>
              <w:jc w:val="right"/>
              <w:ind w:right="35"/>
              <w:spacing w:after="0"/>
              <w:rPr>
                <w:sz w:val="20"/>
                <w:szCs w:val="20"/>
                <w:color w:val="auto"/>
              </w:rPr>
            </w:pPr>
            <w:r>
              <w:rPr>
                <w:rFonts w:ascii="Arial" w:cs="Arial" w:eastAsia="Arial" w:hAnsi="Arial"/>
                <w:sz w:val="14"/>
                <w:szCs w:val="14"/>
                <w:color w:val="auto"/>
                <w:w w:val="85"/>
              </w:rPr>
              <w:t>675</w:t>
            </w:r>
          </w:p>
        </w:tc>
        <w:tc>
          <w:tcPr>
            <w:tcW w:w="3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1,964</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43"/>
        </w:trPr>
        <w:tc>
          <w:tcPr>
            <w:tcW w:w="3940" w:type="dxa"/>
            <w:vAlign w:val="bottom"/>
          </w:tcPr>
          <w:p>
            <w:pPr>
              <w:ind w:left="280"/>
              <w:spacing w:after="0"/>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33,395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157"/>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35"/>
              <w:spacing w:after="0"/>
              <w:rPr>
                <w:sz w:val="20"/>
                <w:szCs w:val="20"/>
                <w:color w:val="auto"/>
              </w:rPr>
            </w:pPr>
            <w:r>
              <w:rPr>
                <w:rFonts w:ascii="Arial" w:cs="Arial" w:eastAsia="Arial" w:hAnsi="Arial"/>
                <w:sz w:val="14"/>
                <w:szCs w:val="14"/>
                <w:color w:val="auto"/>
              </w:rPr>
              <w:t>8,150</w:t>
            </w:r>
          </w:p>
        </w:tc>
        <w:tc>
          <w:tcPr>
            <w:tcW w:w="320" w:type="dxa"/>
            <w:vAlign w:val="bottom"/>
          </w:tcPr>
          <w:p>
            <w:pPr>
              <w:spacing w:after="0"/>
              <w:rPr>
                <w:sz w:val="21"/>
                <w:szCs w:val="21"/>
                <w:color w:val="auto"/>
              </w:rPr>
            </w:pPr>
          </w:p>
        </w:tc>
        <w:tc>
          <w:tcPr>
            <w:tcW w:w="56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w w:val="97"/>
              </w:rPr>
              <w:t>35,529</w:t>
            </w:r>
          </w:p>
        </w:tc>
        <w:tc>
          <w:tcPr>
            <w:tcW w:w="16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8,512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Disclosure of Cash Flow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and CERC elected not to separately disclose discontinued operations on their respective Condensed Statements of Consolidated Cash Flows. See Note 3 for certain supplemental cash flow disclosures related to the Infrastructure Services and Energy Services Disposal Groups. The table below provides supplemental disclosure of cash flow information and has not been recast to exclude the Infrastructure Services and Energy Services Disposal Groups.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CenterPoint</w:t>
            </w:r>
          </w:p>
        </w:tc>
        <w:tc>
          <w:tcPr>
            <w:tcW w:w="280" w:type="dxa"/>
            <w:vAlign w:val="bottom"/>
          </w:tcPr>
          <w:p>
            <w:pPr>
              <w:spacing w:after="0"/>
              <w:rPr>
                <w:sz w:val="13"/>
                <w:szCs w:val="13"/>
                <w:color w:val="auto"/>
              </w:rPr>
            </w:pPr>
          </w:p>
        </w:tc>
        <w:tc>
          <w:tcPr>
            <w:tcW w:w="88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3"/>
                <w:szCs w:val="13"/>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40" w:type="dxa"/>
            <w:vAlign w:val="bottom"/>
          </w:tcPr>
          <w:p>
            <w:pPr>
              <w:spacing w:after="0"/>
              <w:rPr>
                <w:sz w:val="13"/>
                <w:szCs w:val="13"/>
                <w:color w:val="auto"/>
              </w:rPr>
            </w:pPr>
          </w:p>
        </w:tc>
        <w:tc>
          <w:tcPr>
            <w:tcW w:w="8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Houston</w:t>
            </w:r>
          </w:p>
        </w:tc>
        <w:tc>
          <w:tcPr>
            <w:tcW w:w="300" w:type="dxa"/>
            <w:vAlign w:val="bottom"/>
          </w:tcPr>
          <w:p>
            <w:pPr>
              <w:spacing w:after="0"/>
              <w:rPr>
                <w:sz w:val="13"/>
                <w:szCs w:val="13"/>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Electric</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00" w:type="dxa"/>
            <w:vAlign w:val="bottom"/>
          </w:tcPr>
          <w:p>
            <w:pPr>
              <w:ind w:left="180"/>
              <w:spacing w:after="0"/>
              <w:rPr>
                <w:sz w:val="20"/>
                <w:szCs w:val="20"/>
                <w:color w:val="auto"/>
              </w:rPr>
            </w:pPr>
            <w:r>
              <w:rPr>
                <w:rFonts w:ascii="Arial" w:cs="Arial" w:eastAsia="Arial" w:hAnsi="Arial"/>
                <w:sz w:val="14"/>
                <w:szCs w:val="14"/>
                <w:b w:val="1"/>
                <w:bCs w:val="1"/>
                <w:color w:val="auto"/>
              </w:rPr>
              <w:t>Cash Payments/Receipts: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4400" w:type="dxa"/>
            <w:vAlign w:val="bottom"/>
          </w:tcPr>
          <w:p>
            <w:pPr>
              <w:ind w:left="280"/>
              <w:spacing w:after="0"/>
              <w:rPr>
                <w:sz w:val="20"/>
                <w:szCs w:val="20"/>
                <w:color w:val="auto"/>
              </w:rPr>
            </w:pPr>
            <w:r>
              <w:rPr>
                <w:rFonts w:ascii="Arial" w:cs="Arial" w:eastAsia="Arial" w:hAnsi="Arial"/>
                <w:sz w:val="14"/>
                <w:szCs w:val="14"/>
                <w:color w:val="auto"/>
              </w:rPr>
              <w:t>Income tax refunds, net</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Non-cash transactions: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0" w:type="dxa"/>
            <w:vAlign w:val="bottom"/>
          </w:tcPr>
          <w:p>
            <w:pPr>
              <w:ind w:left="280"/>
              <w:spacing w:after="0"/>
              <w:rPr>
                <w:sz w:val="20"/>
                <w:szCs w:val="20"/>
                <w:color w:val="auto"/>
              </w:rPr>
            </w:pPr>
            <w:r>
              <w:rPr>
                <w:rFonts w:ascii="Arial" w:cs="Arial" w:eastAsia="Arial" w:hAnsi="Arial"/>
                <w:sz w:val="14"/>
                <w:szCs w:val="14"/>
                <w:color w:val="auto"/>
              </w:rPr>
              <w:t>Accounts payable related to capital expenditures</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200</w:t>
            </w:r>
          </w:p>
        </w:tc>
        <w:tc>
          <w:tcPr>
            <w:tcW w:w="2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2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2019 includes the transition impact of adoption of ASU 2016-02 Leases.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 and has not been recast to exclude the Infrastructure Services and Energy Services Disposal Groups.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December 31, 2019</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Houston Electric</w:t>
            </w:r>
          </w:p>
        </w:tc>
        <w:tc>
          <w:tcPr>
            <w:tcW w:w="26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10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CenterPoint</w:t>
            </w:r>
          </w:p>
        </w:tc>
        <w:tc>
          <w:tcPr>
            <w:tcW w:w="10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60" w:type="dxa"/>
            <w:vAlign w:val="bottom"/>
          </w:tcPr>
          <w:p>
            <w:pPr>
              <w:spacing w:after="0"/>
              <w:rPr>
                <w:sz w:val="13"/>
                <w:szCs w:val="13"/>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2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3500" w:type="dxa"/>
            <w:vAlign w:val="bottom"/>
          </w:tcPr>
          <w:p>
            <w:pPr>
              <w:ind w:left="180"/>
              <w:spacing w:after="0" w:line="157" w:lineRule="exact"/>
              <w:rPr>
                <w:sz w:val="20"/>
                <w:szCs w:val="20"/>
                <w:color w:val="auto"/>
              </w:rPr>
            </w:pPr>
            <w:r>
              <w:rPr>
                <w:rFonts w:ascii="Arial" w:cs="Arial" w:eastAsia="Arial" w:hAnsi="Arial"/>
                <w:sz w:val="14"/>
                <w:szCs w:val="14"/>
                <w:color w:val="auto"/>
                <w:w w:val="95"/>
              </w:rPr>
              <w:t>Restricted cash included in Prepaid expenses and 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00" w:type="dxa"/>
            <w:vAlign w:val="bottom"/>
          </w:tcPr>
          <w:p>
            <w:pPr>
              <w:ind w:left="50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00" w:type="dxa"/>
            <w:vAlign w:val="bottom"/>
            <w:tcBorders>
              <w:top w:val="single" w:sz="8" w:color="CCEEFF"/>
            </w:tcBorders>
            <w:shd w:val="clear" w:color="auto" w:fill="CCEEFF"/>
          </w:tcPr>
          <w:p>
            <w:pPr>
              <w:ind w:left="360"/>
              <w:spacing w:after="0" w:line="143" w:lineRule="exact"/>
              <w:rPr>
                <w:sz w:val="20"/>
                <w:szCs w:val="20"/>
                <w:color w:val="auto"/>
              </w:rPr>
            </w:pPr>
            <w:r>
              <w:rPr>
                <w:rFonts w:ascii="Arial" w:cs="Arial" w:eastAsia="Arial" w:hAnsi="Arial"/>
                <w:sz w:val="14"/>
                <w:szCs w:val="14"/>
                <w:color w:val="auto"/>
              </w:rPr>
              <w:t>Total cash, cash equivalents and restricted cash</w:t>
            </w: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96"/>
              </w:rPr>
              <w:t>shown in Condensed Statements of Consolidated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5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Flows</w:t>
            </w:r>
          </w:p>
        </w:tc>
        <w:tc>
          <w:tcPr>
            <w:tcW w:w="1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 (Houston Electric and CERC)</w:t>
      </w:r>
    </w:p>
    <w:p>
      <w:pPr>
        <w:spacing w:after="0" w:line="229"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spacing w:after="0"/>
              <w:rPr>
                <w:sz w:val="16"/>
                <w:szCs w:val="16"/>
                <w:color w:val="auto"/>
              </w:rPr>
            </w:pPr>
          </w:p>
        </w:tc>
      </w:tr>
      <w:tr>
        <w:trPr>
          <w:trHeight w:val="250"/>
        </w:trPr>
        <w:tc>
          <w:tcPr>
            <w:tcW w:w="4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Houston Electric</w:t>
            </w:r>
          </w:p>
        </w:tc>
        <w:tc>
          <w:tcPr>
            <w:tcW w:w="5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CERC</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Houston Electric</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5"/>
              </w:rPr>
              <w:t>CERC</w:t>
            </w:r>
          </w:p>
        </w:tc>
      </w:tr>
      <w:tr>
        <w:trPr>
          <w:trHeight w:val="196"/>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8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w w:val="93"/>
              </w:rPr>
              <w:t>(in millions, except interest rates)</w:t>
            </w: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Money pool investments (borrowings) </w:t>
            </w:r>
            <w:r>
              <w:rPr>
                <w:rFonts w:ascii="Arial" w:cs="Arial" w:eastAsia="Arial" w:hAnsi="Arial"/>
                <w:sz w:val="14"/>
                <w:szCs w:val="14"/>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(133)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481</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Weighted average interest rate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bl>
    <w:p>
      <w:pPr>
        <w:spacing w:after="0" w:line="229"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Houston Electric and CERC affiliate related net interest income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3"/>
        </w:trPr>
        <w:tc>
          <w:tcPr>
            <w:tcW w:w="5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2020</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2"/>
                <w:szCs w:val="22"/>
                <w:color w:val="auto"/>
              </w:rPr>
            </w:pPr>
          </w:p>
        </w:tc>
      </w:tr>
      <w:tr>
        <w:trPr>
          <w:trHeight w:val="264"/>
        </w:trPr>
        <w:tc>
          <w:tcPr>
            <w:tcW w:w="5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7"/>
              </w:rPr>
              <w:t>Houston Electric</w:t>
            </w: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CERC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Houston Electric</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CERC</w:t>
            </w:r>
          </w:p>
        </w:tc>
      </w:tr>
      <w:tr>
        <w:trPr>
          <w:trHeight w:val="323"/>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 (expense)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income is included in Other income (expense), net and interest expense is included in Interest and other finance charges on Houston Electric’s and CERC’s respective Condensed Statements of Consolidated Income.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provides some corporate services to Houston Electric and CERC. The costs of services have been charged directly to Houston Electric and CERC using methods that management believes are reasonable. These methods include negotiated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2020</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2"/>
                <w:szCs w:val="22"/>
                <w:color w:val="auto"/>
              </w:rPr>
            </w:pPr>
          </w:p>
        </w:tc>
      </w:tr>
      <w:tr>
        <w:trPr>
          <w:trHeight w:val="263"/>
        </w:trPr>
        <w:tc>
          <w:tcPr>
            <w:tcW w:w="5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7"/>
              </w:rPr>
              <w:t>Houston Electric</w:t>
            </w: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CERC</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5"/>
              </w:rPr>
              <w:t>Houston Electric</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CERC</w:t>
            </w:r>
          </w:p>
        </w:tc>
      </w:tr>
      <w:tr>
        <w:trPr>
          <w:trHeight w:val="250"/>
        </w:trPr>
        <w:tc>
          <w:tcPr>
            <w:tcW w:w="5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affiliate service charges (billings)</w:t>
            </w:r>
          </w:p>
        </w:tc>
        <w:tc>
          <w:tcPr>
            <w:tcW w:w="160" w:type="dxa"/>
            <w:vAlign w:val="bottom"/>
          </w:tcPr>
          <w:p>
            <w:pPr>
              <w:spacing w:after="0"/>
              <w:rPr>
                <w:sz w:val="21"/>
                <w:szCs w:val="21"/>
                <w:color w:val="auto"/>
              </w:rPr>
            </w:pPr>
          </w:p>
        </w:tc>
        <w:tc>
          <w:tcPr>
            <w:tcW w:w="1740" w:type="dxa"/>
            <w:vAlign w:val="bottom"/>
            <w:gridSpan w:val="2"/>
          </w:tcPr>
          <w:p>
            <w:pPr>
              <w:jc w:val="right"/>
              <w:ind w:right="399"/>
              <w:spacing w:after="0"/>
              <w:rPr>
                <w:sz w:val="20"/>
                <w:szCs w:val="20"/>
                <w:color w:val="auto"/>
              </w:rPr>
            </w:pPr>
            <w:r>
              <w:rPr>
                <w:rFonts w:ascii="Arial" w:cs="Arial" w:eastAsia="Arial" w:hAnsi="Arial"/>
                <w:sz w:val="18"/>
                <w:szCs w:val="18"/>
                <w:color w:val="auto"/>
              </w:rPr>
              <w:t>(6)</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399"/>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transactions among Houston Electric, CERC and their parent, Utility Holding.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3"/>
        </w:trPr>
        <w:tc>
          <w:tcPr>
            <w:tcW w:w="5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2020</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2"/>
                <w:szCs w:val="22"/>
                <w:color w:val="auto"/>
              </w:rPr>
            </w:pPr>
          </w:p>
        </w:tc>
      </w:tr>
      <w:tr>
        <w:trPr>
          <w:trHeight w:val="263"/>
        </w:trPr>
        <w:tc>
          <w:tcPr>
            <w:tcW w:w="50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7"/>
              </w:rPr>
              <w:t>Houston Electric</w:t>
            </w: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CERC</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5"/>
              </w:rPr>
              <w:t>Houston Electric</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CERC</w:t>
            </w:r>
          </w:p>
        </w:tc>
      </w:tr>
      <w:tr>
        <w:trPr>
          <w:trHeight w:val="283"/>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to parent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Cash contribution from parent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w:t>
            </w:r>
          </w:p>
        </w:tc>
        <w:tc>
          <w:tcPr>
            <w:tcW w:w="5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CenterPoint Energy paid dividends on its Common Stock during the three months ended March 31, 2020 and 2019 as presented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4"/>
                <w:szCs w:val="14"/>
                <w:color w:val="auto"/>
              </w:rPr>
            </w:pPr>
          </w:p>
        </w:tc>
        <w:tc>
          <w:tcPr>
            <w:tcW w:w="24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3, 2020</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20, 2020</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12, 2020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0.2900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84"/>
        </w:trPr>
        <w:tc>
          <w:tcPr>
            <w:tcW w:w="26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Total 2020</w:t>
            </w:r>
          </w:p>
        </w:tc>
        <w:tc>
          <w:tcPr>
            <w:tcW w:w="2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0.2900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11"/>
        </w:trPr>
        <w:tc>
          <w:tcPr>
            <w:tcW w:w="2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0" w:type="dxa"/>
            <w:vAlign w:val="bottom"/>
            <w:gridSpan w:val="2"/>
          </w:tcPr>
          <w:p>
            <w:pPr>
              <w:ind w:left="40"/>
              <w:spacing w:after="0"/>
              <w:rPr>
                <w:sz w:val="20"/>
                <w:szCs w:val="20"/>
                <w:color w:val="auto"/>
              </w:rPr>
            </w:pPr>
            <w:r>
              <w:rPr>
                <w:rFonts w:ascii="Arial" w:cs="Arial" w:eastAsia="Arial" w:hAnsi="Arial"/>
                <w:sz w:val="16"/>
                <w:szCs w:val="16"/>
                <w:color w:val="auto"/>
              </w:rPr>
              <w:t>December 12, 2018</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February 21, 2019</w:t>
            </w: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March 14, 2019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0.2875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Total 2019</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0.2875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CenterPoint Energy paid dividends on its Series A Preferred Stock during the three months ended March 31, 2020 and 2019 as presented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4"/>
                <w:szCs w:val="14"/>
                <w:color w:val="auto"/>
              </w:rPr>
            </w:pPr>
          </w:p>
        </w:tc>
        <w:tc>
          <w:tcPr>
            <w:tcW w:w="24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3, 2020</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14, 2020</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 2020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30.6250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26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Total 2020</w:t>
            </w:r>
          </w:p>
        </w:tc>
        <w:tc>
          <w:tcPr>
            <w:tcW w:w="2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30.6250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11"/>
        </w:trPr>
        <w:tc>
          <w:tcPr>
            <w:tcW w:w="2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0" w:type="dxa"/>
            <w:vAlign w:val="bottom"/>
            <w:gridSpan w:val="2"/>
          </w:tcPr>
          <w:p>
            <w:pPr>
              <w:ind w:left="40"/>
              <w:spacing w:after="0"/>
              <w:rPr>
                <w:sz w:val="20"/>
                <w:szCs w:val="20"/>
                <w:color w:val="auto"/>
              </w:rPr>
            </w:pPr>
            <w:r>
              <w:rPr>
                <w:rFonts w:ascii="Arial" w:cs="Arial" w:eastAsia="Arial" w:hAnsi="Arial"/>
                <w:sz w:val="16"/>
                <w:szCs w:val="16"/>
                <w:color w:val="auto"/>
              </w:rPr>
              <w:t>December 12, 2018</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February 15, 2019</w:t>
            </w: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March 1, 2019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32.1563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Total 2019</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32.1563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paid dividends on its Series B Preferred Stock during the three months ended March 31, 2020 and 2019 as presented in the table below:</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4"/>
                <w:szCs w:val="14"/>
                <w:color w:val="auto"/>
              </w:rPr>
            </w:pPr>
          </w:p>
        </w:tc>
        <w:tc>
          <w:tcPr>
            <w:tcW w:w="25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3, 2020</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14, 2020</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 2020</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3"/>
        </w:trPr>
        <w:tc>
          <w:tcPr>
            <w:tcW w:w="24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Total 2020</w:t>
            </w:r>
          </w:p>
        </w:tc>
        <w:tc>
          <w:tcPr>
            <w:tcW w:w="2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11"/>
        </w:trPr>
        <w:tc>
          <w:tcPr>
            <w:tcW w:w="2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December 12, 2018</w:t>
            </w:r>
          </w:p>
        </w:tc>
        <w:tc>
          <w:tcPr>
            <w:tcW w:w="2700" w:type="dxa"/>
            <w:vAlign w:val="bottom"/>
            <w:gridSpan w:val="2"/>
          </w:tcPr>
          <w:p>
            <w:pPr>
              <w:ind w:left="20"/>
              <w:spacing w:after="0"/>
              <w:rPr>
                <w:sz w:val="20"/>
                <w:szCs w:val="20"/>
                <w:color w:val="auto"/>
              </w:rPr>
            </w:pPr>
            <w:r>
              <w:rPr>
                <w:rFonts w:ascii="Arial" w:cs="Arial" w:eastAsia="Arial" w:hAnsi="Arial"/>
                <w:sz w:val="16"/>
                <w:szCs w:val="16"/>
                <w:color w:val="auto"/>
              </w:rPr>
              <w:t>February 15, 2019</w:t>
            </w:r>
          </w:p>
        </w:tc>
        <w:tc>
          <w:tcPr>
            <w:tcW w:w="2560" w:type="dxa"/>
            <w:vAlign w:val="bottom"/>
            <w:gridSpan w:val="2"/>
          </w:tcPr>
          <w:p>
            <w:pPr>
              <w:ind w:left="20"/>
              <w:spacing w:after="0"/>
              <w:rPr>
                <w:sz w:val="20"/>
                <w:szCs w:val="20"/>
                <w:color w:val="auto"/>
              </w:rPr>
            </w:pPr>
            <w:r>
              <w:rPr>
                <w:rFonts w:ascii="Arial" w:cs="Arial" w:eastAsia="Arial" w:hAnsi="Arial"/>
                <w:sz w:val="16"/>
                <w:szCs w:val="16"/>
                <w:color w:val="auto"/>
              </w:rPr>
              <w:t>March 1, 2019</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Total 2019</w:t>
            </w:r>
          </w:p>
        </w:tc>
        <w:tc>
          <w:tcPr>
            <w:tcW w:w="2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Requirement on Preferred Stock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263"/>
        </w:trPr>
        <w:tc>
          <w:tcPr>
            <w:tcW w:w="8000" w:type="dxa"/>
            <w:vAlign w:val="bottom"/>
          </w:tcPr>
          <w:p>
            <w:pPr>
              <w:spacing w:after="0"/>
              <w:rPr>
                <w:sz w:val="22"/>
                <w:szCs w:val="22"/>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50"/>
        </w:trPr>
        <w:tc>
          <w:tcPr>
            <w:tcW w:w="8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2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Series B Preferred Stock</w:t>
            </w:r>
          </w:p>
        </w:tc>
        <w:tc>
          <w:tcPr>
            <w:tcW w:w="106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preferred stock dividend requirement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Houston Electric</w:t>
            </w:r>
          </w:p>
        </w:tc>
        <w:tc>
          <w:tcPr>
            <w:tcW w:w="18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Houston Electric</w:t>
            </w:r>
          </w:p>
        </w:tc>
        <w:tc>
          <w:tcPr>
            <w:tcW w:w="260" w:type="dxa"/>
            <w:vAlign w:val="bottom"/>
          </w:tcPr>
          <w:p>
            <w:pPr>
              <w:spacing w:after="0"/>
              <w:rPr>
                <w:sz w:val="13"/>
                <w:szCs w:val="13"/>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Energy</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132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60" w:type="dxa"/>
            <w:vAlign w:val="bottom"/>
            <w:gridSpan w:val="5"/>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6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reclassifications: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260" w:type="dxa"/>
            <w:vAlign w:val="bottom"/>
          </w:tcPr>
          <w:p>
            <w:pPr>
              <w:ind w:left="360"/>
              <w:spacing w:after="0" w:line="157" w:lineRule="exact"/>
              <w:rPr>
                <w:sz w:val="20"/>
                <w:szCs w:val="20"/>
                <w:color w:val="auto"/>
              </w:rPr>
            </w:pPr>
            <w:r>
              <w:rPr>
                <w:rFonts w:ascii="Arial" w:cs="Arial" w:eastAsia="Arial" w:hAnsi="Arial"/>
                <w:sz w:val="14"/>
                <w:szCs w:val="14"/>
                <w:color w:val="auto"/>
                <w:w w:val="94"/>
              </w:rPr>
              <w:t>Deferred gain (loss) from interest rate derivatives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60" w:type="dxa"/>
            <w:vAlign w:val="bottom"/>
          </w:tcPr>
          <w:p>
            <w:pPr>
              <w:ind w:left="52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8"/>
              </w:rPr>
              <w:t>Other comprehensive loss from unconsolidated</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affiliates</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60" w:type="dxa"/>
            <w:vAlign w:val="bottom"/>
          </w:tcPr>
          <w:p>
            <w:pPr>
              <w:ind w:left="2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60" w:type="dxa"/>
            <w:vAlign w:val="bottom"/>
          </w:tcPr>
          <w:p>
            <w:pPr>
              <w:ind w:left="200"/>
              <w:spacing w:after="0"/>
              <w:rPr>
                <w:sz w:val="20"/>
                <w:szCs w:val="20"/>
                <w:color w:val="auto"/>
              </w:rPr>
            </w:pPr>
            <w:r>
              <w:rPr>
                <w:rFonts w:ascii="Arial" w:cs="Arial" w:eastAsia="Arial" w:hAnsi="Arial"/>
                <w:sz w:val="14"/>
                <w:szCs w:val="14"/>
                <w:color w:val="auto"/>
              </w:rPr>
              <w:t>comprehensive loss: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Actuarial losses (2)</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60" w:type="dxa"/>
            <w:vAlign w:val="bottom"/>
          </w:tcPr>
          <w:p>
            <w:pPr>
              <w:ind w:left="360"/>
              <w:spacing w:after="0" w:line="157" w:lineRule="exact"/>
              <w:rPr>
                <w:sz w:val="20"/>
                <w:szCs w:val="20"/>
                <w:color w:val="auto"/>
              </w:rPr>
            </w:pPr>
            <w:r>
              <w:rPr>
                <w:rFonts w:ascii="Arial" w:cs="Arial" w:eastAsia="Arial" w:hAnsi="Arial"/>
                <w:sz w:val="14"/>
                <w:szCs w:val="14"/>
                <w:color w:val="auto"/>
                <w:w w:val="98"/>
              </w:rPr>
              <w:t>Reclassification of deferred loss from cash flow</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60" w:type="dxa"/>
            <w:vAlign w:val="bottom"/>
          </w:tcPr>
          <w:p>
            <w:pPr>
              <w:ind w:left="520"/>
              <w:spacing w:after="0"/>
              <w:rPr>
                <w:sz w:val="20"/>
                <w:szCs w:val="20"/>
                <w:color w:val="auto"/>
              </w:rPr>
            </w:pPr>
            <w:r>
              <w:rPr>
                <w:rFonts w:ascii="Arial" w:cs="Arial" w:eastAsia="Arial" w:hAnsi="Arial"/>
                <w:sz w:val="14"/>
                <w:szCs w:val="14"/>
                <w:color w:val="auto"/>
              </w:rPr>
              <w:t>hedges realized in net income</w:t>
            </w:r>
          </w:p>
        </w:tc>
        <w:tc>
          <w:tcPr>
            <w:tcW w:w="1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4"/>
                <w:szCs w:val="14"/>
                <w:color w:val="auto"/>
                <w:w w:val="96"/>
              </w:rPr>
              <w:t>Net current period other comprehensive income (loss)</w:t>
            </w:r>
          </w:p>
        </w:tc>
        <w:tc>
          <w:tcPr>
            <w:tcW w:w="18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660" w:hanging="328"/>
        <w:spacing w:after="0" w:line="31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Gains and losses are reclassified from Accumulated other comprehensive income into income when the hedged transactions affect earnings. The reclassification amounts are included in Interest and other finance charges in each of the Registrants’ respective Statements of Consolidated Income. Over the next twelve months estimated amortization from Accumulated Comprehensive Income into income is expected to be immaterial.</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(expense), net in each of the Registrants’ respective Statements of Consolidated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Private Placement (CenterPoint Energy)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6, 2020, CenterPoint Energy entered into agreements for the private placement of 725,000 shares of its Series C Preferred Stock, at a price of $1,000 share, resulting in gross proceeds of $725 million.</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Series C Preferred Stock is entitled to participate in any dividend or distribution (excluding those payable in Common Stock) with the Common Stock on a pari passu, pro rata, as-converted basis. At liquidation, the Series C Preferred Stock will rank pari passu to the existing Series A Preferred Stock and Series B Preferred Stock and senior to the Common Stock, but will participate in a liquidation only on an as-converted to Common Stock basis.</w:t>
      </w:r>
    </w:p>
    <w:p>
      <w:pPr>
        <w:spacing w:after="0" w:line="1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Conversion of the Series C Preferred Stock is mandatory upon the occurrence of any of the following triggers: (i) the 12-month anniversary date of the preferred stock purchase agreements, (ii) a bankruptcy event, and (iii) a fundamental change in CenterPoint Energy, including, among other things certain change of control events. Upon a mandatory conversion, each share of Series C Preferred Stock will convert into the number of Common Stock equal to the quotient of $1,000 divided by the prevailing conversion price, which is initially $15.31. In a conversion at the 12-month anniversary date, in lieu of issuing Common Stock, CenterPoint Energy may, at its election, make a cash payment equal to the product of (i) the then current market price of the Common Stock multiplied by (ii) the number of shares of Common Stock that such holder would have been entitled to receive in a conversion. Following the six-month anniversary date of the issuance of the Series C Preferred Stock, holders of Series C Preferred Stock also have an optional right to convert their holdings to Common Stock at any time, subject to a limit on conversion of no more than 4.9% of the outstanding Common Stock. The conversion price is subject to adjustment for subdivisions and combinations, dividends or distributions payable in common stock. If all of the 725,000 shares of Series C Preferred Stock converted at the current conversion price, CenterPoint Energy would issue an incremental 47,354,670 shares of Common Stock.</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may not issue more than a specified amount of outstanding Common Stock upon conversion of Preferred Stock. Once such specified amount has been reached, each Series C Preferred Stock holder electing to convert or subject to mandatory conversion will receive a cash payment equal to the product of (i) the market price of the Common Stock multiplied by (ii) the number of shares of Common Stock that such holder would have been entitled to receive in a conversion.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Series C Preferred Stock holders have no voting rights, except that the affirmative vote of a majority of outstanding Series C Preferred Stock is required for the company to (i) create any class or series of securities that is senior to the Series C Preferred Stock; (ii) reclassify or amend any authorized securities of CenterPoint Energy if reclassification would render the relevant security on a parity with or senior to the Series C Preferred Stock; or (iii) increase the authorized amount or issue any additional shares of Series C Preferred Stock.</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vote of at least 66 2/3% of the outstanding shares of Series C Preferred Stock is needed to amend the terms of the Series C Preferred Stock in any manner that would adversely alter or change the rights of the Series C Preferred Stock,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Private Placement (CenterPoint Energy)</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May 6, 2020, CenterPoint Energy entered into agreements for the private placement of 41,977,612 shares of its Common Stock, at a price of $16.08 share, resulting in gross proceeds of $675 million.</w:t>
      </w:r>
    </w:p>
    <w:p>
      <w:pPr>
        <w:spacing w:after="0" w:line="166" w:lineRule="exact"/>
        <w:rPr>
          <w:sz w:val="20"/>
          <w:szCs w:val="20"/>
          <w:color w:val="auto"/>
        </w:rPr>
      </w:pPr>
    </w:p>
    <w:p>
      <w:pPr>
        <w:jc w:val="center"/>
        <w:ind w:right="7720"/>
        <w:spacing w:after="0"/>
        <w:rPr>
          <w:sz w:val="20"/>
          <w:szCs w:val="20"/>
          <w:color w:val="auto"/>
        </w:rPr>
      </w:pPr>
      <w:r>
        <w:rPr>
          <w:rFonts w:ascii="Arial" w:cs="Arial" w:eastAsia="Arial" w:hAnsi="Arial"/>
          <w:sz w:val="16"/>
          <w:szCs w:val="16"/>
          <w:b w:val="1"/>
          <w:bCs w:val="1"/>
          <w:color w:val="auto"/>
        </w:rPr>
        <w:t>(20) Subsequent Events (CenterPoint Energy)</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CenterPoint Energy Dividend Declarations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Per Share</w:t>
            </w:r>
          </w:p>
        </w:tc>
      </w:tr>
      <w:tr>
        <w:trPr>
          <w:trHeight w:val="236"/>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2"/>
                <w:szCs w:val="12"/>
                <w:color w:val="auto"/>
              </w:rPr>
              <w:t>(1)</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April 24, 2020</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May 21, 2020</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June 11, 2020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0.1500</w:t>
            </w:r>
          </w:p>
        </w:tc>
      </w:tr>
      <w:tr>
        <w:trPr>
          <w:trHeight w:val="237"/>
        </w:trPr>
        <w:tc>
          <w:tcPr>
            <w:tcW w:w="4180" w:type="dxa"/>
            <w:vAlign w:val="bottom"/>
            <w:gridSpan w:val="2"/>
          </w:tcPr>
          <w:p>
            <w:pPr>
              <w:ind w:left="40"/>
              <w:spacing w:after="0"/>
              <w:rPr>
                <w:sz w:val="20"/>
                <w:szCs w:val="20"/>
                <w:color w:val="auto"/>
              </w:rPr>
            </w:pPr>
            <w:r>
              <w:rPr>
                <w:rFonts w:ascii="Arial" w:cs="Arial" w:eastAsia="Arial" w:hAnsi="Arial"/>
                <w:sz w:val="16"/>
                <w:szCs w:val="16"/>
                <w:color w:val="auto"/>
              </w:rPr>
              <w:t>Series B Preferred Stock</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April 24, 2020</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May 15, 2020</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1, 2020</w:t>
            </w:r>
          </w:p>
        </w:tc>
        <w:tc>
          <w:tcPr>
            <w:tcW w:w="2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17.5000</w:t>
            </w:r>
          </w:p>
        </w:tc>
      </w:tr>
    </w:tbl>
    <w:p>
      <w:pPr>
        <w:spacing w:after="0" w:line="235" w:lineRule="exact"/>
        <w:rPr>
          <w:sz w:val="20"/>
          <w:szCs w:val="20"/>
          <w:color w:val="auto"/>
        </w:rPr>
      </w:pPr>
    </w:p>
    <w:p>
      <w:pPr>
        <w:ind w:left="6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April 1, 2020, in response to the reduction in cash flow related to the reduction in Enable quarterly common unit distributions announced by Enable on April 1, 2020, CenterPoint Energy announced a reduction of its quarterly common stock dividend per share from $0.2900 to $0.1500.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Distributions Declarations (CenterPoint Energy)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4"/>
                <w:szCs w:val="14"/>
                <w:color w:val="auto"/>
              </w:rPr>
            </w:pPr>
          </w:p>
        </w:tc>
        <w:tc>
          <w:tcPr>
            <w:tcW w:w="1180" w:type="dxa"/>
            <w:vAlign w:val="bottom"/>
          </w:tcPr>
          <w:p>
            <w:pPr>
              <w:jc w:val="right"/>
              <w:ind w:right="144"/>
              <w:spacing w:after="0"/>
              <w:rPr>
                <w:sz w:val="20"/>
                <w:szCs w:val="20"/>
                <w:color w:val="auto"/>
              </w:rPr>
            </w:pPr>
            <w:r>
              <w:rPr>
                <w:rFonts w:ascii="Arial" w:cs="Arial" w:eastAsia="Arial" w:hAnsi="Arial"/>
                <w:sz w:val="14"/>
                <w:szCs w:val="14"/>
                <w:b w:val="1"/>
                <w:bCs w:val="1"/>
                <w:color w:val="auto"/>
                <w:w w:val="93"/>
              </w:rPr>
              <w:t>Expected Cash</w:t>
            </w:r>
          </w:p>
        </w:tc>
        <w:tc>
          <w:tcPr>
            <w:tcW w:w="0" w:type="dxa"/>
            <w:vAlign w:val="bottom"/>
          </w:tcPr>
          <w:p>
            <w:pPr>
              <w:spacing w:after="0"/>
              <w:rPr>
                <w:sz w:val="1"/>
                <w:szCs w:val="1"/>
                <w:color w:val="auto"/>
              </w:rPr>
            </w:pPr>
          </w:p>
        </w:tc>
      </w:tr>
      <w:tr>
        <w:trPr>
          <w:trHeight w:val="149"/>
        </w:trPr>
        <w:tc>
          <w:tcPr>
            <w:tcW w:w="25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vMerge w:val="restart"/>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0" w:type="dxa"/>
            <w:vAlign w:val="bottom"/>
            <w:vMerge w:val="restart"/>
          </w:tcPr>
          <w:p>
            <w:pPr>
              <w:spacing w:after="0"/>
              <w:rPr>
                <w:sz w:val="12"/>
                <w:szCs w:val="12"/>
                <w:color w:val="auto"/>
              </w:rPr>
            </w:pPr>
          </w:p>
        </w:tc>
        <w:tc>
          <w:tcPr>
            <w:tcW w:w="17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224"/>
              <w:spacing w:after="0" w:line="149" w:lineRule="exact"/>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Enable common units </w:t>
            </w:r>
            <w:r>
              <w:rPr>
                <w:rFonts w:ascii="Arial" w:cs="Arial" w:eastAsia="Arial" w:hAnsi="Arial"/>
                <w:sz w:val="12"/>
                <w:szCs w:val="12"/>
                <w:color w:val="auto"/>
              </w:rPr>
              <w:t>(1)</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5, 2020</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May 19, 2020</w:t>
            </w:r>
          </w:p>
        </w:tc>
        <w:tc>
          <w:tcPr>
            <w:tcW w:w="19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May 27,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0.16525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Enable Series A Preferred Units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5, 2020</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5, 2020</w:t>
            </w:r>
          </w:p>
        </w:tc>
        <w:tc>
          <w:tcPr>
            <w:tcW w:w="1900" w:type="dxa"/>
            <w:vAlign w:val="bottom"/>
            <w:gridSpan w:val="2"/>
          </w:tcPr>
          <w:p>
            <w:pPr>
              <w:ind w:left="440"/>
              <w:spacing w:after="0"/>
              <w:rPr>
                <w:sz w:val="20"/>
                <w:szCs w:val="20"/>
                <w:color w:val="auto"/>
              </w:rPr>
            </w:pPr>
            <w:r>
              <w:rPr>
                <w:rFonts w:ascii="Arial" w:cs="Arial" w:eastAsia="Arial" w:hAnsi="Arial"/>
                <w:sz w:val="16"/>
                <w:szCs w:val="16"/>
                <w:color w:val="auto"/>
              </w:rPr>
              <w:t>May 15, 2020</w:t>
            </w:r>
          </w:p>
        </w:tc>
        <w:tc>
          <w:tcPr>
            <w:tcW w:w="20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0.62500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April 1, 2020, Enable announced a reduction in its quarterly distributions per common unit from $0.3305 distributed for the fourth quarter 2019 to $0.16525, representing a 50% reduction.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Divestiture of Infrastructure Services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9, 2020, CenterPoint Energy completed the previously announced sale of the Infrastructure Services Disposal Group to PowerTeam Services for $850 million in cash, subject to an adjustment for working capital and other contractual adjustments. The net proceeds of the sale were used to repay a portion of outstanding CenterPoint Energy debt. See Note 3 for further information.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ERCOT Loan Agreement (CenterPoint Energy and Houston Electric)</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13, 2020, in connection with the PUCT’s COVID-19 ERP, Houston Electric entered into a no-interest loan agreement with ERCOT to provide for an initial fund balance for reimbursement for approximately $5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6, 2020, CenterPoint Energy entered into agreements for the private placements of its Series C Preferred Stock and its Common Stock. For more information about the private placements, see Note 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Form 10-Q and the Registrants’ combined 2019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COVID-19 Impacts. </w:t>
      </w:r>
      <w:r>
        <w:rPr>
          <w:rFonts w:ascii="Arial" w:cs="Arial" w:eastAsia="Arial" w:hAnsi="Arial"/>
          <w:sz w:val="16"/>
          <w:szCs w:val="16"/>
          <w:color w:val="auto"/>
        </w:rPr>
        <w:t>On March 11, 2020, the World Health Organization declared the current COVID-19 outbreak to be a global pandemic, and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13, 2020, the United States declared a national emergency. In response to these declarations and the rapid spread of COVID-19, federal, state and local governments have imposed varying degrees of restrictions on business and social activities to contain COVID-19, including quarantine and “stay-at-home” orders in our service territories. CenterPoint Energy has experienced some resulting disruptions to its business operations, as these restrictions have significantly impacted many sectors of the economy with various businesses curtailing or ceasing normal operations. For example, since mid-March, we have had to restrict access to our administrative offices around the United States. However, we continue to be productive through alternate work arrangements, leveraging a strong technology platform to support our employees working remotely at home to perform their duties or directly from their vehicles to serve our customers. Where we must maintain a presence in the field, we have adjusted our operational protocols to minimize exposure and risk to our field personnel, customers and the communities we serve, including, among other things, modifying our work schedules and reporting locations, delaying certain work types, such as maintenance and capital projects, and adjusting project scope and scale to adhere to safety protocols, while continuing to maintain the work activities necessary for safe and reliable service to our customers with increased safety precautions.</w:t>
      </w:r>
    </w:p>
    <w:p>
      <w:pPr>
        <w:spacing w:after="0" w:line="17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first priority in our response to this crisis has been the health and safety of our employees, our customers and other business counterparties. Because we provide a critical service to our customers, it is paramount that we keep our employees who operate our business safe and informed, and we have taken and are updating precautions for that purpose. We have implemented preventative measures and developed corporate and regional response plans to minimize unnecessary risk of exposure and prevent infection, while supporting our customers’ operations under the circumstances. In addition, we have assessed and updated our existing business continuity plans for each of our business units in the context of this pandemic. We have a corporate response planning team who assesses risks to the business, including for health, safety and environmental matters and personnel issues, and addresses various impacts of the situation, as they have been developing. We also have modified certain business practices (including those related to employee travel, employee work locations and cancellation of physical participation in meetings, events and conferences) to conform to government restrictions and best practices encouraged by the Centers for Disease Control and Prevention, the World Health Organization and other governmental and regulatory authorities. We are continuing to address concerns to protect the health and safety of our employees and those of our customers and other business counterparties, and this includes changes to comply with health-related guidelines as they are modified and supplemented. We are also working with our suppliers to understand the potential impacts to our supply chain, including identifying any negative impacts to material supplies, working to mitigate them and pre-planning for longer-term emergency response protocols. This is a rapidly evolving situation and could lead to extended disruption of economic activity in our markets; we will continue to monitor developments affecting our workforce, our customers and our suppliers and take additional precautions as we believe are warranted.</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extended slowdown of economic growth, decreased demand for commodities and/or material changes in governmental or regulatory policy in the United States could result in lower growth and reduced demand for and usage of electricity and natural gas in our service territories as customer facilities continue to close or remain closed. The ability of our customers, contractors and suppliers to meet their obligations to us, including payment obligations, could also be negatively impacted under the current economic conditions. In our NGD service territories and for Indiana Electric, we have informed customers that disconnections for non-payment will be temporarily suspended. For Houston Electric, we are following PUCT orders regarding disconnection practices related to those customers impacted by COVID-19. To the extent these conditions in our service territories persist, our bad debt expense from uncollectible accounts could increase, negatively impacting our financial condition, results of operations and cash flows. With respect to our regulatory proceedings, we could experience significant delays in scheduling proceedings or hearings and in obtaining orders from regulatory agencies. Any such delays could adversely affect our future results of operations.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Due to current macroeconomic conditions and the decline in our common stock price, we identified a triggering event to perform an interim goodwill impairment test and recognized a non-cash goodwill impairment charge of $185 million in our Indiana Electric Integrated reporting unit for the three months ended March 31, 2020. For further discussion of this impairment, see Note 10 to the Interim Condensed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As of the date of this Form 10-Q, our efforts to respond to the challenges presented by the conditions described above and minimize the impacts to our business have yielded results. Our electric facilities and natural gas distribution systems have remained operational and our customers have continued to receive service. Although we continue to assess the COVID-19 situation, we cannot estimate with any degree of certainty the full financial impact of the COVID-19 pandemic on our business. Nor can we predict the effect that the significant disruption and volatility currently being experienced in the markets will have on our business, cash flows, liquidity, financial condition and results of operations at this time. However, we expect the COVID-19 pandemic to adversely impact us in future quarters due to the considerable uncertainty regarding the extent to which COVID-19 will continue to spread and the extent and duration of governmental and other measures implemented to try to slow the spread of COVID-19, such as large-scale travel bans and restrictions, border closures, quarantines, shelter-in-place orders and business and government shutdowns. Restrictions of this nature have caused, and may continue to cause, us, our suppliers and other business counterparties to experience operational delays, closures or disruptions, among other things. The ultimate impacts to our business, financial condition, results of operations, liquidity and cash flows will depend on future developments, including, among others, the ultimate duration and geographic spread of COVID-19, the consequences of governmental and other measures designed to prevent the spread of COVID-19, the development of effective treatments, actions taken by governmental authorities, customers, suppliers and other third parties, workforce availability, and the timing and extent to which normal economic and operating conditions resume. For additional discussion regarding risks associated with the COVID-19 pandemic, see </w:t>
      </w:r>
      <w:r>
        <w:rPr>
          <w:rFonts w:ascii="Arial" w:cs="Arial" w:eastAsia="Arial" w:hAnsi="Arial"/>
          <w:sz w:val="16"/>
          <w:szCs w:val="16"/>
          <w:u w:val="single" w:color="auto"/>
          <w:color w:val="0563C1"/>
        </w:rPr>
        <w:t>“Risk Factors” in Item 1A of Part II of this Form 10-Q</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Enable Quarterly Distributions. </w:t>
      </w:r>
      <w:r>
        <w:rPr>
          <w:rFonts w:ascii="Arial" w:cs="Arial" w:eastAsia="Arial" w:hAnsi="Arial"/>
          <w:sz w:val="17"/>
          <w:szCs w:val="17"/>
          <w:color w:val="auto"/>
        </w:rPr>
        <w:t>The price of, and global demand for, natural gas, NGLs and crude oil have declined significantly as a result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ongoing spread and economic effects of the COVID-19 pandemic and the significant governmental measures being implemented to control the spread of COVID-19. In addition, the recent dispute over crude oil production levels between Russia and members of the Organization of the Petroleum Exporting Countries led by Saudi Arabia have exacerbated the sharp decline in the price of NGLs and crude oil. Despite the subsequent agreement in April 2020 by a coalition of nations including Russia and Saudi Arabia to reduce production of crude oil, the price of NGLs and crude oil have remained significantly depressed and, in the case of crude oil, have at times reached a negative price. Further, financial market declines and volatility, together with deteriorating credit, liquidity concerns, decreasing production, and increasing inventories, are conditions that are associated with a general economic downturn. Producers have announced and begun to implement plans to reduce production and decrease the drilling and completion of wells in response to these conditions, which include reductions in the exploration, development and production activity across Enable’s areas of operation. As a result, the effects of the COVID-19 pandemic and the decline in demand and price for natural gas, NGLs and crude oil have begun and may continue to negatively impact the demand for midstream services. In response to the impacts of these developments on its business, on April 1, 2020, Enable announced a reduction in its quarterly distributions per common unit from $0.3305 distributed for the fourth quarter 2019 to $0.16525, representing a 50% reduction. For further information, see “—Liquidity and Capital Resources—Future Sources and Uses of Cash” below.</w:t>
      </w:r>
    </w:p>
    <w:p>
      <w:pPr>
        <w:spacing w:after="0" w:line="1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CenterPoint Energy Financial Measures. </w:t>
      </w:r>
      <w:r>
        <w:rPr>
          <w:rFonts w:ascii="Arial" w:cs="Arial" w:eastAsia="Arial" w:hAnsi="Arial"/>
          <w:sz w:val="18"/>
          <w:szCs w:val="18"/>
          <w:color w:val="auto"/>
        </w:rPr>
        <w:t>On April 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in response to the current business environment and to strengthen its financial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 xml:space="preserve">and adjust for the reduction in cash flow related to the reduction in Enable quarterly common unit distributions, </w:t>
      </w:r>
      <w:r>
        <w:rPr>
          <w:rFonts w:ascii="Arial" w:cs="Arial" w:eastAsia="Arial" w:hAnsi="Arial"/>
          <w:sz w:val="18"/>
          <w:szCs w:val="18"/>
          <w:color w:val="000000"/>
        </w:rPr>
        <w:t>CenterPoint Energy announced targeted</w:t>
      </w:r>
      <w:r>
        <w:rPr>
          <w:rFonts w:ascii="Arial" w:cs="Arial" w:eastAsia="Arial" w:hAnsi="Arial"/>
          <w:sz w:val="18"/>
          <w:szCs w:val="18"/>
          <w:color w:val="212529"/>
        </w:rPr>
        <w:t xml:space="preserve"> </w:t>
      </w:r>
      <w:r>
        <w:rPr>
          <w:rFonts w:ascii="Arial" w:cs="Arial" w:eastAsia="Arial" w:hAnsi="Arial"/>
          <w:sz w:val="18"/>
          <w:szCs w:val="18"/>
          <w:color w:val="000000"/>
        </w:rPr>
        <w:t>reductions in (i) its quarterly common stock dividend to $0.1500 per share; (ii) 2020 operation and maintenance expenses, excluding certain merger costs, utility costs to achieve savings, severance and amounts with revenue offsets; and (iii) 2020 capital spending. For further information, see “—Liquidity and Capital Resources—Future Sources and Uses of Cash” below.</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Enable Investment Impairment. </w:t>
      </w:r>
      <w:r>
        <w:rPr>
          <w:rFonts w:ascii="Arial" w:cs="Arial" w:eastAsia="Arial" w:hAnsi="Arial"/>
          <w:sz w:val="18"/>
          <w:szCs w:val="18"/>
          <w:color w:val="auto"/>
        </w:rPr>
        <w:t>CenterPoint Energy recognized a loss of $1,475 million on its investment in Enable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This loss included an impairment charge on its investment in Enable of $1,541 million. For further discussion, see Note 9 to the Interim Condensed Financial Statements.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CenterPoint Energy Leadership Transition. </w:t>
      </w:r>
      <w:r>
        <w:rPr>
          <w:rFonts w:ascii="Arial" w:cs="Arial" w:eastAsia="Arial" w:hAnsi="Arial"/>
          <w:sz w:val="18"/>
          <w:szCs w:val="18"/>
          <w:color w:val="auto"/>
        </w:rPr>
        <w:t>On February 19, 2020, the Board of Directors appointed John W. Somerhalder II to the position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President and Chief Executive Officer. On April 1, 2020, the Board of Directors appointed Kristie L. Colvin to the position of Interim Executive Vice President and Chief Financial Officer in addition to her position as Chief Accounting Officer. In conjunction with their respective appointments, Mr. Somerhalder and Ms. Colvin also have been appointed to serve on the Board of Directors of Enable GP.</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Business Divestitures. </w:t>
      </w:r>
      <w:r>
        <w:rPr>
          <w:rFonts w:ascii="Arial" w:cs="Arial" w:eastAsia="Arial" w:hAnsi="Arial"/>
          <w:sz w:val="17"/>
          <w:szCs w:val="17"/>
          <w:color w:val="auto"/>
        </w:rPr>
        <w:t>On February 3, 2020, CenterPoint Energy, through its subsidiary VUSI, entered into the Securities Purchase Agreement to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Infrastructure Services Disposal Group. The transaction closed on April 9, 2020. On February 24, 2020, CenterPoint Energy, through its subsidiary CERC Corp., entered into the Equity Purchase Agreement to sell the Energy Services Disposal Group. The transaction is expected to close in the second quarter of 2020. For further information, see Note 3 to the Interim Condensed Financial Statements.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On April 5, 2019, and subsequently adjusted in errata filings in May and June 2019, Houston Electric filed its base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with the PUCT and the cities in its service area to change its rates. A settlement has been reached and a final order from the PUCT was received on March 9, 2020 and were implemented on April 23, 2020. For details related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pending and completed regulatory proceedings and orders related to the TCJA to date in 2020, see “—Liquidity and Capital Resources —Regulatory Matters” below.</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Private Placements. </w:t>
      </w:r>
      <w:r>
        <w:rPr>
          <w:rFonts w:ascii="Arial" w:cs="Arial" w:eastAsia="Arial" w:hAnsi="Arial"/>
          <w:sz w:val="17"/>
          <w:szCs w:val="17"/>
          <w:color w:val="auto"/>
        </w:rPr>
        <w:t>On May 6, 2020, CenterPoint Energy entered into agreements for the private placements of its Series C Preferred Stock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For more information about the private placements, see Note 19 to the Interim Condensed Financial Statements.</w:t>
      </w:r>
    </w:p>
    <w:p>
      <w:pPr>
        <w:spacing w:after="0" w:line="1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New Directors and Board of Directors Committee</w:t>
      </w:r>
      <w:r>
        <w:rPr>
          <w:rFonts w:ascii="Arial" w:cs="Arial" w:eastAsia="Arial" w:hAnsi="Arial"/>
          <w:sz w:val="16"/>
          <w:szCs w:val="16"/>
          <w:color w:val="auto"/>
        </w:rPr>
        <w:t>. On May 6, 2020, at the recommendation of the Governance Committee,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appointed David J. Lesar and Barry T. Smitherman to the Board of Directors effective immediately. Messrs. Lesar and Smitherman have been elected to serve as directors of CenterPoint Energy until the expiration of their respective terms on the date of its annual meeting of shareholders in 2021 and until their successors are elected and qualified. Messrs. Lesar and Smitherman are expected to stand for election as directors at the annual meeting of shareholders in 2021. Messrs. Lesar and Smitherman will serve on the Board of Directors’ newly established Business Review and Evaluation Committee, which will assist the Board in evaluating and optimizing the various businesses, assets and ownership interests currently held by CenterPoint Energy.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2019 Form 10-K and in Item 1A of Part II of this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64"/>
        </w:trPr>
        <w:tc>
          <w:tcPr>
            <w:tcW w:w="80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r>
      <w:tr>
        <w:trPr>
          <w:trHeight w:val="296"/>
        </w:trPr>
        <w:tc>
          <w:tcPr>
            <w:tcW w:w="8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BFE4FF"/>
            </w:tcBorders>
            <w:shd w:val="clear" w:color="auto" w:fill="BFE4FF"/>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79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7"/>
              </w:rPr>
              <w:t>2,229</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Expenses</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2,018</w:t>
            </w:r>
          </w:p>
        </w:tc>
      </w:tr>
      <w:tr>
        <w:trPr>
          <w:trHeight w:val="27"/>
        </w:trPr>
        <w:tc>
          <w:tcPr>
            <w:tcW w:w="8000" w:type="dxa"/>
            <w:vAlign w:val="bottom"/>
            <w:tcBorders>
              <w:bottom w:val="single" w:sz="8" w:color="BFE4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96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Interest Expense on Securitization Bonds</w:t>
            </w:r>
          </w:p>
        </w:tc>
        <w:tc>
          <w:tcPr>
            <w:tcW w:w="96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 net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(1,475)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Interest Income</w:t>
            </w:r>
          </w:p>
        </w:tc>
        <w:tc>
          <w:tcPr>
            <w:tcW w:w="960" w:type="dxa"/>
            <w:vAlign w:val="bottom"/>
            <w:tcBorders>
              <w:bottom w:val="single" w:sz="8" w:color="BFE4FF"/>
            </w:tcBorders>
            <w:shd w:val="clear" w:color="auto" w:fill="BFE4FF"/>
          </w:tcPr>
          <w:p>
            <w:pPr>
              <w:spacing w:after="0"/>
              <w:rPr>
                <w:sz w:val="21"/>
                <w:szCs w:val="21"/>
                <w:color w:val="auto"/>
              </w:rPr>
            </w:pPr>
          </w:p>
        </w:tc>
        <w:tc>
          <w:tcPr>
            <w:tcW w:w="7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Income from Securitization Bonds</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(1,400)</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Income Tax Expense (Benefit)</w:t>
            </w:r>
          </w:p>
        </w:tc>
        <w:tc>
          <w:tcPr>
            <w:tcW w:w="96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(1,053)</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6"/>
              </w:rPr>
              <w:t>Income (Loss) from Discontinued Operations (net of tax expense (benefit) of ($17) and $8, respectively)</w:t>
            </w:r>
          </w:p>
        </w:tc>
        <w:tc>
          <w:tcPr>
            <w:tcW w:w="96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(1,199)</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Preferred Stock Dividend Requirement</w:t>
            </w:r>
          </w:p>
        </w:tc>
        <w:tc>
          <w:tcPr>
            <w:tcW w:w="96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29</w:t>
            </w:r>
          </w:p>
        </w:tc>
      </w:tr>
      <w:tr>
        <w:trPr>
          <w:trHeight w:val="297"/>
        </w:trPr>
        <w:tc>
          <w:tcPr>
            <w:tcW w:w="8000" w:type="dxa"/>
            <w:vAlign w:val="bottom"/>
            <w:tcBorders>
              <w:bottom w:val="single" w:sz="8" w:color="BFE4FF"/>
            </w:tcBorders>
          </w:tcPr>
          <w:p>
            <w:pPr>
              <w:ind w:left="40"/>
              <w:spacing w:after="0"/>
              <w:rPr>
                <w:sz w:val="20"/>
                <w:szCs w:val="20"/>
                <w:color w:val="auto"/>
              </w:rPr>
            </w:pPr>
            <w:r>
              <w:rPr>
                <w:rFonts w:ascii="Arial" w:cs="Arial" w:eastAsia="Arial" w:hAnsi="Arial"/>
                <w:sz w:val="18"/>
                <w:szCs w:val="18"/>
                <w:color w:val="auto"/>
              </w:rPr>
              <w:t>Income (Loss) Available to Common Shareholders</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(1,228)</w:t>
            </w:r>
          </w:p>
        </w:tc>
        <w:tc>
          <w:tcPr>
            <w:tcW w:w="120" w:type="dxa"/>
            <w:vAlign w:val="bottom"/>
            <w:tcBorders>
              <w:bottom w:val="single" w:sz="8" w:color="BFE4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Basic Earnings (Loss) Per Common Share:</w:t>
            </w:r>
          </w:p>
        </w:tc>
        <w:tc>
          <w:tcPr>
            <w:tcW w:w="960" w:type="dxa"/>
            <w:vAlign w:val="bottom"/>
            <w:tcBorders>
              <w:bottom w:val="single" w:sz="8" w:color="BFE4FF"/>
            </w:tcBorders>
            <w:shd w:val="clear" w:color="auto" w:fill="BFE4FF"/>
          </w:tcPr>
          <w:p>
            <w:pPr>
              <w:spacing w:after="0"/>
              <w:rPr>
                <w:sz w:val="20"/>
                <w:szCs w:val="20"/>
                <w:color w:val="auto"/>
              </w:rPr>
            </w:pPr>
          </w:p>
        </w:tc>
        <w:tc>
          <w:tcPr>
            <w:tcW w:w="6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spacing w:after="0"/>
              <w:rPr>
                <w:sz w:val="20"/>
                <w:szCs w:val="20"/>
                <w:color w:val="auto"/>
              </w:rPr>
            </w:pPr>
          </w:p>
        </w:tc>
        <w:tc>
          <w:tcPr>
            <w:tcW w:w="560" w:type="dxa"/>
            <w:vAlign w:val="bottom"/>
            <w:tcBorders>
              <w:bottom w:val="single" w:sz="8" w:color="BFE4FF"/>
            </w:tcBorders>
            <w:shd w:val="clear" w:color="auto" w:fill="BFE4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Basic earnings (loss) per common share - continuing operations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Basic earnings (loss) per common share - discontinued operations</w:t>
            </w:r>
          </w:p>
        </w:tc>
        <w:tc>
          <w:tcPr>
            <w:tcW w:w="96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0.05</w:t>
            </w:r>
          </w:p>
        </w:tc>
      </w:tr>
      <w:tr>
        <w:trPr>
          <w:trHeight w:val="297"/>
        </w:trPr>
        <w:tc>
          <w:tcPr>
            <w:tcW w:w="8000" w:type="dxa"/>
            <w:vAlign w:val="bottom"/>
            <w:tcBorders>
              <w:bottom w:val="single" w:sz="8" w:color="BFE4FF"/>
            </w:tcBorders>
          </w:tcPr>
          <w:p>
            <w:pPr>
              <w:ind w:left="40"/>
              <w:spacing w:after="0"/>
              <w:rPr>
                <w:sz w:val="20"/>
                <w:szCs w:val="20"/>
                <w:color w:val="auto"/>
              </w:rPr>
            </w:pPr>
            <w:r>
              <w:rPr>
                <w:rFonts w:ascii="Arial" w:cs="Arial" w:eastAsia="Arial" w:hAnsi="Arial"/>
                <w:sz w:val="18"/>
                <w:szCs w:val="18"/>
                <w:color w:val="auto"/>
              </w:rPr>
              <w:t>Basic Earnings (Loss) Per Common Share</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BFE4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237"/>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Diluted Earnings (Loss) Per Common Share:</w:t>
            </w:r>
          </w:p>
        </w:tc>
        <w:tc>
          <w:tcPr>
            <w:tcW w:w="960" w:type="dxa"/>
            <w:vAlign w:val="bottom"/>
            <w:tcBorders>
              <w:bottom w:val="single" w:sz="8" w:color="BFE4FF"/>
            </w:tcBorders>
            <w:shd w:val="clear" w:color="auto" w:fill="BFE4FF"/>
          </w:tcPr>
          <w:p>
            <w:pPr>
              <w:spacing w:after="0"/>
              <w:rPr>
                <w:sz w:val="20"/>
                <w:szCs w:val="20"/>
                <w:color w:val="auto"/>
              </w:rPr>
            </w:pPr>
          </w:p>
        </w:tc>
        <w:tc>
          <w:tcPr>
            <w:tcW w:w="6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spacing w:after="0"/>
              <w:rPr>
                <w:sz w:val="20"/>
                <w:szCs w:val="20"/>
                <w:color w:val="auto"/>
              </w:rPr>
            </w:pPr>
          </w:p>
        </w:tc>
        <w:tc>
          <w:tcPr>
            <w:tcW w:w="560" w:type="dxa"/>
            <w:vAlign w:val="bottom"/>
            <w:tcBorders>
              <w:bottom w:val="single" w:sz="8" w:color="BFE4FF"/>
            </w:tcBorders>
            <w:shd w:val="clear" w:color="auto" w:fill="BFE4FF"/>
          </w:tcPr>
          <w:p>
            <w:pPr>
              <w:spacing w:after="0"/>
              <w:rPr>
                <w:sz w:val="20"/>
                <w:szCs w:val="20"/>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Diluted earnings (loss) per common share - continuing operations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0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Diluted earnings (loss) per common share - discontinued operations</w:t>
            </w:r>
          </w:p>
        </w:tc>
        <w:tc>
          <w:tcPr>
            <w:tcW w:w="96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Diluted Earnings (Loss) Per Common Share</w:t>
            </w:r>
          </w:p>
        </w:tc>
        <w:tc>
          <w:tcPr>
            <w:tcW w:w="96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reported a loss available to common shareholders of $1,228 million ($2.44 loss per diluted common share) for the three months ended March 31, 2020 compared to income available to common shareholders of $140 million ($0.28 per diluted common share) for the three months ended March 31, 2019.</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of $1,368 million in income available to common shareholders was primarily due to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$1,151 million decrease in net income from the Midstream Investments reportable segment further discussed under Results of Operations by Reportable Segment below;</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$172 million increase in loss from discontinued operations, net related to the Infrastructure Services and Energy Services Disposal Groups further discussed in Note 3 to the Interim Condensed Financial Statements;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$162 million decrease in net income from the Indiana Electric Integrated reportable segment further discussed under Results of Operations by Reportable Segment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$84 million increase in net income from the Natural Gas Distribution reportable segment further discussed under Results of Operations by Reportable Segment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$26 million increase in net income from Corporate and Other further discussed under Results of Operations by Reportable Segment below; and</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$7 million increase in net income from the Houston Electric T&amp;D reportable segment further discussed under Results of Operations by Reportable Segment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Continuing Operations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Energy’s effective tax rate from continuing operations reported for the three months ended March 31, 2020 was 25% compared to 9% for the three months ended March 31, 2019. The higher effective tax rate for the three months ended March 31, 2020 was primarily due to lower earnings from the impairment of CenterPoint Energy’s investment in Enable. Other effective tax rate drivers include the non-deductible goodwill impairment at the Indiana Electric Integrated reporting unit, the impact of NOL carryback claims allowed under the CARES Act, and an increase in the amount of remeasurement of state deferred tax liabilities for changes in apportionment, the effects of which were compounded by the book loss in the three months ended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Discontinued Operations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Energy’s effective tax rate from discontinued operations reported for the three months ended March 31, 2020 was 10% compared to 24% for the three months ended March 31, 2019. The lower effective tax rate for the three months ended March 31, 2020 was primarily due to the non-deductible portions of goodwill impairments on the Energy Services and Infrastructure Services Disposal Groups.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8220" w:type="dxa"/>
            <w:vAlign w:val="bottom"/>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r>
      <w:tr>
        <w:trPr>
          <w:trHeight w:val="187"/>
        </w:trPr>
        <w:tc>
          <w:tcPr>
            <w:tcW w:w="8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r>
      <w:tr>
        <w:trPr>
          <w:trHeight w:val="251"/>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4"/>
                <w:szCs w:val="14"/>
                <w:color w:val="auto"/>
              </w:rPr>
              <w:t>(1)</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43"/>
        </w:trPr>
        <w:tc>
          <w:tcPr>
            <w:tcW w:w="8220" w:type="dxa"/>
            <w:vAlign w:val="bottom"/>
          </w:tcPr>
          <w:p>
            <w:pPr>
              <w:ind w:left="720"/>
              <w:spacing w:after="0"/>
              <w:rPr>
                <w:sz w:val="20"/>
                <w:szCs w:val="20"/>
                <w:color w:val="auto"/>
              </w:rPr>
            </w:pPr>
            <w:r>
              <w:rPr>
                <w:rFonts w:ascii="Arial" w:cs="Arial" w:eastAsia="Arial" w:hAnsi="Arial"/>
                <w:sz w:val="18"/>
                <w:szCs w:val="18"/>
                <w:color w:val="auto"/>
              </w:rPr>
              <w:t>Expenses</w:t>
            </w:r>
          </w:p>
        </w:tc>
        <w:tc>
          <w:tcPr>
            <w:tcW w:w="98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Securitization Bonds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from Securitization Bonds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weather hedge gains of $4 million and $3 million for the three months ended March 31, 2020 and 2019, respectively, recorded in Utility revenues on CenterPoint Energy’s Condensed Statements of Consolidated Income. See Note 7(a) to the Interim Condensed Financial Statements for more information on the weather hedge.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Houston Electric reported net income of $33 million for the three months ended March 31, 2020 compared to net income of $27 million for the three months ended March 31,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of $6 million in net income from the Houston Electric T&amp;D reportable segment is discussed below in Results of Operations by Reportable Segment, exclusive of weather hedges recorded at CenterPoint Energy.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Electric’s effective tax rate reported for the three months ended March 31, 2020 was 13% compared to 18% for the three months ended March 31, 2019. The lower effective tax rate for the three months ended March 31, 2020 was primarily due to an increase in the amount of amortization of the net regulatory EDIT liability.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CERC’s results of operations are affected by seasonal fluctuations in the demand for natural gas and price movements of energy commodities as well as the optimization of margins through natural gas basis differentials. CERC’s results of operations are also affected by, among other things, the actions of various federal, state and local governmental authorities having jurisdiction over rates CERC charges, competition in CERC’s various business operations, the effectiveness of CERC’s risk management activities, debt service costs and income tax expense. For more information regarding factors that may affect the future results of operations for CERC’s business,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3"/>
        </w:trPr>
        <w:tc>
          <w:tcPr>
            <w:tcW w:w="82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50"/>
        </w:trPr>
        <w:tc>
          <w:tcPr>
            <w:tcW w:w="8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1,212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Expenses</w:t>
            </w:r>
          </w:p>
        </w:tc>
        <w:tc>
          <w:tcPr>
            <w:tcW w:w="90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1,052</w:t>
            </w:r>
          </w:p>
        </w:tc>
      </w:tr>
      <w:tr>
        <w:trPr>
          <w:trHeight w:val="27"/>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Expense and Other Finance Charges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Income (Loss) from Discontinued Operations (net of tax expense (benefit) of ($11) and $8, respectively)</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CERC reported net income of $67 million for the three months ended March 31, 2020 compared to net income of $138 million for the three months ended March 31,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net income of $71 million was primarily due to a $92 million decrease in income from discontinued operations, net of tax, discussed further in Note 3 to the Interim Condensed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decrease in net income was partially offset by the following:</w:t>
      </w:r>
    </w:p>
    <w:p>
      <w:pPr>
        <w:spacing w:after="0" w:line="225" w:lineRule="exact"/>
        <w:rPr>
          <w:sz w:val="20"/>
          <w:szCs w:val="20"/>
          <w:color w:val="auto"/>
        </w:rPr>
      </w:pPr>
    </w:p>
    <w:p>
      <w:pPr>
        <w:ind w:left="660" w:right="20" w:hanging="328"/>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$15 million increase in net income from the Natural Gas Distribution reportable segment discussed further under Results of Operations by Reportable Segment below;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$6 million increase in net income from Corporate and Other.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Continuing Operations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CERC’s effective tax rate on income from continuing operations for the three months ended March 31, 2020 was 21% compared to 14% for the three months ended March 31, 2019. CERC’s higher effective tax rate on income from continuing operations for the three months ended March 31, 2020 compared to the three months ended March 31, 2019 was primarily due to a decrease in the amount of amortization of the net regulatory EDIT liability.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Discontinued Operations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CERC’s effective tax rate from discontinued operations reported for the three months ended March 31, 2020 was 15% compared to 22% for the three months ended March 31, 2019. The lower effective tax rate for the three months ended March 31, 2020 was due to the non-deductible portion of goodwill impairment on the Energy Services Disposal Group.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1, 2020, the Registrants’ CODM views net income as the measure of profit or loss for the reportable segments rather than the previous measure of operating income. Certain prior year amounts have been reclassified to conform to the current year presentation.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On February 3, 2020, CenterPoint Energy, through its subsidiary VUSI, entered into the Securities Purchase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sell the Infrastructure Services Disposal Group. Accordingly, the previously reported Infrastructure Services reportable segment has been eliminated. The transaction closed on April 9, 2020. For further information, see Note 3 to the Interim Condensed Financial Statements.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Additionally, on February 24, 2020, CenterPoint Energy, through its subsidiary CERC Corp., entered into the Equity Purchase Agreement to sell the Energy Services Disposal Group. Accordingly, the previously reported Energy Services reportable segment has been eliminated. The transaction is expected to close in the second quarter of 2020. For further information, see Note 3 to the Interim Condensed Financial Statements.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reportable segments by Registrant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Registrants</w:t>
            </w:r>
          </w:p>
        </w:tc>
        <w:tc>
          <w:tcPr>
            <w:tcW w:w="12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Houston Electric T&amp;D</w:t>
            </w:r>
          </w:p>
        </w:tc>
        <w:tc>
          <w:tcPr>
            <w:tcW w:w="12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Indiana Electric</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Natural Gas Distribution</w:t>
            </w:r>
          </w:p>
        </w:tc>
        <w:tc>
          <w:tcPr>
            <w:tcW w:w="10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Midstream Investments</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Integrated</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CenterPoint Energy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Included in revenues are intersegment sales, which are accounted for as if the sales were to third parties at current market prices. See Note 16 to the Interim Condensed Financial Statements for details of reportable segments by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 T&amp;D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Houston Electric T&amp;D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the Houston Electric T&amp;D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7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634"/>
        </w:trPr>
        <w:tc>
          <w:tcPr>
            <w:tcW w:w="7760" w:type="dxa"/>
            <w:vAlign w:val="bottom"/>
          </w:tcPr>
          <w:p>
            <w:pPr>
              <w:ind w:left="40"/>
              <w:spacing w:after="0"/>
              <w:rPr>
                <w:sz w:val="20"/>
                <w:szCs w:val="20"/>
                <w:color w:val="auto"/>
              </w:rPr>
            </w:pPr>
            <w:r>
              <w:rPr>
                <w:rFonts w:ascii="Arial" w:cs="Arial" w:eastAsia="Arial" w:hAnsi="Arial"/>
                <w:sz w:val="18"/>
                <w:szCs w:val="18"/>
                <w:color w:val="auto"/>
              </w:rPr>
              <w:t>Utility Revenues: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TDU </w:t>
            </w:r>
            <w:r>
              <w:rPr>
                <w:rFonts w:ascii="Arial" w:cs="Arial" w:eastAsia="Arial" w:hAnsi="Arial"/>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Bond Companies</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utility revenues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Expenses: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 excluding Bond Companies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 excluding Bond Companies</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Bond Companies</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Securitization Bonds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from Securitization Bonds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4"/>
                <w:szCs w:val="14"/>
                <w:color w:val="auto"/>
              </w:rPr>
              <w:t>(1)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0"/>
              <w:spacing w:after="0"/>
              <w:rPr>
                <w:sz w:val="20"/>
                <w:szCs w:val="20"/>
                <w:color w:val="auto"/>
              </w:rPr>
            </w:pPr>
            <w:r>
              <w:rPr>
                <w:rFonts w:ascii="Arial" w:cs="Arial" w:eastAsia="Arial" w:hAnsi="Arial"/>
                <w:sz w:val="18"/>
                <w:szCs w:val="18"/>
                <w:color w:val="auto"/>
              </w:rPr>
              <w:t>Throughput (in GWh):</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20,102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19,019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metered customers at end of period: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2,260,352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2,206,563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2,552,739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2,494,761</w:t>
            </w:r>
          </w:p>
        </w:tc>
        <w:tc>
          <w:tcPr>
            <w:tcW w:w="0" w:type="dxa"/>
            <w:vAlign w:val="bottom"/>
          </w:tcPr>
          <w:p>
            <w:pPr>
              <w:spacing w:after="0"/>
              <w:rPr>
                <w:sz w:val="1"/>
                <w:szCs w:val="1"/>
                <w:color w:val="auto"/>
              </w:rPr>
            </w:pPr>
          </w:p>
        </w:tc>
      </w:tr>
      <w:tr>
        <w:trPr>
          <w:trHeight w:val="27"/>
        </w:trPr>
        <w:tc>
          <w:tcPr>
            <w:tcW w:w="7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income for CenterPoint Energy’s Houston Electric T&amp;D reportable segment differs from net income for Houston Electric due to weather hedge gains (losses) recorded at CenterPoint Energy that are not recorded at Houston Electric. Utility revenues in CenterPoint Energy’s Condensed Statements of Consolidated Income included weather hedge gains (losses) of $4 million and $3 million for the three months ended March 31, 2020 and 2019, respectively, for CenterPoint Energy’s Houston Electric T&amp;D reportable segment. See Note 7(a) to the Interim Condensed Financial Statements for more information on weather hedges.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ind w:left="60" w:right="20" w:firstLine="324"/>
        <w:spacing w:after="0" w:line="277" w:lineRule="auto"/>
        <w:rPr>
          <w:sz w:val="20"/>
          <w:szCs w:val="20"/>
          <w:color w:val="auto"/>
        </w:rPr>
      </w:pPr>
      <w:r>
        <w:rPr>
          <w:rFonts w:ascii="Arial" w:cs="Arial" w:eastAsia="Arial" w:hAnsi="Arial"/>
          <w:sz w:val="18"/>
          <w:szCs w:val="18"/>
          <w:color w:val="auto"/>
        </w:rPr>
        <w:t>CenterPoint Energy’s Houston Electric T&amp;D reportable segment reported net income of $37 million for the three months ended March 31, 2020, compared to $30 million for the three months ended March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 increased $7 million, primarily due to the following key factors:</w:t>
      </w:r>
    </w:p>
    <w:p>
      <w:pPr>
        <w:spacing w:after="0" w:line="225" w:lineRule="exact"/>
        <w:rPr>
          <w:sz w:val="20"/>
          <w:szCs w:val="20"/>
          <w:color w:val="auto"/>
        </w:rPr>
      </w:pPr>
    </w:p>
    <w:p>
      <w:pPr>
        <w:ind w:left="660" w:right="2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decreased operation and maintenance expenses of $17 million, inclusive of a $6 million decrease in severance costs, primarily due to lower labor and benefits costs, lower support services costs, and lower contract services costs;</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customer growth of $7 million from the addition of almost 58,000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$5 million increase in Other income (expense), net due to income associated with corporate-owned life insurance.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higher depreciation and amortization expense, primarily because of ongoing additions to plant in service, and other taxes of $9 million;</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equity return of $5 million, primarily related to the annual true-up of transition charges to correct over-collections that occurred during the preceding 12 months;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miscellaneous revenues of $3 million, primarily related to right-of-way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interest income of $3 million, primarily due to lower investments in the CenterPoint Energy money pool; and</w:t>
      </w:r>
    </w:p>
    <w:p>
      <w:pPr>
        <w:spacing w:after="0" w:line="225" w:lineRule="exact"/>
        <w:rPr>
          <w:rFonts w:ascii="Arial" w:cs="Arial" w:eastAsia="Arial" w:hAnsi="Arial"/>
          <w:sz w:val="18"/>
          <w:szCs w:val="18"/>
          <w:color w:val="auto"/>
        </w:rPr>
      </w:pPr>
    </w:p>
    <w:p>
      <w:pPr>
        <w:ind w:left="340" w:right="340" w:hanging="8"/>
        <w:spacing w:after="0" w:line="623" w:lineRule="auto"/>
        <w:tabs>
          <w:tab w:leader="none" w:pos="6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higher transmission costs billed by transmission providers of $9 million, partially offset by higher transmission-related revenues of $7 million. Lower depreciation and amortization expenses related to AMS of $1 million were offset by a corresponding decrease in related revenues.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Indiana Electric Integrated (CenterPoint Energy)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the Indiana Electric Integrated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Indiana Electric Integrated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348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r>
      <w:tr>
        <w:trPr>
          <w:trHeight w:val="258"/>
        </w:trPr>
        <w:tc>
          <w:tcPr>
            <w:tcW w:w="77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ind w:right="531"/>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r>
      <w:tr>
        <w:trPr>
          <w:trHeight w:val="687"/>
        </w:trPr>
        <w:tc>
          <w:tcPr>
            <w:tcW w:w="7760" w:type="dxa"/>
            <w:vAlign w:val="bottom"/>
          </w:tcPr>
          <w:p>
            <w:pPr>
              <w:ind w:left="720"/>
              <w:spacing w:after="0"/>
              <w:rPr>
                <w:sz w:val="20"/>
                <w:szCs w:val="20"/>
                <w:color w:val="auto"/>
              </w:rPr>
            </w:pPr>
            <w:r>
              <w:rPr>
                <w:rFonts w:ascii="Arial" w:cs="Arial" w:eastAsia="Arial" w:hAnsi="Arial"/>
                <w:sz w:val="18"/>
                <w:szCs w:val="18"/>
                <w:color w:val="auto"/>
              </w:rPr>
              <w:t>Utility Revenues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Utility natural gas, fuel and purchased power</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9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w:t>
            </w: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9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9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Throughput (in GWh):</w:t>
            </w:r>
          </w:p>
        </w:tc>
        <w:tc>
          <w:tcPr>
            <w:tcW w:w="9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Retail</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704</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Wholesale</w:t>
            </w:r>
          </w:p>
        </w:tc>
        <w:tc>
          <w:tcPr>
            <w:tcW w:w="9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97"/>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w:t>
            </w:r>
          </w:p>
        </w:tc>
      </w:tr>
      <w:tr>
        <w:trPr>
          <w:trHeight w:val="23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metered customers at end of period:</w:t>
            </w:r>
          </w:p>
        </w:tc>
        <w:tc>
          <w:tcPr>
            <w:tcW w:w="9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129,233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128,194</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148,265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147,047</w:t>
            </w:r>
          </w:p>
        </w:tc>
      </w:tr>
      <w:tr>
        <w:trPr>
          <w:trHeight w:val="27"/>
        </w:trPr>
        <w:tc>
          <w:tcPr>
            <w:tcW w:w="77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February 1, 2019 through March 31, 2019 results only due to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CenterPoint Energy’s Indiana Electric Integrated reportable segment reported a net loss of $171 million for the three months ended March 31, 2020, compared to $9 million for the three months ended March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loss increased $162 million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$185 million goodwill impairment charge further discussed in Note 10 to the Interim Condensed Financial Statements;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$9 million increase in depreciation and amortization expense from the inclusion of expense for three months in 2020 versus two months included in 2019 due to the Merger on February 1,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$5 million increase in state and federal income taxes driven by growth in earnings and the non-deductible goodwill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 million decrease in customer margin due to unfavorable weather not protected by weather normalization mechanisms;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 million increase in interest expense from the inclusion of expense for three months in 2020 versus two months included in 2019 due to the Merger on February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$34 million increase in electric margin from the inclusion of results for three months in 2020 versus two months included in 2019 due to the Merger on February 1,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$3 million increase in margin associated with the Indiana Electric infrastructure replacement TDSIC program;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$4 million decrease in operation and maintenance expense inclusive of a $19 million reduction in Merger-related severance and incentive compensation costs in 2019 and a timing related reduction of plant maintenance expenditures of $2 million, partially offset by a $17 million increase from the inclusion of expense for three months in 2020 versus two months included in 2019 due to the Merger on February 1,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(CenterPoint Energy)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CenterPoint Energy’s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Natural Gas Distribution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7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 (1)</w:t>
            </w:r>
          </w:p>
        </w:tc>
        <w:tc>
          <w:tcPr>
            <w:tcW w:w="0" w:type="dxa"/>
            <w:vAlign w:val="bottom"/>
          </w:tcPr>
          <w:p>
            <w:pPr>
              <w:spacing w:after="0"/>
              <w:rPr>
                <w:sz w:val="1"/>
                <w:szCs w:val="1"/>
                <w:color w:val="auto"/>
              </w:rPr>
            </w:pPr>
          </w:p>
        </w:tc>
      </w:tr>
      <w:tr>
        <w:trPr>
          <w:trHeight w:val="445"/>
        </w:trPr>
        <w:tc>
          <w:tcPr>
            <w:tcW w:w="7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Utility revenues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revenues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Utility natural gas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6"/>
        </w:trPr>
        <w:tc>
          <w:tcPr>
            <w:tcW w:w="7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0"/>
              <w:spacing w:after="0"/>
              <w:rPr>
                <w:sz w:val="20"/>
                <w:szCs w:val="20"/>
                <w:color w:val="auto"/>
              </w:rPr>
            </w:pPr>
            <w:r>
              <w:rPr>
                <w:rFonts w:ascii="Arial" w:cs="Arial" w:eastAsia="Arial" w:hAnsi="Arial"/>
                <w:sz w:val="18"/>
                <w:szCs w:val="18"/>
                <w:color w:val="auto"/>
              </w:rPr>
              <w:t>Throughput (in Bcf):</w:t>
            </w: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Throughput</w:t>
            </w:r>
          </w:p>
        </w:tc>
        <w:tc>
          <w:tcPr>
            <w:tcW w:w="4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40"/>
              <w:spacing w:after="0"/>
              <w:rPr>
                <w:sz w:val="20"/>
                <w:szCs w:val="20"/>
                <w:color w:val="auto"/>
              </w:rPr>
            </w:pPr>
            <w:r>
              <w:rPr>
                <w:rFonts w:ascii="Arial" w:cs="Arial" w:eastAsia="Arial" w:hAnsi="Arial"/>
                <w:sz w:val="18"/>
                <w:szCs w:val="18"/>
                <w:color w:val="auto"/>
              </w:rPr>
              <w:t>Number of customers at end of period:</w:t>
            </w: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4,266,685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4,219,795</w:t>
            </w:r>
          </w:p>
        </w:tc>
        <w:tc>
          <w:tcPr>
            <w:tcW w:w="0" w:type="dxa"/>
            <w:vAlign w:val="bottom"/>
          </w:tcPr>
          <w:p>
            <w:pPr>
              <w:spacing w:after="0"/>
              <w:rPr>
                <w:sz w:val="1"/>
                <w:szCs w:val="1"/>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350,009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350,419</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4,616,694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4,570,214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only February 1, 2019 through March 31, 2019 results of acquired natural gas businesses due to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Natural Gas Distribution reportable segment reported net income of $204 million for the three months ended March 31, 2020 compared to $120 million for the three months ended March 31,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by $84 million primarily as a result of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$65 million increase in margin related to an additional month of earnings in 2020 related to the Indiana and Ohio jurisdictions acquired in the Merger on February 1,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rate increases of $46 million in Minnesota, Arkansas and Texas, exclusive of the TCJA impact discussed below;</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$44 million reduction in operation and maintenance expense, primarily due to a $53 million decrease in Merger-related severance costs in 2019, offset by an additional month of operation and maintenance expense in the Indiana and Ohio jurisdictions acquired in the Merger on February 1, 2019;</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$5 million increase in revenues associated with customer growth from the addition of over 46,000 new customers;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in revenue of $4 million related to the impact of the TCJA in Arkansas, which was offset by lower TCJA revenue impacts in Texas, Indiana, Ohio and Mississippi.</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$30 million increase in state and federal income taxes driven by growth in earnings and an additional month of expense in 2020 related to the Indiana and Ohio jurisdictions acquired in the Merger on February 1, 2019;</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$16 million increase in depreciation and amortization and a $12 million increase in other non-income related taxes, primarily due to capital projects placed in service in 2020 and an additional month of expense in 2020 related to the Indiana and Ohio jurisdictions acquired in the Merger on February 1, 2019;</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 million of lower revenue attributed to milder weather and lower customer usage;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$9 million increase in interest expense due to incremental financing to fund capital projects and an additional month of expense in 2020 related to the Indiana and Ohio jurisdictions acquired in the Merger on February 1, 2019.</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Increased operation and maintenance expenses related to energy efficiency programs of $1 million and decreased taxes other than income taxes of $5 million were offset by corresponding increases and decreases in the related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(CERC)</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CERC’s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CERC’s Natural Gas Distribution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7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648"/>
        </w:trPr>
        <w:tc>
          <w:tcPr>
            <w:tcW w:w="7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Non-utility revenues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natural gas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74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97"/>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w:t>
            </w:r>
          </w:p>
        </w:tc>
      </w:tr>
      <w:tr>
        <w:trPr>
          <w:trHeight w:val="23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Throughput (in Bcf):</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97"/>
        </w:trPr>
        <w:tc>
          <w:tcPr>
            <w:tcW w:w="7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Throughput</w:t>
            </w:r>
          </w:p>
        </w:tc>
        <w:tc>
          <w:tcPr>
            <w:tcW w:w="4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r>
      <w:tr>
        <w:trPr>
          <w:trHeight w:val="23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customers at end of period:</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3,299,011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3,261,669</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261,120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261,709</w:t>
            </w:r>
          </w:p>
        </w:tc>
      </w:tr>
      <w:tr>
        <w:trPr>
          <w:trHeight w:val="257"/>
        </w:trPr>
        <w:tc>
          <w:tcPr>
            <w:tcW w:w="7740" w:type="dxa"/>
            <w:vAlign w:val="bottom"/>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3,560,131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3,523,378</w:t>
            </w: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CERC’s Natural Gas Distribution reportable segment reported net income of $134 million for the three months ended March 31, 2020 compared to $119 million for the three months ended March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$15 million primarily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rate increases of $28 million in Minnesota, Arkansas and Texas, exclusive of the TCJA impact discussed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$17 million reduction in operation and maintenance expense, inclusive of a $10 million decrease in Merger-related severance costs in 2019, primarily due to lower labor benefits and support services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higher revenue of $5 million related to the impact of the TCJA in Arkansas, which was offset by lower TCJA revenue impacts in Texas and Mississippi;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$2 million increase in revenues associated with customer growth from the addition of almost 37,000 new customers.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primarily by the following:</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$18 million increase in state and federal income taxes and interest expense, primarily due to increased taxable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$8 million of lower revenue attributed to milder weather and lower customer usage as compared to the three months ended March 31, 2019;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$5 million increase in property and other non-income related taxes, primarily due to increases in local tax rates and property valuations;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$2 million increase in interest expense, primarily due to increased debt financing to fund an increase in capital projects in 2020;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$1 million increase in depreciation and amortization from an increase of incremental capital projects placed in service in 2020.</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$5 million and taxes other than income taxes of $4 million were offset by corresponding decreases in the related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Investments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Midstream Investments reportable segment, please read “Risk Factors — Risk Factors Affecting CenterPoint Energy’s Interests in Enable Midstream Partners, LP” and “— Other Risk Factors Affecting Our Businesses or CenterPoint Energy’s Interests in Enable Midstream Partners, LP” in Item 1A of Part I of the Registrants’ combined 2019 Form 10-K and in Item 1A of Part II of this Form 10-Q.</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net income (loss) of the Midstream Investments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264"/>
        </w:trPr>
        <w:tc>
          <w:tcPr>
            <w:tcW w:w="8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r>
      <w:tr>
        <w:trPr>
          <w:trHeight w:val="244"/>
        </w:trPr>
        <w:tc>
          <w:tcPr>
            <w:tcW w:w="8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2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r>
      <w:tr>
        <w:trPr>
          <w:trHeight w:val="255"/>
        </w:trPr>
        <w:tc>
          <w:tcPr>
            <w:tcW w:w="8220" w:type="dxa"/>
            <w:vAlign w:val="bottom"/>
          </w:tcPr>
          <w:p>
            <w:pPr>
              <w:ind w:left="40"/>
              <w:spacing w:after="0"/>
              <w:rPr>
                <w:sz w:val="20"/>
                <w:szCs w:val="20"/>
                <w:color w:val="auto"/>
              </w:rPr>
            </w:pPr>
            <w:r>
              <w:rPr>
                <w:rFonts w:ascii="Arial" w:cs="Arial" w:eastAsia="Arial" w:hAnsi="Arial"/>
                <w:sz w:val="18"/>
                <w:szCs w:val="18"/>
                <w:color w:val="auto"/>
              </w:rPr>
              <w:t>Non-utility Revenues</w:t>
            </w: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Equity in earnings (loss) from Enable, net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(1,475)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(1,488)</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88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(1,127)</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Midstream Investment reportable segment reported a net loss of $1,127 million for the three months ended March 31, 2020, compared to net income of $24 million for the three months ended March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decreased $1,151 million primarily as a result of the following key factors:</w:t>
      </w:r>
    </w:p>
    <w:p>
      <w:pPr>
        <w:spacing w:after="0" w:line="225" w:lineRule="exact"/>
        <w:rPr>
          <w:sz w:val="20"/>
          <w:szCs w:val="20"/>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$1,541 million impairment charge recorded on CenterPoint Energy’s equity investment in Enable (see Note 9 to the Interim Condensed Financial Statements for further information);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$6 million decrease in Equity in Earnings from Enable.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$389 million increase in income tax benefit primarily resulting from the impairment charge discussed above and a lower effective tax rate in 2020;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$10 million decrease in the loss on dilution.</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April 1, 2020, Enable announced a reduction in its quarterly distributions per common unit from $0.3305 distributed for the fourth quarter 2019 to $0.16525, representing a 50% reduction. For further information, see “—Liquidity and Capital Resources—Future Sources and Uses of Cash”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(CenterPoint Energy)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net income (loss) of CenterPoint Energy’s Corporate and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(1)</w:t>
            </w:r>
          </w:p>
        </w:tc>
        <w:tc>
          <w:tcPr>
            <w:tcW w:w="400" w:type="dxa"/>
            <w:vAlign w:val="bottom"/>
            <w:tcBorders>
              <w:bottom w:val="single" w:sz="8" w:color="auto"/>
            </w:tcBorders>
          </w:tcPr>
          <w:p>
            <w:pPr>
              <w:spacing w:after="0"/>
              <w:rPr>
                <w:sz w:val="22"/>
                <w:szCs w:val="22"/>
                <w:color w:val="auto"/>
              </w:rPr>
            </w:pPr>
          </w:p>
        </w:tc>
      </w:tr>
      <w:tr>
        <w:trPr>
          <w:trHeight w:val="250"/>
        </w:trPr>
        <w:tc>
          <w:tcPr>
            <w:tcW w:w="8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8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Non-utility Revenues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9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Taxes other than income taxes</w:t>
            </w:r>
          </w:p>
        </w:tc>
        <w:tc>
          <w:tcPr>
            <w:tcW w:w="9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Gain (loss) on marketable securities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indexed debt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9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82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only February 1, 2019 through March 31, 2019 results of the ESG business acquired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Corporate and Other reported net income of $4 million for the three months ended March 31, 2020 compared to a net loss of $22 million for the three months ended March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$26 million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$221 million increase in gains on the underlying value of indexed debt securities related to the ZENS;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$19 million decrease in operation and maintenance expenses primarily due to the following:</w:t>
      </w:r>
    </w:p>
    <w:p>
      <w:pPr>
        <w:spacing w:after="0" w:line="225" w:lineRule="exact"/>
        <w:rPr>
          <w:rFonts w:ascii="Arial" w:cs="Arial" w:eastAsia="Arial" w:hAnsi="Arial"/>
          <w:sz w:val="18"/>
          <w:szCs w:val="18"/>
          <w:color w:val="auto"/>
        </w:rPr>
      </w:pPr>
    </w:p>
    <w:p>
      <w:pPr>
        <w:ind w:left="1300" w:hanging="320"/>
        <w:spacing w:after="0" w:line="308" w:lineRule="auto"/>
        <w:tabs>
          <w:tab w:leader="none" w:pos="13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lower corporate allocations retained in continuing operations related to the Infrastructure Services Disposal Group of $11 million primarily from Merger-related severance and incentive compensation costs incurred in 2019 that did not recur in 2020;</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decreased benefits and services costs of $4 million;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decreased software maintenance costs of $2 million;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reduced Merger-related integration costs of $2 million incurred in 2019 that did not recur in 2020;</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$19 million increase in margin primarily related to higher margin of $9 million at ESG from two large federal projects in 2020 and the reduction of Merger-related amortization of intangibles for construction backlog of $6 million in non-utility cost of revenues, including natural gas;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$6 million increase in income tax benefit.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in net income were partially offset by the following:</w:t>
      </w:r>
    </w:p>
    <w:p>
      <w:pPr>
        <w:spacing w:after="0" w:line="22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$227 million increase in losses on marketable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$12 million increase in interest expense from the inclusion of expense for three months in 2020 versus two months included in 2019 due to additional debt acquired in the Merger on February 1, 2019;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$3 million increase in depreciation and amortization from the inclusion of expense for three months in 2020 versus two months included in 2019 for businesses acquired in the Merger on February 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(CERC)</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net income (loss) of CERC’s Corporate and Other:</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3"/>
        </w:trPr>
        <w:tc>
          <w:tcPr>
            <w:tcW w:w="8200" w:type="dxa"/>
            <w:vAlign w:val="bottom"/>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r>
      <w:tr>
        <w:trPr>
          <w:trHeight w:val="250"/>
        </w:trPr>
        <w:tc>
          <w:tcPr>
            <w:tcW w:w="8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2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r>
      <w:tr>
        <w:trPr>
          <w:trHeight w:val="25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Non-utility Revenues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Expenses</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Operation and maintenance</w:t>
            </w: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2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21"/>
                <w:szCs w:val="21"/>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
        </w:trPr>
        <w:tc>
          <w:tcPr>
            <w:tcW w:w="8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Loss from Continuing Operations Before Income Taxes</w:t>
            </w:r>
          </w:p>
        </w:tc>
        <w:tc>
          <w:tcPr>
            <w:tcW w:w="9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8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2019 Form 10-K, in Item 1A of Part II of this Form 10-Q and “Cautionary Statement Regarding Forward-Looking Information” in this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net cash provided by (used in) operating, investing and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4"/>
                <w:szCs w:val="14"/>
                <w:b w:val="1"/>
                <w:bCs w:val="1"/>
                <w:color w:val="auto"/>
                <w:w w:val="95"/>
              </w:rPr>
              <w:t>Three Months Ended March 31,</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3"/>
        </w:trPr>
        <w:tc>
          <w:tcPr>
            <w:tcW w:w="26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64"/>
        </w:trPr>
        <w:tc>
          <w:tcPr>
            <w:tcW w:w="2600" w:type="dxa"/>
            <w:vAlign w:val="bottom"/>
          </w:tcPr>
          <w:p>
            <w:pPr>
              <w:spacing w:after="0"/>
              <w:rPr>
                <w:sz w:val="22"/>
                <w:szCs w:val="22"/>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CenterPoint Energy</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Houston Electric</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CERC</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CenterPoint Energy</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Houston Electric</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CERC</w:t>
            </w:r>
          </w:p>
        </w:tc>
      </w:tr>
      <w:tr>
        <w:trPr>
          <w:trHeight w:val="190"/>
        </w:trPr>
        <w:tc>
          <w:tcPr>
            <w:tcW w:w="2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5"/>
        </w:trPr>
        <w:tc>
          <w:tcPr>
            <w:tcW w:w="260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2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w:t>
            </w:r>
          </w:p>
        </w:tc>
      </w:tr>
      <w:tr>
        <w:trPr>
          <w:trHeight w:val="243"/>
        </w:trPr>
        <w:tc>
          <w:tcPr>
            <w:tcW w:w="26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(6,539)</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(1,237)</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2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2,345</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1,078</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following items contributed to increased (decreased) net cash provided by operating activities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2020 compared to the same period of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net income after adjusting for non-cash items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Changes in working capital</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equity in earnings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The following items contributed to (increased) decreased net cash used in investing activities for the three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compared to the same period of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Mergers and acquisitions, net of cash acquired</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Higher capital expenditures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notes receivable from affiliated companies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5"/>
              </w:rPr>
              <w:t>Change in distributions from Enable in excess of cumulative earnings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vMerge w:val="restart"/>
          </w:tcPr>
          <w:p>
            <w:pPr>
              <w:jc w:val="right"/>
              <w:ind w:right="8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following items contributed to (increased) decreased net cash used in financing activities for the three months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compared to the same period of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commercial paper outstanding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long-term revolving credit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changes in debt issuance costs</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 payment of Common Stock dividends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Decreased payment of preferred stock dividends</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notes payable from affiliated companies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Contribution from parent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to parent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Series B Preferred Stock, Series C Preferred Stock and Common Stock, and in addition to interest payments on debt, the Registrants’ principal anticipated cash requirements for the remaining nine months of 2020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CenterPoint Energy</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Houston Electric</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CERC</w:t>
            </w:r>
          </w:p>
        </w:tc>
      </w:tr>
      <w:tr>
        <w:trPr>
          <w:trHeight w:val="250"/>
        </w:trPr>
        <w:tc>
          <w:tcPr>
            <w:tcW w:w="6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277"/>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capital expenditures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Scheduled principal payments on Securitization Bonds</w:t>
            </w:r>
          </w:p>
        </w:tc>
        <w:tc>
          <w:tcPr>
            <w:tcW w:w="14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168</w:t>
            </w:r>
          </w:p>
        </w:tc>
        <w:tc>
          <w:tcPr>
            <w:tcW w:w="4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Maturing Vectren term loans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Registrants expect that anticipated cash needs for the remaining nine months of 2020 will be met with borrowings under their credit facilities, bank loans, proceeds from the private placement of Series C Preferred Stock and Common Stock, proceeds from the issuance of long-term debt, proceeds from the completed sale of the Infrastructure Services Disposal Group, proceeds from the anticipated sale of the Energy Services Disposal Group, anticipated cash flows from operations, with respect to CenterPoint Energy and CERC, proceeds from commercial paper and, with respect to CenterPoint Energy, distributions from Enable.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 2020, Enable announced a reduction in its quarterly distributions per common unit from $0.3305 distributed for the fourth quarter 2019 to $0.16525, representing a 50% reduction. This reduction is expected to result in one or more quarterly distributions to CenterPoint Energy that fall below CenterPoint Energy’s previously disclosed expected minimum quarterly distribution from Enable of $0.2875 per common unit. This reduction in Enable’s quarterly distributions per common unit is expected to reduce Enable common unit distributions to CenterPoint Energy by approximately $155 million per year.</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Additionally, on April 1, 2020, CenterPoint Energy provided a business update related to certain measures it expects to take in response to the current business environment to strengthen its financial position and to adjust for the reduction in cash flow related to the reduction in Enable quarterly common unit distributions discussed above. These measures are expected to include reducing CenterPoint Energy’s (i) quarterly common stock dividend per share from $0.2900 to $0.1500; (ii) anticipated 2020 capital spending by approximately $300 million, with CenterPoint Energy continuing to target five-year total capital investment of approximately $13 billion as previously disclosed; and (iii) anticipated operation and maintenance expenses for 2020 by a target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approximately $40 million, excluding certain merger costs, utility costs to achieve savings, severance and amounts with revenue offsets.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 the extent that access to the capital and other financial markets is adversely affected by the effects of COVID-19, the Registrants may need to consider alternative sources of funding for some of its operations and for working capital, which may increase the cost of capital and result in higher interest expense. At this time, the Registrants expect impacts on their liquidity due to COVID-19 to be temporary. Although CenterPoint Energy customarily satisfies its near-term financing needs with proceeds from commercial paper, CenterPoint Energy has utilized its revolving credit facilities as a source of funding because market disruptions caused by COVID-19 limited its access to the commercial paper markets. These uncertain economic conditions may also result in the inability of the Registrants’ customers and other counterparties to make payments to the Registrants, on a timely basis or at all, which could adversely affect the business, cash flows, liquidity, financial condition and results of operations of the Registrants. Under such circumstances, the Registrants would intend to rely on borrowings from the short-term capital markets as well as continued use of their revolving credit facilities to mitigate such effects until cash flows revert to their pre-COVID-19 levels. The net proceeds of CenterPoint Energy’s sale of the Infrastructure Services Disposal Group were used to repay a portion of outstanding CenterPoint Energy debt, including $200 million of maturing Vectren term loans.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12, guarantees as discussed in Note 14(b) and (c) to the Interim Condensed Financial Statements, we have no off-balance sheet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Governors, public utility commissions and other authorities in the states in which we operate have issued a number of different orders related to the COVID-19 pandemic. While many jurisdictions are subject to mandatory stay-at-home and similar orders, essential businesses and activities are exempted from these orders, including utility operations and maintenance. Accordingly, CenterPoint Energy’s crews will continue to provide essential service by responding to calls, completing work orders and undertaking other critical work. To protect our customers and employees, we are implementing COVID-19 safety precautions. Additionally, regulatory authorities have issued orders addressing customer non-payment and disconnection. For example, in Indiana, the IURC issued an order that, among other things, permits utilities to voluntarily suspend or waive late fees and reconnections fees and reconnect customers who have been disconnected due to non-payment, provided that such actions are taken on a non-discriminatory basis and apply to all customers. Commissions in other states have issued similar orders. In our NGD service territories and for Indiana Electric, we have temporarily suspended disconnections for non-payment and will continue to support those customers who may need payment assistance, arrangements or extensions. We will continue to monitor developments in this area and adjust our response as guidelines and circumstances may require.</w:t>
      </w:r>
    </w:p>
    <w:p>
      <w:pPr>
        <w:spacing w:after="0" w:line="1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March 26, 2020, the PUCT issued two orders related to COVID-19 issues that affect Houston Electric. First, the PUCT issued an order related to Accrual of Regulatory Assets granting authority for utilities to record as a regulatory asset costs resulting from the effects of COVID-19. In the order, the PUCT noted that it will consider whether a utility’s request for recovery of the regulatory asset is reasonable and necessary in a future proceeding. Second, the PUCT issued an order related to COVID-19 ERP, as modified, which, in light of the disaster declarations issued by the Governor of Texas, authorized a customer assistance program for certain residential customers of electric service in areas of Texas open to customer choice, which includes Houston Electric’s service territory. The order includes several requirements for transmission and distribution utilities (including Houston Electric):</w:t>
      </w:r>
    </w:p>
    <w:p>
      <w:pPr>
        <w:spacing w:after="0" w:line="164" w:lineRule="exact"/>
        <w:rPr>
          <w:sz w:val="20"/>
          <w:szCs w:val="20"/>
          <w:color w:val="auto"/>
        </w:rPr>
      </w:pPr>
    </w:p>
    <w:p>
      <w:pPr>
        <w:ind w:left="980" w:hanging="648"/>
        <w:spacing w:after="0" w:line="259" w:lineRule="auto"/>
        <w:tabs>
          <w:tab w:leader="none" w:pos="6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Transmission and distribution utilities must file a tariff rider to collect funds to reimburse costs related to unpaid bills from eligible residential customers unemployed due to the impacts of COVID-19. The rider is based on $0.33 per MW hour ($0.00033 per KW hour) to be applied to all customer classes. Houston Electric filed its updated tariff implementing the rider on March 31, 2020, which was approved by the PUCT on April 2, 2020.</w:t>
      </w:r>
    </w:p>
    <w:p>
      <w:pPr>
        <w:spacing w:after="0" w:line="186" w:lineRule="exact"/>
        <w:rPr>
          <w:rFonts w:ascii="Arial" w:cs="Arial" w:eastAsia="Arial" w:hAnsi="Arial"/>
          <w:sz w:val="18"/>
          <w:szCs w:val="18"/>
          <w:color w:val="auto"/>
        </w:rPr>
      </w:pPr>
    </w:p>
    <w:p>
      <w:pPr>
        <w:ind w:left="980" w:hanging="648"/>
        <w:spacing w:after="0" w:line="263" w:lineRule="auto"/>
        <w:tabs>
          <w:tab w:leader="none" w:pos="6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Transmission and distribution utilities entered into no-interest loan agreements with ERCOT to provide for an initial fund balance for reimbursement. On April 13, 2020, in connection with the PUCT’s COVID-19 ERP, Houston Electric entered into a no-interest loan agreement with ERCOT for approximately $5 million.</w:t>
      </w:r>
    </w:p>
    <w:p>
      <w:pPr>
        <w:spacing w:after="0" w:line="183" w:lineRule="exact"/>
        <w:rPr>
          <w:rFonts w:ascii="Arial" w:cs="Arial" w:eastAsia="Arial" w:hAnsi="Arial"/>
          <w:sz w:val="18"/>
          <w:szCs w:val="18"/>
          <w:color w:val="auto"/>
        </w:rPr>
      </w:pPr>
    </w:p>
    <w:p>
      <w:pPr>
        <w:ind w:left="980" w:hanging="648"/>
        <w:spacing w:after="0" w:line="263" w:lineRule="auto"/>
        <w:tabs>
          <w:tab w:leader="none" w:pos="6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fund administered by each transmission and distribution utility for the COVID-19 ERP can also receive donations and grants from governmental entities, corporations, and other entities. Any funds received from other sources shall be administered and treated in the same manner by the transmission and distribution utilities as the funds in the program from the rider.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hanging="648"/>
        <w:spacing w:after="0" w:line="277"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Transmission and distribution utilities may petition the PUCT for changes to the COVID-19 ERP, including the level of the rider in the event that the funds collected are not sufficient to cover reimbursements.</w:t>
      </w:r>
    </w:p>
    <w:p>
      <w:pPr>
        <w:spacing w:after="0" w:line="170" w:lineRule="exact"/>
        <w:rPr>
          <w:rFonts w:ascii="Arial" w:cs="Arial" w:eastAsia="Arial" w:hAnsi="Arial"/>
          <w:sz w:val="18"/>
          <w:szCs w:val="18"/>
          <w:color w:val="auto"/>
        </w:rPr>
      </w:pPr>
    </w:p>
    <w:p>
      <w:pPr>
        <w:ind w:left="980" w:hanging="648"/>
        <w:spacing w:after="0" w:line="263"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REPs will identify eligible customers to the relevant transmission and distribution utilities, and the transmission and distribution utilities will cease charging REPs for associated delivery charges, except securitization related charges. REPs will cease submitting disconnection for non-payment orders to transmission and distribution utilities for eligible customers.</w:t>
      </w:r>
    </w:p>
    <w:p>
      <w:pPr>
        <w:spacing w:after="0" w:line="183" w:lineRule="exact"/>
        <w:rPr>
          <w:rFonts w:ascii="Arial" w:cs="Arial" w:eastAsia="Arial" w:hAnsi="Arial"/>
          <w:sz w:val="18"/>
          <w:szCs w:val="18"/>
          <w:color w:val="auto"/>
        </w:rPr>
      </w:pPr>
    </w:p>
    <w:p>
      <w:pPr>
        <w:ind w:left="980" w:hanging="648"/>
        <w:spacing w:after="0" w:line="255"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funds collected through the rider will be used to reimburse the following entities and costs: REPs’ energy charges related to eligible residential customers with an unpaid, past due electric bill subject to a disconnection for non-payment notice (reimbursement amounts are based on an average energy cost of $0.04 per KW hour); transmission and distribution utilities’ delivery charges related to eligible residential customers with an unpaid, past due electric bill subject to a disconnection for non-payment notice; the third-party administrator to cover its reasonable costs of administering the COVID-19 ERP eligibility process; and ERCOT for the loan to the transmission and distribution utilities.</w:t>
      </w:r>
    </w:p>
    <w:p>
      <w:pPr>
        <w:spacing w:after="0" w:line="192" w:lineRule="exact"/>
        <w:rPr>
          <w:rFonts w:ascii="Arial" w:cs="Arial" w:eastAsia="Arial" w:hAnsi="Arial"/>
          <w:sz w:val="18"/>
          <w:szCs w:val="18"/>
          <w:color w:val="auto"/>
        </w:rPr>
      </w:pPr>
    </w:p>
    <w:p>
      <w:pPr>
        <w:ind w:left="980" w:hanging="648"/>
        <w:spacing w:after="0" w:line="226"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REPs will submit one spreadsheet with reimbursement claims to transmission and distribution utilities beginning on April 30, 2020 and all subsequent requests that may be made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each month, and transmission and distribution utilities will process reimbursement payments within 14 days.</w:t>
      </w:r>
    </w:p>
    <w:p>
      <w:pPr>
        <w:spacing w:after="0" w:line="203"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Transmission and distribution utilities will prepare reports and file them at the PUCT every 30 days showing aggregate amounts of reimbursements to the transmission and distribution utilities and REPs.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ERP will end on July 17, 2020, unless otherwise extended by the PUCT. Final claims for reimbursement must be submitted to transmission and distribution utilities not later than 90 days after the end of the COVID-19 ERP. The transmission and distribution utilities riders will remain in place and reimbursements will continue after the end of the COVID-19 ERP has ended to complete any remaining COVID-19 ERP cost recovery and disburse all reimbursement amounts or remaining balances.</w:t>
      </w:r>
    </w:p>
    <w:p>
      <w:pPr>
        <w:spacing w:after="0" w:line="18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other states in which we operate, public utility commissions have authorized utilities to employ deferred accounting authority for certain COVID-19 related costs and savings. For example, the MPSC is allowing CenterPoint Energy and CERC to defer the following:</w:t>
      </w:r>
    </w:p>
    <w:p>
      <w:pPr>
        <w:spacing w:after="0" w:line="170" w:lineRule="exact"/>
        <w:rPr>
          <w:sz w:val="20"/>
          <w:szCs w:val="20"/>
          <w:color w:val="auto"/>
        </w:rPr>
      </w:pPr>
    </w:p>
    <w:p>
      <w:pPr>
        <w:ind w:left="980" w:hanging="648"/>
        <w:spacing w:after="0" w:line="342" w:lineRule="auto"/>
        <w:tabs>
          <w:tab w:leader="none" w:pos="6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all necessary and reasonable incremental costs or expenses to plan, prepare, stage, or react to protect and keep safe its employees and customers, and to reliably operate its utility system beginning with the date of the Governor of Mississippi’s declared state of emergency; and</w:t>
      </w:r>
    </w:p>
    <w:p>
      <w:pPr>
        <w:spacing w:after="0" w:line="123" w:lineRule="exact"/>
        <w:rPr>
          <w:rFonts w:ascii="Arial" w:cs="Arial" w:eastAsia="Arial" w:hAnsi="Arial"/>
          <w:sz w:val="16"/>
          <w:szCs w:val="16"/>
          <w:color w:val="auto"/>
        </w:rPr>
      </w:pPr>
    </w:p>
    <w:p>
      <w:pPr>
        <w:ind w:left="980" w:hanging="648"/>
        <w:spacing w:after="0" w:line="308" w:lineRule="auto"/>
        <w:tabs>
          <w:tab w:leader="none" w:pos="65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costs, including any incremental bad debt expenses and all associated credit and collection costs, related to connections, reconnections, or disconnections for all customers classes. This deferral authorization includes, but is not limited to, customer-paid fees.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the MPSC is also allowing CenterPoint Energy and CERC to offset these deferrals with any financial relief received from other sources at the federal or state level. Orders have also been received from the Railroad Commission, the LPSC and the APSC authorizing CenterPoint Energy and CERC to defer some or all COVID-19 related costs for future recovery.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Houston Electric Base Rate Case (CenterPoint Energy and Houston Electric)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5, 2019, and subsequently adjusted in errata filings in May and June 2019, Houston Electric filed its base rate application with the PUCT and the cities in its service area to change its rates, seeking approval for revenue increases of approximately $194 million, among other requests. On January 23, 2020, Houston Electric filed a Stipulation and Settlement Agreement with the PUCT that provides for the following, among other things:</w:t>
      </w:r>
    </w:p>
    <w:p>
      <w:pPr>
        <w:spacing w:after="0" w:line="16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overall revenue requirement increase of approximately $13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ROE of 9.4%;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capital structure of 57.5% debt/42.5%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refund of unprotected EDIT of $105 million plus carrying costs over approximately 30-36 months;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recovery of all retail transmission related costs through the TCRF.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Also, Houston Electric is not required to make a one-time refund of capital recovery from its TCOS and DCRF mechanisms. Future TCOS filings will take into account both ADFIT and EDIT until the final order from Houston Electric’s next base rate proceeding. No rate base items are required to be written off; however, approximately $12 million in rate case expenses were written off in 2019. A base rate application must be filed for Houston Electric no later than four years from the date of the PUCT’s final order in the proceeding. Additionally, Houston Electric will not file a DCRF in 2020, nor will a subsequent separate proceeding with the PUCT be instituted regarding EDIT on Houston Electric’s securitized assets. Furthermore, under the terms of the Stipulation and Settlement Agreement, Houston Electric agreed to adopt certain ring-fencing measures to increase its financial separateness from CenterPoint Energy but left the determination of whether to impose a dividend restriction up to the PUCT. The PUCT approved the Stipulation and Settlement Agreement at its February 14, 2020 open meeting and issued a final order on March 9, 2020. The PUCT declined to impose a dividend restriction in the final order. The rates were implemented on April 23, 2020.</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Houston Electric record pre-tax expense for (i) probable disallowances of capital investments and (ii) customer refund obligations and costs deferred in regulatory assets when recovery of such amounts is no longer considered probable.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Bailey to Jones Creek Project (CenterPoint Energy and Houston Electric)</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April 2017, Houston Electric submitted a proposal to ERCOT requesting its endorsement of the Freeport Area Master Plan, which included the Bailey to Jones Creek Project. On November 21, 2019, the PUCT issued its final approval of Houston Electric’s certificate of convenience and necessity application, based on an unopposed settlement agreement under which Houston Electric would construct the project at an estimated cost of approximately $483 million. In April 2020, a federal court vacated the Army Corps of Engineers Nationwide Permit 12, which Houston Electric intended to use for the project. Houston Electric is monitoring those proceedings and has filed its individual permit application with the Army Corps in accordance with the federal court decision. Significant delays in the processing of that application could lead to delays in completing construction. The actual capital costs of the project will depend on land acquisition costs, construction costs, minor changes to the routing of the line to mitigate environmental and other land use impacts, structure design to address soil and coastal wind conditions, the permitting issues described above, and other factors. Houston Electric has commenced pre-construction activities on the project, and anticipates beginning construction in early 2021 and completing construction and energizing the line before the peak electric season in April 2022.</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Generation Project (CenterPoint Energy)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Indiana Electric must make substantial investments in its generation resources in the near term to comply with environmental regulations. On February 20, 2018, Indiana Electric filed a petition seeking authorization from the IURC to construct a new 700-850 MW natural gas combined cycle generating facility to replace the baseload capacity of its existing generation fleet at an approximate cost of $900 million, which includes the cost of a new natural gas pipeline to serve the plant.</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a part of this same proceeding, Indiana Electric also sought recovery under Indiana Senate Bill 251 of costs to be incurred for environmental investments to be made at its F.B. Culley generating plant to comply with ELG and CCR rules. The F.B. Culley investments, estimated to be approximately $95 million, began in 2019 and will allow the F.B. Culley Unit 3 generating facility to comply with environmental requirements and continue to provide generating capacity to Indiana Electric’s customers. Under Indiana Senate Bill 251, Indiana Electric sought authority to recover 80% of the approved costs, including a return, using a tracking mechanism, with the remaining 20% of the costs deferred for recovery in Indiana Electric’s next base rate proceeding.</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24, 2019, the IURC issued an order approving the environmental investments proposed for the F.B. Culley generating facility, along with recovery of prior pollution control investments made in 2014. The order denied the proposed gas combined cycle generating facility. Indiana Electric is conducting a new IRP, expected to be completed in mid-2020, to identify an appropriate investment of capital in its generation fleet to satisfy the needs of its customers and comply with environmental regulations.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A.B. Brown Ash Pond Remediation (CenterPoint Energy)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14, 2019, Indiana Electric filed a petition with the IURC, seeking approval, as a federally mandated project, for the recovery of costs associated with the clean closure of the A.B. Brown ash pond pursuant to Indiana Senate Bill 251. This project, expected to last approximately 14 years, would result in the full excavation and recycling of the ponded ash through agreements with a beneficial reuse entity, totaling approximately $160 million. Under Indiana Senate Bill 251, Indiana Electric seeks authority to recover via a tracking mechanism 80% of the approved costs, with a return on eligible capital investments needed to allow for the extraction of the ponded ash, with the remaining 20% of the costs deferred for recovery in Indiana Electric’s next base rate proceeding. On December 19, 2019 and subsequently on January 10, 2020, Indiana Electric filed a settlement agreement with the intervening parties whereby the costs would be recovered as requested, with an additional commitment by Indiana Electric to offset the federally mandated costs by at least $25 million, representing a combination of total cash proceeds received from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ash reuser and total insurance proceeds to be received from Indiana Electric’s insurers under confidential settlement agreements of litigation filed against the insurers. The settlement agreement with the intervening parties is pending before the IURC, with an order expected in the first half of 2020. If approved, Indiana Electric would expect recovery of the approved costs to commence in 2021.</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reflects significant applications pending or completed since the Registrants’ combined 2019 Form 10-K was filed with the SEC.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20" w:type="dxa"/>
            <w:vAlign w:val="bottom"/>
          </w:tcPr>
          <w:p>
            <w:pPr>
              <w:jc w:val="center"/>
              <w:ind w:left="30"/>
              <w:spacing w:after="0"/>
              <w:rPr>
                <w:sz w:val="20"/>
                <w:szCs w:val="20"/>
                <w:color w:val="auto"/>
              </w:rPr>
            </w:pPr>
            <w:r>
              <w:rPr>
                <w:rFonts w:ascii="Arial" w:cs="Arial" w:eastAsia="Arial" w:hAnsi="Arial"/>
                <w:sz w:val="14"/>
                <w:szCs w:val="14"/>
                <w:b w:val="1"/>
                <w:bCs w:val="1"/>
                <w:color w:val="auto"/>
                <w:w w:val="96"/>
              </w:rPr>
              <w:t>Annual</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jc w:val="center"/>
              <w:ind w:left="10"/>
              <w:spacing w:after="0" w:line="149" w:lineRule="exact"/>
              <w:rPr>
                <w:sz w:val="20"/>
                <w:szCs w:val="20"/>
                <w:color w:val="auto"/>
              </w:rPr>
            </w:pPr>
            <w:r>
              <w:rPr>
                <w:rFonts w:ascii="Arial" w:cs="Arial" w:eastAsia="Arial" w:hAnsi="Arial"/>
                <w:sz w:val="14"/>
                <w:szCs w:val="14"/>
                <w:b w:val="1"/>
                <w:bCs w:val="1"/>
                <w:color w:val="auto"/>
                <w:w w:val="91"/>
              </w:rPr>
              <w:t>Increase</w:t>
            </w:r>
          </w:p>
        </w:tc>
        <w:tc>
          <w:tcPr>
            <w:tcW w:w="10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5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10"/>
              <w:spacing w:after="0" w:line="14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592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5"/>
        </w:trPr>
        <w:tc>
          <w:tcPr>
            <w:tcW w:w="12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tcPr>
          <w:p>
            <w:pPr>
              <w:jc w:val="center"/>
              <w:ind w:left="10"/>
              <w:spacing w:after="0"/>
              <w:rPr>
                <w:sz w:val="20"/>
                <w:szCs w:val="20"/>
                <w:color w:val="auto"/>
              </w:rPr>
            </w:pPr>
            <w:r>
              <w:rPr>
                <w:rFonts w:ascii="Arial" w:cs="Arial" w:eastAsia="Arial" w:hAnsi="Arial"/>
                <w:sz w:val="11"/>
                <w:szCs w:val="11"/>
                <w:b w:val="1"/>
                <w:bCs w:val="1"/>
                <w:color w:val="auto"/>
                <w:w w:val="90"/>
              </w:rPr>
              <w:t>(in millions)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Date</w:t>
            </w:r>
          </w:p>
        </w:tc>
        <w:tc>
          <w:tcPr>
            <w:tcW w:w="5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gridSpan w:val="3"/>
          </w:tcPr>
          <w:p>
            <w:pPr>
              <w:jc w:val="center"/>
              <w:ind w:right="3327"/>
              <w:spacing w:after="0"/>
              <w:rPr>
                <w:sz w:val="20"/>
                <w:szCs w:val="20"/>
                <w:color w:val="auto"/>
              </w:rPr>
            </w:pPr>
            <w:r>
              <w:rPr>
                <w:rFonts w:ascii="Arial" w:cs="Arial" w:eastAsia="Arial" w:hAnsi="Arial"/>
                <w:sz w:val="14"/>
                <w:szCs w:val="14"/>
                <w:b w:val="1"/>
                <w:bCs w:val="1"/>
                <w:color w:val="auto"/>
                <w:w w:val="95"/>
              </w:rPr>
              <w:t>CenterPoint Energy and Houston Electric (PUCT)</w:t>
            </w: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rPr>
              <w:t>April</w:t>
            </w:r>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rPr>
              <w:t>April</w:t>
            </w:r>
          </w:p>
        </w:tc>
        <w:tc>
          <w:tcPr>
            <w:tcW w:w="1000" w:type="dxa"/>
            <w:vAlign w:val="bottom"/>
            <w:shd w:val="clear" w:color="auto" w:fill="CCEEFF"/>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Rate Case</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94"/>
              </w:rPr>
              <w:t>$13</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March 2020</w:t>
            </w:r>
          </w:p>
        </w:tc>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Houston Electric Base Rate Case</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220" w:type="dxa"/>
            <w:vAlign w:val="bottom"/>
          </w:tcPr>
          <w:p>
            <w:pPr>
              <w:jc w:val="center"/>
              <w:spacing w:after="0"/>
              <w:rPr>
                <w:sz w:val="20"/>
                <w:szCs w:val="20"/>
                <w:color w:val="auto"/>
              </w:rPr>
            </w:pPr>
            <w:r>
              <w:rPr>
                <w:rFonts w:ascii="Arial" w:cs="Arial" w:eastAsia="Arial" w:hAnsi="Arial"/>
                <w:sz w:val="14"/>
                <w:szCs w:val="14"/>
                <w:color w:val="auto"/>
                <w:w w:val="98"/>
              </w:rPr>
              <w:t xml:space="preserve">TCOS </w:t>
            </w:r>
            <w:r>
              <w:rPr>
                <w:rFonts w:ascii="Arial" w:cs="Arial" w:eastAsia="Arial" w:hAnsi="Arial"/>
                <w:sz w:val="10"/>
                <w:szCs w:val="10"/>
                <w:color w:val="auto"/>
                <w:w w:val="98"/>
              </w:rPr>
              <w:t>(1)</w:t>
            </w:r>
          </w:p>
        </w:tc>
        <w:tc>
          <w:tcPr>
            <w:tcW w:w="1120" w:type="dxa"/>
            <w:vAlign w:val="bottom"/>
          </w:tcPr>
          <w:p>
            <w:pPr>
              <w:jc w:val="center"/>
              <w:ind w:left="30"/>
              <w:spacing w:after="0"/>
              <w:rPr>
                <w:sz w:val="20"/>
                <w:szCs w:val="20"/>
                <w:color w:val="auto"/>
              </w:rPr>
            </w:pPr>
            <w:r>
              <w:rPr>
                <w:rFonts w:ascii="Arial" w:cs="Arial" w:eastAsia="Arial" w:hAnsi="Arial"/>
                <w:sz w:val="14"/>
                <w:szCs w:val="14"/>
                <w:color w:val="auto"/>
                <w:w w:val="89"/>
              </w:rPr>
              <w:t>17</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March 2020</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9"/>
              </w:rPr>
              <w:t>TBD</w:t>
            </w:r>
          </w:p>
        </w:tc>
        <w:tc>
          <w:tcPr>
            <w:tcW w:w="5920" w:type="dxa"/>
            <w:vAlign w:val="bottom"/>
          </w:tcPr>
          <w:p>
            <w:pPr>
              <w:ind w:left="120"/>
              <w:spacing w:after="0"/>
              <w:rPr>
                <w:sz w:val="20"/>
                <w:szCs w:val="20"/>
                <w:color w:val="auto"/>
              </w:rPr>
            </w:pPr>
            <w:r>
              <w:rPr>
                <w:rFonts w:ascii="Arial" w:cs="Arial" w:eastAsia="Arial" w:hAnsi="Arial"/>
                <w:sz w:val="14"/>
                <w:szCs w:val="14"/>
                <w:color w:val="auto"/>
              </w:rPr>
              <w:t>Requested an increase of $204 million to rate base.</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900" w:type="dxa"/>
            <w:vAlign w:val="bottom"/>
            <w:tcBorders>
              <w:bottom w:val="single" w:sz="8" w:color="auto"/>
            </w:tcBorders>
            <w:gridSpan w:val="4"/>
            <w:shd w:val="clear" w:color="auto" w:fill="CCEEFF"/>
          </w:tcPr>
          <w:p>
            <w:pPr>
              <w:jc w:val="center"/>
              <w:ind w:right="2247"/>
              <w:spacing w:after="0"/>
              <w:rPr>
                <w:sz w:val="20"/>
                <w:szCs w:val="20"/>
                <w:color w:val="auto"/>
              </w:rPr>
            </w:pPr>
            <w:r>
              <w:rPr>
                <w:rFonts w:ascii="Arial" w:cs="Arial" w:eastAsia="Arial" w:hAnsi="Arial"/>
                <w:sz w:val="14"/>
                <w:szCs w:val="14"/>
                <w:b w:val="1"/>
                <w:bCs w:val="1"/>
                <w:color w:val="auto"/>
                <w:w w:val="93"/>
              </w:rPr>
              <w:t>CenterPoint Energy and CERC - Beaumont/East Texas (Railroad Commission)</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20" w:type="dxa"/>
            <w:vAlign w:val="bottom"/>
          </w:tcPr>
          <w:p>
            <w:pPr>
              <w:ind w:left="120"/>
              <w:spacing w:after="0" w:line="156" w:lineRule="exact"/>
              <w:rPr>
                <w:sz w:val="20"/>
                <w:szCs w:val="20"/>
                <w:color w:val="auto"/>
              </w:rPr>
            </w:pPr>
            <w:r>
              <w:rPr>
                <w:rFonts w:ascii="Arial" w:cs="Arial" w:eastAsia="Arial" w:hAnsi="Arial"/>
                <w:sz w:val="14"/>
                <w:szCs w:val="14"/>
                <w:color w:val="auto"/>
              </w:rPr>
              <w:t>Unanimous settlement agreement filed with the Railroad Commission in March 2020 that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w w:val="96"/>
              </w:rPr>
              <w:t>recommends a $4 million annual increase in current revenues, a refund for an Unprotected EDIT</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w w:val="93"/>
              </w:rPr>
              <w:t>Rider amortized over three years of which $2.2 million is refunded in the first year and establishes a</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rPr>
              <w:t>9.65% ROE and a 56.95% equity ratio for future GRIP filings for the Beaumont/East Texas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5"/>
              </w:rPr>
              <w:t>November</w:t>
            </w: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w w:val="96"/>
              </w:rPr>
              <w:t>jurisdiction. The settlement calls for new rates to be effective with October 2020 usage and would</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w w:val="89"/>
              </w:rPr>
              <w:t>Rate Case (1)</w:t>
            </w:r>
          </w:p>
        </w:tc>
        <w:tc>
          <w:tcPr>
            <w:tcW w:w="1120" w:type="dxa"/>
            <w:vAlign w:val="bottom"/>
          </w:tcPr>
          <w:p>
            <w:pPr>
              <w:jc w:val="center"/>
              <w:ind w:left="10"/>
              <w:spacing w:after="0"/>
              <w:rPr>
                <w:sz w:val="20"/>
                <w:szCs w:val="20"/>
                <w:color w:val="auto"/>
              </w:rPr>
            </w:pPr>
            <w:r>
              <w:rPr>
                <w:rFonts w:ascii="Arial" w:cs="Arial" w:eastAsia="Arial" w:hAnsi="Arial"/>
                <w:sz w:val="14"/>
                <w:szCs w:val="14"/>
                <w:color w:val="auto"/>
              </w:rPr>
              <w:t>7</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9"/>
              </w:rPr>
              <w:t>TBD</w:t>
            </w:r>
          </w:p>
        </w:tc>
        <w:tc>
          <w:tcPr>
            <w:tcW w:w="5920" w:type="dxa"/>
            <w:vAlign w:val="bottom"/>
          </w:tcPr>
          <w:p>
            <w:pPr>
              <w:ind w:left="120"/>
              <w:spacing w:after="0"/>
              <w:rPr>
                <w:sz w:val="20"/>
                <w:szCs w:val="20"/>
                <w:color w:val="auto"/>
              </w:rPr>
            </w:pPr>
            <w:r>
              <w:rPr>
                <w:rFonts w:ascii="Arial" w:cs="Arial" w:eastAsia="Arial" w:hAnsi="Arial"/>
                <w:sz w:val="14"/>
                <w:szCs w:val="14"/>
                <w:color w:val="auto"/>
              </w:rPr>
              <w:t>be reflected starting with November 2020 bills.</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900" w:type="dxa"/>
            <w:vAlign w:val="bottom"/>
            <w:tcBorders>
              <w:bottom w:val="single" w:sz="8" w:color="auto"/>
            </w:tcBorders>
            <w:gridSpan w:val="4"/>
            <w:shd w:val="clear" w:color="auto" w:fill="CCEEFF"/>
          </w:tcPr>
          <w:p>
            <w:pPr>
              <w:jc w:val="center"/>
              <w:ind w:right="2247"/>
              <w:spacing w:after="0"/>
              <w:rPr>
                <w:sz w:val="20"/>
                <w:szCs w:val="20"/>
                <w:color w:val="auto"/>
              </w:rPr>
            </w:pPr>
            <w:r>
              <w:rPr>
                <w:rFonts w:ascii="Arial" w:cs="Arial" w:eastAsia="Arial" w:hAnsi="Arial"/>
                <w:sz w:val="14"/>
                <w:szCs w:val="14"/>
                <w:b w:val="1"/>
                <w:bCs w:val="1"/>
                <w:color w:val="auto"/>
                <w:w w:val="92"/>
              </w:rPr>
              <w:t>CenterPoint Energy and CERC - South Texas, Houston and Texas Coast (Railroad Commission)</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4"/>
                <w:szCs w:val="14"/>
                <w:color w:val="auto"/>
                <w:w w:val="97"/>
              </w:rPr>
              <w:t>March</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GRIP (1)</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w w:val="89"/>
              </w:rPr>
              <w:t>18</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TBD</w:t>
            </w:r>
          </w:p>
        </w:tc>
        <w:tc>
          <w:tcPr>
            <w:tcW w:w="10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TBD</w:t>
            </w:r>
          </w:p>
        </w:tc>
        <w:tc>
          <w:tcPr>
            <w:tcW w:w="59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Based on net change in invested capital of $144 million.</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20" w:type="dxa"/>
            <w:vAlign w:val="bottom"/>
            <w:tcBorders>
              <w:bottom w:val="single" w:sz="8" w:color="auto"/>
            </w:tcBorders>
            <w:gridSpan w:val="3"/>
            <w:shd w:val="clear" w:color="auto" w:fill="CCEEFF"/>
          </w:tcPr>
          <w:p>
            <w:pPr>
              <w:jc w:val="center"/>
              <w:ind w:right="3347"/>
              <w:spacing w:after="0"/>
              <w:rPr>
                <w:sz w:val="20"/>
                <w:szCs w:val="20"/>
                <w:color w:val="auto"/>
              </w:rPr>
            </w:pPr>
            <w:r>
              <w:rPr>
                <w:rFonts w:ascii="Arial" w:cs="Arial" w:eastAsia="Arial" w:hAnsi="Arial"/>
                <w:sz w:val="14"/>
                <w:szCs w:val="14"/>
                <w:b w:val="1"/>
                <w:bCs w:val="1"/>
                <w:color w:val="auto"/>
                <w:w w:val="95"/>
              </w:rPr>
              <w:t>CenterPoint Energy and CERC - Arkansas (APSC)</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20" w:type="dxa"/>
            <w:vAlign w:val="bottom"/>
          </w:tcPr>
          <w:p>
            <w:pPr>
              <w:ind w:left="120"/>
              <w:spacing w:after="0" w:line="156" w:lineRule="exact"/>
              <w:rPr>
                <w:sz w:val="20"/>
                <w:szCs w:val="20"/>
                <w:color w:val="auto"/>
              </w:rPr>
            </w:pPr>
            <w:r>
              <w:rPr>
                <w:rFonts w:ascii="Arial" w:cs="Arial" w:eastAsia="Arial" w:hAnsi="Arial"/>
                <w:sz w:val="14"/>
                <w:szCs w:val="14"/>
                <w:color w:val="auto"/>
                <w:w w:val="96"/>
              </w:rPr>
              <w:t>Based on ROE of 9.5% with 50 basis point (+/-) earnings band. Revenue reduction of $8.1 million</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April</w:t>
            </w: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w w:val="97"/>
              </w:rPr>
              <w:t>based on prior test year true-up earned return on equity of 11.75% combined with projected test</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w w:val="93"/>
              </w:rPr>
              <w:t>FRP (1)</w:t>
            </w:r>
          </w:p>
        </w:tc>
        <w:tc>
          <w:tcPr>
            <w:tcW w:w="1120" w:type="dxa"/>
            <w:vAlign w:val="bottom"/>
          </w:tcPr>
          <w:p>
            <w:pPr>
              <w:jc w:val="center"/>
              <w:ind w:left="10"/>
              <w:spacing w:after="0"/>
              <w:rPr>
                <w:sz w:val="20"/>
                <w:szCs w:val="20"/>
                <w:color w:val="auto"/>
              </w:rPr>
            </w:pPr>
            <w:r>
              <w:rPr>
                <w:rFonts w:ascii="Arial" w:cs="Arial" w:eastAsia="Arial" w:hAnsi="Arial"/>
                <w:sz w:val="14"/>
                <w:szCs w:val="14"/>
                <w:color w:val="auto"/>
                <w:w w:val="93"/>
              </w:rPr>
              <w:t>(8)</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9"/>
              </w:rPr>
              <w:t>TBD</w:t>
            </w:r>
          </w:p>
        </w:tc>
        <w:tc>
          <w:tcPr>
            <w:tcW w:w="5920" w:type="dxa"/>
            <w:vAlign w:val="bottom"/>
          </w:tcPr>
          <w:p>
            <w:pPr>
              <w:ind w:left="120"/>
              <w:spacing w:after="0"/>
              <w:rPr>
                <w:sz w:val="20"/>
                <w:szCs w:val="20"/>
                <w:color w:val="auto"/>
              </w:rPr>
            </w:pPr>
            <w:r>
              <w:rPr>
                <w:rFonts w:ascii="Arial" w:cs="Arial" w:eastAsia="Arial" w:hAnsi="Arial"/>
                <w:sz w:val="14"/>
                <w:szCs w:val="14"/>
                <w:color w:val="auto"/>
              </w:rPr>
              <w:t>year return on equity of 8.40%.</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20" w:type="dxa"/>
            <w:vAlign w:val="bottom"/>
            <w:tcBorders>
              <w:bottom w:val="single" w:sz="8" w:color="auto"/>
            </w:tcBorders>
            <w:gridSpan w:val="3"/>
            <w:shd w:val="clear" w:color="auto" w:fill="CCEEFF"/>
          </w:tcPr>
          <w:p>
            <w:pPr>
              <w:jc w:val="center"/>
              <w:ind w:right="3347"/>
              <w:spacing w:after="0"/>
              <w:rPr>
                <w:sz w:val="20"/>
                <w:szCs w:val="20"/>
                <w:color w:val="auto"/>
              </w:rPr>
            </w:pPr>
            <w:r>
              <w:rPr>
                <w:rFonts w:ascii="Arial" w:cs="Arial" w:eastAsia="Arial" w:hAnsi="Arial"/>
                <w:sz w:val="14"/>
                <w:szCs w:val="14"/>
                <w:b w:val="1"/>
                <w:bCs w:val="1"/>
                <w:color w:val="auto"/>
                <w:w w:val="96"/>
              </w:rPr>
              <w:t>CenterPoint Energy and CERC - Minnesota (MPUC)</w:t>
            </w:r>
          </w:p>
        </w:tc>
        <w:tc>
          <w:tcPr>
            <w:tcW w:w="0" w:type="dxa"/>
            <w:vAlign w:val="bottom"/>
          </w:tcPr>
          <w:p>
            <w:pPr>
              <w:spacing w:after="0"/>
              <w:rPr>
                <w:sz w:val="1"/>
                <w:szCs w:val="1"/>
                <w:color w:val="auto"/>
              </w:rPr>
            </w:pPr>
          </w:p>
        </w:tc>
      </w:tr>
      <w:tr>
        <w:trPr>
          <w:trHeight w:val="156"/>
        </w:trPr>
        <w:tc>
          <w:tcPr>
            <w:tcW w:w="1220" w:type="dxa"/>
            <w:vAlign w:val="bottom"/>
          </w:tcPr>
          <w:p>
            <w:pPr>
              <w:jc w:val="center"/>
              <w:spacing w:after="0" w:line="156" w:lineRule="exact"/>
              <w:rPr>
                <w:sz w:val="20"/>
                <w:szCs w:val="20"/>
                <w:color w:val="auto"/>
              </w:rPr>
            </w:pPr>
            <w:r>
              <w:rPr>
                <w:rFonts w:ascii="Arial" w:cs="Arial" w:eastAsia="Arial" w:hAnsi="Arial"/>
                <w:sz w:val="14"/>
                <w:szCs w:val="14"/>
                <w:color w:val="auto"/>
                <w:w w:val="93"/>
              </w:rPr>
              <w:t>CIP Financial</w:t>
            </w:r>
          </w:p>
        </w:tc>
        <w:tc>
          <w:tcPr>
            <w:tcW w:w="112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4"/>
                <w:szCs w:val="14"/>
                <w:color w:val="auto"/>
                <w:w w:val="98"/>
              </w:rPr>
              <w:t>May</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w w:val="96"/>
              </w:rPr>
              <w:t xml:space="preserve">Incentive </w:t>
            </w:r>
            <w:r>
              <w:rPr>
                <w:rFonts w:ascii="Arial" w:cs="Arial" w:eastAsia="Arial" w:hAnsi="Arial"/>
                <w:sz w:val="10"/>
                <w:szCs w:val="10"/>
                <w:color w:val="auto"/>
                <w:w w:val="96"/>
              </w:rPr>
              <w:t>(1)</w:t>
            </w:r>
          </w:p>
        </w:tc>
        <w:tc>
          <w:tcPr>
            <w:tcW w:w="1120" w:type="dxa"/>
            <w:vAlign w:val="bottom"/>
          </w:tcPr>
          <w:p>
            <w:pPr>
              <w:jc w:val="center"/>
              <w:ind w:left="10"/>
              <w:spacing w:after="0"/>
              <w:rPr>
                <w:sz w:val="20"/>
                <w:szCs w:val="20"/>
                <w:color w:val="auto"/>
              </w:rPr>
            </w:pPr>
            <w:r>
              <w:rPr>
                <w:rFonts w:ascii="Arial" w:cs="Arial" w:eastAsia="Arial" w:hAnsi="Arial"/>
                <w:sz w:val="14"/>
                <w:szCs w:val="14"/>
                <w:color w:val="auto"/>
              </w:rPr>
              <w:t>9</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1000" w:type="dxa"/>
            <w:vAlign w:val="bottom"/>
          </w:tcPr>
          <w:p>
            <w:pPr>
              <w:jc w:val="center"/>
              <w:ind w:left="8"/>
              <w:spacing w:after="0"/>
              <w:rPr>
                <w:sz w:val="20"/>
                <w:szCs w:val="20"/>
                <w:color w:val="auto"/>
              </w:rPr>
            </w:pPr>
            <w:r>
              <w:rPr>
                <w:rFonts w:ascii="Arial" w:cs="Arial" w:eastAsia="Arial" w:hAnsi="Arial"/>
                <w:sz w:val="14"/>
                <w:szCs w:val="14"/>
                <w:color w:val="auto"/>
                <w:w w:val="99"/>
              </w:rPr>
              <w:t>TBD</w:t>
            </w:r>
          </w:p>
        </w:tc>
        <w:tc>
          <w:tcPr>
            <w:tcW w:w="5920" w:type="dxa"/>
            <w:vAlign w:val="bottom"/>
          </w:tcPr>
          <w:p>
            <w:pPr>
              <w:ind w:left="120"/>
              <w:spacing w:after="0"/>
              <w:rPr>
                <w:sz w:val="20"/>
                <w:szCs w:val="20"/>
                <w:color w:val="auto"/>
              </w:rPr>
            </w:pPr>
            <w:r>
              <w:rPr>
                <w:rFonts w:ascii="Arial" w:cs="Arial" w:eastAsia="Arial" w:hAnsi="Arial"/>
                <w:sz w:val="14"/>
                <w:szCs w:val="14"/>
                <w:color w:val="auto"/>
              </w:rPr>
              <w:t>CIP Financial Incentive based on 2019 activity.</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Reflects a proposed 10.15% ROE on a 51.39% equity ratio. Interim rates reflecting an annual</w:t>
            </w: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 xml:space="preserve">Rate Case </w:t>
            </w:r>
            <w:r>
              <w:rPr>
                <w:rFonts w:ascii="Arial" w:cs="Arial" w:eastAsia="Arial" w:hAnsi="Arial"/>
                <w:sz w:val="10"/>
                <w:szCs w:val="10"/>
                <w:color w:val="auto"/>
                <w:w w:val="89"/>
              </w:rPr>
              <w:t>(1)</w:t>
            </w:r>
          </w:p>
        </w:tc>
        <w:tc>
          <w:tcPr>
            <w:tcW w:w="112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89"/>
              </w:rPr>
              <w:t>62</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2019</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10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9"/>
              </w:rPr>
              <w:t>TBD</w:t>
            </w:r>
          </w:p>
        </w:tc>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increase of $53 million were implemented on January 1, 2020.</w:t>
            </w:r>
          </w:p>
        </w:tc>
        <w:tc>
          <w:tcPr>
            <w:tcW w:w="0" w:type="dxa"/>
            <w:vAlign w:val="bottom"/>
          </w:tcPr>
          <w:p>
            <w:pPr>
              <w:spacing w:after="0"/>
              <w:rPr>
                <w:sz w:val="1"/>
                <w:szCs w:val="1"/>
                <w:color w:val="auto"/>
              </w:rPr>
            </w:pPr>
          </w:p>
        </w:tc>
      </w:tr>
      <w:tr>
        <w:trPr>
          <w:trHeight w:val="197"/>
        </w:trPr>
        <w:tc>
          <w:tcPr>
            <w:tcW w:w="1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gridSpan w:val="3"/>
          </w:tcPr>
          <w:p>
            <w:pPr>
              <w:jc w:val="center"/>
              <w:ind w:right="3347"/>
              <w:spacing w:after="0"/>
              <w:rPr>
                <w:sz w:val="20"/>
                <w:szCs w:val="20"/>
                <w:color w:val="auto"/>
              </w:rPr>
            </w:pPr>
            <w:r>
              <w:rPr>
                <w:rFonts w:ascii="Arial" w:cs="Arial" w:eastAsia="Arial" w:hAnsi="Arial"/>
                <w:sz w:val="14"/>
                <w:szCs w:val="14"/>
                <w:b w:val="1"/>
                <w:bCs w:val="1"/>
                <w:color w:val="auto"/>
                <w:w w:val="96"/>
              </w:rPr>
              <w:t>CenterPoint Energy and CERC - Oklahoma (OCC)</w:t>
            </w: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7"/>
              </w:rPr>
              <w:t>March</w:t>
            </w: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92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w w:val="94"/>
              </w:rPr>
              <w:t>Based on ROE of 10% with 50 basis point (+/-) earnings band. Revenue credit of approximately $2</w:t>
            </w: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 xml:space="preserve">PBRC </w:t>
            </w:r>
            <w:r>
              <w:rPr>
                <w:rFonts w:ascii="Arial" w:cs="Arial" w:eastAsia="Arial" w:hAnsi="Arial"/>
                <w:sz w:val="12"/>
                <w:szCs w:val="12"/>
                <w:color w:val="auto"/>
                <w:w w:val="93"/>
              </w:rPr>
              <w:t>(1)</w:t>
            </w: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4"/>
                <w:szCs w:val="14"/>
                <w:color w:val="auto"/>
                <w:w w:val="93"/>
              </w:rPr>
              <w:t>(2)</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100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9"/>
              </w:rPr>
              <w:t>TBD</w:t>
            </w:r>
          </w:p>
        </w:tc>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million based on 2019 test year adjusted earned ROE of 15.37%.</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20" w:type="dxa"/>
            <w:vAlign w:val="bottom"/>
          </w:tcPr>
          <w:p>
            <w:pPr>
              <w:jc w:val="center"/>
              <w:ind w:right="5227"/>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80" w:type="dxa"/>
            <w:vAlign w:val="bottom"/>
          </w:tcPr>
          <w:p>
            <w:pPr>
              <w:jc w:val="center"/>
              <w:ind w:left="10"/>
              <w:spacing w:after="0"/>
              <w:rPr>
                <w:sz w:val="20"/>
                <w:szCs w:val="20"/>
                <w:color w:val="auto"/>
              </w:rPr>
            </w:pPr>
            <w:r>
              <w:rPr>
                <w:rFonts w:ascii="Arial" w:cs="Arial" w:eastAsia="Arial" w:hAnsi="Arial"/>
                <w:sz w:val="14"/>
                <w:szCs w:val="14"/>
                <w:b w:val="1"/>
                <w:bCs w:val="1"/>
                <w:color w:val="auto"/>
                <w:w w:val="96"/>
              </w:rPr>
              <w:t>Annual</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2"/>
              </w:rPr>
              <w:t>Effective</w:t>
            </w:r>
          </w:p>
        </w:tc>
        <w:tc>
          <w:tcPr>
            <w:tcW w:w="11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5"/>
              </w:rPr>
              <w:t>Approval</w:t>
            </w:r>
          </w:p>
        </w:tc>
        <w:tc>
          <w:tcPr>
            <w:tcW w:w="5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9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94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6"/>
        </w:trPr>
        <w:tc>
          <w:tcPr>
            <w:tcW w:w="120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(in millions)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2"/>
              </w:rPr>
              <w:t>Date</w:t>
            </w:r>
          </w:p>
        </w:tc>
        <w:tc>
          <w:tcPr>
            <w:tcW w:w="5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880" w:type="dxa"/>
            <w:vAlign w:val="bottom"/>
            <w:tcBorders>
              <w:bottom w:val="single" w:sz="8" w:color="auto"/>
            </w:tcBorders>
            <w:gridSpan w:val="3"/>
          </w:tcPr>
          <w:p>
            <w:pPr>
              <w:jc w:val="center"/>
              <w:ind w:right="3288"/>
              <w:spacing w:after="0"/>
              <w:rPr>
                <w:sz w:val="20"/>
                <w:szCs w:val="20"/>
                <w:color w:val="auto"/>
              </w:rPr>
            </w:pPr>
            <w:r>
              <w:rPr>
                <w:rFonts w:ascii="Arial" w:cs="Arial" w:eastAsia="Arial" w:hAnsi="Arial"/>
                <w:sz w:val="14"/>
                <w:szCs w:val="14"/>
                <w:b w:val="1"/>
                <w:bCs w:val="1"/>
                <w:color w:val="auto"/>
                <w:w w:val="95"/>
              </w:rPr>
              <w:t>CenterPoint Energy and CERC - Mississippi (MPSC)</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8"/>
              </w:rPr>
              <w:t>May</w:t>
            </w:r>
          </w:p>
        </w:tc>
        <w:tc>
          <w:tcPr>
            <w:tcW w:w="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9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94"/>
              </w:rPr>
              <w:t>Based on ROE of 9.292% with 100 basis point (+/-) earnings band. Revenue increase of $2 million</w:t>
            </w: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 xml:space="preserve">RRA </w:t>
            </w:r>
            <w:r>
              <w:rPr>
                <w:rFonts w:ascii="Arial" w:cs="Arial" w:eastAsia="Arial" w:hAnsi="Arial"/>
                <w:sz w:val="10"/>
                <w:szCs w:val="10"/>
                <w:color w:val="auto"/>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82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w w:val="99"/>
              </w:rPr>
              <w:t>TBD</w:t>
            </w:r>
          </w:p>
        </w:tc>
        <w:tc>
          <w:tcPr>
            <w:tcW w:w="112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9"/>
              </w:rPr>
              <w:t>TBD</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based on 2019 test year adjusted earned ROE of 7.45%.</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gridSpan w:val="3"/>
          </w:tcPr>
          <w:p>
            <w:pPr>
              <w:jc w:val="center"/>
              <w:ind w:right="3288"/>
              <w:spacing w:after="0"/>
              <w:rPr>
                <w:sz w:val="20"/>
                <w:szCs w:val="20"/>
                <w:color w:val="auto"/>
              </w:rPr>
            </w:pPr>
            <w:r>
              <w:rPr>
                <w:rFonts w:ascii="Arial" w:cs="Arial" w:eastAsia="Arial" w:hAnsi="Arial"/>
                <w:sz w:val="14"/>
                <w:szCs w:val="14"/>
                <w:b w:val="1"/>
                <w:bCs w:val="1"/>
                <w:color w:val="auto"/>
                <w:w w:val="95"/>
              </w:rPr>
              <w:t>CenterPoint Energy - Indiana South - Gas (IURC)</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9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97"/>
              </w:rPr>
              <w:t>Requested an increase of $13 million to rate base, which reflects a $1 million annual increase in</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6"/>
              </w:rPr>
              <w:t>July</w:t>
            </w:r>
          </w:p>
        </w:tc>
        <w:tc>
          <w:tcPr>
            <w:tcW w:w="11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resulting in no change to the previous credit provided, and a change in the total (over)/under-</w:t>
            </w: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 xml:space="preserve">CSIA </w:t>
            </w:r>
            <w:r>
              <w:rPr>
                <w:rFonts w:ascii="Arial" w:cs="Arial" w:eastAsia="Arial" w:hAnsi="Arial"/>
                <w:sz w:val="12"/>
                <w:szCs w:val="12"/>
                <w:color w:val="auto"/>
                <w:w w:val="97"/>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April 2020</w:t>
            </w:r>
          </w:p>
        </w:tc>
        <w:tc>
          <w:tcPr>
            <w:tcW w:w="82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6"/>
              </w:rPr>
              <w:t>2020</w:t>
            </w:r>
          </w:p>
        </w:tc>
        <w:tc>
          <w:tcPr>
            <w:tcW w:w="112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9"/>
              </w:rPr>
              <w:t>TBD</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recovery variance of $1 million annually.</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gridSpan w:val="3"/>
          </w:tcPr>
          <w:p>
            <w:pPr>
              <w:jc w:val="center"/>
              <w:ind w:right="3268"/>
              <w:spacing w:after="0"/>
              <w:rPr>
                <w:sz w:val="20"/>
                <w:szCs w:val="20"/>
                <w:color w:val="auto"/>
              </w:rPr>
            </w:pPr>
            <w:r>
              <w:rPr>
                <w:rFonts w:ascii="Arial" w:cs="Arial" w:eastAsia="Arial" w:hAnsi="Arial"/>
                <w:sz w:val="14"/>
                <w:szCs w:val="14"/>
                <w:b w:val="1"/>
                <w:bCs w:val="1"/>
                <w:color w:val="auto"/>
                <w:w w:val="96"/>
              </w:rPr>
              <w:t>CenterPoint Energy - Indiana North - Gas (IURC)</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9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97"/>
              </w:rPr>
              <w:t>Requested an increase of $35 million to rate base, which reflects a $4 million annual increase in</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96"/>
              </w:rPr>
              <w:t>July</w:t>
            </w:r>
          </w:p>
        </w:tc>
        <w:tc>
          <w:tcPr>
            <w:tcW w:w="11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resulting in no change to the previous credit provided, and a change in the total (over)/under-</w:t>
            </w: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 xml:space="preserve">CSIA </w:t>
            </w:r>
            <w:r>
              <w:rPr>
                <w:rFonts w:ascii="Arial" w:cs="Arial" w:eastAsia="Arial" w:hAnsi="Arial"/>
                <w:sz w:val="12"/>
                <w:szCs w:val="12"/>
                <w:color w:val="auto"/>
                <w:w w:val="97"/>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April 2020</w:t>
            </w:r>
          </w:p>
        </w:tc>
        <w:tc>
          <w:tcPr>
            <w:tcW w:w="82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6"/>
              </w:rPr>
              <w:t>2020</w:t>
            </w:r>
          </w:p>
        </w:tc>
        <w:tc>
          <w:tcPr>
            <w:tcW w:w="112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9"/>
              </w:rPr>
              <w:t>TBD</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recovery variance of $14 million annually.</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060" w:type="dxa"/>
            <w:vAlign w:val="bottom"/>
            <w:tcBorders>
              <w:bottom w:val="single" w:sz="8" w:color="auto"/>
            </w:tcBorders>
            <w:gridSpan w:val="2"/>
          </w:tcPr>
          <w:p>
            <w:pPr>
              <w:jc w:val="center"/>
              <w:ind w:right="4108"/>
              <w:spacing w:after="0"/>
              <w:rPr>
                <w:sz w:val="20"/>
                <w:szCs w:val="20"/>
                <w:color w:val="auto"/>
              </w:rPr>
            </w:pPr>
            <w:r>
              <w:rPr>
                <w:rFonts w:ascii="Arial" w:cs="Arial" w:eastAsia="Arial" w:hAnsi="Arial"/>
                <w:sz w:val="14"/>
                <w:szCs w:val="14"/>
                <w:b w:val="1"/>
                <w:bCs w:val="1"/>
                <w:color w:val="auto"/>
                <w:w w:val="96"/>
              </w:rPr>
              <w:t>CenterPoint Energy - Ohio (PUCO)</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9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95"/>
              </w:rPr>
              <w:t>Application to flow back to customers certain benefits from the TCJA. Initial impact reflects credits</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January</w:t>
            </w: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for 2018 of $(10) million and 2019 of $(9) million, and 2020 of $(6) million, with mechanism to</w:t>
            </w: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 xml:space="preserve">TSCR </w:t>
            </w:r>
            <w:r>
              <w:rPr>
                <w:rFonts w:ascii="Arial" w:cs="Arial" w:eastAsia="Arial" w:hAnsi="Arial"/>
                <w:sz w:val="10"/>
                <w:szCs w:val="10"/>
                <w:color w:val="auto"/>
                <w:w w:val="95"/>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82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w w:val="99"/>
              </w:rPr>
              <w:t>TBD</w:t>
            </w:r>
          </w:p>
        </w:tc>
        <w:tc>
          <w:tcPr>
            <w:tcW w:w="112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9"/>
              </w:rPr>
              <w:t>TBD</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begin subsequent to new approval by PUCO. The order is expected in 2020.</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940" w:type="dxa"/>
            <w:vAlign w:val="bottom"/>
          </w:tcPr>
          <w:p>
            <w:pPr>
              <w:ind w:left="140"/>
              <w:spacing w:after="0" w:line="157" w:lineRule="exact"/>
              <w:rPr>
                <w:sz w:val="20"/>
                <w:szCs w:val="20"/>
                <w:color w:val="auto"/>
              </w:rPr>
            </w:pPr>
            <w:r>
              <w:rPr>
                <w:rFonts w:ascii="Arial" w:cs="Arial" w:eastAsia="Arial" w:hAnsi="Arial"/>
                <w:sz w:val="14"/>
                <w:szCs w:val="14"/>
                <w:color w:val="auto"/>
                <w:w w:val="96"/>
              </w:rPr>
              <w:t>Requested an increase of $67 million to rate base for investments made in 2019, which reflects a</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8"/>
              </w:rPr>
              <w:t>May</w:t>
            </w:r>
          </w:p>
        </w:tc>
        <w:tc>
          <w:tcPr>
            <w:tcW w:w="8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0"/>
              </w:rPr>
              <w:t>September</w:t>
            </w:r>
          </w:p>
        </w:tc>
        <w:tc>
          <w:tcPr>
            <w:tcW w:w="11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5"/>
              </w:rPr>
              <w:t>$10 million annual increase in current revenues. A change in (over)/under-recovery variance of $2</w:t>
            </w:r>
          </w:p>
        </w:tc>
        <w:tc>
          <w:tcPr>
            <w:tcW w:w="0" w:type="dxa"/>
            <w:vAlign w:val="bottom"/>
          </w:tcPr>
          <w:p>
            <w:pPr>
              <w:spacing w:after="0"/>
              <w:rPr>
                <w:sz w:val="1"/>
                <w:szCs w:val="1"/>
                <w:color w:val="auto"/>
              </w:rPr>
            </w:pPr>
          </w:p>
        </w:tc>
      </w:tr>
      <w:tr>
        <w:trPr>
          <w:trHeight w:val="188"/>
        </w:trPr>
        <w:tc>
          <w:tcPr>
            <w:tcW w:w="1200" w:type="dxa"/>
            <w:vAlign w:val="bottom"/>
          </w:tcPr>
          <w:p>
            <w:pPr>
              <w:jc w:val="center"/>
              <w:spacing w:after="0"/>
              <w:rPr>
                <w:sz w:val="20"/>
                <w:szCs w:val="20"/>
                <w:color w:val="auto"/>
              </w:rPr>
            </w:pPr>
            <w:r>
              <w:rPr>
                <w:rFonts w:ascii="Arial" w:cs="Arial" w:eastAsia="Arial" w:hAnsi="Arial"/>
                <w:sz w:val="14"/>
                <w:szCs w:val="14"/>
                <w:color w:val="auto"/>
                <w:w w:val="98"/>
              </w:rPr>
              <w:t>DRR</w:t>
            </w:r>
          </w:p>
        </w:tc>
        <w:tc>
          <w:tcPr>
            <w:tcW w:w="1180" w:type="dxa"/>
            <w:vAlign w:val="bottom"/>
          </w:tcPr>
          <w:p>
            <w:pPr>
              <w:jc w:val="center"/>
              <w:ind w:left="10"/>
              <w:spacing w:after="0"/>
              <w:rPr>
                <w:sz w:val="20"/>
                <w:szCs w:val="20"/>
                <w:color w:val="auto"/>
              </w:rPr>
            </w:pPr>
            <w:r>
              <w:rPr>
                <w:rFonts w:ascii="Arial" w:cs="Arial" w:eastAsia="Arial" w:hAnsi="Arial"/>
                <w:sz w:val="14"/>
                <w:szCs w:val="14"/>
                <w:color w:val="auto"/>
                <w:w w:val="89"/>
              </w:rPr>
              <w:t>10</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w w:val="89"/>
              </w:rPr>
              <w:t>2020</w:t>
            </w:r>
          </w:p>
        </w:tc>
        <w:tc>
          <w:tcPr>
            <w:tcW w:w="1120" w:type="dxa"/>
            <w:vAlign w:val="bottom"/>
          </w:tcPr>
          <w:p>
            <w:pPr>
              <w:jc w:val="center"/>
              <w:ind w:left="168"/>
              <w:spacing w:after="0"/>
              <w:rPr>
                <w:sz w:val="20"/>
                <w:szCs w:val="20"/>
                <w:color w:val="auto"/>
              </w:rPr>
            </w:pPr>
            <w:r>
              <w:rPr>
                <w:rFonts w:ascii="Arial" w:cs="Arial" w:eastAsia="Arial" w:hAnsi="Arial"/>
                <w:sz w:val="14"/>
                <w:szCs w:val="14"/>
                <w:color w:val="auto"/>
                <w:w w:val="99"/>
              </w:rPr>
              <w:t>TBD</w:t>
            </w:r>
          </w:p>
        </w:tc>
        <w:tc>
          <w:tcPr>
            <w:tcW w:w="5940" w:type="dxa"/>
            <w:vAlign w:val="bottom"/>
          </w:tcPr>
          <w:p>
            <w:pPr>
              <w:ind w:left="14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7060" w:type="dxa"/>
            <w:vAlign w:val="bottom"/>
            <w:tcBorders>
              <w:bottom w:val="single" w:sz="8" w:color="auto"/>
            </w:tcBorders>
            <w:gridSpan w:val="2"/>
            <w:shd w:val="clear" w:color="auto" w:fill="CCEEFF"/>
          </w:tcPr>
          <w:p>
            <w:pPr>
              <w:jc w:val="center"/>
              <w:ind w:right="4108"/>
              <w:spacing w:after="0"/>
              <w:rPr>
                <w:sz w:val="20"/>
                <w:szCs w:val="20"/>
                <w:color w:val="auto"/>
              </w:rPr>
            </w:pPr>
            <w:r>
              <w:rPr>
                <w:rFonts w:ascii="Arial" w:cs="Arial" w:eastAsia="Arial" w:hAnsi="Arial"/>
                <w:sz w:val="14"/>
                <w:szCs w:val="14"/>
                <w:b w:val="1"/>
                <w:bCs w:val="1"/>
                <w:color w:val="auto"/>
                <w:w w:val="96"/>
              </w:rPr>
              <w:t>CenterPoint Energy - Indiana Electric (IURC)</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Arial" w:cs="Arial" w:eastAsia="Arial" w:hAnsi="Arial"/>
                <w:sz w:val="14"/>
                <w:szCs w:val="14"/>
                <w:color w:val="auto"/>
                <w:w w:val="97"/>
              </w:rPr>
              <w:t>Requested an increase of $34 million to rate base, which reflects a $4 million annual increase in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6"/>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9"/>
              </w:rPr>
              <w:t>February</w:t>
            </w:r>
          </w:p>
        </w:tc>
        <w:tc>
          <w:tcPr>
            <w:tcW w:w="8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8"/>
              </w:rPr>
              <w:t>May</w:t>
            </w:r>
          </w:p>
        </w:tc>
        <w:tc>
          <w:tcPr>
            <w:tcW w:w="11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9"/>
              </w:rPr>
              <w:t>deferred until next rate case. The mechanism also includes a change in (over)/under-recovery</w:t>
            </w:r>
          </w:p>
        </w:tc>
        <w:tc>
          <w:tcPr>
            <w:tcW w:w="0" w:type="dxa"/>
            <w:vAlign w:val="bottom"/>
          </w:tcPr>
          <w:p>
            <w:pPr>
              <w:spacing w:after="0"/>
              <w:rPr>
                <w:sz w:val="1"/>
                <w:szCs w:val="1"/>
                <w:color w:val="auto"/>
              </w:rPr>
            </w:pPr>
          </w:p>
        </w:tc>
      </w:tr>
      <w:tr>
        <w:trPr>
          <w:trHeight w:val="182"/>
        </w:trPr>
        <w:tc>
          <w:tcPr>
            <w:tcW w:w="1200" w:type="dxa"/>
            <w:vAlign w:val="bottom"/>
          </w:tcPr>
          <w:p>
            <w:pPr>
              <w:jc w:val="center"/>
              <w:spacing w:after="0"/>
              <w:rPr>
                <w:sz w:val="20"/>
                <w:szCs w:val="20"/>
                <w:color w:val="auto"/>
              </w:rPr>
            </w:pPr>
            <w:r>
              <w:rPr>
                <w:rFonts w:ascii="Arial" w:cs="Arial" w:eastAsia="Arial" w:hAnsi="Arial"/>
                <w:sz w:val="14"/>
                <w:szCs w:val="14"/>
                <w:color w:val="auto"/>
                <w:w w:val="99"/>
              </w:rPr>
              <w:t xml:space="preserve">TDSIC </w:t>
            </w:r>
            <w:r>
              <w:rPr>
                <w:rFonts w:ascii="Arial" w:cs="Arial" w:eastAsia="Arial" w:hAnsi="Arial"/>
                <w:sz w:val="10"/>
                <w:szCs w:val="10"/>
                <w:color w:val="auto"/>
                <w:w w:val="99"/>
              </w:rPr>
              <w:t>(1)</w:t>
            </w:r>
          </w:p>
        </w:tc>
        <w:tc>
          <w:tcPr>
            <w:tcW w:w="1180" w:type="dxa"/>
            <w:vAlign w:val="bottom"/>
          </w:tcPr>
          <w:p>
            <w:pPr>
              <w:jc w:val="center"/>
              <w:spacing w:after="0"/>
              <w:rPr>
                <w:sz w:val="20"/>
                <w:szCs w:val="20"/>
                <w:color w:val="auto"/>
              </w:rPr>
            </w:pPr>
            <w:r>
              <w:rPr>
                <w:rFonts w:ascii="Arial" w:cs="Arial" w:eastAsia="Arial" w:hAnsi="Arial"/>
                <w:sz w:val="14"/>
                <w:szCs w:val="14"/>
                <w:color w:val="auto"/>
              </w:rPr>
              <w:t>4</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820" w:type="dxa"/>
            <w:vAlign w:val="bottom"/>
          </w:tcPr>
          <w:p>
            <w:pPr>
              <w:jc w:val="center"/>
              <w:ind w:left="108"/>
              <w:spacing w:after="0"/>
              <w:rPr>
                <w:sz w:val="20"/>
                <w:szCs w:val="20"/>
                <w:color w:val="auto"/>
              </w:rPr>
            </w:pPr>
            <w:r>
              <w:rPr>
                <w:rFonts w:ascii="Arial" w:cs="Arial" w:eastAsia="Arial" w:hAnsi="Arial"/>
                <w:sz w:val="14"/>
                <w:szCs w:val="14"/>
                <w:color w:val="auto"/>
                <w:w w:val="89"/>
              </w:rPr>
              <w:t>2020</w:t>
            </w:r>
          </w:p>
        </w:tc>
        <w:tc>
          <w:tcPr>
            <w:tcW w:w="1120" w:type="dxa"/>
            <w:vAlign w:val="bottom"/>
          </w:tcPr>
          <w:p>
            <w:pPr>
              <w:jc w:val="center"/>
              <w:ind w:left="168"/>
              <w:spacing w:after="0"/>
              <w:rPr>
                <w:sz w:val="20"/>
                <w:szCs w:val="20"/>
                <w:color w:val="auto"/>
              </w:rPr>
            </w:pPr>
            <w:r>
              <w:rPr>
                <w:rFonts w:ascii="Arial" w:cs="Arial" w:eastAsia="Arial" w:hAnsi="Arial"/>
                <w:sz w:val="14"/>
                <w:szCs w:val="14"/>
                <w:color w:val="auto"/>
                <w:w w:val="99"/>
              </w:rPr>
              <w:t>TBD</w:t>
            </w:r>
          </w:p>
        </w:tc>
        <w:tc>
          <w:tcPr>
            <w:tcW w:w="5940" w:type="dxa"/>
            <w:vAlign w:val="bottom"/>
          </w:tcPr>
          <w:p>
            <w:pPr>
              <w:ind w:left="140"/>
              <w:spacing w:after="0"/>
              <w:rPr>
                <w:sz w:val="20"/>
                <w:szCs w:val="20"/>
                <w:color w:val="auto"/>
              </w:rPr>
            </w:pPr>
            <w:r>
              <w:rPr>
                <w:rFonts w:ascii="Arial" w:cs="Arial" w:eastAsia="Arial" w:hAnsi="Arial"/>
                <w:sz w:val="14"/>
                <w:szCs w:val="14"/>
                <w:color w:val="auto"/>
              </w:rPr>
              <w:t>variance of $2 million annually.</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Reform</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TCJA-related 2018 tax expense refunds are currently included in the Registrants’ existing rates and are therefore reducing the Registrants’ current annual revenue. The TCJA-related 2018 tax expense refunds for Houston Electric were completed in September 2019. However, in Houston Electric’s rate case filed in April 2019, and subsequently adjusted in errata filings in May and June 2019, pursuant to the Stipulation and Settlement Agreement, Houston Electric will return unprotected EDIT net regulatory liability balance to customers, through a separate rider and its wholesale transmission tariff over approximately three years. The balance of unprotected EDIT was $105 million as of December 31, 2018. In addition, Houston Electric’s TCJA-related protected EDIT balance as of December 31, 2018 is $563 million and must be returned to customers over ARAM.</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CenterPoint Energy’s electric and natural gas utilities in Indiana and Ohio, which were acquired during the Merger, currently recover corporate income tax expense in approved rates charged to customers. The IURC and the PUCO both issued orders which initiated proceedings to investigate the impact of the TCJA on utility companies and customers within Indiana and Ohio, respectively. In addition, the IURC and PUCO have ordered each utility to establish regulatory liabilities to record all estimated impacts of tax reform starting January 1, 2018 until the date when rates are adjusted to capture these impacts. In Indiana, in response to Vectren’s pre-Merger filing for proposed changes to its rates and charges to consider the impact of the lower federal income tax rates, the IURC approved an initial reduction to current rates and charges, effective June 1, 2018, to capture the immediate impact of the lower corporate federal income tax rate. The refund of EDIT and regulatory liabilities commenced in November 2018 for Indiana electric customers and in January 2019 for Indiana natural gas customers. In Ohio, the initial rate reduction to current rates and charges became effective upon conclusion of its pending base rate case on August 28, 2019. In January 2019, an application was filed with PUCO in compliance with its October 2018 order requiring utilities to file for a request to adjust rates to reflect the impact of the TCJA, requesting authority to implement a rider to flow back to customers the tax benefits realized under the TCJA, including the refund of EDIT and regulatory liabilities. CenterPoint Energy expects this proceeding to be approved in 2020.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ELG (CenterPoint Energy)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Clean Water Act, the EPA sets technology-based guidelines for water discharges from new and existing electric generation facilities. In September 2015, the EPA finalized revisions to the existing steam electric ELG setting stringent technology-based water discharge limits for the electric power industry. The EPA focused this rulemaking on wastewater generated primarily by pollution control equipment necessitated by the comprehensive air regulations, specifically setting strict water discharge limits for arsenic, mercury and selenium for scrubber waste waters. The ELG will be implemented when existing water discharge permits for the plants are renewed. In the case of Indiana Electric’s water discharge permits, in 2017 the IDEM issued final renewals for the F.B. Culley and A.B. Brown power plants. IDEM agreed that units identified for retirement by December 2023 would not be required to install new treatment technology to meet ELG, and approved a 2020 compliance date for dry bottom ash and a 2023 compliance date for flue gas desulfurization wastewater treatment standards for the remaining coal-fired unit at F.B. Culley.</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13, 2017, as part of the U.S. President’s Administration’s regulatory reform initiative, which is focused on the number and nature of regulations, the EPA granted petitions to reconsider the ELG rule, and indicated it would stay the current implementation deadlines in the rule during the pendency of the reconsideration. On September 13, 2017, the EPA finalized a rule postponing certain interim compliance dates by two years, but did not postpone the final compliance deadline of December 31, 2023. In April 2018, the EPA published an effluent guidelines program plan that anticipated a December 2019 rule revising the effluent limitations and pre-treatment standards for existing sources in the 2015 rule. On April 12, 2019, the U.S. Court of Appeals for the Fifth Circuit vacated and remanded portions of the ELG rule that selected impoundment as the best available technology for legacy wastewater and leachate. It is not clear what revisions to the ELG rule the EPA will implement, or what effect those revisions may have. As Indiana Electric does not currently have short-term ELG implementation deadlines in its recently renewed wastewater discharge permits, it does not anticipate immediate impacts from the EPA’s two-year extension of preliminary implementation deadlines due to the longer compliance time frames granted by IDEM and will continue to work with IDEM to evaluate further implementation plans. On November 4, 2019, the EPA released a pre-publication copy of proposed revisions to the CCR and ELG rules. CenterPoint Energy will evaluate the proposals to determine potential impacts to current compliance plans for its A.B. Brown and F.B. Culley generating stations.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CPP and ACE Rule (CenterPoint Energy)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August 31, 2018, the EPA published its proposed CPP replacement rule, the ACE Rule, which was finalized on July 8, 2019 and requires states to implement a program of energy efficiency improvement targets for individual coal-fired electric generating units. States have three years to develop state plans to implement the ACE rule, and CenterPoint Energy does not expect a state ACE rule to be finalized and approved by the EPA until 2024. CenterPoint Energy is currently unable to predict the effect of a state plan to implement the ACE rule but does not anticipate that such a plan would have a material effect.</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Legislative Actions &amp; Other Initiatives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this time, compliance costs and other effects associated with reductions in GHG emissions or obtaining renewable energy sources remain uncertain. While the requirements of a state ACE rule remain uncertain, Indiana Electric will continue to monitor regulatory activity regarding GHG emission standards that may affect its electric generating units.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MRT Rate Case (CenterPoint Energy)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2018, MRT filed a general Natural Gas Act rate case, and in October 2019, MRT filed a second rate case. MRT began collecting the rates proposed in the 2018 rate case, subject to refund, on January 1, 2019. On November 5, 2019, as supplemented on December 13, 2019, MRT filed uncontested proposed settlements for the 2018 and 2019 rate cases. The FERC approved both settlements on March 26, 2020, and that order became final on April 25,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12 to the Interim Condensed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$5.1 billion as of March 31, 2020. As of May 1, 2020, the Registrants had the following revolving credit facilities and utilization of such facilities: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Amount Utilized as of May 1, 2020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Registrant</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Size of Facility</w:t>
            </w:r>
          </w:p>
        </w:tc>
        <w:tc>
          <w:tcPr>
            <w:tcW w:w="28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Loans</w:t>
            </w: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Letters of Credit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Commercial Paper</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92"/>
        </w:trPr>
        <w:tc>
          <w:tcPr>
            <w:tcW w:w="2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0.68%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July 14, 2022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14, 2022</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Houston Electric</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CERC</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57"/>
        </w:trPr>
        <w:tc>
          <w:tcPr>
            <w:tcW w:w="28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credit facility was issued by VUHI and is guaranteed by SIGECO, Indiana Gas and VEDO.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credit facility was issued by VCC and is guaranteed by Vectren.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The borrowers are currently in compliance with the various business and financial covenants in the five revolving credit facilities.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detailed information about the Registrants’ debt transactions in 2020, see Notes 12 and 20 to the Interim Condensed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31, 2017, the Registrants filed a joint shelf registration statement with the SEC, as amended on September 24, 2018,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expired on January 31, 2020.</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1, 2020, the Registrants had no temporary investments.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Money Pool</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 by Registrant as of May 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 Average Interest</w:t>
            </w:r>
          </w:p>
        </w:tc>
        <w:tc>
          <w:tcPr>
            <w:tcW w:w="160" w:type="dxa"/>
            <w:vAlign w:val="bottom"/>
          </w:tcPr>
          <w:p>
            <w:pPr>
              <w:spacing w:after="0"/>
              <w:rPr>
                <w:sz w:val="14"/>
                <w:szCs w:val="14"/>
                <w:color w:val="auto"/>
              </w:rPr>
            </w:pPr>
          </w:p>
        </w:tc>
        <w:tc>
          <w:tcPr>
            <w:tcW w:w="13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w w:val="95"/>
              </w:rPr>
              <w:t>Houston Electric</w:t>
            </w:r>
          </w:p>
        </w:tc>
        <w:tc>
          <w:tcPr>
            <w:tcW w:w="48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pool investments (borrowings)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interest on borrowings under the credit facilities is based on each respective borrower’s credit ratings. As of May 1, 2020, Moody’s, S&amp;P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Fitch had assigned the following credit ratings to the borrowers: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Moody’s</w:t>
            </w:r>
          </w:p>
        </w:tc>
        <w:tc>
          <w:tcPr>
            <w:tcW w:w="82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8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80"/>
        </w:trPr>
        <w:tc>
          <w:tcPr>
            <w:tcW w:w="170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Registrant</w:t>
            </w:r>
          </w:p>
        </w:tc>
        <w:tc>
          <w:tcPr>
            <w:tcW w:w="296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Borrower/Instrument</w:t>
            </w:r>
          </w:p>
        </w:tc>
        <w:tc>
          <w:tcPr>
            <w:tcW w:w="7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700" w:type="dxa"/>
            <w:vAlign w:val="bottom"/>
            <w:gridSpan w:val="2"/>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740" w:type="dxa"/>
            <w:vAlign w:val="bottom"/>
          </w:tcPr>
          <w:p>
            <w:pPr>
              <w:jc w:val="center"/>
              <w:ind w:left="173"/>
              <w:spacing w:after="0"/>
              <w:rPr>
                <w:sz w:val="20"/>
                <w:szCs w:val="20"/>
                <w:color w:val="auto"/>
              </w:rPr>
            </w:pPr>
            <w:r>
              <w:rPr>
                <w:rFonts w:ascii="Arial" w:cs="Arial" w:eastAsia="Arial" w:hAnsi="Arial"/>
                <w:sz w:val="13"/>
                <w:szCs w:val="13"/>
                <w:b w:val="1"/>
                <w:bCs w:val="1"/>
                <w:color w:val="auto"/>
                <w:w w:val="88"/>
              </w:rPr>
              <w:t>Rating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Outlook (1)</w:t>
            </w:r>
          </w:p>
        </w:tc>
        <w:tc>
          <w:tcPr>
            <w:tcW w:w="820" w:type="dxa"/>
            <w:vAlign w:val="bottom"/>
          </w:tcPr>
          <w:p>
            <w:pPr>
              <w:jc w:val="center"/>
              <w:ind w:left="93"/>
              <w:spacing w:after="0"/>
              <w:rPr>
                <w:sz w:val="20"/>
                <w:szCs w:val="20"/>
                <w:color w:val="auto"/>
              </w:rPr>
            </w:pPr>
            <w:r>
              <w:rPr>
                <w:rFonts w:ascii="Arial" w:cs="Arial" w:eastAsia="Arial" w:hAnsi="Arial"/>
                <w:sz w:val="13"/>
                <w:szCs w:val="13"/>
                <w:b w:val="1"/>
                <w:bCs w:val="1"/>
                <w:color w:val="auto"/>
                <w:w w:val="88"/>
              </w:rPr>
              <w:t>Rating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Outlook (2)</w:t>
            </w:r>
          </w:p>
        </w:tc>
        <w:tc>
          <w:tcPr>
            <w:tcW w:w="800" w:type="dxa"/>
            <w:vAlign w:val="bottom"/>
          </w:tcPr>
          <w:p>
            <w:pPr>
              <w:jc w:val="center"/>
              <w:ind w:left="113"/>
              <w:spacing w:after="0"/>
              <w:rPr>
                <w:sz w:val="20"/>
                <w:szCs w:val="20"/>
                <w:color w:val="auto"/>
              </w:rPr>
            </w:pPr>
            <w:r>
              <w:rPr>
                <w:rFonts w:ascii="Arial" w:cs="Arial" w:eastAsia="Arial" w:hAnsi="Arial"/>
                <w:sz w:val="13"/>
                <w:szCs w:val="13"/>
                <w:b w:val="1"/>
                <w:bCs w:val="1"/>
                <w:color w:val="auto"/>
                <w:w w:val="88"/>
              </w:rPr>
              <w:t>Rating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0"/>
              </w:rPr>
              <w:t>Outlook (3)</w:t>
            </w:r>
          </w:p>
        </w:tc>
        <w:tc>
          <w:tcPr>
            <w:tcW w:w="0" w:type="dxa"/>
            <w:vAlign w:val="bottom"/>
          </w:tcPr>
          <w:p>
            <w:pPr>
              <w:spacing w:after="0"/>
              <w:rPr>
                <w:sz w:val="1"/>
                <w:szCs w:val="1"/>
                <w:color w:val="auto"/>
              </w:rPr>
            </w:pPr>
          </w:p>
        </w:tc>
      </w:tr>
      <w:tr>
        <w:trPr>
          <w:trHeight w:val="97"/>
        </w:trPr>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CenterPoint Energy Senior Unsecured</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740" w:type="dxa"/>
            <w:vAlign w:val="bottom"/>
            <w:tcBorders>
              <w:bottom w:val="single" w:sz="8" w:color="CCEEFF"/>
            </w:tcBorders>
            <w:shd w:val="clear" w:color="auto" w:fill="CCEEFF"/>
          </w:tcPr>
          <w:p>
            <w:pPr>
              <w:jc w:val="center"/>
              <w:ind w:left="173"/>
              <w:spacing w:after="0"/>
              <w:rPr>
                <w:sz w:val="20"/>
                <w:szCs w:val="20"/>
                <w:color w:val="auto"/>
              </w:rPr>
            </w:pPr>
            <w:r>
              <w:rPr>
                <w:rFonts w:ascii="Arial" w:cs="Arial" w:eastAsia="Arial" w:hAnsi="Arial"/>
                <w:sz w:val="18"/>
                <w:szCs w:val="18"/>
                <w:color w:val="auto"/>
                <w:w w:val="85"/>
              </w:rPr>
              <w:t>Baa2</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Negative</w:t>
            </w:r>
          </w:p>
        </w:tc>
        <w:tc>
          <w:tcPr>
            <w:tcW w:w="82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BBB</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Borders>
              <w:bottom w:val="single" w:sz="8" w:color="CCEEFF"/>
            </w:tcBorders>
            <w:shd w:val="clear" w:color="auto" w:fill="CCEEFF"/>
          </w:tcPr>
          <w:p>
            <w:pPr>
              <w:jc w:val="center"/>
              <w:ind w:left="113"/>
              <w:spacing w:after="0"/>
              <w:rPr>
                <w:sz w:val="20"/>
                <w:szCs w:val="20"/>
                <w:color w:val="auto"/>
              </w:rPr>
            </w:pPr>
            <w:r>
              <w:rPr>
                <w:rFonts w:ascii="Arial" w:cs="Arial" w:eastAsia="Arial" w:hAnsi="Arial"/>
                <w:sz w:val="18"/>
                <w:szCs w:val="18"/>
                <w:color w:val="auto"/>
                <w:w w:val="99"/>
              </w:rPr>
              <w:t>BBB</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Vectren Corp. Issuer Rating</w:t>
            </w:r>
          </w:p>
        </w:tc>
        <w:tc>
          <w:tcPr>
            <w:tcW w:w="740" w:type="dxa"/>
            <w:vAlign w:val="bottom"/>
          </w:tcPr>
          <w:p>
            <w:pPr>
              <w:jc w:val="center"/>
              <w:ind w:left="153"/>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VUHI Senior Unsecured Debt</w:t>
            </w:r>
          </w:p>
        </w:tc>
        <w:tc>
          <w:tcPr>
            <w:tcW w:w="740" w:type="dxa"/>
            <w:vAlign w:val="bottom"/>
            <w:tcBorders>
              <w:bottom w:val="single" w:sz="8" w:color="CCEEFF"/>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A3</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2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Indiana Gas Senior Unsecured Debt</w:t>
            </w:r>
          </w:p>
        </w:tc>
        <w:tc>
          <w:tcPr>
            <w:tcW w:w="740" w:type="dxa"/>
            <w:vAlign w:val="bottom"/>
          </w:tcPr>
          <w:p>
            <w:pPr>
              <w:jc w:val="center"/>
              <w:ind w:left="153"/>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SIGECO Senior Secured Debt</w:t>
            </w:r>
          </w:p>
        </w:tc>
        <w:tc>
          <w:tcPr>
            <w:tcW w:w="740" w:type="dxa"/>
            <w:vAlign w:val="bottom"/>
            <w:tcBorders>
              <w:bottom w:val="single" w:sz="8" w:color="CCEEFF"/>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A1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2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A</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Houston Electric</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w w:val="95"/>
              </w:rPr>
              <w:t>Houston Electric Senior Secured Debt</w:t>
            </w:r>
          </w:p>
        </w:tc>
        <w:tc>
          <w:tcPr>
            <w:tcW w:w="740" w:type="dxa"/>
            <w:vAlign w:val="bottom"/>
          </w:tcPr>
          <w:p>
            <w:pPr>
              <w:jc w:val="center"/>
              <w:ind w:left="153"/>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820" w:type="dxa"/>
            <w:vAlign w:val="bottom"/>
          </w:tcPr>
          <w:p>
            <w:pPr>
              <w:jc w:val="center"/>
              <w:ind w:left="93"/>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CERC</w:t>
            </w:r>
          </w:p>
        </w:tc>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CERC Corp. Senior Unsecured Debt</w:t>
            </w: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85"/>
              </w:rPr>
              <w:t>Baa1</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Positive</w:t>
            </w:r>
          </w:p>
        </w:tc>
        <w:tc>
          <w:tcPr>
            <w:tcW w:w="82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March 31, 2020, the impact on the borrowing costs under the five revolving credit facilities would have been immaterial.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Distribution reportable segments.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Energy Services Disposal Group provides natural gas sales and services primarily to commercial and industrial customers and electric and natural gas utilities throughout the United States. To economically hedge its exposure to natural gas prices, the Energy Services Disposal Group uses derivatives with provisions standard for the industry, including those pertaining to credit thresholds. Typically, the credit threshold negotiated with each counterparty defines the amount of unsecured credit that such counterparty will extend to the Energy Services Disposal Group. To the extent that the credit exposure that a counterparty has to the Energy Services Disposal Group at a particular time does not exceed that credit threshold, the Energy Services Disposal Group is not obligated to provide collateral. Mark-to-market exposure in excess of the credit threshold is routinely collateralized by the Energy Services Disposal Group. Similarly, mark-to-market exposure offsetting and exceeding the credit threshold may cause the counterparty to provide collateral to the Energy Services Disposal Group. As of March 31, 2020, the amount posted by the Energy Services Disposal Group as collateral aggregated approximately $72 million. Should the credit ratings of CERC Corp. (as the credit support provider for the Energy Services Disposal Group) fall below certain levels, the Energy Services Disposal Group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would be required to provide additional collateral up to the amount of its previously unsecured credit limit. CenterPoint Energy and CERC estimate that as of March 31, 2020, unsecured credit limits extended to the Energy Services Disposal Group by counterparties aggregated $452 million, and none of such amount was utilized.</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$193 million as of March 31, 2020. The amount of collateral will depend on seasonal variations in transportation levels.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continues to increase by the amount of the tax benefit realized each year, and there could be a significant cash outflow when the taxes are paid as a result of the retirement or exchange of the ZENS. If all ZENS had been exchanged for cash on March 31, 2020, deferred taxes of approximately $470 million would have been payable in 2020. If all the ZENS-Related Securities had been sold on March 31, 2020, capital gains taxes of approximately $119 million would have been payable in 2020 based on 2020 tax rates in effect. For additional information about ZENS, see Note 11 to the Interim Condensed Financial Statements.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 Defaults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each of CenterPoint Energy’s, Houston Electric’s and CERC’s respective revolving credit facilities, as well as under CenterPoint Energy’s term loan agreement,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each of VUHI’s and VCC’s respective revolving credit facilities and term loan agreements, a payment default on, or a non-payment default that permits acceleration of, any indebtedness for borrowed money and certain other specified types of obligations (including guarantees) exceeding $50 million by the borrower, any of their respective subsidiaries or any of the respective guarantors of a credit facility or term loan agreement will cause a default under such borrower’s respective credit facility or term loan agreement.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CenterPoint Energy previously disclosed that it may reduce its ownership in Enable over time through sales in the public equity markets, or otherwise, of the Enable common units it holds, subject to market conditions. CenterPoint Energy has no intention to reduce its ownership of Enable common units and currently plans to hold such Enable common units and to utilize any cash distributions received on such Enable common units to finance a portion of CenterPoint Energy’s capital expenditure program. CenterPoint Energy may consider or alter its plans or proposals in respect of any such plans in the future.</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3, 2020, CenterPoint Energy, through its subsidiary VUSI, entered into the Securities Purchase Agreement to sell the Infrastructure Services Disposal Group. The transaction closed on April 9,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Additionally, on February 24, 2020, CenterPoint Energy, through its subsidiary CERC Corp., entered into the Equity Purchase Agreement to sell the Energy Services Disposal Group. The transaction is expected to close in the second quarter of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to the Interim Condensed Financial Statements for further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Midstream Partners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receives quarterly cash distributions from Enable on its common units and Enable Series A Preferred Units. A reduction in the cash distributions CenterPoint Energy receives from Enable could significantly impact CenterPoint Energy’s liquidity. For additional information about cash distributions from Enable, see Notes 9 and 20 to the Interim Condensed Financial Statements.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CenterPoint Energy and CERC have historically entered into partial weather hedges for certain NGD jurisdictions and electric operations’ Texas service territory to mitigate the impact of fluctuations from normal weather. CenterPoint Energy and CERC remain exposed to some weather risk as a result of the partial hedges. For more information about weather hedges, see Note 7(a) to the Interim Condensed Financial Statements.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REP’s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22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reductions in the cash distributions we receive from Enable;</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cash collateral requirements that could exist in connection with certain contracts, including weather hedging arrangements, and natural gas purchases, natural gas price and natural gas storage activities of CenterPoint Energy’s and CERC’s Natural Gas Distribution reportable segment;</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 and CERC);</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formerly known as TCEH Corp., to satisfy their obligations to CenterPoint Energy and Houston Electric, including the negative impact on such ability related to COVID-19;</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or COVID-19 (CenterPoint Energy and CERC);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r>
        <w:rPr>
          <w:rFonts w:ascii="Arial" w:cs="Arial" w:eastAsia="Arial" w:hAnsi="Arial"/>
          <w:sz w:val="18"/>
          <w:szCs w:val="18"/>
          <w:u w:val="single" w:color="auto"/>
          <w:color w:val="0000EE"/>
        </w:rPr>
        <w:t>Item 1A of Part I of the Registrants’ combined 2019 Form 10-K</w:t>
      </w:r>
      <w:r>
        <w:rPr>
          <w:rFonts w:ascii="Arial" w:cs="Arial" w:eastAsia="Arial" w:hAnsi="Arial"/>
          <w:sz w:val="18"/>
          <w:szCs w:val="18"/>
          <w:color w:val="auto"/>
        </w:rPr>
        <w:t xml:space="preserve"> and in Item 1A of Part II of this Form 10-Q.</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 has contractually agreed that it will not issue additional first mortgage bonds, subject to certain exceptions. For information about the total debt to capitalization financial covenants in the Registrants’ and certain of CenterPoint Energy’s subsidiaries’ revolving credit facilities, see Note 12 to the Interim Condensed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Impairment of Long-Lived Assets, Including Identifiable Intangibles, Goodwill, Equity Method Investments, and Investments without a Readily Determinable Fair Value</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Registrants review the carrying value of long-lived assets, including identifiable intangibles, goodwill, equity method investments, and investments without a readily determinable fair value whenever events or changes in circumstances indicate that such carrying values may 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goodwill, equity method investments, and investments without a readily determinable fair value due to changes in observable or estimated market value, future cash flows, interest rate, and regulatory matters could result in an impairment charge.</w:t>
      </w:r>
    </w:p>
    <w:p>
      <w:pPr>
        <w:spacing w:after="0" w:line="17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connection with its preparation of the financial statements for the three months ended March 31, 2020, CenterPoint Energy and CERC identified triggering events to perform interim goodwill impairment tests for each of their reporting units due to the macroeconomic conditions resulting from the COVID-19 pandemic and the related decline in CenterPoint Energy’s common stock price. CenterPoint Energy recognized goodwill impairment losses, discussed below, during the three months March 31, 2020, and CERC recorded no impairments to goodwill within continuing operations during the three months ended March 31, 2020. The long-lived assets within the reporting units were determined to be recoverable as of March 31, 2020.</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the amount at which an asset, liability or business could be bought or sold in a current transaction between willing parties and may be estimated using a number of techniques, including quoted market prices or valuations by third parties, present value techniques based on estimates of cash flows, or multiples of earnings or revenue performance measures. The fair value could be different using different estimates and assumptions in these valuation techniques.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measurements require significant judgment and unobservable inputs, including (i) projected timing and amount of future cash flows, which factor in planned growth initiatives, (ii) the regulatory environment, as applicable, and (iii) discount rates reflecting risk inherent in the current and future market prices. Determining the discount rates requires the estimation of the appropriate company specific risk premiums for those businesses based on evaluation of industry and entity-specific risks,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includes expectations about future market or economic conditions and reflects the risk demonstrated by market participants through the value of CenterPoint Energy’s common stock price as of the impairment test date. Changes in these assumptions could have a significant impact on results of the impairment tests. CenterPoint Energy and CERC utilized a third-party valuation specialist to determine the key assumptions used in the estimate of fair value for each of their respective reporting units on the date of their annual goodwill impairment test and for CenterPoint Energy the fair value of each of its reporting units are reconciled to its market capitalization based on the price of CenterPoint Energy’s common stock.</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Interim goodwill impairment test, excluding assets held for sale</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CenterPoint Energy and CERC performed an interim goodwill impairment test as of March 31, 2020. The fair value of each reporting unit was derived using an income approach or a weighted combination of income and market approaches. Based on the results of the test, CenterPoint Energy recorded a goodwill impairment loss of $185 million at its Indiana Electric Integrated reporting unit. CERC recorded no goodwill impairment charge in its continuing operations for the three months ended March 31, 2020.</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values of each reporting unit exceeded the carrying value of the reporting unit, with the exception of CenterPoint Energy’s Indiana Electric Integrated reporting unit. As of March 31, 2020, subsequent to the impairment loss recorded by CenterPoint Energy in the three months ended March 31, 2020, Indiana Electric Integrated reporting unit’s fair value approximated its carrying value, and the reporting unit had total goodwill of $936 million. The reporting unit is comprised entirely of businesses acquired in the Merger on February 1, 2019, when the carrying value of the acquired assets and liabilities were adjusted to fair value and as a result presented the greatest risk for impairment. The primary driver for the decline in fair value as of the March 31, 2020 interim goodwill impairment test date is an increase in discounts rates, or the weighted average cost of capital of market participants, on the rate regulated reporting units due in part to the decline in current macroeconomic conditions from July 1, 2019, the previous annual testing date, to March 31, 2020.</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interim goodwill impairment test could be triggered and goodwill impairments recorded in future periods by CenterPoint Energy or CERC’s reporting units due to any of the following: CenterPoint Energy’s market capitalization falling below book value, adverse macroeconomic environment, turnover in key personnel, events affecting a reporting unit such as a contemplated disposal of all or part of a reporting unit, actual earnings results that are materially lower than expected, significant adverse changes in the operating or regulatory environment, or changes in discount rates or other key assumptions that require judgment and are forward looking in nature.</w:t>
      </w:r>
    </w:p>
    <w:p>
      <w:pPr>
        <w:spacing w:after="0" w:line="188" w:lineRule="exact"/>
        <w:rPr>
          <w:sz w:val="20"/>
          <w:szCs w:val="20"/>
          <w:color w:val="auto"/>
        </w:rPr>
      </w:pPr>
    </w:p>
    <w:p>
      <w:pPr>
        <w:jc w:val="center"/>
        <w:ind w:right="4500"/>
        <w:spacing w:after="0"/>
        <w:rPr>
          <w:sz w:val="20"/>
          <w:szCs w:val="20"/>
          <w:color w:val="auto"/>
        </w:rPr>
      </w:pPr>
      <w:r>
        <w:rPr>
          <w:rFonts w:ascii="Arial" w:cs="Arial" w:eastAsia="Arial" w:hAnsi="Arial"/>
          <w:sz w:val="18"/>
          <w:szCs w:val="18"/>
          <w:color w:val="auto"/>
        </w:rPr>
        <w:t>For further information, see Note 10 to the Interim Condensed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held for sale and discontinued operations, Infrastructure Services Disposal Group</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 A disposal group that meets the held for sale criteria and also represents a strategic shift to the Registrant is also reflected as discontinued operations on the Statements of Consolidated Income, and prior periods are recast to reflect the earnings or losses from such businesses as income from discontinued operations, net of tax.</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3, 2020, CenterPoint Energy, through its subsidiary VUSI, entered into the Securities Purchase Agreement to sell the Infrastructure Services Disposal Group. The transaction closed on April 9, 2020.</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February 2020, certain assets and liabilities representing the Infrastructure Services Disposal Group met the held for sale criteria and represented all of the businesses within the reporting unit. In accordance with the Securities Purchase Agreement, VISCO was converted from a wholly-owned corporation to a limited liability company that is disregarded for federal income tax purposes immediately prior to the closing of the transaction resulting in the sale of membership units at closing. The sale was considered an asset sale for tax purposes, requiring the net deferred tax liabilities of approximately $125 million as of March 31, 2020 to be excluded from the disposal group and were recognized as a deferred income tax benefit by CenterPoint Energy upon closing.</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classifying the Infrastructure Services Disposal Group as held for sale and in connection with the preparation of the Registrants’ financial statements for the three months ended March 31, 2020, CenterPoint Energy recorded a goodwill impairment of approximately $82 million, plus an additional loss of $14 million for transaction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Infrastructure Services Disposal Group met the held for sale criteria and also represents a strategic shift to CenterPoint Energy, it is reflected as discontinued operations on CenterPoint Energy’s Statements of Consolidated Income, and as a result, prior periods have been recast to reflect the earnings or losses from such businesses as income from discontinued operations, net of tax.</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held for sale and discontinued operations, Energy Services Disposal Group</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February 24, 2020, CenterPoint Energy, through its subsidiary CERC Corp., entered into the Equity Purchase Agreement to sell the Energy Services Disposal Group. This transaction does not include CEIP and its assets. The transaction is expected to close in the second quarter of 2020.</w:t>
      </w:r>
    </w:p>
    <w:p>
      <w:pPr>
        <w:spacing w:after="0" w:line="1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2020, certain assets and liabilities representing the Energy Services Disposal Group met the criteria to be classified as held for sale and represented substantially all of the businesses within the reporting unit. In accordance with the Equity Purchase Agreement, CES will be converted from a wholly-owned corporation to a limited liability company that is disregarded for federal income tax purposes immediately prior to the closing of the transaction resulting in the sale of membership units at closing. The sale will be considered an asset sale for tax purposes, requiring the net deferred tax assets of approximately $3 million as of March 31, 2020 to be included within the retained component of the reporting unit and will be recognized as a deferred tax expense by CenterPoint Energy upon closing.</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Upon classifying the Energy Services Disposal Group as held for sale and in connection with the preparation of the Registrants’ financial statements for the three months ended March 31, 2020, CenterPoint Energy recorded a goodwill impairment loss of approximately $62 million and a loss on assets held for sale of approximately $70 million, plus an additional loss of $6 million for transaction costs. CenterPoint Energy and CERC disclosed it its 2019 Form 10-K that an anticipated loss on held for sale of $80 million was expected in the three months ended March 31, 2020. The primary driver for the increase in the actual impairment recorded by CenterPoint Energy and CERC in the three months ended March 31, 2020 compared to the amounts previously anticipated is a result of an increase in portions of the derivative assets, net of derivative liabilities, excluded from the working capital adjustment within the Equity Purchase Agreement during the three months ended March 31, 2020. Additional impairments or loss on held for sale may be recorded in future periods due to increases to the carrying value of derivative assets or decreases to derivative liabilities in those periods.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Energy Services Disposal Group met the held for sale criteria and also represents a strategic shift to CenterPoint Energy and CERC, it is reflected as discontinued operations on CenterPoint Energy’s and CERC’s Statements of Consolidated Income, and prior periods have been recast to reflect the earnings or losses from such businesses as income from discontinued operations, net of tax.</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Note 3 to the Interim Condensed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Equity method investments are evaluated for impairment when factors indicate that a decrease in value of an investment has occurred and the carrying amount of the investment may not be recoverable. An impairment loss, based on the excess of the carrying value over the best estimate of fair value of the investment, is recognized in earnings when an impairment is deemed to be other than temporary. Considerable judgment is used in determining if an impairment loss is other than temporary and the amount of any impairment. Based on the severity of the decline in Enable’s common unit price during the three months ended March 31, 2020 due to the macroeconomic conditions related in part to the COVID-19 pandemic, combined with Enable’s announcement on April 1, 2020 to reduce its quarterly distributions per common unit by 50%, and the market outlook indicating excess supply and continued depressed crude oil and natural gas prices impacting the midstream oil and gas industry, CenterPoint Energy determined, in connection with its preparation of its financial statements for the three months ended March 31, 2020, that an other than temporary decrease in the value of its investment in Enable had occurred. CenterPoint Energy wrote down the value of its investment in Enable to its estimated fair value of $848 million and recognized an impairment charge of $1,541 million during the three months ended March 31, 2020. Both the income approach and market approach were utilized to estimate the fair value of CenterPoint Energy’s equity investment in Enable, which includes common units, general partner interest, and incentive distribution rights held by CenterPoint Energy through CNP Midstream. The determination of fair value considered a number of relevant factors including Enable’s common unit price and forecasted distributions, recent comparable transactions and the limited float of Enable’s publicly traded common units.</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Key assumptions in the market approach include recent market transactions of comparable companies and EBITDA to total enterprise multiples for comparable companies. Due to volatility of the quoted price of Enable’s units, a volume weighted average price was used under the market approach to best approximate fair value at the measurement date. Key assumptions in the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approach include Enable’s forecasted cash distributions, projected cash flows of incentive distribution rights, forecasted growth rate of Enable’s cash distributions beyond 2020, and the discount rate used to determine the present value of the estimated future cash flows. A weighing of the different approaches was utilized to determine the estimated fair value of our investment in Enable. CenterPoint Energy based its assumptions on projected financial information that it believes is reasonable; however, actual results may differ materially from those projections. It is reasonably possible that the fair value of CenterPoint Energy’s investment in Enable will change in the near term due to the following: actual Enable cash distribution is materially lower than expected, significant adverse changes in Enable’s operating environment, decline in Enable’s common unit price, increase in the discount rate, and changes in other key assumptions which require judgment and/or are forward looking in nature. Further declines in the fair value of Enable could result in additional impairments.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Note 9 to the Interim Condensed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to the Interim Condensed Financial Statements, incorporated herein by reference, for a discussion of new accounting pronouncements that affect the Registrants.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SIGNIFICANT MATTERS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significant uncertainties related to the COVID-19 pandemic and actions taken to mitigate it have had and are expected to continue to have an adverse impact on the economies and financial markets of many countries. While it is unknown how long these conditions will last and what the complete financial effect will be, the plan assets and benefit obligations of our pension and postretirement plans are expected to be negatively impacted when these plans are re-measured, generally, at year-end, resulting in a decline in the funded status. During the three months ended March 31, 2020, the pension plan assets declined by approximately $171 million or 10% from December 31, 2019. A decline in the funded status of our pension plans as of December 31, 2020 could result in an increase in plan expenses and minimum required contributions for the subsequent years from the historical amounts. Currently, we do not expect the event to impact the disclosed 2020 plan expenses or minimum required contributions.</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2020, CenterPoint Energy had outstanding long-term debt, lease obligations and obligations under its ZENS that subject it to the risk of loss associated with movements in market interest rates.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CenterPoint Energy’s floating rate obligations aggregated $4.2 billion and $3.9 billion as of March 31, 2020 and December 31, 2019, respectively. If the floating interest rates were to increase by 10% from March 31, 2020 rates, CenterPoint Energy’s combined interest expense would increase by approximately $9 million annually.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2020 and December 31, 2019, CenterPoint Energy had outstanding fixed-rate debt (excluding indexed debt securities) aggregating $11.2 billion and $11.2 billion, respectively, in principal amount and having a fair value of $12.0 billion and $12.2 billion, respectively. Because these instruments are fixed-rate, they do not expose CenterPoint Energy to the risk of loss in earnings due to changes in market interest rates. However, the fair value of these instruments would increase by approximately $348 million if interest rates were to decline by 10% from levels at March 31, 2020. In general, such an increase in fair value would impact earnings and cash flows only if CenterPoint Energy were to reacquire all or a portion of these instruments in the open market prior to their maturity.</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ZENS obligation is bifurcated into a debt component and a derivative component. The debt component of $18 million as of March 31, 2020 was a fixed-rate obligation and, therefore, did not expose CenterPoint Energy to the risk of loss in earnings due to changes in market interest rates. However, the fair value of the debt component would increase by approximately $2 million if interest rates were to decline by 10% from levels at March 31, 2020. Changes in the fair value of the derivative component, a $758 million recorded liability at March 31, 2020,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March 31, 2020 levels, the fair value of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derivative component liability would decrease by less than $1 million, which would be recorded as an unrealized gain in CenterPoint Energy’s Condensed Statements of Consolidated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condensed consolidated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March 31, 2020 aggregate market value of these shares would result in a net loss of less than $1 million, which would be recorded as an unrealized loss in CenterPoint Energy’s Condensed Statements of Consolidated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March 31, 2020, the recorded fair value of non-trading energy derivative liabilities was $23 million for CenterPoint Energy’s utility natural gas operations in Indiana, which is offset by a regulatory asset.</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CenterPoint Energy uses derivative instruments as economic hedges to offset the commodity price exposure inherent in the Energy Services Disposal Group. The commodity risk created by these instruments, including the offsetting impact on the market value of natural gas inventory, is described below. CenterPoint Energy measures this commodity risk using a sensitivity analysis. For purposes of this analysis, CenterPoint Energy estimates commodity price risk by applying a $0.50 change in the forward NYMEX price to its net open fixed price position (including forward fixed price physical contracts, natural gas inventory and fixed price financial contracts) at the end of each period. As of March 31, 2020, the recorded fair value of CenterPoint Energy’s non-trading energy derivatives was a net asset of $127 million (before collateral), all of which is related to the Energy Services Disposal Group and included in assets and liabilities held for sale. A $0.50 change in the forward NYMEX price would have had a combined impact of $19 million on CenterPoint Energy’s non-trading energy derivatives net asset, included in assets and liabilities held for sale, and the market value of natural gas inventory. For further information, See Note 3 to the Interim Condensed Financial Statements.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Commodity price risk is not limited to changes in forward NYMEX prices. Variation of commodity pricing between the different indices used to mark to market portions of Energy Services Disposal Group’s natural gas inventory, included in assets held for sale, (Gas Daily) and the related fair value hedge (NYMEX) can result in volatility to CenterPoint Energy’s net income. Over time, any gains or losses on the sale of storage gas inventory would be offset by gains or losses on the fair value hedges.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The transaction is expected to close in the second quarter of 2020. For further information, see Note 3 to the Interim Condensed Financial Statements.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March 31, 2020 to provide assurance that information required to be disclosed in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March 31, 2020 that has materially affected, or is reasonably likely to materially affect, the Registrants’ internal controls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 description of certain legal and regulatory proceedings, please read Note 14(d)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r>
        <w:rPr>
          <w:rFonts w:ascii="Arial" w:cs="Arial" w:eastAsia="Arial" w:hAnsi="Arial"/>
          <w:sz w:val="18"/>
          <w:szCs w:val="18"/>
          <w:u w:val="single" w:color="auto"/>
          <w:color w:val="0000EE"/>
        </w:rPr>
        <w:t>Business — Regulation” and “— Environmental</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Matters</w:t>
      </w:r>
      <w:r>
        <w:rPr>
          <w:rFonts w:ascii="Arial" w:cs="Arial" w:eastAsia="Arial" w:hAnsi="Arial"/>
          <w:sz w:val="18"/>
          <w:szCs w:val="18"/>
          <w:color w:val="000000"/>
        </w:rPr>
        <w:t>” in Item 1 and “</w:t>
      </w:r>
      <w:r>
        <w:rPr>
          <w:rFonts w:ascii="Arial" w:cs="Arial" w:eastAsia="Arial" w:hAnsi="Arial"/>
          <w:sz w:val="18"/>
          <w:szCs w:val="18"/>
          <w:u w:val="single" w:color="auto"/>
          <w:color w:val="0000EE"/>
        </w:rPr>
        <w:t>Legal Proceedings</w:t>
      </w:r>
      <w:r>
        <w:rPr>
          <w:rFonts w:ascii="Arial" w:cs="Arial" w:eastAsia="Arial" w:hAnsi="Arial"/>
          <w:sz w:val="18"/>
          <w:szCs w:val="18"/>
          <w:color w:val="000000"/>
        </w:rPr>
        <w:t>” in Item 3 of the Registrants’ combined 2019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Please see below the new risk factors affecting the Registrants’ businesses and CenterPoint Energy’s investment in Enable, in addition to those discussed in “Risk Factors” in Item 1A of Part I of the combined 2019 Form 10-K, which could materially affect the Registrants’ financial condition or future results. Except for the updates below, there have been no material changes from the risk factors disclosed in the combined 2019 Form 10-K.</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212529"/>
        </w:rPr>
        <w:t>We face risks related to COVID-19 and other health epidemics and outbreaks, including economic, regulatory, legal, workforce and cyber security risks, which could adversely impact our financial condition, results of operations, cash flows and liquidity.</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recent outbreak of COVID-19 is a rapidly evolving situation that is adversely affecting current global economic activities and conditions. An extended slowdown of economic growth, decreased demand for commodities and/or material changes in governmental or regulatory policy in the United States could result in lower growth and reduced demand for and usage of electricity and natural gas in our service territories as customer facilities continue to close or remain closed. The ability of our customers, contractors and suppliers to meet their obligations to us, including payment obligations, could also be negatively affected under the current economic conditions. Furthermore, to the extent we experience disruptions in our supply chain that limit our ability to obtain materials and equipment necessary for our businesses, whether through delayed order fulfillment, limited production or unavailability due to COVID-19, we may be unable to perform our operations timely or as anticipated, which could result in service or construction delays or increased costs.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our NGD service territories and for Indiana Electric, we have informed customers that disconnections for non-payment and late fees are temporarily suspended, which could increase our bad debt expense. For Houston Electric, we are following PUCT orders regarding disconnection practices related to those customers impacted by COVID-19. These PUCT orders provide for suspended disconnections for certain residential customers as well as for their REPs and utilities to be compensated through a temporary rider charged by utilities, including Houston Electric, applicable to all customers. Additionally, the PUCT orders allow for certain utility costs related to COVID-19 to be placed in a regulatory asset for utilities to seek recovery in the future. As adverse economic conditions continue, REPs could encounter financial difficulties, including bankruptcies, which could impair their ability to pay for Houston Electric’s services or could cause them to delay such payments. Additionally, our state and local regulatory agencies, in response to a federal mandate or otherwise, could impose restrictions on the rates we charge to provide our services, including the inability to implement approved rates, or delay actions with respect to our rate cases and filings. The COVID-19 outbreak may affect our ability to timely satisfy regulatory requirements such as recordkeeping and/or timely reporting requirements. As the EPA and many state environmental agencies have issued enforcement discretion policies for such issues, it is unclear whether the effect of any possible noncompliance due to COVID-19 will be material.</w:t>
      </w:r>
    </w:p>
    <w:p>
      <w:pPr>
        <w:spacing w:after="0" w:line="17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Furthermore, </w:t>
      </w:r>
      <w:r>
        <w:rPr>
          <w:rFonts w:ascii="Arial" w:cs="Arial" w:eastAsia="Arial" w:hAnsi="Arial"/>
          <w:sz w:val="16"/>
          <w:szCs w:val="16"/>
          <w:color w:val="212529"/>
        </w:rPr>
        <w:t>in the event a substantial portion of our workforce were to be impacted by COVID-19 for an extended period of time, we may face</w:t>
      </w:r>
      <w:r>
        <w:rPr>
          <w:rFonts w:ascii="Arial" w:cs="Arial" w:eastAsia="Arial" w:hAnsi="Arial"/>
          <w:sz w:val="16"/>
          <w:szCs w:val="16"/>
          <w:color w:val="auto"/>
        </w:rPr>
        <w:t xml:space="preserve"> </w:t>
      </w:r>
      <w:r>
        <w:rPr>
          <w:rFonts w:ascii="Arial" w:cs="Arial" w:eastAsia="Arial" w:hAnsi="Arial"/>
          <w:sz w:val="16"/>
          <w:szCs w:val="16"/>
          <w:color w:val="212529"/>
        </w:rPr>
        <w:t xml:space="preserve">challenges with respect to our services or operations and we may not be able to execute our capital plan as anticipated. </w:t>
      </w:r>
      <w:r>
        <w:rPr>
          <w:rFonts w:ascii="Arial" w:cs="Arial" w:eastAsia="Arial" w:hAnsi="Arial"/>
          <w:sz w:val="16"/>
          <w:szCs w:val="16"/>
          <w:color w:val="000000"/>
        </w:rPr>
        <w:t>There is considerable uncertainty</w:t>
      </w:r>
      <w:r>
        <w:rPr>
          <w:rFonts w:ascii="Arial" w:cs="Arial" w:eastAsia="Arial" w:hAnsi="Arial"/>
          <w:sz w:val="16"/>
          <w:szCs w:val="16"/>
          <w:color w:val="212529"/>
        </w:rPr>
        <w:t xml:space="preserve"> </w:t>
      </w:r>
      <w:r>
        <w:rPr>
          <w:rFonts w:ascii="Arial" w:cs="Arial" w:eastAsia="Arial" w:hAnsi="Arial"/>
          <w:sz w:val="16"/>
          <w:szCs w:val="16"/>
          <w:color w:val="000000"/>
        </w:rPr>
        <w:t>regarding the extent to which COVID-19 will continue to spread and the extent and duration of governmental and other measures implemented to try to slow the spread of COVID-19, such as large-scale travel bans and restrictions, border closures, quarantines, shelter-in-place orders and business and government shutdowns. Restrictions of this nature have caused, and may continue to cause, us, our suppliers and other business counterparties to experience operational delays, shortages of employees, facility shutdowns or business closures. We have modified certain business and workforce practices (including those related to employee travel, employee work locations, and cancellation of physical participation in certain meetings,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events and conferences) to conform to government restrictions and best practices encouraged by governmental and regulatory authorities. However, the quarantine of personnel or the inability to access our facilities or customer sites could adversely affect our operations. Also, we have a limited number of highly skilled employees for some of our operations. If a large proportion of our employees in those critical positions were to contract COVID-19 at the same time, we would rely upon our business continuity plans in an effort to continue operations at our facilities, but there is no certainty that such measures will be sufficient to mitigate the adverse impact to our operations that could result from shortages of highly skilled employees.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significant uncertainties related to the COVID-19 pandemic and actions taken to slow its spread have had, and are expected to continue to have, an adverse impact on the economies and financial markets of many countries. The plan assets and benefit obligations of our pension and postretirement plans are expected to be impacted negatively when these plans are re-measured, generally, at year-end, resulting in a decline in the funded status. During the three months ended March 31, 2020, the pension plan assets declined by approximately $171 million or 10% from December 31, 2019. A decline in the funded status of our pension plans as of December 31, 2020 could result in an increase in plan expenses and minimum required contributions for the subsequent years from the historical amounts.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12529"/>
        </w:rPr>
        <w:t>A</w:t>
      </w:r>
      <w:r>
        <w:rPr>
          <w:rFonts w:ascii="Arial" w:cs="Arial" w:eastAsia="Arial" w:hAnsi="Arial"/>
          <w:sz w:val="17"/>
          <w:szCs w:val="17"/>
          <w:color w:val="000000"/>
        </w:rPr>
        <w:t>s many of our employees and third-party service providers work remotely in accordance with government mandates, we face heightened cyber</w:t>
      </w:r>
      <w:r>
        <w:rPr>
          <w:rFonts w:ascii="Arial" w:cs="Arial" w:eastAsia="Arial" w:hAnsi="Arial"/>
          <w:sz w:val="17"/>
          <w:szCs w:val="17"/>
          <w:color w:val="212529"/>
        </w:rPr>
        <w:t xml:space="preserve"> </w:t>
      </w:r>
      <w:r>
        <w:rPr>
          <w:rFonts w:ascii="Arial" w:cs="Arial" w:eastAsia="Arial" w:hAnsi="Arial"/>
          <w:sz w:val="17"/>
          <w:szCs w:val="17"/>
          <w:color w:val="000000"/>
        </w:rPr>
        <w:t>security and privacy risks related to unauthorized system access, aggressive social engineering tactics and adversaries attacking the information technology systems, network infrastructure, technology and facilities used to conduct our businesses. We will continue to monitor developments affecting our employees, customers and operations. At this time, however, we cannot predict the extent or duration of the COVID-19 pandemic or its effects on national, state and local economies, including the impact on our ability to access capital markets, our supply chain and our workforce, nor can we estimate the potential adverse impact from COVID-19 on our financial condition, results of operations, cash flows and liquidity.</w:t>
      </w:r>
    </w:p>
    <w:p>
      <w:pPr>
        <w:spacing w:after="0" w:line="178"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b w:val="1"/>
          <w:bCs w:val="1"/>
          <w:i w:val="1"/>
          <w:iCs w:val="1"/>
          <w:color w:val="212529"/>
        </w:rPr>
        <w:t xml:space="preserve">The demand for Enable’s services are impacted by the drilling and production decisions of others and by commodity price volatility, which could adversely affect its financial position, results of operations and its ability to make cash distributions to us. </w:t>
      </w:r>
      <w:r>
        <w:rPr>
          <w:rFonts w:ascii="Arial" w:cs="Arial" w:eastAsia="Arial" w:hAnsi="Arial"/>
          <w:sz w:val="16"/>
          <w:szCs w:val="16"/>
          <w:b w:val="1"/>
          <w:bCs w:val="1"/>
          <w:i w:val="1"/>
          <w:iCs w:val="1"/>
          <w:color w:val="000000"/>
        </w:rPr>
        <w:t>A sustained decline in energy and commodity</w:t>
      </w:r>
      <w:r>
        <w:rPr>
          <w:rFonts w:ascii="Arial" w:cs="Arial" w:eastAsia="Arial" w:hAnsi="Arial"/>
          <w:sz w:val="16"/>
          <w:szCs w:val="16"/>
          <w:b w:val="1"/>
          <w:bCs w:val="1"/>
          <w:i w:val="1"/>
          <w:iCs w:val="1"/>
          <w:color w:val="212529"/>
        </w:rPr>
        <w:t xml:space="preserve"> </w:t>
      </w:r>
      <w:r>
        <w:rPr>
          <w:rFonts w:ascii="Arial" w:cs="Arial" w:eastAsia="Arial" w:hAnsi="Arial"/>
          <w:sz w:val="16"/>
          <w:szCs w:val="16"/>
          <w:b w:val="1"/>
          <w:bCs w:val="1"/>
          <w:i w:val="1"/>
          <w:iCs w:val="1"/>
          <w:color w:val="000000"/>
        </w:rPr>
        <w:t>prices may also contribute to unfavorable economic conditions in certain of our service territories, in particular Houston, Texas.</w:t>
      </w:r>
    </w:p>
    <w:p>
      <w:pPr>
        <w:spacing w:after="0" w:line="14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COVID-19 pandemic has adversely affected Enable’s businesses by (i) reducing the demand for natural gas, NGLs and crude oil due to reduced global and national economic activity, leading to significantly lower prices for natural gas, NGLs and crude oil; (ii) impairing the supply chain of certain of its customers for which it provides gathering and processing services, both of which could lead to further reduction of the utilization of its systems; and (iii) reducing producer activity across its footprint which is expected to result in reduced utilization of its services. In addition, concerns about global economic growth, as well as uncertainty regarding the timing, pace and extent of an economic recovery in the United States and abroad, have had a significant adverse impact on global financial markets and commodity prices. The price of, and demand for, natural gas, NGLs and crude oil declined significantly in response to the ongoing spread and economic effects of COVID-19, including significant governmental measures being implemented to control the spread of COVID-19, including quarantines, travel restrictions and business shutdowns and efforts made by oil-producing countries to reduce production of crude oil in response to declining global demand. For example, a coalition of 23 nations led by Saudi Arabia and Russia agreed to reduce production of crude oil by 9.7 million barrels per day in May and June; however, NGL and crude oil prices have remained depressed. These events, combined with the continuing COVID-19 pandemic and uncertainty regarding the length of time it will take for the United States and the rest of the world to slow the spread of COVID-19 to the point where applicable authorities are comfortable easing current restrictions on various commercial and economic activities, contributed to a sharp drop in prices for crude oil in the first quarter of 2020 and negative crude oil prices in the second quarter of 2020. On March 31, 2020, Enable’s common unit price closed at $2.57 per common unit. In response to these industry conditions, on April 1, 2020, Enable announced a reduction in its quarterly distributions per common unit from $0.3305 distributed for the fourth quarter 2019 to $0.16525, representing a 50% reduction. This reduction is expected to result in one or more quarterly distributions to us that fall below our previously disclosed expected minimum quarterly distribution from Enable of $0.2875 per common unit. This reduction in Enable’s quarterly distributions per common unit is expected to reduce its common unit distributions to us by approximately $155 million per year. Enable currently cannot predict the duration or magnitude of the effects of COVID-19 on the supply and demand for, and the price of, natural gas, NGLs and crude oil or the exploration, development and production activity of the producers across its areas of operation. Sustained low commodity prices and reductions in exploration or production activities could continue to adversely affect the value of our interests in Enable and Enable’s financial position, results of operations and ability to make cash distributions to us.</w:t>
      </w:r>
    </w:p>
    <w:p>
      <w:pPr>
        <w:spacing w:after="0" w:line="1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the significant decline in energy and commodity prices described above, if sustained, could cause, the rate of economic, employment and/or population growth in certain of our service territories to decline. In particular, Houston, Texas has a higher percentage of employment tied to the energy sector relative to other regions of the country. A reduction in the rate of economic, employment and/or population growth could result in lower growth and reduced demand for and usage of electricity and natural gas in such service territories. As such, sustained low energy and commodity prices could have an adverse impact on our financial condition, results of operations, cash flows and liquidity.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Item 601(b)(4)(iii)(A) of Regulation S-K, the Registrants have not filed as exhibits to this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40"/>
          </w:cols>
          <w:pgMar w:left="320" w:top="125" w:right="339" w:bottom="1440" w:gutter="0" w:footer="0" w:header="0"/>
        </w:sect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366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3" w:lineRule="exact"/>
        <w:rPr>
          <w:sz w:val="20"/>
          <w:szCs w:val="20"/>
          <w:color w:val="auto"/>
        </w:rPr>
      </w:pPr>
    </w:p>
    <w:p>
      <w:pPr>
        <w:ind w:left="840" w:right="8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2.1*</w:t>
      </w:r>
      <w:r>
        <w:rPr>
          <w:sz w:val="20"/>
          <w:szCs w:val="20"/>
          <w:color w:val="auto"/>
        </w:rPr>
        <w:tab/>
      </w:r>
      <w:hyperlink r:id="rId23">
        <w:r>
          <w:rPr>
            <w:rFonts w:ascii="Arial" w:cs="Arial" w:eastAsia="Arial" w:hAnsi="Arial"/>
            <w:sz w:val="14"/>
            <w:szCs w:val="14"/>
            <w:u w:val="single" w:color="auto"/>
            <w:color w:val="0000FF"/>
          </w:rPr>
          <w:t>Agreement and Plan of Merger, dated as of</w:t>
        </w:r>
      </w:hyperlink>
      <w:r>
        <w:rPr>
          <w:rFonts w:ascii="Arial" w:cs="Arial" w:eastAsia="Arial" w:hAnsi="Arial"/>
          <w:sz w:val="14"/>
          <w:szCs w:val="14"/>
          <w:u w:val="single" w:color="auto"/>
          <w:color w:val="0000FF"/>
        </w:rPr>
        <w:t xml:space="preserve"> </w:t>
      </w:r>
      <w:hyperlink r:id="rId23">
        <w:r>
          <w:rPr>
            <w:rFonts w:ascii="Arial" w:cs="Arial" w:eastAsia="Arial" w:hAnsi="Arial"/>
            <w:sz w:val="14"/>
            <w:szCs w:val="14"/>
            <w:u w:val="single" w:color="auto"/>
            <w:color w:val="0000FF"/>
          </w:rPr>
          <w:t>April 21, 2018, by and among Vectren</w:t>
        </w:r>
      </w:hyperlink>
      <w:r>
        <w:rPr>
          <w:rFonts w:ascii="Arial" w:cs="Arial" w:eastAsia="Arial" w:hAnsi="Arial"/>
          <w:sz w:val="14"/>
          <w:szCs w:val="14"/>
          <w:u w:val="single" w:color="auto"/>
          <w:color w:val="0000FF"/>
        </w:rPr>
        <w:t xml:space="preserve"> </w:t>
      </w:r>
      <w:hyperlink r:id="rId23">
        <w:r>
          <w:rPr>
            <w:rFonts w:ascii="Arial" w:cs="Arial" w:eastAsia="Arial" w:hAnsi="Arial"/>
            <w:sz w:val="14"/>
            <w:szCs w:val="14"/>
            <w:u w:val="single" w:color="auto"/>
            <w:color w:val="0000FF"/>
          </w:rPr>
          <w:t>Corporation, CenterPoint Energy, Inc. and Pacer</w:t>
        </w:r>
      </w:hyperlink>
      <w:r>
        <w:rPr>
          <w:rFonts w:ascii="Arial" w:cs="Arial" w:eastAsia="Arial" w:hAnsi="Arial"/>
          <w:sz w:val="14"/>
          <w:szCs w:val="14"/>
          <w:u w:val="single" w:color="auto"/>
          <w:color w:val="0000FF"/>
        </w:rPr>
        <w:t xml:space="preserve"> </w:t>
      </w:r>
      <w:hyperlink r:id="rId23">
        <w:r>
          <w:rPr>
            <w:rFonts w:ascii="Arial" w:cs="Arial" w:eastAsia="Arial" w:hAnsi="Arial"/>
            <w:sz w:val="14"/>
            <w:szCs w:val="14"/>
            <w:u w:val="single" w:color="auto"/>
            <w:color w:val="0000FF"/>
          </w:rPr>
          <w:t>Merger Sub, Inc.</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510540</wp:posOffset>
            </wp:positionH>
            <wp:positionV relativeFrom="paragraph">
              <wp:posOffset>9525</wp:posOffset>
            </wp:positionV>
            <wp:extent cx="18599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3" w:lineRule="exact"/>
        <w:rPr>
          <w:rFonts w:ascii="Arial" w:cs="Arial" w:eastAsia="Arial" w:hAnsi="Arial"/>
          <w:sz w:val="14"/>
          <w:szCs w:val="14"/>
          <w:u w:val="single" w:color="auto"/>
          <w:color w:val="0000FF"/>
        </w:rPr>
      </w:pPr>
    </w:p>
    <w:p>
      <w:pPr>
        <w:ind w:left="840" w:right="100" w:hanging="611"/>
        <w:spacing w:after="0" w:line="229"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2.2*</w:t>
      </w:r>
      <w:r>
        <w:rPr>
          <w:sz w:val="20"/>
          <w:szCs w:val="20"/>
          <w:color w:val="auto"/>
        </w:rPr>
        <w:tab/>
      </w:r>
      <w:hyperlink r:id="rId25">
        <w:r>
          <w:rPr>
            <w:rFonts w:ascii="Arial" w:cs="Arial" w:eastAsia="Arial" w:hAnsi="Arial"/>
            <w:sz w:val="14"/>
            <w:szCs w:val="14"/>
            <w:u w:val="single" w:color="auto"/>
            <w:color w:val="0000FF"/>
          </w:rPr>
          <w:t>Securities Purchase Agreement, dated as of</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February 3, 2020, by and among Vectren Utility</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Services, Inc., PowerTeam Services, LLC and,</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solely for purposes of Section 10.17 of the</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Securities Purchase Agreement, Vectren</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Corporation</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510540</wp:posOffset>
            </wp:positionH>
            <wp:positionV relativeFrom="paragraph">
              <wp:posOffset>18415</wp:posOffset>
            </wp:positionV>
            <wp:extent cx="18599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 w:lineRule="exact"/>
        <w:rPr>
          <w:rFonts w:ascii="Arial" w:cs="Arial" w:eastAsia="Arial" w:hAnsi="Arial"/>
          <w:sz w:val="14"/>
          <w:szCs w:val="14"/>
          <w:u w:val="single" w:color="auto"/>
          <w:color w:val="0000FF"/>
        </w:rPr>
      </w:pPr>
    </w:p>
    <w:p>
      <w:pPr>
        <w:ind w:left="840" w:hanging="611"/>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2.3*</w:t>
      </w:r>
      <w:r>
        <w:rPr>
          <w:sz w:val="20"/>
          <w:szCs w:val="20"/>
          <w:color w:val="auto"/>
        </w:rPr>
        <w:tab/>
      </w:r>
      <w:hyperlink r:id="rId27">
        <w:r>
          <w:rPr>
            <w:rFonts w:ascii="Arial" w:cs="Arial" w:eastAsia="Arial" w:hAnsi="Arial"/>
            <w:sz w:val="13"/>
            <w:szCs w:val="13"/>
            <w:u w:val="single" w:color="auto"/>
            <w:color w:val="0000FF"/>
          </w:rPr>
          <w:t>Equity Purchase Agreement, dated as of February</w:t>
        </w:r>
      </w:hyperlink>
      <w:r>
        <w:rPr>
          <w:rFonts w:ascii="Arial" w:cs="Arial" w:eastAsia="Arial" w:hAnsi="Arial"/>
          <w:sz w:val="13"/>
          <w:szCs w:val="13"/>
          <w:u w:val="single" w:color="auto"/>
          <w:color w:val="0000FF"/>
        </w:rPr>
        <w:t xml:space="preserve"> </w:t>
      </w:r>
      <w:hyperlink r:id="rId27">
        <w:r>
          <w:rPr>
            <w:rFonts w:ascii="Arial" w:cs="Arial" w:eastAsia="Arial" w:hAnsi="Arial"/>
            <w:sz w:val="13"/>
            <w:szCs w:val="13"/>
            <w:u w:val="single" w:color="auto"/>
            <w:color w:val="0000FF"/>
          </w:rPr>
          <w:t>24, 2020, by and between CERC Corp. and</w:t>
        </w:r>
      </w:hyperlink>
      <w:r>
        <w:rPr>
          <w:rFonts w:ascii="Arial" w:cs="Arial" w:eastAsia="Arial" w:hAnsi="Arial"/>
          <w:sz w:val="13"/>
          <w:szCs w:val="13"/>
          <w:u w:val="single" w:color="auto"/>
          <w:color w:val="0000FF"/>
        </w:rPr>
        <w:t xml:space="preserve"> </w:t>
      </w:r>
      <w:hyperlink r:id="rId27">
        <w:r>
          <w:rPr>
            <w:rFonts w:ascii="Arial" w:cs="Arial" w:eastAsia="Arial" w:hAnsi="Arial"/>
            <w:sz w:val="13"/>
            <w:szCs w:val="13"/>
            <w:u w:val="single" w:color="auto"/>
            <w:color w:val="0000FF"/>
          </w:rPr>
          <w:t>Athena Energy Services Buyer, LLC</w:t>
        </w:r>
      </w:hyperlink>
    </w:p>
    <w:p>
      <w:pPr>
        <w:spacing w:after="0" w:line="20" w:lineRule="exact"/>
        <w:rPr>
          <w:rFonts w:ascii="Arial" w:cs="Arial" w:eastAsia="Arial" w:hAnsi="Arial"/>
          <w:sz w:val="13"/>
          <w:szCs w:val="13"/>
          <w:u w:val="single" w:color="auto"/>
          <w:color w:val="0000FF"/>
        </w:rPr>
      </w:pPr>
    </w:p>
    <w:p>
      <w:pPr>
        <w:ind w:left="840" w:right="2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28">
        <w:r>
          <w:rPr>
            <w:rFonts w:ascii="Arial" w:cs="Arial" w:eastAsia="Arial" w:hAnsi="Arial"/>
            <w:sz w:val="14"/>
            <w:szCs w:val="14"/>
            <w:u w:val="single" w:color="auto"/>
            <w:color w:val="0000FF"/>
          </w:rPr>
          <w:t>Restated Articles of Incorporation of CenterPoint</w:t>
        </w:r>
      </w:hyperlink>
      <w:r>
        <w:rPr>
          <w:rFonts w:ascii="Arial" w:cs="Arial" w:eastAsia="Arial" w:hAnsi="Arial"/>
          <w:sz w:val="14"/>
          <w:szCs w:val="14"/>
          <w:u w:val="single" w:color="auto"/>
          <w:color w:val="0000FF"/>
        </w:rPr>
        <w:t xml:space="preserve"> </w:t>
      </w:r>
      <w:hyperlink r:id="rId28">
        <w:r>
          <w:rPr>
            <w:rFonts w:ascii="Arial" w:cs="Arial" w:eastAsia="Arial" w:hAnsi="Arial"/>
            <w:sz w:val="14"/>
            <w:szCs w:val="14"/>
            <w:u w:val="single" w:color="auto"/>
            <w:color w:val="0000FF"/>
          </w:rPr>
          <w:t>Energy</w:t>
        </w:r>
      </w:hyperlink>
    </w:p>
    <w:p>
      <w:pPr>
        <w:spacing w:after="0" w:line="12" w:lineRule="exact"/>
        <w:rPr>
          <w:sz w:val="20"/>
          <w:szCs w:val="20"/>
          <w:color w:val="auto"/>
        </w:rPr>
      </w:pPr>
    </w:p>
    <w:p>
      <w:pPr>
        <w:ind w:left="840" w:right="26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3.2</w:t>
      </w:r>
      <w:r>
        <w:rPr>
          <w:sz w:val="20"/>
          <w:szCs w:val="20"/>
          <w:color w:val="auto"/>
        </w:rPr>
        <w:tab/>
      </w:r>
      <w:hyperlink r:id="rId29">
        <w:r>
          <w:rPr>
            <w:rFonts w:ascii="Arial" w:cs="Arial" w:eastAsia="Arial" w:hAnsi="Arial"/>
            <w:sz w:val="14"/>
            <w:szCs w:val="14"/>
            <w:u w:val="single" w:color="auto"/>
            <w:color w:val="0000FF"/>
          </w:rPr>
          <w:t>Restated Certificate of Formation of Houston</w:t>
        </w:r>
      </w:hyperlink>
      <w:r>
        <w:rPr>
          <w:rFonts w:ascii="Arial" w:cs="Arial" w:eastAsia="Arial" w:hAnsi="Arial"/>
          <w:sz w:val="14"/>
          <w:szCs w:val="14"/>
          <w:u w:val="single" w:color="auto"/>
          <w:color w:val="0000FF"/>
        </w:rPr>
        <w:t xml:space="preserve"> </w:t>
      </w:r>
      <w:hyperlink r:id="rId29">
        <w:r>
          <w:rPr>
            <w:rFonts w:ascii="Arial" w:cs="Arial" w:eastAsia="Arial" w:hAnsi="Arial"/>
            <w:sz w:val="14"/>
            <w:szCs w:val="14"/>
            <w:u w:val="single" w:color="auto"/>
            <w:color w:val="0000FF"/>
          </w:rPr>
          <w:t>Electric</w:t>
        </w:r>
      </w:hyperlink>
    </w:p>
    <w:p>
      <w:pPr>
        <w:spacing w:after="0" w:line="160" w:lineRule="exact"/>
        <w:rPr>
          <w:sz w:val="20"/>
          <w:szCs w:val="20"/>
          <w:color w:val="auto"/>
        </w:rPr>
      </w:pPr>
    </w:p>
    <w:p>
      <w:pPr>
        <w:ind w:left="26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3.3</w:t>
      </w:r>
      <w:r>
        <w:rPr>
          <w:sz w:val="20"/>
          <w:szCs w:val="20"/>
          <w:color w:val="auto"/>
        </w:rPr>
        <w:tab/>
      </w:r>
      <w:hyperlink r:id="rId30">
        <w:r>
          <w:rPr>
            <w:rFonts w:ascii="Arial" w:cs="Arial" w:eastAsia="Arial" w:hAnsi="Arial"/>
            <w:sz w:val="13"/>
            <w:szCs w:val="13"/>
            <w:u w:val="single" w:color="auto"/>
            <w:color w:val="0000FF"/>
          </w:rPr>
          <w:t>Certificate of Incorporation of RERC Corp.</w:t>
        </w:r>
      </w:hyperlink>
    </w:p>
    <w:p>
      <w:pPr>
        <w:spacing w:after="0" w:line="339" w:lineRule="exact"/>
        <w:rPr>
          <w:sz w:val="20"/>
          <w:szCs w:val="20"/>
          <w:color w:val="auto"/>
        </w:rPr>
      </w:pPr>
    </w:p>
    <w:p>
      <w:pPr>
        <w:ind w:left="840" w:right="20" w:hanging="575"/>
        <w:spacing w:after="0" w:line="23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3.4</w:t>
      </w:r>
      <w:r>
        <w:rPr>
          <w:sz w:val="20"/>
          <w:szCs w:val="20"/>
          <w:color w:val="auto"/>
        </w:rPr>
        <w:tab/>
      </w:r>
      <w:hyperlink r:id="rId30">
        <w:r>
          <w:rPr>
            <w:rFonts w:ascii="Arial" w:cs="Arial" w:eastAsia="Arial" w:hAnsi="Arial"/>
            <w:sz w:val="14"/>
            <w:szCs w:val="14"/>
            <w:u w:val="single" w:color="auto"/>
            <w:color w:val="0000FF"/>
          </w:rPr>
          <w:t>Certificate of Merger merging former NorAm</w:t>
        </w:r>
      </w:hyperlink>
      <w:r>
        <w:rPr>
          <w:rFonts w:ascii="Arial" w:cs="Arial" w:eastAsia="Arial" w:hAnsi="Arial"/>
          <w:sz w:val="14"/>
          <w:szCs w:val="14"/>
          <w:u w:val="single" w:color="auto"/>
          <w:color w:val="0000FF"/>
        </w:rPr>
        <w:t xml:space="preserve"> </w:t>
      </w:r>
      <w:hyperlink r:id="rId30">
        <w:r>
          <w:rPr>
            <w:rFonts w:ascii="Arial" w:cs="Arial" w:eastAsia="Arial" w:hAnsi="Arial"/>
            <w:sz w:val="14"/>
            <w:szCs w:val="14"/>
            <w:u w:val="single" w:color="auto"/>
            <w:color w:val="0000FF"/>
          </w:rPr>
          <w:t>Energy Corp. with and into HI Merger, Inc. dated</w:t>
        </w:r>
      </w:hyperlink>
      <w:r>
        <w:rPr>
          <w:rFonts w:ascii="Arial" w:cs="Arial" w:eastAsia="Arial" w:hAnsi="Arial"/>
          <w:sz w:val="14"/>
          <w:szCs w:val="14"/>
          <w:u w:val="single" w:color="auto"/>
          <w:color w:val="0000FF"/>
        </w:rPr>
        <w:t xml:space="preserve"> </w:t>
      </w:r>
      <w:hyperlink r:id="rId30">
        <w:r>
          <w:rPr>
            <w:rFonts w:ascii="Arial" w:cs="Arial" w:eastAsia="Arial" w:hAnsi="Arial"/>
            <w:sz w:val="14"/>
            <w:szCs w:val="14"/>
            <w:u w:val="single" w:color="auto"/>
            <w:color w:val="0000FF"/>
          </w:rPr>
          <w:t>August 6, 1997</w:t>
        </w:r>
      </w:hyperlink>
    </w:p>
    <w:p>
      <w:pPr>
        <w:spacing w:after="0" w:line="21" w:lineRule="exact"/>
        <w:rPr>
          <w:rFonts w:ascii="Arial" w:cs="Arial" w:eastAsia="Arial" w:hAnsi="Arial"/>
          <w:sz w:val="14"/>
          <w:szCs w:val="14"/>
          <w:u w:val="single" w:color="auto"/>
          <w:color w:val="0000FF"/>
        </w:rPr>
      </w:pPr>
    </w:p>
    <w:p>
      <w:pPr>
        <w:ind w:left="840" w:right="8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3.5</w:t>
      </w:r>
      <w:r>
        <w:rPr>
          <w:sz w:val="20"/>
          <w:szCs w:val="20"/>
          <w:color w:val="auto"/>
        </w:rPr>
        <w:tab/>
      </w:r>
      <w:hyperlink r:id="rId31">
        <w:r>
          <w:rPr>
            <w:rFonts w:ascii="Arial" w:cs="Arial" w:eastAsia="Arial" w:hAnsi="Arial"/>
            <w:sz w:val="14"/>
            <w:szCs w:val="14"/>
            <w:u w:val="single" w:color="auto"/>
            <w:color w:val="0000FF"/>
          </w:rPr>
          <w:t>Certificate of Amendment changing the name to</w:t>
        </w:r>
      </w:hyperlink>
      <w:r>
        <w:rPr>
          <w:rFonts w:ascii="Arial" w:cs="Arial" w:eastAsia="Arial" w:hAnsi="Arial"/>
          <w:sz w:val="14"/>
          <w:szCs w:val="14"/>
          <w:u w:val="single" w:color="auto"/>
          <w:color w:val="0000FF"/>
        </w:rPr>
        <w:t xml:space="preserve"> </w:t>
      </w:r>
      <w:hyperlink r:id="rId31">
        <w:r>
          <w:rPr>
            <w:rFonts w:ascii="Arial" w:cs="Arial" w:eastAsia="Arial" w:hAnsi="Arial"/>
            <w:sz w:val="14"/>
            <w:szCs w:val="14"/>
            <w:u w:val="single" w:color="auto"/>
            <w:color w:val="0000FF"/>
          </w:rPr>
          <w:t>Reliant Energy Resources Corp.</w:t>
        </w:r>
      </w:hyperlink>
    </w:p>
    <w:p>
      <w:pPr>
        <w:spacing w:after="0" w:line="160" w:lineRule="exact"/>
        <w:rPr>
          <w:sz w:val="20"/>
          <w:szCs w:val="20"/>
          <w:color w:val="auto"/>
        </w:rPr>
      </w:pPr>
    </w:p>
    <w:p>
      <w:pPr>
        <w:ind w:left="840" w:right="80" w:hanging="575"/>
        <w:spacing w:after="0" w:line="281"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3.6</w:t>
      </w:r>
      <w:r>
        <w:rPr>
          <w:sz w:val="20"/>
          <w:szCs w:val="20"/>
          <w:color w:val="auto"/>
        </w:rPr>
        <w:tab/>
      </w:r>
      <w:hyperlink r:id="rId32">
        <w:r>
          <w:rPr>
            <w:rFonts w:ascii="Arial" w:cs="Arial" w:eastAsia="Arial" w:hAnsi="Arial"/>
            <w:sz w:val="13"/>
            <w:szCs w:val="13"/>
            <w:u w:val="single" w:color="auto"/>
            <w:color w:val="0000FF"/>
          </w:rPr>
          <w:t>Certificate of Amendment changing the name to</w:t>
        </w:r>
      </w:hyperlink>
      <w:r>
        <w:rPr>
          <w:rFonts w:ascii="Arial" w:cs="Arial" w:eastAsia="Arial" w:hAnsi="Arial"/>
          <w:sz w:val="13"/>
          <w:szCs w:val="13"/>
          <w:u w:val="single" w:color="auto"/>
          <w:color w:val="0000FF"/>
        </w:rPr>
        <w:t xml:space="preserve"> </w:t>
      </w:r>
      <w:hyperlink r:id="rId32">
        <w:r>
          <w:rPr>
            <w:rFonts w:ascii="Arial" w:cs="Arial" w:eastAsia="Arial" w:hAnsi="Arial"/>
            <w:sz w:val="13"/>
            <w:szCs w:val="13"/>
            <w:u w:val="single" w:color="auto"/>
            <w:color w:val="0000FF"/>
          </w:rPr>
          <w:t>CenterPoint Energy Resources Corp.</w:t>
        </w:r>
      </w:hyperlink>
    </w:p>
    <w:p>
      <w:pPr>
        <w:spacing w:after="0" w:line="1" w:lineRule="exact"/>
        <w:rPr>
          <w:sz w:val="20"/>
          <w:szCs w:val="20"/>
          <w:color w:val="auto"/>
        </w:rPr>
      </w:pPr>
    </w:p>
    <w:p>
      <w:pPr>
        <w:ind w:left="840" w:right="56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3.7</w:t>
      </w:r>
      <w:r>
        <w:rPr>
          <w:sz w:val="20"/>
          <w:szCs w:val="20"/>
          <w:color w:val="auto"/>
        </w:rPr>
        <w:tab/>
      </w:r>
      <w:hyperlink r:id="rId33">
        <w:r>
          <w:rPr>
            <w:rFonts w:ascii="Arial" w:cs="Arial" w:eastAsia="Arial" w:hAnsi="Arial"/>
            <w:sz w:val="14"/>
            <w:szCs w:val="14"/>
            <w:u w:val="single" w:color="auto"/>
            <w:color w:val="0000FF"/>
          </w:rPr>
          <w:t>Third Amended and Restated Bylaws of</w:t>
        </w:r>
      </w:hyperlink>
      <w:r>
        <w:rPr>
          <w:rFonts w:ascii="Arial" w:cs="Arial" w:eastAsia="Arial" w:hAnsi="Arial"/>
          <w:sz w:val="14"/>
          <w:szCs w:val="14"/>
          <w:u w:val="single" w:color="auto"/>
          <w:color w:val="0000FF"/>
        </w:rPr>
        <w:t xml:space="preserve"> </w:t>
      </w:r>
      <w:hyperlink r:id="rId33">
        <w:r>
          <w:rPr>
            <w:rFonts w:ascii="Arial" w:cs="Arial" w:eastAsia="Arial" w:hAnsi="Arial"/>
            <w:sz w:val="14"/>
            <w:szCs w:val="14"/>
            <w:u w:val="single" w:color="auto"/>
            <w:color w:val="0000FF"/>
          </w:rPr>
          <w:t>CenterPoint Energy</w:t>
        </w:r>
      </w:hyperlink>
    </w:p>
    <w:p>
      <w:pPr>
        <w:spacing w:after="0" w:line="160" w:lineRule="exact"/>
        <w:rPr>
          <w:sz w:val="20"/>
          <w:szCs w:val="20"/>
          <w:color w:val="auto"/>
        </w:rPr>
      </w:pPr>
    </w:p>
    <w:p>
      <w:pPr>
        <w:jc w:val="right"/>
        <w:ind w:left="260" w:right="480"/>
        <w:spacing w:after="0" w:line="253"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3.8      </w:t>
      </w:r>
      <w:hyperlink r:id="rId34">
        <w:r>
          <w:rPr>
            <w:rFonts w:ascii="Arial" w:cs="Arial" w:eastAsia="Arial" w:hAnsi="Arial"/>
            <w:sz w:val="14"/>
            <w:szCs w:val="14"/>
            <w:u w:val="single" w:color="auto"/>
            <w:color w:val="0000FF"/>
          </w:rPr>
          <w:t>Amended and Restated Limited Liability</w:t>
        </w:r>
      </w:hyperlink>
      <w:r>
        <w:rPr>
          <w:rFonts w:ascii="Arial" w:cs="Arial" w:eastAsia="Arial" w:hAnsi="Arial"/>
          <w:sz w:val="14"/>
          <w:szCs w:val="14"/>
          <w:color w:val="auto"/>
        </w:rPr>
        <w:t xml:space="preserve"> </w:t>
      </w:r>
      <w:hyperlink r:id="rId34">
        <w:r>
          <w:rPr>
            <w:rFonts w:ascii="Arial" w:cs="Arial" w:eastAsia="Arial" w:hAnsi="Arial"/>
            <w:sz w:val="14"/>
            <w:szCs w:val="14"/>
            <w:u w:val="single" w:color="auto"/>
            <w:color w:val="0000FF"/>
          </w:rPr>
          <w:t>Company Agreement of Houston Electric</w:t>
        </w:r>
      </w:hyperlink>
    </w:p>
    <w:p>
      <w:pPr>
        <w:spacing w:after="0" w:line="160" w:lineRule="exact"/>
        <w:rPr>
          <w:sz w:val="20"/>
          <w:szCs w:val="20"/>
          <w:color w:val="auto"/>
        </w:rPr>
      </w:pPr>
    </w:p>
    <w:p>
      <w:pPr>
        <w:ind w:left="26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3.9</w:t>
      </w:r>
      <w:r>
        <w:rPr>
          <w:sz w:val="20"/>
          <w:szCs w:val="20"/>
          <w:color w:val="auto"/>
        </w:rPr>
        <w:tab/>
      </w:r>
      <w:hyperlink r:id="rId30">
        <w:r>
          <w:rPr>
            <w:rFonts w:ascii="Arial" w:cs="Arial" w:eastAsia="Arial" w:hAnsi="Arial"/>
            <w:sz w:val="13"/>
            <w:szCs w:val="13"/>
            <w:u w:val="single" w:color="auto"/>
            <w:color w:val="0000FF"/>
          </w:rPr>
          <w:t>Bylaws of RERC Corp.</w:t>
        </w:r>
      </w:hyperlink>
    </w:p>
    <w:p>
      <w:pPr>
        <w:spacing w:after="0" w:line="338" w:lineRule="exact"/>
        <w:rPr>
          <w:sz w:val="20"/>
          <w:szCs w:val="20"/>
          <w:color w:val="auto"/>
        </w:rPr>
      </w:pPr>
    </w:p>
    <w:p>
      <w:pPr>
        <w:ind w:left="220"/>
        <w:spacing w:after="0"/>
        <w:tabs>
          <w:tab w:leader="none" w:pos="820" w:val="left"/>
        </w:tabs>
        <w:rPr>
          <w:rFonts w:ascii="Arial" w:cs="Arial" w:eastAsia="Arial" w:hAnsi="Arial"/>
          <w:sz w:val="12"/>
          <w:szCs w:val="12"/>
          <w:u w:val="single" w:color="auto"/>
          <w:color w:val="0000FF"/>
        </w:rPr>
      </w:pPr>
      <w:r>
        <w:rPr>
          <w:rFonts w:ascii="Arial" w:cs="Arial" w:eastAsia="Arial" w:hAnsi="Arial"/>
          <w:sz w:val="14"/>
          <w:szCs w:val="14"/>
          <w:color w:val="auto"/>
        </w:rPr>
        <w:t>3.10</w:t>
      </w:r>
      <w:r>
        <w:rPr>
          <w:sz w:val="20"/>
          <w:szCs w:val="20"/>
          <w:color w:val="auto"/>
        </w:rPr>
        <w:tab/>
      </w:r>
      <w:hyperlink r:id="rId35">
        <w:r>
          <w:rPr>
            <w:rFonts w:ascii="Arial" w:cs="Arial" w:eastAsia="Arial" w:hAnsi="Arial"/>
            <w:sz w:val="12"/>
            <w:szCs w:val="12"/>
            <w:u w:val="single" w:color="auto"/>
            <w:color w:val="0000FF"/>
          </w:rPr>
          <w:t>Statement of Resolutions Deleting Shares</w:t>
        </w:r>
      </w:hyperlink>
    </w:p>
    <w:p>
      <w:pPr>
        <w:ind w:left="840" w:right="600"/>
        <w:spacing w:after="0" w:line="237" w:lineRule="auto"/>
        <w:rPr>
          <w:rFonts w:ascii="Arial" w:cs="Arial" w:eastAsia="Arial" w:hAnsi="Arial"/>
          <w:sz w:val="14"/>
          <w:szCs w:val="14"/>
          <w:u w:val="single" w:color="auto"/>
          <w:color w:val="0000FF"/>
        </w:rPr>
      </w:pPr>
      <w:hyperlink r:id="rId35">
        <w:r>
          <w:rPr>
            <w:rFonts w:ascii="Arial" w:cs="Arial" w:eastAsia="Arial" w:hAnsi="Arial"/>
            <w:sz w:val="14"/>
            <w:szCs w:val="14"/>
            <w:u w:val="single" w:color="auto"/>
            <w:color w:val="0000FF"/>
          </w:rPr>
          <w:t>Designated Series A Preferred Stock of</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CenterPoint Energy</w:t>
        </w:r>
      </w:hyperlink>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April 21,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February 3,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February 24,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July 24, 2008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Houston Electric’s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1-3187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10-Q for the quarter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3(a)(3)</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10-Q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3(a)(4)</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w w:val="97"/>
              </w:rPr>
              <w:t>quarter ended June 30, 2003</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February 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Houston Electric’s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1-3187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10-Q for the quarter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3(b)</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3(c)</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10-K for the year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December 31, 2011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700" w:space="160"/>
            <w:col w:w="7380"/>
          </w:cols>
          <w:pgMar w:left="320" w:top="125" w:right="339" w:bottom="144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320" w:top="125" w:right="339" w:bottom="1440" w:gutter="0" w:footer="0" w:header="0"/>
          <w:type w:val="continuous"/>
        </w:sectPr>
      </w:pPr>
    </w:p>
    <w:bookmarkStart w:id="109" w:name="page110"/>
    <w:bookmarkEnd w:id="10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366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3" w:lineRule="exact"/>
        <w:rPr>
          <w:sz w:val="20"/>
          <w:szCs w:val="20"/>
          <w:color w:val="auto"/>
        </w:rPr>
      </w:pPr>
    </w:p>
    <w:p>
      <w:pPr>
        <w:ind w:left="840" w:right="60" w:hanging="608"/>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3.11</w:t>
      </w:r>
      <w:r>
        <w:rPr>
          <w:sz w:val="20"/>
          <w:szCs w:val="20"/>
          <w:color w:val="auto"/>
        </w:rPr>
        <w:tab/>
      </w:r>
      <w:hyperlink r:id="rId37">
        <w:r>
          <w:rPr>
            <w:rFonts w:ascii="Arial" w:cs="Arial" w:eastAsia="Arial" w:hAnsi="Arial"/>
            <w:sz w:val="14"/>
            <w:szCs w:val="14"/>
            <w:u w:val="single" w:color="auto"/>
            <w:color w:val="0000FF"/>
          </w:rPr>
          <w:t>Statement of Resolution Establishing Series of</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Shares Designated Series A Fixed-to-Floating</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Rate Cumulative Redeemable Preferred Stock of</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CenterPoint Energy</w:t>
        </w:r>
      </w:hyperlink>
    </w:p>
    <w:p>
      <w:pPr>
        <w:spacing w:after="0" w:line="23" w:lineRule="exact"/>
        <w:rPr>
          <w:rFonts w:ascii="Arial" w:cs="Arial" w:eastAsia="Arial" w:hAnsi="Arial"/>
          <w:sz w:val="14"/>
          <w:szCs w:val="14"/>
          <w:u w:val="single" w:color="auto"/>
          <w:color w:val="0000FF"/>
        </w:rPr>
      </w:pPr>
    </w:p>
    <w:p>
      <w:pPr>
        <w:ind w:left="840" w:right="18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3.12</w:t>
      </w:r>
      <w:r>
        <w:rPr>
          <w:sz w:val="20"/>
          <w:szCs w:val="20"/>
          <w:color w:val="auto"/>
        </w:rPr>
        <w:tab/>
      </w:r>
      <w:hyperlink r:id="rId38">
        <w:r>
          <w:rPr>
            <w:rFonts w:ascii="Arial" w:cs="Arial" w:eastAsia="Arial" w:hAnsi="Arial"/>
            <w:sz w:val="14"/>
            <w:szCs w:val="14"/>
            <w:u w:val="single" w:color="auto"/>
            <w:color w:val="0000FF"/>
          </w:rPr>
          <w:t>Statement of Resolution Establishing Series of</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Shares designated 7.00% Series B Mandatory</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Convertible Preferred Stock of CenterPoint</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Energy</w:t>
        </w:r>
      </w:hyperlink>
    </w:p>
    <w:p>
      <w:pPr>
        <w:spacing w:after="0" w:line="23" w:lineRule="exact"/>
        <w:rPr>
          <w:rFonts w:ascii="Arial" w:cs="Arial" w:eastAsia="Arial" w:hAnsi="Arial"/>
          <w:sz w:val="14"/>
          <w:szCs w:val="14"/>
          <w:u w:val="single" w:color="auto"/>
          <w:color w:val="0000FF"/>
        </w:rPr>
      </w:pPr>
    </w:p>
    <w:p>
      <w:pPr>
        <w:ind w:left="26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39">
        <w:r>
          <w:rPr>
            <w:rFonts w:ascii="Arial" w:cs="Arial" w:eastAsia="Arial" w:hAnsi="Arial"/>
            <w:sz w:val="13"/>
            <w:szCs w:val="13"/>
            <w:u w:val="single" w:color="auto"/>
            <w:color w:val="0000FF"/>
          </w:rPr>
          <w:t>Form of CenterPoint Energy Stock Certificate</w:t>
        </w:r>
      </w:hyperlink>
    </w:p>
    <w:p>
      <w:pPr>
        <w:spacing w:after="0" w:line="339" w:lineRule="exact"/>
        <w:rPr>
          <w:rFonts w:ascii="Arial" w:cs="Arial" w:eastAsia="Arial" w:hAnsi="Arial"/>
          <w:sz w:val="14"/>
          <w:szCs w:val="14"/>
          <w:u w:val="single" w:color="auto"/>
          <w:color w:val="0000FF"/>
        </w:rPr>
      </w:pPr>
    </w:p>
    <w:p>
      <w:pPr>
        <w:ind w:left="840" w:right="10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4.2</w:t>
      </w:r>
      <w:r>
        <w:rPr>
          <w:sz w:val="20"/>
          <w:szCs w:val="20"/>
          <w:color w:val="auto"/>
        </w:rPr>
        <w:tab/>
      </w:r>
      <w:hyperlink r:id="rId40">
        <w:r>
          <w:rPr>
            <w:rFonts w:ascii="Arial" w:cs="Arial" w:eastAsia="Arial" w:hAnsi="Arial"/>
            <w:sz w:val="13"/>
            <w:szCs w:val="13"/>
            <w:u w:val="single" w:color="auto"/>
            <w:color w:val="0000FF"/>
          </w:rPr>
          <w:t>Form of Certificate representing the Series A</w:t>
        </w:r>
      </w:hyperlink>
      <w:r>
        <w:rPr>
          <w:rFonts w:ascii="Arial" w:cs="Arial" w:eastAsia="Arial" w:hAnsi="Arial"/>
          <w:sz w:val="13"/>
          <w:szCs w:val="13"/>
          <w:u w:val="single" w:color="auto"/>
          <w:color w:val="0000FF"/>
        </w:rPr>
        <w:t xml:space="preserve"> </w:t>
      </w:r>
      <w:hyperlink r:id="rId40">
        <w:r>
          <w:rPr>
            <w:rFonts w:ascii="Arial" w:cs="Arial" w:eastAsia="Arial" w:hAnsi="Arial"/>
            <w:sz w:val="13"/>
            <w:szCs w:val="13"/>
            <w:u w:val="single" w:color="auto"/>
            <w:color w:val="0000FF"/>
          </w:rPr>
          <w:t>Fixed-to-Floating Rate Cumulative Redeemable</w:t>
        </w:r>
      </w:hyperlink>
      <w:r>
        <w:rPr>
          <w:rFonts w:ascii="Arial" w:cs="Arial" w:eastAsia="Arial" w:hAnsi="Arial"/>
          <w:sz w:val="13"/>
          <w:szCs w:val="13"/>
          <w:u w:val="single" w:color="auto"/>
          <w:color w:val="0000FF"/>
        </w:rPr>
        <w:t xml:space="preserve"> </w:t>
      </w:r>
      <w:hyperlink r:id="rId40">
        <w:r>
          <w:rPr>
            <w:rFonts w:ascii="Arial" w:cs="Arial" w:eastAsia="Arial" w:hAnsi="Arial"/>
            <w:sz w:val="13"/>
            <w:szCs w:val="13"/>
            <w:u w:val="single" w:color="auto"/>
            <w:color w:val="0000FF"/>
          </w:rPr>
          <w:t>Preferred Stock of CenterPoint Energy</w:t>
        </w:r>
      </w:hyperlink>
    </w:p>
    <w:p>
      <w:pPr>
        <w:spacing w:after="0" w:line="6" w:lineRule="exact"/>
        <w:rPr>
          <w:rFonts w:ascii="Arial" w:cs="Arial" w:eastAsia="Arial" w:hAnsi="Arial"/>
          <w:sz w:val="13"/>
          <w:szCs w:val="13"/>
          <w:u w:val="single" w:color="auto"/>
          <w:color w:val="0000FF"/>
        </w:rPr>
      </w:pPr>
    </w:p>
    <w:p>
      <w:pPr>
        <w:ind w:left="840" w:hanging="575"/>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4.3</w:t>
      </w:r>
      <w:r>
        <w:rPr>
          <w:sz w:val="20"/>
          <w:szCs w:val="20"/>
          <w:color w:val="auto"/>
        </w:rPr>
        <w:tab/>
      </w:r>
      <w:hyperlink r:id="rId38">
        <w:r>
          <w:rPr>
            <w:rFonts w:ascii="Arial" w:cs="Arial" w:eastAsia="Arial" w:hAnsi="Arial"/>
            <w:sz w:val="14"/>
            <w:szCs w:val="14"/>
            <w:u w:val="single" w:color="auto"/>
            <w:color w:val="0000FF"/>
          </w:rPr>
          <w:t>Form of Certificate representing the 7.00% Series</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B Mandatory Convertible Preferred Stock of</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CenterPoint Energy (included as Exhibit A to</w:t>
        </w:r>
      </w:hyperlink>
      <w:r>
        <w:rPr>
          <w:rFonts w:ascii="Arial" w:cs="Arial" w:eastAsia="Arial" w:hAnsi="Arial"/>
          <w:sz w:val="14"/>
          <w:szCs w:val="14"/>
          <w:u w:val="single" w:color="auto"/>
          <w:color w:val="0000FF"/>
        </w:rPr>
        <w:t xml:space="preserve"> </w:t>
      </w:r>
      <w:hyperlink r:id="rId38">
        <w:r>
          <w:rPr>
            <w:rFonts w:ascii="Arial" w:cs="Arial" w:eastAsia="Arial" w:hAnsi="Arial"/>
            <w:sz w:val="14"/>
            <w:szCs w:val="14"/>
            <w:u w:val="single" w:color="auto"/>
            <w:color w:val="0000FF"/>
          </w:rPr>
          <w:t>Exhibit 3.12)</w:t>
        </w:r>
      </w:hyperlink>
    </w:p>
    <w:p>
      <w:pPr>
        <w:spacing w:after="0" w:line="23" w:lineRule="exact"/>
        <w:rPr>
          <w:rFonts w:ascii="Arial" w:cs="Arial" w:eastAsia="Arial" w:hAnsi="Arial"/>
          <w:sz w:val="14"/>
          <w:szCs w:val="14"/>
          <w:u w:val="single" w:color="auto"/>
          <w:color w:val="0000FF"/>
        </w:rPr>
      </w:pPr>
    </w:p>
    <w:p>
      <w:pPr>
        <w:ind w:left="840" w:right="40" w:hanging="575"/>
        <w:spacing w:after="0" w:line="251"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4.4</w:t>
      </w:r>
      <w:r>
        <w:rPr>
          <w:sz w:val="20"/>
          <w:szCs w:val="20"/>
          <w:color w:val="auto"/>
        </w:rPr>
        <w:tab/>
      </w:r>
      <w:hyperlink r:id="rId41">
        <w:r>
          <w:rPr>
            <w:rFonts w:ascii="Arial" w:cs="Arial" w:eastAsia="Arial" w:hAnsi="Arial"/>
            <w:sz w:val="13"/>
            <w:szCs w:val="13"/>
            <w:u w:val="single" w:color="auto"/>
            <w:color w:val="0000FF"/>
          </w:rPr>
          <w:t>Deposit Agreement, dated as of October 1, 2018,</w:t>
        </w:r>
      </w:hyperlink>
      <w:r>
        <w:rPr>
          <w:rFonts w:ascii="Arial" w:cs="Arial" w:eastAsia="Arial" w:hAnsi="Arial"/>
          <w:sz w:val="13"/>
          <w:szCs w:val="13"/>
          <w:u w:val="single" w:color="auto"/>
          <w:color w:val="0000FF"/>
        </w:rPr>
        <w:t xml:space="preserve"> </w:t>
      </w:r>
      <w:hyperlink r:id="rId41">
        <w:r>
          <w:rPr>
            <w:rFonts w:ascii="Arial" w:cs="Arial" w:eastAsia="Arial" w:hAnsi="Arial"/>
            <w:sz w:val="13"/>
            <w:szCs w:val="13"/>
            <w:u w:val="single" w:color="auto"/>
            <w:color w:val="0000FF"/>
          </w:rPr>
          <w:t>among CenterPoint Energy and Broadridge</w:t>
        </w:r>
      </w:hyperlink>
      <w:r>
        <w:rPr>
          <w:rFonts w:ascii="Arial" w:cs="Arial" w:eastAsia="Arial" w:hAnsi="Arial"/>
          <w:sz w:val="13"/>
          <w:szCs w:val="13"/>
          <w:u w:val="single" w:color="auto"/>
          <w:color w:val="0000FF"/>
        </w:rPr>
        <w:t xml:space="preserve"> </w:t>
      </w:r>
      <w:hyperlink r:id="rId41">
        <w:r>
          <w:rPr>
            <w:rFonts w:ascii="Arial" w:cs="Arial" w:eastAsia="Arial" w:hAnsi="Arial"/>
            <w:sz w:val="13"/>
            <w:szCs w:val="13"/>
            <w:u w:val="single" w:color="auto"/>
            <w:color w:val="0000FF"/>
          </w:rPr>
          <w:t>Corporate Issuer Solutions, Inc., as Depositary,</w:t>
        </w:r>
      </w:hyperlink>
      <w:r>
        <w:rPr>
          <w:rFonts w:ascii="Arial" w:cs="Arial" w:eastAsia="Arial" w:hAnsi="Arial"/>
          <w:sz w:val="13"/>
          <w:szCs w:val="13"/>
          <w:u w:val="single" w:color="auto"/>
          <w:color w:val="0000FF"/>
        </w:rPr>
        <w:t xml:space="preserve"> </w:t>
      </w:r>
      <w:hyperlink r:id="rId41">
        <w:r>
          <w:rPr>
            <w:rFonts w:ascii="Arial" w:cs="Arial" w:eastAsia="Arial" w:hAnsi="Arial"/>
            <w:sz w:val="13"/>
            <w:szCs w:val="13"/>
            <w:u w:val="single" w:color="auto"/>
            <w:color w:val="0000FF"/>
          </w:rPr>
          <w:t>and the holders from time to time of the</w:t>
        </w:r>
      </w:hyperlink>
      <w:r>
        <w:rPr>
          <w:rFonts w:ascii="Arial" w:cs="Arial" w:eastAsia="Arial" w:hAnsi="Arial"/>
          <w:sz w:val="13"/>
          <w:szCs w:val="13"/>
          <w:u w:val="single" w:color="auto"/>
          <w:color w:val="0000FF"/>
        </w:rPr>
        <w:t xml:space="preserve"> </w:t>
      </w:r>
      <w:hyperlink r:id="rId41">
        <w:r>
          <w:rPr>
            <w:rFonts w:ascii="Arial" w:cs="Arial" w:eastAsia="Arial" w:hAnsi="Arial"/>
            <w:sz w:val="13"/>
            <w:szCs w:val="13"/>
            <w:u w:val="single" w:color="auto"/>
            <w:color w:val="0000FF"/>
          </w:rPr>
          <w:t>Depositary Receipts described therein</w:t>
        </w:r>
      </w:hyperlink>
    </w:p>
    <w:p>
      <w:pPr>
        <w:spacing w:after="0" w:line="15" w:lineRule="exact"/>
        <w:rPr>
          <w:rFonts w:ascii="Arial" w:cs="Arial" w:eastAsia="Arial" w:hAnsi="Arial"/>
          <w:sz w:val="13"/>
          <w:szCs w:val="13"/>
          <w:u w:val="single" w:color="auto"/>
          <w:color w:val="0000FF"/>
        </w:rPr>
      </w:pPr>
    </w:p>
    <w:p>
      <w:pPr>
        <w:ind w:left="840" w:right="180" w:hanging="575"/>
        <w:spacing w:after="0" w:line="290"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4.5</w:t>
      </w:r>
      <w:r>
        <w:rPr>
          <w:sz w:val="20"/>
          <w:szCs w:val="20"/>
          <w:color w:val="auto"/>
        </w:rPr>
        <w:tab/>
      </w:r>
      <w:hyperlink r:id="rId41">
        <w:r>
          <w:rPr>
            <w:rFonts w:ascii="Arial" w:cs="Arial" w:eastAsia="Arial" w:hAnsi="Arial"/>
            <w:sz w:val="13"/>
            <w:szCs w:val="13"/>
            <w:u w:val="single" w:color="auto"/>
            <w:color w:val="0000FF"/>
          </w:rPr>
          <w:t>Form of Depositary Receipt for the Depositary</w:t>
        </w:r>
      </w:hyperlink>
      <w:r>
        <w:rPr>
          <w:rFonts w:ascii="Arial" w:cs="Arial" w:eastAsia="Arial" w:hAnsi="Arial"/>
          <w:sz w:val="13"/>
          <w:szCs w:val="13"/>
          <w:u w:val="single" w:color="auto"/>
          <w:color w:val="0000FF"/>
        </w:rPr>
        <w:t xml:space="preserve"> </w:t>
      </w:r>
      <w:hyperlink r:id="rId41">
        <w:r>
          <w:rPr>
            <w:rFonts w:ascii="Arial" w:cs="Arial" w:eastAsia="Arial" w:hAnsi="Arial"/>
            <w:sz w:val="13"/>
            <w:szCs w:val="13"/>
            <w:u w:val="single" w:color="auto"/>
            <w:color w:val="0000FF"/>
          </w:rPr>
          <w:t>Shares (included as Exhibit A to Exhibit 4.4)</w:t>
        </w:r>
      </w:hyperlink>
    </w:p>
    <w:p>
      <w:pPr>
        <w:spacing w:after="0" w:line="138" w:lineRule="exact"/>
        <w:rPr>
          <w:sz w:val="20"/>
          <w:szCs w:val="20"/>
          <w:color w:val="auto"/>
        </w:rPr>
      </w:pPr>
    </w:p>
    <w:p>
      <w:pPr>
        <w:jc w:val="both"/>
        <w:ind w:left="840" w:right="20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4.6</w:t>
      </w:r>
      <w:r>
        <w:rPr>
          <w:sz w:val="20"/>
          <w:szCs w:val="20"/>
          <w:color w:val="auto"/>
        </w:rPr>
        <w:tab/>
      </w:r>
      <w:hyperlink r:id="rId42">
        <w:r>
          <w:rPr>
            <w:rFonts w:ascii="Arial" w:cs="Arial" w:eastAsia="Arial" w:hAnsi="Arial"/>
            <w:sz w:val="13"/>
            <w:szCs w:val="13"/>
            <w:u w:val="single" w:color="auto"/>
            <w:color w:val="0000FF"/>
          </w:rPr>
          <w:t>$1,600,000,000 Credit Agreement, dated as of</w:t>
        </w:r>
      </w:hyperlink>
      <w:r>
        <w:rPr>
          <w:rFonts w:ascii="Arial" w:cs="Arial" w:eastAsia="Arial" w:hAnsi="Arial"/>
          <w:sz w:val="13"/>
          <w:szCs w:val="13"/>
          <w:u w:val="single" w:color="auto"/>
          <w:color w:val="0000FF"/>
        </w:rPr>
        <w:t xml:space="preserve"> </w:t>
      </w:r>
      <w:hyperlink r:id="rId42">
        <w:r>
          <w:rPr>
            <w:rFonts w:ascii="Arial" w:cs="Arial" w:eastAsia="Arial" w:hAnsi="Arial"/>
            <w:sz w:val="13"/>
            <w:szCs w:val="13"/>
            <w:u w:val="single" w:color="auto"/>
            <w:color w:val="0000FF"/>
          </w:rPr>
          <w:t>March 3, 2016, among CenterPoint Energy, as</w:t>
        </w:r>
      </w:hyperlink>
      <w:r>
        <w:rPr>
          <w:rFonts w:ascii="Arial" w:cs="Arial" w:eastAsia="Arial" w:hAnsi="Arial"/>
          <w:sz w:val="13"/>
          <w:szCs w:val="13"/>
          <w:u w:val="single" w:color="auto"/>
          <w:color w:val="0000FF"/>
        </w:rPr>
        <w:t xml:space="preserve"> </w:t>
      </w:r>
      <w:hyperlink r:id="rId42">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jc w:val="both"/>
        <w:ind w:left="840" w:right="32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4.7</w:t>
      </w:r>
      <w:r>
        <w:rPr>
          <w:sz w:val="20"/>
          <w:szCs w:val="20"/>
          <w:color w:val="auto"/>
        </w:rPr>
        <w:tab/>
      </w:r>
      <w:hyperlink r:id="rId43">
        <w:r>
          <w:rPr>
            <w:rFonts w:ascii="Arial" w:cs="Arial" w:eastAsia="Arial" w:hAnsi="Arial"/>
            <w:sz w:val="13"/>
            <w:szCs w:val="13"/>
            <w:u w:val="single" w:color="auto"/>
            <w:color w:val="0000FF"/>
          </w:rPr>
          <w:t>$300,000,000 Credit Agreement, dated as of</w:t>
        </w:r>
      </w:hyperlink>
      <w:r>
        <w:rPr>
          <w:rFonts w:ascii="Arial" w:cs="Arial" w:eastAsia="Arial" w:hAnsi="Arial"/>
          <w:sz w:val="13"/>
          <w:szCs w:val="13"/>
          <w:u w:val="single" w:color="auto"/>
          <w:color w:val="0000FF"/>
        </w:rPr>
        <w:t xml:space="preserve"> </w:t>
      </w:r>
      <w:hyperlink r:id="rId43">
        <w:r>
          <w:rPr>
            <w:rFonts w:ascii="Arial" w:cs="Arial" w:eastAsia="Arial" w:hAnsi="Arial"/>
            <w:sz w:val="13"/>
            <w:szCs w:val="13"/>
            <w:u w:val="single" w:color="auto"/>
            <w:color w:val="0000FF"/>
          </w:rPr>
          <w:t>March 3, 2016, among Houston Electric, as</w:t>
        </w:r>
      </w:hyperlink>
      <w:r>
        <w:rPr>
          <w:rFonts w:ascii="Arial" w:cs="Arial" w:eastAsia="Arial" w:hAnsi="Arial"/>
          <w:sz w:val="13"/>
          <w:szCs w:val="13"/>
          <w:u w:val="single" w:color="auto"/>
          <w:color w:val="0000FF"/>
        </w:rPr>
        <w:t xml:space="preserve"> </w:t>
      </w:r>
      <w:hyperlink r:id="rId43">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right="32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4.8</w:t>
      </w:r>
      <w:r>
        <w:rPr>
          <w:sz w:val="20"/>
          <w:szCs w:val="20"/>
          <w:color w:val="auto"/>
        </w:rPr>
        <w:tab/>
      </w:r>
      <w:hyperlink r:id="rId44">
        <w:r>
          <w:rPr>
            <w:rFonts w:ascii="Arial" w:cs="Arial" w:eastAsia="Arial" w:hAnsi="Arial"/>
            <w:sz w:val="13"/>
            <w:szCs w:val="13"/>
            <w:u w:val="single" w:color="auto"/>
            <w:color w:val="0000FF"/>
          </w:rPr>
          <w:t>$600,000,000 Credit Agreement, dated as of</w:t>
        </w:r>
      </w:hyperlink>
      <w:r>
        <w:rPr>
          <w:rFonts w:ascii="Arial" w:cs="Arial" w:eastAsia="Arial" w:hAnsi="Arial"/>
          <w:sz w:val="13"/>
          <w:szCs w:val="13"/>
          <w:u w:val="single" w:color="auto"/>
          <w:color w:val="0000FF"/>
        </w:rPr>
        <w:t xml:space="preserve"> </w:t>
      </w:r>
      <w:hyperlink r:id="rId44">
        <w:r>
          <w:rPr>
            <w:rFonts w:ascii="Arial" w:cs="Arial" w:eastAsia="Arial" w:hAnsi="Arial"/>
            <w:sz w:val="13"/>
            <w:szCs w:val="13"/>
            <w:u w:val="single" w:color="auto"/>
            <w:color w:val="0000FF"/>
          </w:rPr>
          <w:t>March 3, 2016, among CERC Corp., as</w:t>
        </w:r>
      </w:hyperlink>
      <w:r>
        <w:rPr>
          <w:rFonts w:ascii="Arial" w:cs="Arial" w:eastAsia="Arial" w:hAnsi="Arial"/>
          <w:sz w:val="13"/>
          <w:szCs w:val="13"/>
          <w:u w:val="single" w:color="auto"/>
          <w:color w:val="0000FF"/>
        </w:rPr>
        <w:t xml:space="preserve"> </w:t>
      </w:r>
      <w:hyperlink r:id="rId44">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right="20" w:hanging="575"/>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4.9</w:t>
      </w:r>
      <w:r>
        <w:rPr>
          <w:sz w:val="20"/>
          <w:szCs w:val="20"/>
          <w:color w:val="auto"/>
        </w:rPr>
        <w:tab/>
      </w:r>
      <w:hyperlink r:id="rId45">
        <w:r>
          <w:rPr>
            <w:rFonts w:ascii="Arial" w:cs="Arial" w:eastAsia="Arial" w:hAnsi="Arial"/>
            <w:sz w:val="14"/>
            <w:szCs w:val="14"/>
            <w:u w:val="single" w:color="auto"/>
            <w:color w:val="0000FF"/>
          </w:rPr>
          <w:t>First Amendment to Amended and Restated</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Credit Agreement, dated as of June 16, 2017, by</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and among CenterPoint Energy, as Borrower, and</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the banks named therein</w:t>
        </w:r>
      </w:hyperlink>
    </w:p>
    <w:p>
      <w:pPr>
        <w:spacing w:after="0" w:line="23" w:lineRule="exact"/>
        <w:rPr>
          <w:rFonts w:ascii="Arial" w:cs="Arial" w:eastAsia="Arial" w:hAnsi="Arial"/>
          <w:sz w:val="14"/>
          <w:szCs w:val="14"/>
          <w:u w:val="single" w:color="auto"/>
          <w:color w:val="0000FF"/>
        </w:rPr>
      </w:pPr>
    </w:p>
    <w:p>
      <w:pPr>
        <w:ind w:left="840" w:right="2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4.10</w:t>
      </w:r>
      <w:r>
        <w:rPr>
          <w:sz w:val="20"/>
          <w:szCs w:val="20"/>
          <w:color w:val="auto"/>
        </w:rPr>
        <w:tab/>
      </w:r>
      <w:hyperlink r:id="rId46">
        <w:r>
          <w:rPr>
            <w:rFonts w:ascii="Arial" w:cs="Arial" w:eastAsia="Arial" w:hAnsi="Arial"/>
            <w:sz w:val="14"/>
            <w:szCs w:val="14"/>
            <w:u w:val="single" w:color="auto"/>
            <w:color w:val="0000FF"/>
          </w:rPr>
          <w:t>Second Amendment to Amended and Restated</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Credit Agreement, dated as of May 25, 2018, by</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and among CenterPoint Energy, as Borrower, and</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the banks named therein</w:t>
        </w:r>
      </w:hyperlink>
    </w:p>
    <w:p>
      <w:pPr>
        <w:spacing w:after="0" w:line="23" w:lineRule="exact"/>
        <w:rPr>
          <w:rFonts w:ascii="Arial" w:cs="Arial" w:eastAsia="Arial" w:hAnsi="Arial"/>
          <w:sz w:val="14"/>
          <w:szCs w:val="14"/>
          <w:u w:val="single" w:color="auto"/>
          <w:color w:val="0000FF"/>
        </w:rPr>
      </w:pPr>
    </w:p>
    <w:p>
      <w:pPr>
        <w:ind w:left="840" w:right="100" w:hanging="608"/>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4.11</w:t>
      </w:r>
      <w:r>
        <w:rPr>
          <w:sz w:val="20"/>
          <w:szCs w:val="20"/>
          <w:color w:val="auto"/>
        </w:rPr>
        <w:tab/>
      </w:r>
      <w:hyperlink r:id="rId47">
        <w:r>
          <w:rPr>
            <w:rFonts w:ascii="Arial" w:cs="Arial" w:eastAsia="Arial" w:hAnsi="Arial"/>
            <w:sz w:val="13"/>
            <w:szCs w:val="13"/>
            <w:u w:val="single" w:color="auto"/>
            <w:color w:val="0000FF"/>
          </w:rPr>
          <w:t>First Amendment to Credit Agreement, dated as</w:t>
        </w:r>
      </w:hyperlink>
      <w:r>
        <w:rPr>
          <w:rFonts w:ascii="Arial" w:cs="Arial" w:eastAsia="Arial" w:hAnsi="Arial"/>
          <w:sz w:val="13"/>
          <w:szCs w:val="13"/>
          <w:u w:val="single" w:color="auto"/>
          <w:color w:val="0000FF"/>
        </w:rPr>
        <w:t xml:space="preserve"> </w:t>
      </w:r>
      <w:hyperlink r:id="rId47">
        <w:r>
          <w:rPr>
            <w:rFonts w:ascii="Arial" w:cs="Arial" w:eastAsia="Arial" w:hAnsi="Arial"/>
            <w:sz w:val="13"/>
            <w:szCs w:val="13"/>
            <w:u w:val="single" w:color="auto"/>
            <w:color w:val="0000FF"/>
          </w:rPr>
          <w:t>of June 16, 2017, among Houston Electric, as</w:t>
        </w:r>
      </w:hyperlink>
      <w:r>
        <w:rPr>
          <w:rFonts w:ascii="Arial" w:cs="Arial" w:eastAsia="Arial" w:hAnsi="Arial"/>
          <w:sz w:val="13"/>
          <w:szCs w:val="13"/>
          <w:u w:val="single" w:color="auto"/>
          <w:color w:val="0000FF"/>
        </w:rPr>
        <w:t xml:space="preserve"> </w:t>
      </w:r>
      <w:hyperlink r:id="rId47">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right="100" w:hanging="611"/>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4.12</w:t>
      </w:r>
      <w:r>
        <w:rPr>
          <w:sz w:val="20"/>
          <w:szCs w:val="20"/>
          <w:color w:val="auto"/>
        </w:rPr>
        <w:tab/>
      </w:r>
      <w:hyperlink r:id="rId48">
        <w:r>
          <w:rPr>
            <w:rFonts w:ascii="Arial" w:cs="Arial" w:eastAsia="Arial" w:hAnsi="Arial"/>
            <w:sz w:val="13"/>
            <w:szCs w:val="13"/>
            <w:u w:val="single" w:color="auto"/>
            <w:color w:val="0000FF"/>
          </w:rPr>
          <w:t>First Amendment to Credit Agreement, dated as</w:t>
        </w:r>
      </w:hyperlink>
      <w:r>
        <w:rPr>
          <w:rFonts w:ascii="Arial" w:cs="Arial" w:eastAsia="Arial" w:hAnsi="Arial"/>
          <w:sz w:val="13"/>
          <w:szCs w:val="13"/>
          <w:u w:val="single" w:color="auto"/>
          <w:color w:val="0000FF"/>
        </w:rPr>
        <w:t xml:space="preserve"> </w:t>
      </w:r>
      <w:hyperlink r:id="rId48">
        <w:r>
          <w:rPr>
            <w:rFonts w:ascii="Arial" w:cs="Arial" w:eastAsia="Arial" w:hAnsi="Arial"/>
            <w:sz w:val="13"/>
            <w:szCs w:val="13"/>
            <w:u w:val="single" w:color="auto"/>
            <w:color w:val="0000FF"/>
          </w:rPr>
          <w:t>of June 16, 2017, among CERC Corp., as</w:t>
        </w:r>
      </w:hyperlink>
      <w:r>
        <w:rPr>
          <w:rFonts w:ascii="Arial" w:cs="Arial" w:eastAsia="Arial" w:hAnsi="Arial"/>
          <w:sz w:val="13"/>
          <w:szCs w:val="13"/>
          <w:u w:val="single" w:color="auto"/>
          <w:color w:val="0000FF"/>
        </w:rPr>
        <w:t xml:space="preserve"> </w:t>
      </w:r>
      <w:hyperlink r:id="rId48">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right="4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4.13</w:t>
      </w:r>
      <w:r>
        <w:rPr>
          <w:sz w:val="20"/>
          <w:szCs w:val="20"/>
          <w:color w:val="auto"/>
        </w:rPr>
        <w:tab/>
      </w:r>
      <w:hyperlink r:id="rId49">
        <w:r>
          <w:rPr>
            <w:rFonts w:ascii="Arial" w:cs="Arial" w:eastAsia="Arial" w:hAnsi="Arial"/>
            <w:sz w:val="14"/>
            <w:szCs w:val="14"/>
            <w:u w:val="single" w:color="auto"/>
            <w:color w:val="0000FF"/>
          </w:rPr>
          <w:t>$400,000,000 Credit Agreement, dated as of July</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14, 2017, among VUHI, as Borrower, certain</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Subsidiaries of VUHI, as Guarantors, and the</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banks named therein</w:t>
        </w:r>
      </w:hyperlink>
    </w:p>
    <w:p>
      <w:pPr>
        <w:spacing w:after="0" w:line="23" w:lineRule="exact"/>
        <w:rPr>
          <w:rFonts w:ascii="Arial" w:cs="Arial" w:eastAsia="Arial" w:hAnsi="Arial"/>
          <w:sz w:val="14"/>
          <w:szCs w:val="14"/>
          <w:u w:val="single" w:color="auto"/>
          <w:color w:val="0000FF"/>
        </w:rPr>
      </w:pPr>
    </w:p>
    <w:p>
      <w:pPr>
        <w:ind w:left="840" w:right="4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4.14</w:t>
      </w:r>
      <w:r>
        <w:rPr>
          <w:sz w:val="20"/>
          <w:szCs w:val="20"/>
          <w:color w:val="auto"/>
        </w:rPr>
        <w:tab/>
      </w:r>
      <w:hyperlink r:id="rId50">
        <w:r>
          <w:rPr>
            <w:rFonts w:ascii="Arial" w:cs="Arial" w:eastAsia="Arial" w:hAnsi="Arial"/>
            <w:sz w:val="14"/>
            <w:szCs w:val="14"/>
            <w:u w:val="single" w:color="auto"/>
            <w:color w:val="0000FF"/>
          </w:rPr>
          <w:t>$200,000,000 Credit Agreement, dated as of July</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14, 2017, among VCC, as Borrower, Vectren</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Corporation, as Guarantor, and the banks named</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therein</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369"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August 22,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3-69502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Registration Statement 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Form S-4</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August 22,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25,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July 17,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July 17,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4"/>
          <w:szCs w:val="14"/>
          <w:u w:val="single" w:color="auto"/>
          <w:color w:val="0000FF"/>
        </w:rPr>
      </w:pPr>
    </w:p>
    <w:p>
      <w:pPr>
        <w:spacing w:after="0" w:line="311" w:lineRule="exact"/>
        <w:rPr>
          <w:rFonts w:ascii="Arial" w:cs="Arial" w:eastAsia="Arial" w:hAnsi="Arial"/>
          <w:sz w:val="14"/>
          <w:szCs w:val="14"/>
          <w:u w:val="single" w:color="auto"/>
          <w:color w:val="0000FF"/>
        </w:rPr>
      </w:pPr>
    </w:p>
    <w:p>
      <w:pPr>
        <w:ind w:left="1680"/>
        <w:spacing w:after="0"/>
        <w:rPr>
          <w:sz w:val="20"/>
          <w:szCs w:val="20"/>
          <w:color w:val="auto"/>
        </w:rPr>
      </w:pPr>
      <w:r>
        <w:rPr>
          <w:rFonts w:ascii="Arial" w:cs="Arial" w:eastAsia="Arial" w:hAnsi="Arial"/>
          <w:sz w:val="18"/>
          <w:szCs w:val="18"/>
          <w:color w:val="auto"/>
        </w:rPr>
        <w:t>98</w:t>
      </w:r>
    </w:p>
    <w:p>
      <w:pPr>
        <w:sectPr>
          <w:pgSz w:w="11900" w:h="16838" w:orient="portrait"/>
          <w:cols w:equalWidth="0" w:num="2">
            <w:col w:w="3700" w:space="160"/>
            <w:col w:w="7380"/>
          </w:cols>
          <w:pgMar w:left="320" w:top="125" w:right="339" w:bottom="1440" w:gutter="0" w:footer="0" w:header="0"/>
          <w:type w:val="continuous"/>
        </w:sectPr>
      </w:pPr>
    </w:p>
    <w:bookmarkStart w:id="110" w:name="page111"/>
    <w:bookmarkEnd w:id="11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4.15</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30"/>
          </w:tcPr>
          <w:p>
            <w:pPr>
              <w:spacing w:after="0"/>
              <w:rPr>
                <w:rFonts w:ascii="Arial" w:cs="Arial" w:eastAsia="Arial" w:hAnsi="Arial"/>
                <w:sz w:val="14"/>
                <w:szCs w:val="14"/>
                <w:color w:val="0000FF"/>
                <w:w w:val="95"/>
              </w:rPr>
            </w:pPr>
            <w:hyperlink r:id="rId51">
              <w:r>
                <w:rPr>
                  <w:rFonts w:ascii="Arial" w:cs="Arial" w:eastAsia="Arial" w:hAnsi="Arial"/>
                  <w:sz w:val="14"/>
                  <w:szCs w:val="14"/>
                  <w:color w:val="0000FF"/>
                  <w:w w:val="95"/>
                </w:rPr>
                <w:t>Term Loan Agreement dated as of July 30, 2018,</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w w:val="94"/>
              </w:rPr>
            </w:pPr>
            <w:hyperlink r:id="rId51">
              <w:r>
                <w:rPr>
                  <w:rFonts w:ascii="Arial" w:cs="Arial" w:eastAsia="Arial" w:hAnsi="Arial"/>
                  <w:sz w:val="14"/>
                  <w:szCs w:val="14"/>
                  <w:color w:val="0000FF"/>
                  <w:w w:val="94"/>
                </w:rPr>
                <w:t>among VUHI, as Borrower, the Subsidiaries of</w:t>
              </w:r>
            </w:hyperlink>
          </w:p>
        </w:tc>
        <w:tc>
          <w:tcPr>
            <w:tcW w:w="10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gridSpan w:val="30"/>
          </w:tcPr>
          <w:p>
            <w:pPr>
              <w:spacing w:after="0" w:line="129" w:lineRule="exact"/>
              <w:rPr>
                <w:rFonts w:ascii="Arial" w:cs="Arial" w:eastAsia="Arial" w:hAnsi="Arial"/>
                <w:sz w:val="14"/>
                <w:szCs w:val="14"/>
                <w:color w:val="0000FF"/>
                <w:w w:val="96"/>
              </w:rPr>
            </w:pPr>
            <w:hyperlink r:id="rId51">
              <w:r>
                <w:rPr>
                  <w:rFonts w:ascii="Arial" w:cs="Arial" w:eastAsia="Arial" w:hAnsi="Arial"/>
                  <w:sz w:val="14"/>
                  <w:szCs w:val="14"/>
                  <w:color w:val="0000FF"/>
                  <w:w w:val="96"/>
                </w:rPr>
                <w:t>Borrower identified herein as Guarantors and the</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0"/>
              </w:rPr>
            </w:pPr>
            <w:hyperlink r:id="rId51">
              <w:r>
                <w:rPr>
                  <w:rFonts w:ascii="Arial" w:cs="Arial" w:eastAsia="Arial" w:hAnsi="Arial"/>
                  <w:sz w:val="14"/>
                  <w:szCs w:val="14"/>
                  <w:color w:val="0000FF"/>
                  <w:w w:val="90"/>
                </w:rPr>
                <w:t>banks named therein</w:t>
              </w:r>
            </w:hyperlink>
          </w:p>
        </w:tc>
        <w:tc>
          <w:tcPr>
            <w:tcW w:w="166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w w:val="94"/>
              </w:rPr>
            </w:pPr>
            <w:hyperlink r:id="rId52">
              <w:r>
                <w:rPr>
                  <w:rFonts w:ascii="Arial" w:cs="Arial" w:eastAsia="Arial" w:hAnsi="Arial"/>
                  <w:sz w:val="14"/>
                  <w:szCs w:val="14"/>
                  <w:color w:val="0000FF"/>
                  <w:w w:val="94"/>
                </w:rPr>
                <w:t>Term Loan Agreement dated as of September 14,</w:t>
              </w:r>
            </w:hyperlink>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0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52">
              <w:r>
                <w:rPr>
                  <w:rFonts w:ascii="Arial" w:cs="Arial" w:eastAsia="Arial" w:hAnsi="Arial"/>
                  <w:sz w:val="14"/>
                  <w:szCs w:val="14"/>
                  <w:color w:val="0000FF"/>
                </w:rPr>
                <w:t>2018, among VCC, as Borrower, Vectren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Borders>
              <w:top w:val="single" w:sz="8" w:color="0000FF"/>
            </w:tcBorders>
            <w:gridSpan w:val="13"/>
          </w:tcPr>
          <w:p>
            <w:pPr>
              <w:spacing w:after="0"/>
              <w:rPr>
                <w:rFonts w:ascii="Arial" w:cs="Arial" w:eastAsia="Arial" w:hAnsi="Arial"/>
                <w:sz w:val="14"/>
                <w:szCs w:val="14"/>
                <w:u w:val="single" w:color="auto"/>
                <w:color w:val="0000FF"/>
                <w:w w:val="99"/>
              </w:rPr>
            </w:pPr>
            <w:hyperlink r:id="rId52">
              <w:r>
                <w:rPr>
                  <w:rFonts w:ascii="Arial" w:cs="Arial" w:eastAsia="Arial" w:hAnsi="Arial"/>
                  <w:sz w:val="14"/>
                  <w:szCs w:val="14"/>
                  <w:u w:val="single" w:color="auto"/>
                  <w:color w:val="0000FF"/>
                  <w:w w:val="99"/>
                </w:rPr>
                <w:t>Guarantor, and the banks named therein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0" w:type="dxa"/>
            <w:vAlign w:val="bottom"/>
          </w:tcPr>
          <w:p>
            <w:pPr>
              <w:jc w:val="center"/>
              <w:spacing w:after="0" w:line="155" w:lineRule="exact"/>
              <w:rPr>
                <w:sz w:val="20"/>
                <w:szCs w:val="20"/>
                <w:color w:val="auto"/>
              </w:rPr>
            </w:pPr>
            <w:r>
              <w:rPr>
                <w:rFonts w:ascii="Arial" w:cs="Arial" w:eastAsia="Arial" w:hAnsi="Arial"/>
                <w:sz w:val="14"/>
                <w:szCs w:val="14"/>
                <w:color w:val="auto"/>
                <w:w w:val="95"/>
              </w:rPr>
              <w:t>4.17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gridSpan w:val="30"/>
          </w:tcPr>
          <w:p>
            <w:pPr>
              <w:spacing w:after="0" w:line="155" w:lineRule="exact"/>
              <w:rPr>
                <w:rFonts w:ascii="Arial" w:cs="Arial" w:eastAsia="Arial" w:hAnsi="Arial"/>
                <w:sz w:val="14"/>
                <w:szCs w:val="14"/>
                <w:color w:val="0000FF"/>
              </w:rPr>
            </w:pPr>
            <w:hyperlink r:id="rId53">
              <w:r>
                <w:rPr>
                  <w:rFonts w:ascii="Arial" w:cs="Arial" w:eastAsia="Arial" w:hAnsi="Arial"/>
                  <w:sz w:val="14"/>
                  <w:szCs w:val="14"/>
                  <w:color w:val="0000FF"/>
                </w:rPr>
                <w:t>First Amendment to Term Loan Agreement,</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w w:val="90"/>
              </w:rPr>
            </w:pPr>
            <w:hyperlink r:id="rId53">
              <w:r>
                <w:rPr>
                  <w:rFonts w:ascii="Arial" w:cs="Arial" w:eastAsia="Arial" w:hAnsi="Arial"/>
                  <w:sz w:val="14"/>
                  <w:szCs w:val="14"/>
                  <w:color w:val="0000FF"/>
                  <w:w w:val="90"/>
                </w:rPr>
                <w:t>dated as of June 25, 2019, among VCC, as</w:t>
              </w:r>
            </w:hyperlink>
          </w:p>
        </w:tc>
        <w:tc>
          <w:tcPr>
            <w:tcW w:w="120" w:type="dxa"/>
            <w:vAlign w:val="bottom"/>
            <w:tcBorders>
              <w:top w:val="single" w:sz="8" w:color="0000FF"/>
            </w:tcBorders>
            <w:gridSpan w:val="5"/>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gridSpan w:val="30"/>
          </w:tcPr>
          <w:p>
            <w:pPr>
              <w:spacing w:after="0" w:line="129" w:lineRule="exact"/>
              <w:rPr>
                <w:rFonts w:ascii="Arial" w:cs="Arial" w:eastAsia="Arial" w:hAnsi="Arial"/>
                <w:sz w:val="14"/>
                <w:szCs w:val="14"/>
                <w:color w:val="0000FF"/>
              </w:rPr>
            </w:pPr>
            <w:hyperlink r:id="rId53">
              <w:r>
                <w:rPr>
                  <w:rFonts w:ascii="Arial" w:cs="Arial" w:eastAsia="Arial" w:hAnsi="Arial"/>
                  <w:sz w:val="14"/>
                  <w:szCs w:val="14"/>
                  <w:color w:val="0000FF"/>
                </w:rPr>
                <w:t>Borrower, Vectren as Guarantor and the banks</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6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53">
              <w:r>
                <w:rPr>
                  <w:rFonts w:ascii="Arial" w:cs="Arial" w:eastAsia="Arial" w:hAnsi="Arial"/>
                  <w:sz w:val="14"/>
                  <w:szCs w:val="14"/>
                  <w:color w:val="0000FF"/>
                </w:rPr>
                <w:t>named therein</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4.18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w w:val="96"/>
              </w:rPr>
            </w:pPr>
            <w:hyperlink r:id="rId54">
              <w:r>
                <w:rPr>
                  <w:rFonts w:ascii="Arial" w:cs="Arial" w:eastAsia="Arial" w:hAnsi="Arial"/>
                  <w:sz w:val="14"/>
                  <w:szCs w:val="14"/>
                  <w:u w:val="single" w:color="auto"/>
                  <w:color w:val="0000FF"/>
                  <w:w w:val="96"/>
                </w:rPr>
                <w:t>$</w:t>
              </w:r>
              <w:r>
                <w:rPr>
                  <w:rFonts w:ascii="Arial" w:cs="Arial" w:eastAsia="Arial" w:hAnsi="Arial"/>
                  <w:sz w:val="14"/>
                  <w:szCs w:val="14"/>
                  <w:color w:val="0000FF"/>
                  <w:w w:val="96"/>
                </w:rPr>
                <w:t>1,000,000,000 Term Loan Agreement, dated as</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tcBorders>
              <w:top w:val="single" w:sz="8" w:color="0000FF"/>
            </w:tcBorders>
            <w:gridSpan w:val="23"/>
          </w:tcPr>
          <w:p>
            <w:pPr>
              <w:spacing w:after="0" w:line="129" w:lineRule="exact"/>
              <w:rPr>
                <w:rFonts w:ascii="Arial" w:cs="Arial" w:eastAsia="Arial" w:hAnsi="Arial"/>
                <w:sz w:val="14"/>
                <w:szCs w:val="14"/>
                <w:color w:val="0000FF"/>
                <w:w w:val="92"/>
              </w:rPr>
            </w:pPr>
            <w:hyperlink r:id="rId54">
              <w:r>
                <w:rPr>
                  <w:rFonts w:ascii="Arial" w:cs="Arial" w:eastAsia="Arial" w:hAnsi="Arial"/>
                  <w:sz w:val="14"/>
                  <w:szCs w:val="14"/>
                  <w:color w:val="0000FF"/>
                  <w:w w:val="92"/>
                </w:rPr>
                <w:t>of May 15, 2019, among CenterPoint Energy, as</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80" w:type="dxa"/>
            <w:vAlign w:val="bottom"/>
            <w:tcBorders>
              <w:top w:val="single" w:sz="8" w:color="0000FF"/>
              <w:bottom w:val="single" w:sz="8" w:color="0000FF"/>
            </w:tcBorders>
            <w:gridSpan w:val="22"/>
          </w:tcPr>
          <w:p>
            <w:pPr>
              <w:spacing w:after="0" w:line="129" w:lineRule="exact"/>
              <w:rPr>
                <w:rFonts w:ascii="Arial" w:cs="Arial" w:eastAsia="Arial" w:hAnsi="Arial"/>
                <w:sz w:val="14"/>
                <w:szCs w:val="14"/>
                <w:color w:val="0000FF"/>
                <w:w w:val="94"/>
              </w:rPr>
            </w:pPr>
            <w:hyperlink r:id="rId54">
              <w:r>
                <w:rPr>
                  <w:rFonts w:ascii="Arial" w:cs="Arial" w:eastAsia="Arial" w:hAnsi="Arial"/>
                  <w:sz w:val="14"/>
                  <w:szCs w:val="14"/>
                  <w:color w:val="0000FF"/>
                  <w:w w:val="94"/>
                </w:rPr>
                <w:t>Borrower, Mizuho Bank, Ltd., as Administrative</w:t>
              </w:r>
            </w:hyperlink>
          </w:p>
        </w:tc>
        <w:tc>
          <w:tcPr>
            <w:tcW w:w="40" w:type="dxa"/>
            <w:vAlign w:val="bottom"/>
            <w:tcBorders>
              <w:bottom w:val="single" w:sz="8" w:color="0000FF"/>
            </w:tcBorders>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gridSpan w:val="24"/>
          </w:tcPr>
          <w:p>
            <w:pPr>
              <w:spacing w:after="0" w:line="123" w:lineRule="exact"/>
              <w:rPr>
                <w:rFonts w:ascii="Arial" w:cs="Arial" w:eastAsia="Arial" w:hAnsi="Arial"/>
                <w:sz w:val="14"/>
                <w:szCs w:val="14"/>
                <w:u w:val="single" w:color="auto"/>
                <w:color w:val="0000FF"/>
                <w:w w:val="93"/>
              </w:rPr>
            </w:pPr>
            <w:hyperlink r:id="rId54">
              <w:r>
                <w:rPr>
                  <w:rFonts w:ascii="Arial" w:cs="Arial" w:eastAsia="Arial" w:hAnsi="Arial"/>
                  <w:sz w:val="14"/>
                  <w:szCs w:val="14"/>
                  <w:u w:val="single" w:color="auto"/>
                  <w:color w:val="0000FF"/>
                  <w:w w:val="93"/>
                </w:rPr>
                <w:t>Agent and Lead Arranger, and the banks named</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u w:val="single" w:color="auto"/>
                <w:color w:val="0000FF"/>
              </w:rPr>
            </w:pPr>
            <w:hyperlink r:id="rId54">
              <w:r>
                <w:rPr>
                  <w:rFonts w:ascii="Arial" w:cs="Arial" w:eastAsia="Arial" w:hAnsi="Arial"/>
                  <w:sz w:val="14"/>
                  <w:szCs w:val="14"/>
                  <w:u w:val="single" w:color="auto"/>
                  <w:color w:val="0000FF"/>
                </w:rPr>
                <w:t>therein</w:t>
              </w:r>
            </w:hyperlink>
          </w:p>
        </w:tc>
        <w:tc>
          <w:tcPr>
            <w:tcW w:w="0" w:type="dxa"/>
            <w:vAlign w:val="bottom"/>
          </w:tcPr>
          <w:p>
            <w:pPr>
              <w:spacing w:after="0"/>
              <w:rPr>
                <w:sz w:val="1"/>
                <w:szCs w:val="1"/>
                <w:color w:val="auto"/>
              </w:rPr>
            </w:pPr>
          </w:p>
        </w:tc>
      </w:tr>
      <w:tr>
        <w:trPr>
          <w:trHeight w:val="174"/>
        </w:trPr>
        <w:tc>
          <w:tcPr>
            <w:tcW w:w="7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r:id="rId55">
              <w:r>
                <w:rPr>
                  <w:rFonts w:ascii="Arial" w:cs="Arial" w:eastAsia="Arial" w:hAnsi="Arial"/>
                  <w:sz w:val="14"/>
                  <w:szCs w:val="14"/>
                  <w:color w:val="0000FF"/>
                </w:rPr>
                <w:t>Second Amendment to the CenterPoint Energy</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Borders>
              <w:top w:val="single" w:sz="8" w:color="0000FF"/>
            </w:tcBorders>
            <w:gridSpan w:val="19"/>
          </w:tcPr>
          <w:p>
            <w:pPr>
              <w:spacing w:after="0" w:line="129" w:lineRule="exact"/>
              <w:rPr>
                <w:rFonts w:ascii="Arial" w:cs="Arial" w:eastAsia="Arial" w:hAnsi="Arial"/>
                <w:sz w:val="14"/>
                <w:szCs w:val="14"/>
                <w:color w:val="0000FF"/>
                <w:w w:val="88"/>
              </w:rPr>
            </w:pPr>
            <w:hyperlink r:id="rId55">
              <w:r>
                <w:rPr>
                  <w:rFonts w:ascii="Arial" w:cs="Arial" w:eastAsia="Arial" w:hAnsi="Arial"/>
                  <w:sz w:val="14"/>
                  <w:szCs w:val="14"/>
                  <w:color w:val="0000FF"/>
                  <w:w w:val="88"/>
                </w:rPr>
                <w:t>Savings Restoration Plan, effective as of January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9"/>
              </w:rPr>
            </w:pPr>
            <w:hyperlink r:id="rId55">
              <w:r>
                <w:rPr>
                  <w:rFonts w:ascii="Arial" w:cs="Arial" w:eastAsia="Arial" w:hAnsi="Arial"/>
                  <w:sz w:val="14"/>
                  <w:szCs w:val="14"/>
                  <w:color w:val="0000FF"/>
                  <w:w w:val="89"/>
                </w:rPr>
                <w:t>1, 2020</w:t>
              </w:r>
            </w:hyperlink>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w w:val="98"/>
              </w:rPr>
            </w:pPr>
            <w:hyperlink r:id="rId56">
              <w:r>
                <w:rPr>
                  <w:rFonts w:ascii="Arial" w:cs="Arial" w:eastAsia="Arial" w:hAnsi="Arial"/>
                  <w:sz w:val="14"/>
                  <w:szCs w:val="14"/>
                  <w:color w:val="0000FF"/>
                  <w:w w:val="98"/>
                </w:rPr>
                <w:t>First Amendment to the Amended and Restated</w:t>
              </w:r>
            </w:hyperlink>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CenterPoint Energy Stock Plan for Outside</w:t>
              </w:r>
            </w:hyperlink>
          </w:p>
        </w:tc>
        <w:tc>
          <w:tcPr>
            <w:tcW w:w="20" w:type="dxa"/>
            <w:vAlign w:val="bottom"/>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8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Directors</w:t>
              </w:r>
            </w:hyperlink>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120" w:type="dxa"/>
            <w:vAlign w:val="bottom"/>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tcBorders>
              <w:bottom w:val="single" w:sz="8" w:color="0000FF"/>
            </w:tcBorders>
            <w:gridSpan w:val="15"/>
          </w:tcPr>
          <w:p>
            <w:pPr>
              <w:spacing w:after="0"/>
              <w:rPr>
                <w:rFonts w:ascii="Arial" w:cs="Arial" w:eastAsia="Arial" w:hAnsi="Arial"/>
                <w:sz w:val="14"/>
                <w:szCs w:val="14"/>
                <w:color w:val="0000FF"/>
                <w:w w:val="90"/>
              </w:rPr>
            </w:pPr>
            <w:hyperlink r:id="rId57">
              <w:r>
                <w:rPr>
                  <w:rFonts w:ascii="Arial" w:cs="Arial" w:eastAsia="Arial" w:hAnsi="Arial"/>
                  <w:sz w:val="14"/>
                  <w:szCs w:val="14"/>
                  <w:color w:val="0000FF"/>
                  <w:w w:val="90"/>
                </w:rPr>
                <w:t>Separation and Release Agreement between</w:t>
              </w:r>
            </w:hyperlink>
          </w:p>
        </w:tc>
        <w:tc>
          <w:tcPr>
            <w:tcW w:w="3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gridSpan w:val="30"/>
          </w:tcPr>
          <w:p>
            <w:pPr>
              <w:spacing w:after="0" w:line="129" w:lineRule="exact"/>
              <w:rPr>
                <w:rFonts w:ascii="Arial" w:cs="Arial" w:eastAsia="Arial" w:hAnsi="Arial"/>
                <w:sz w:val="14"/>
                <w:szCs w:val="14"/>
                <w:color w:val="0000FF"/>
                <w:w w:val="94"/>
              </w:rPr>
            </w:pPr>
            <w:hyperlink r:id="rId57">
              <w:r>
                <w:rPr>
                  <w:rFonts w:ascii="Arial" w:cs="Arial" w:eastAsia="Arial" w:hAnsi="Arial"/>
                  <w:sz w:val="14"/>
                  <w:szCs w:val="14"/>
                  <w:color w:val="0000FF"/>
                  <w:w w:val="94"/>
                </w:rPr>
                <w:t>CenterPoint Energy, Inc. and Scott M. Prochazka,</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1"/>
              </w:rPr>
            </w:pPr>
            <w:hyperlink r:id="rId57">
              <w:r>
                <w:rPr>
                  <w:rFonts w:ascii="Arial" w:cs="Arial" w:eastAsia="Arial" w:hAnsi="Arial"/>
                  <w:sz w:val="14"/>
                  <w:szCs w:val="14"/>
                  <w:color w:val="0000FF"/>
                  <w:w w:val="91"/>
                </w:rPr>
                <w:t>dated March 6, 2020</w:t>
              </w:r>
            </w:hyperlink>
          </w:p>
        </w:tc>
        <w:tc>
          <w:tcPr>
            <w:tcW w:w="172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r:id="rId58">
              <w:r>
                <w:rPr>
                  <w:rFonts w:ascii="Arial" w:cs="Arial" w:eastAsia="Arial" w:hAnsi="Arial"/>
                  <w:sz w:val="14"/>
                  <w:szCs w:val="14"/>
                  <w:color w:val="0000FF"/>
                </w:rPr>
                <w:t>Form of Award Agreement for Restricted Stock</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5"/>
              </w:rPr>
            </w:pPr>
            <w:hyperlink r:id="rId58">
              <w:r>
                <w:rPr>
                  <w:rFonts w:ascii="Arial" w:cs="Arial" w:eastAsia="Arial" w:hAnsi="Arial"/>
                  <w:sz w:val="14"/>
                  <w:szCs w:val="14"/>
                  <w:color w:val="0000FF"/>
                  <w:w w:val="95"/>
                </w:rPr>
                <w:t>Unit Awards</w:t>
              </w:r>
            </w:hyperlink>
          </w:p>
        </w:tc>
        <w:tc>
          <w:tcPr>
            <w:tcW w:w="2020" w:type="dxa"/>
            <w:vAlign w:val="bottom"/>
            <w:tcBorders>
              <w:top w:val="single" w:sz="8" w:color="0000FF"/>
            </w:tcBorders>
            <w:gridSpan w:val="16"/>
          </w:tcPr>
          <w:p>
            <w:pPr>
              <w:spacing w:after="0"/>
              <w:rPr>
                <w:sz w:val="11"/>
                <w:szCs w:val="11"/>
                <w:color w:val="auto"/>
              </w:rPr>
            </w:pPr>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r:id="rId59">
              <w:r>
                <w:rPr>
                  <w:rFonts w:ascii="Arial" w:cs="Arial" w:eastAsia="Arial" w:hAnsi="Arial"/>
                  <w:sz w:val="14"/>
                  <w:szCs w:val="14"/>
                  <w:color w:val="0000FF"/>
                </w:rPr>
                <w:t>Form of Award Agreement for Performance</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Share Units</w:t>
              </w:r>
            </w:hyperlink>
          </w:p>
        </w:tc>
        <w:tc>
          <w:tcPr>
            <w:tcW w:w="160" w:type="dxa"/>
            <w:vAlign w:val="bottom"/>
            <w:gridSpan w:val="4"/>
          </w:tcPr>
          <w:p>
            <w:pPr>
              <w:spacing w:after="0"/>
              <w:rPr>
                <w:sz w:val="11"/>
                <w:szCs w:val="11"/>
                <w:color w:val="auto"/>
              </w:rPr>
            </w:pPr>
          </w:p>
        </w:tc>
        <w:tc>
          <w:tcPr>
            <w:tcW w:w="18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30"/>
          </w:tcPr>
          <w:p>
            <w:pPr>
              <w:spacing w:after="0"/>
              <w:rPr>
                <w:rFonts w:ascii="Arial" w:cs="Arial" w:eastAsia="Arial" w:hAnsi="Arial"/>
                <w:sz w:val="14"/>
                <w:szCs w:val="14"/>
                <w:color w:val="0000FF"/>
              </w:rPr>
            </w:pPr>
            <w:hyperlink r:id="rId60">
              <w:r>
                <w:rPr>
                  <w:rFonts w:ascii="Arial" w:cs="Arial" w:eastAsia="Arial" w:hAnsi="Arial"/>
                  <w:sz w:val="14"/>
                  <w:szCs w:val="14"/>
                  <w:color w:val="0000FF"/>
                </w:rPr>
                <w:t>Form of Award Agreement for Restricted Stock</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5"/>
              </w:rPr>
            </w:pPr>
            <w:hyperlink r:id="rId60">
              <w:r>
                <w:rPr>
                  <w:rFonts w:ascii="Arial" w:cs="Arial" w:eastAsia="Arial" w:hAnsi="Arial"/>
                  <w:sz w:val="14"/>
                  <w:szCs w:val="14"/>
                  <w:color w:val="0000FF"/>
                  <w:w w:val="95"/>
                </w:rPr>
                <w:t>Unit Awards</w:t>
              </w:r>
            </w:hyperlink>
          </w:p>
        </w:tc>
        <w:tc>
          <w:tcPr>
            <w:tcW w:w="2020" w:type="dxa"/>
            <w:vAlign w:val="bottom"/>
            <w:tcBorders>
              <w:top w:val="single" w:sz="8" w:color="0000FF"/>
            </w:tcBorders>
            <w:gridSpan w:val="16"/>
          </w:tcPr>
          <w:p>
            <w:pPr>
              <w:spacing w:after="0"/>
              <w:rPr>
                <w:sz w:val="11"/>
                <w:szCs w:val="11"/>
                <w:color w:val="auto"/>
              </w:rPr>
            </w:pPr>
          </w:p>
        </w:tc>
        <w:tc>
          <w:tcPr>
            <w:tcW w:w="120" w:type="dxa"/>
            <w:vAlign w:val="bottom"/>
            <w:gridSpan w:val="6"/>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30"/>
          </w:tcPr>
          <w:p>
            <w:pPr>
              <w:spacing w:after="0"/>
              <w:rPr>
                <w:rFonts w:ascii="Arial" w:cs="Arial" w:eastAsia="Arial" w:hAnsi="Arial"/>
                <w:sz w:val="14"/>
                <w:szCs w:val="14"/>
                <w:color w:val="0000FF"/>
              </w:rPr>
            </w:pPr>
            <w:hyperlink w:anchor="page114">
              <w:r>
                <w:rPr>
                  <w:rFonts w:ascii="Arial" w:cs="Arial" w:eastAsia="Arial" w:hAnsi="Arial"/>
                  <w:sz w:val="14"/>
                  <w:szCs w:val="14"/>
                  <w:color w:val="0000FF"/>
                </w:rPr>
                <w:t>Rule 13a-14(a)/15d-14(a) Certification of John</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w:anchor="page114">
              <w:r>
                <w:rPr>
                  <w:rFonts w:ascii="Arial" w:cs="Arial" w:eastAsia="Arial" w:hAnsi="Arial"/>
                  <w:sz w:val="14"/>
                  <w:szCs w:val="14"/>
                  <w:color w:val="0000FF"/>
                </w:rPr>
                <w:t>W. Somerhalder II</w:t>
              </w:r>
            </w:hyperlink>
          </w:p>
        </w:tc>
        <w:tc>
          <w:tcPr>
            <w:tcW w:w="18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w:anchor="page115">
              <w:r>
                <w:rPr>
                  <w:rFonts w:ascii="Arial" w:cs="Arial" w:eastAsia="Arial" w:hAnsi="Arial"/>
                  <w:sz w:val="14"/>
                  <w:szCs w:val="14"/>
                  <w:color w:val="0000FF"/>
                </w:rPr>
                <w:t>Rule 13a-14(a)/15d-14(a) Certification of John</w:t>
              </w:r>
            </w:hyperlink>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w:anchor="page115">
              <w:r>
                <w:rPr>
                  <w:rFonts w:ascii="Arial" w:cs="Arial" w:eastAsia="Arial" w:hAnsi="Arial"/>
                  <w:sz w:val="14"/>
                  <w:szCs w:val="14"/>
                  <w:color w:val="0000FF"/>
                </w:rPr>
                <w:t>W. Somerhalder II</w:t>
              </w:r>
            </w:hyperlink>
          </w:p>
        </w:tc>
        <w:tc>
          <w:tcPr>
            <w:tcW w:w="18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w:anchor="page116">
              <w:r>
                <w:rPr>
                  <w:rFonts w:ascii="Arial" w:cs="Arial" w:eastAsia="Arial" w:hAnsi="Arial"/>
                  <w:sz w:val="14"/>
                  <w:szCs w:val="14"/>
                  <w:color w:val="0000FF"/>
                </w:rPr>
                <w:t>Rule 13a-14(a)/15d-14(a) Certification of John</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w:anchor="page116">
              <w:r>
                <w:rPr>
                  <w:rFonts w:ascii="Arial" w:cs="Arial" w:eastAsia="Arial" w:hAnsi="Arial"/>
                  <w:sz w:val="14"/>
                  <w:szCs w:val="14"/>
                  <w:color w:val="0000FF"/>
                </w:rPr>
                <w:t>W. Somerhalder II</w:t>
              </w:r>
            </w:hyperlink>
          </w:p>
        </w:tc>
        <w:tc>
          <w:tcPr>
            <w:tcW w:w="18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0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w w:val="99"/>
              </w:rPr>
            </w:pPr>
            <w:hyperlink w:anchor="page117">
              <w:r>
                <w:rPr>
                  <w:rFonts w:ascii="Arial" w:cs="Arial" w:eastAsia="Arial" w:hAnsi="Arial"/>
                  <w:sz w:val="14"/>
                  <w:szCs w:val="14"/>
                  <w:color w:val="0000FF"/>
                  <w:w w:val="99"/>
                </w:rPr>
                <w:t>Rule 13a-14(a)/15d-14(a) Certification of Kristie</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9"/>
              </w:rPr>
            </w:pPr>
            <w:hyperlink w:anchor="page117">
              <w:r>
                <w:rPr>
                  <w:rFonts w:ascii="Arial" w:cs="Arial" w:eastAsia="Arial" w:hAnsi="Arial"/>
                  <w:sz w:val="14"/>
                  <w:szCs w:val="14"/>
                  <w:color w:val="0000FF"/>
                  <w:w w:val="99"/>
                </w:rPr>
                <w:t>L. Colvin</w:t>
              </w:r>
            </w:hyperlink>
          </w:p>
        </w:tc>
        <w:tc>
          <w:tcPr>
            <w:tcW w:w="2320" w:type="dxa"/>
            <w:vAlign w:val="bottom"/>
            <w:tcBorders>
              <w:top w:val="single" w:sz="8" w:color="0000FF"/>
            </w:tcBorders>
            <w:gridSpan w:val="24"/>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w w:val="99"/>
              </w:rPr>
            </w:pPr>
            <w:hyperlink w:anchor="page118">
              <w:r>
                <w:rPr>
                  <w:rFonts w:ascii="Arial" w:cs="Arial" w:eastAsia="Arial" w:hAnsi="Arial"/>
                  <w:sz w:val="14"/>
                  <w:szCs w:val="14"/>
                  <w:color w:val="0000FF"/>
                  <w:w w:val="99"/>
                </w:rPr>
                <w:t>Rule 13a-14(a)/15d-14(a) Certification of Kristie</w:t>
              </w:r>
            </w:hyperlink>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9"/>
              </w:rPr>
            </w:pPr>
            <w:hyperlink w:anchor="page118">
              <w:r>
                <w:rPr>
                  <w:rFonts w:ascii="Arial" w:cs="Arial" w:eastAsia="Arial" w:hAnsi="Arial"/>
                  <w:sz w:val="14"/>
                  <w:szCs w:val="14"/>
                  <w:color w:val="0000FF"/>
                  <w:w w:val="99"/>
                </w:rPr>
                <w:t>L. Colvin</w:t>
              </w:r>
            </w:hyperlink>
          </w:p>
        </w:tc>
        <w:tc>
          <w:tcPr>
            <w:tcW w:w="2320" w:type="dxa"/>
            <w:vAlign w:val="bottom"/>
            <w:tcBorders>
              <w:top w:val="single" w:sz="8" w:color="0000FF"/>
            </w:tcBorders>
            <w:gridSpan w:val="24"/>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+31.2.3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w w:val="99"/>
              </w:rPr>
            </w:pPr>
            <w:hyperlink w:anchor="page119">
              <w:r>
                <w:rPr>
                  <w:rFonts w:ascii="Arial" w:cs="Arial" w:eastAsia="Arial" w:hAnsi="Arial"/>
                  <w:sz w:val="14"/>
                  <w:szCs w:val="14"/>
                  <w:color w:val="0000FF"/>
                  <w:w w:val="99"/>
                </w:rPr>
                <w:t>Rule 13a-14(a)/15d-14(a) Certification of Kristie</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9"/>
              </w:rPr>
            </w:pPr>
            <w:hyperlink w:anchor="page119">
              <w:r>
                <w:rPr>
                  <w:rFonts w:ascii="Arial" w:cs="Arial" w:eastAsia="Arial" w:hAnsi="Arial"/>
                  <w:sz w:val="14"/>
                  <w:szCs w:val="14"/>
                  <w:color w:val="0000FF"/>
                  <w:w w:val="99"/>
                </w:rPr>
                <w:t>L. Colvin</w:t>
              </w:r>
            </w:hyperlink>
          </w:p>
        </w:tc>
        <w:tc>
          <w:tcPr>
            <w:tcW w:w="2320" w:type="dxa"/>
            <w:vAlign w:val="bottom"/>
            <w:tcBorders>
              <w:top w:val="single" w:sz="8" w:color="0000FF"/>
            </w:tcBorders>
            <w:gridSpan w:val="24"/>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w:anchor="page120">
              <w:r>
                <w:rPr>
                  <w:rFonts w:ascii="Arial" w:cs="Arial" w:eastAsia="Arial" w:hAnsi="Arial"/>
                  <w:sz w:val="14"/>
                  <w:szCs w:val="14"/>
                  <w:color w:val="0000FF"/>
                </w:rPr>
                <w:t>Section 1350 Certification of John W.</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3"/>
              </w:rPr>
            </w:pPr>
            <w:hyperlink w:anchor="page120">
              <w:r>
                <w:rPr>
                  <w:rFonts w:ascii="Arial" w:cs="Arial" w:eastAsia="Arial" w:hAnsi="Arial"/>
                  <w:sz w:val="14"/>
                  <w:szCs w:val="14"/>
                  <w:color w:val="0000FF"/>
                  <w:w w:val="93"/>
                </w:rPr>
                <w:t>Somerhalder II</w:t>
              </w:r>
            </w:hyperlink>
          </w:p>
        </w:tc>
        <w:tc>
          <w:tcPr>
            <w:tcW w:w="1300" w:type="dxa"/>
            <w:vAlign w:val="bottom"/>
            <w:tcBorders>
              <w:top w:val="single" w:sz="8" w:color="0000FF"/>
            </w:tcBorders>
            <w:gridSpan w:val="3"/>
          </w:tcPr>
          <w:p>
            <w:pPr>
              <w:spacing w:after="0"/>
              <w:rPr>
                <w:sz w:val="11"/>
                <w:szCs w:val="11"/>
                <w:color w:val="auto"/>
              </w:rPr>
            </w:pPr>
          </w:p>
        </w:tc>
        <w:tc>
          <w:tcPr>
            <w:tcW w:w="760" w:type="dxa"/>
            <w:vAlign w:val="bottom"/>
            <w:gridSpan w:val="20"/>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Section 1350 Certification of John W.</w:t>
              </w:r>
            </w:hyperlink>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3"/>
              </w:rPr>
            </w:pPr>
            <w:hyperlink w:anchor="page121">
              <w:r>
                <w:rPr>
                  <w:rFonts w:ascii="Arial" w:cs="Arial" w:eastAsia="Arial" w:hAnsi="Arial"/>
                  <w:sz w:val="14"/>
                  <w:szCs w:val="14"/>
                  <w:color w:val="0000FF"/>
                  <w:w w:val="93"/>
                </w:rPr>
                <w:t>Somerhalder II</w:t>
              </w:r>
            </w:hyperlink>
          </w:p>
        </w:tc>
        <w:tc>
          <w:tcPr>
            <w:tcW w:w="1300" w:type="dxa"/>
            <w:vAlign w:val="bottom"/>
            <w:tcBorders>
              <w:top w:val="single" w:sz="8" w:color="0000FF"/>
            </w:tcBorders>
            <w:gridSpan w:val="3"/>
          </w:tcPr>
          <w:p>
            <w:pPr>
              <w:spacing w:after="0"/>
              <w:rPr>
                <w:sz w:val="11"/>
                <w:szCs w:val="11"/>
                <w:color w:val="auto"/>
              </w:rPr>
            </w:pPr>
          </w:p>
        </w:tc>
        <w:tc>
          <w:tcPr>
            <w:tcW w:w="760" w:type="dxa"/>
            <w:vAlign w:val="bottom"/>
            <w:gridSpan w:val="20"/>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Section 1350 Certification of John W.</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3"/>
              </w:rPr>
            </w:pPr>
            <w:hyperlink w:anchor="page122">
              <w:r>
                <w:rPr>
                  <w:rFonts w:ascii="Arial" w:cs="Arial" w:eastAsia="Arial" w:hAnsi="Arial"/>
                  <w:sz w:val="14"/>
                  <w:szCs w:val="14"/>
                  <w:color w:val="0000FF"/>
                  <w:w w:val="93"/>
                </w:rPr>
                <w:t>Somerhalder II</w:t>
              </w:r>
            </w:hyperlink>
          </w:p>
        </w:tc>
        <w:tc>
          <w:tcPr>
            <w:tcW w:w="1300" w:type="dxa"/>
            <w:vAlign w:val="bottom"/>
            <w:tcBorders>
              <w:top w:val="single" w:sz="8" w:color="0000FF"/>
            </w:tcBorders>
            <w:gridSpan w:val="3"/>
          </w:tcPr>
          <w:p>
            <w:pPr>
              <w:spacing w:after="0"/>
              <w:rPr>
                <w:sz w:val="11"/>
                <w:szCs w:val="11"/>
                <w:color w:val="auto"/>
              </w:rPr>
            </w:pPr>
          </w:p>
        </w:tc>
        <w:tc>
          <w:tcPr>
            <w:tcW w:w="760" w:type="dxa"/>
            <w:vAlign w:val="bottom"/>
            <w:gridSpan w:val="2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gridSpan w:val="30"/>
          </w:tcPr>
          <w:p>
            <w:pPr>
              <w:spacing w:after="0"/>
              <w:rPr>
                <w:rFonts w:ascii="Arial" w:cs="Arial" w:eastAsia="Arial" w:hAnsi="Arial"/>
                <w:sz w:val="14"/>
                <w:szCs w:val="14"/>
                <w:u w:val="single" w:color="auto"/>
                <w:color w:val="0000FF"/>
              </w:rPr>
            </w:pPr>
            <w:hyperlink w:anchor="page123">
              <w:r>
                <w:rPr>
                  <w:rFonts w:ascii="Arial" w:cs="Arial" w:eastAsia="Arial" w:hAnsi="Arial"/>
                  <w:sz w:val="14"/>
                  <w:szCs w:val="14"/>
                  <w:u w:val="single" w:color="auto"/>
                  <w:color w:val="0000FF"/>
                </w:rPr>
                <w:t>Section 1350 Certification of Kristie L. Colvin</w:t>
              </w:r>
            </w:hyperlink>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30"/>
          </w:tcPr>
          <w:p>
            <w:pPr>
              <w:spacing w:after="0"/>
              <w:rPr>
                <w:rFonts w:ascii="Arial" w:cs="Arial" w:eastAsia="Arial" w:hAnsi="Arial"/>
                <w:sz w:val="14"/>
                <w:szCs w:val="14"/>
                <w:u w:val="single" w:color="auto"/>
                <w:color w:val="0000FF"/>
              </w:rPr>
            </w:pPr>
            <w:hyperlink w:anchor="page124">
              <w:r>
                <w:rPr>
                  <w:rFonts w:ascii="Arial" w:cs="Arial" w:eastAsia="Arial" w:hAnsi="Arial"/>
                  <w:sz w:val="14"/>
                  <w:szCs w:val="14"/>
                  <w:u w:val="single" w:color="auto"/>
                  <w:color w:val="0000FF"/>
                </w:rPr>
                <w:t>Section 1350 Certification of Kristie L. Colvin</w:t>
              </w:r>
            </w:hyperlink>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40" w:type="dxa"/>
            <w:vAlign w:val="bottom"/>
            <w:gridSpan w:val="30"/>
          </w:tcPr>
          <w:p>
            <w:pPr>
              <w:spacing w:after="0"/>
              <w:rPr>
                <w:rFonts w:ascii="Arial" w:cs="Arial" w:eastAsia="Arial" w:hAnsi="Arial"/>
                <w:sz w:val="14"/>
                <w:szCs w:val="14"/>
                <w:u w:val="single" w:color="auto"/>
                <w:color w:val="0000FF"/>
              </w:rPr>
            </w:pPr>
            <w:hyperlink w:anchor="page125">
              <w:r>
                <w:rPr>
                  <w:rFonts w:ascii="Arial" w:cs="Arial" w:eastAsia="Arial" w:hAnsi="Arial"/>
                  <w:sz w:val="14"/>
                  <w:szCs w:val="14"/>
                  <w:u w:val="single" w:color="auto"/>
                  <w:color w:val="0000FF"/>
                </w:rPr>
                <w:t>Section 1350 Certification of Kristie L. Colvin</w:t>
              </w:r>
            </w:hyperlink>
          </w:p>
        </w:tc>
        <w:tc>
          <w:tcPr>
            <w:tcW w:w="0" w:type="dxa"/>
            <w:vAlign w:val="bottom"/>
          </w:tcPr>
          <w:p>
            <w:pPr>
              <w:spacing w:after="0"/>
              <w:rPr>
                <w:sz w:val="1"/>
                <w:szCs w:val="1"/>
                <w:color w:val="auto"/>
              </w:rPr>
            </w:pPr>
          </w:p>
        </w:tc>
      </w:tr>
      <w:tr>
        <w:trPr>
          <w:trHeight w:val="236"/>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+101.INS</w:t>
            </w:r>
          </w:p>
        </w:tc>
        <w:tc>
          <w:tcPr>
            <w:tcW w:w="20" w:type="dxa"/>
            <w:vAlign w:val="bottom"/>
          </w:tcPr>
          <w:p>
            <w:pPr>
              <w:spacing w:after="0"/>
              <w:rPr>
                <w:sz w:val="20"/>
                <w:szCs w:val="20"/>
                <w:color w:val="auto"/>
              </w:rPr>
            </w:pPr>
          </w:p>
        </w:tc>
        <w:tc>
          <w:tcPr>
            <w:tcW w:w="2940" w:type="dxa"/>
            <w:vAlign w:val="bottom"/>
            <w:gridSpan w:val="30"/>
          </w:tcPr>
          <w:p>
            <w:pPr>
              <w:spacing w:after="0"/>
              <w:rPr>
                <w:sz w:val="20"/>
                <w:szCs w:val="20"/>
                <w:color w:val="auto"/>
              </w:rPr>
            </w:pPr>
            <w:r>
              <w:rPr>
                <w:rFonts w:ascii="Arial" w:cs="Arial" w:eastAsia="Arial" w:hAnsi="Arial"/>
                <w:sz w:val="14"/>
                <w:szCs w:val="14"/>
                <w:color w:val="auto"/>
              </w:rPr>
              <w:t>Inline XBRL Instance Document - the instance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gridSpan w:val="30"/>
          </w:tcPr>
          <w:p>
            <w:pPr>
              <w:spacing w:after="0" w:line="149" w:lineRule="exact"/>
              <w:rPr>
                <w:sz w:val="20"/>
                <w:szCs w:val="20"/>
                <w:color w:val="auto"/>
              </w:rPr>
            </w:pPr>
            <w:r>
              <w:rPr>
                <w:rFonts w:ascii="Arial" w:cs="Arial" w:eastAsia="Arial" w:hAnsi="Arial"/>
                <w:sz w:val="14"/>
                <w:szCs w:val="14"/>
                <w:color w:val="auto"/>
                <w:w w:val="95"/>
              </w:rPr>
              <w:t>document does not appear in the Interactive Data</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gridSpan w:val="30"/>
          </w:tcPr>
          <w:p>
            <w:pPr>
              <w:spacing w:after="0" w:line="149" w:lineRule="exact"/>
              <w:rPr>
                <w:sz w:val="20"/>
                <w:szCs w:val="20"/>
                <w:color w:val="auto"/>
              </w:rPr>
            </w:pPr>
            <w:r>
              <w:rPr>
                <w:rFonts w:ascii="Arial" w:cs="Arial" w:eastAsia="Arial" w:hAnsi="Arial"/>
                <w:sz w:val="14"/>
                <w:szCs w:val="14"/>
                <w:color w:val="auto"/>
                <w:w w:val="96"/>
              </w:rPr>
              <w:t>File because its XBRL tags are embedded within</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sz w:val="20"/>
                <w:szCs w:val="20"/>
                <w:color w:val="auto"/>
              </w:rPr>
            </w:pPr>
            <w:r>
              <w:rPr>
                <w:rFonts w:ascii="Arial" w:cs="Arial" w:eastAsia="Arial" w:hAnsi="Arial"/>
                <w:sz w:val="14"/>
                <w:szCs w:val="14"/>
                <w:color w:val="auto"/>
              </w:rPr>
              <w:t>the Inline XBRL document</w:t>
            </w: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+101.SCH</w:t>
            </w:r>
          </w:p>
        </w:tc>
        <w:tc>
          <w:tcPr>
            <w:tcW w:w="20" w:type="dxa"/>
            <w:vAlign w:val="bottom"/>
          </w:tcPr>
          <w:p>
            <w:pPr>
              <w:spacing w:after="0"/>
              <w:rPr>
                <w:sz w:val="14"/>
                <w:szCs w:val="14"/>
                <w:color w:val="auto"/>
              </w:rPr>
            </w:pPr>
          </w:p>
        </w:tc>
        <w:tc>
          <w:tcPr>
            <w:tcW w:w="2940" w:type="dxa"/>
            <w:vAlign w:val="bottom"/>
            <w:gridSpan w:val="30"/>
          </w:tcPr>
          <w:p>
            <w:pPr>
              <w:spacing w:after="0"/>
              <w:rPr>
                <w:sz w:val="20"/>
                <w:szCs w:val="20"/>
                <w:color w:val="auto"/>
              </w:rPr>
            </w:pPr>
            <w:r>
              <w:rPr>
                <w:rFonts w:ascii="Arial" w:cs="Arial" w:eastAsia="Arial" w:hAnsi="Arial"/>
                <w:sz w:val="14"/>
                <w:szCs w:val="14"/>
                <w:color w:val="auto"/>
              </w:rPr>
              <w:t>Inline XBRL Taxonomy Extension Schema</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30"/>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Report or 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20" w:type="dxa"/>
            <w:vAlign w:val="bottom"/>
            <w:gridSpan w:val="2"/>
          </w:tcPr>
          <w:p>
            <w:pPr>
              <w:ind w:left="40"/>
              <w:spacing w:after="0" w:line="156" w:lineRule="exact"/>
              <w:rPr>
                <w:sz w:val="20"/>
                <w:szCs w:val="20"/>
                <w:color w:val="auto"/>
              </w:rPr>
            </w:pPr>
            <w:r>
              <w:rPr>
                <w:rFonts w:ascii="Arial" w:cs="Arial" w:eastAsia="Arial" w:hAnsi="Arial"/>
                <w:sz w:val="14"/>
                <w:szCs w:val="14"/>
                <w:color w:val="auto"/>
              </w:rPr>
              <w:t>Vectren’s Form 8-K dated</w:t>
            </w:r>
          </w:p>
        </w:tc>
        <w:tc>
          <w:tcPr>
            <w:tcW w:w="1120" w:type="dxa"/>
            <w:vAlign w:val="bottom"/>
          </w:tcPr>
          <w:p>
            <w:pPr>
              <w:jc w:val="center"/>
              <w:spacing w:after="0" w:line="156" w:lineRule="exact"/>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July 30, 2018</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Vectren’s Form 8-K dated</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September 18, 2018</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4.17</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10-Q for the quarter ended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June 30, 2019</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8-K dated May 15, 2019</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8-K dated December 9,</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4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10(n)(2)</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Form 10-K for the year</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ended December 31, 2019</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8-K dated March 6, 2020</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8-K dated March 4, 2020</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8-K/A dated March 30,</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4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CenterPoint Energy’s 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8-K/A dated March 30,</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ind w:left="4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48"/>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99</w:t>
      </w:r>
    </w:p>
    <w:p>
      <w:pPr>
        <w:sectPr>
          <w:pgSz w:w="11900" w:h="16838" w:orient="portrait"/>
          <w:cols w:equalWidth="0" w:num="2">
            <w:col w:w="3740" w:space="120"/>
            <w:col w:w="7380"/>
          </w:cols>
          <w:pgMar w:left="320" w:top="125" w:right="339" w:bottom="1440" w:gutter="0" w:footer="0" w:header="0"/>
          <w:type w:val="continuous"/>
        </w:sectPr>
      </w:pPr>
    </w:p>
    <w:bookmarkStart w:id="111" w:name="page112"/>
    <w:bookmarkEnd w:id="1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Report or 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gridSpan w:val="2"/>
            <w:vMerge w:val="continue"/>
          </w:tcPr>
          <w:p>
            <w:pPr>
              <w:spacing w:after="0"/>
              <w:rPr>
                <w:sz w:val="12"/>
                <w:szCs w:val="12"/>
                <w:color w:val="auto"/>
              </w:rPr>
            </w:pPr>
          </w:p>
        </w:tc>
        <w:tc>
          <w:tcPr>
            <w:tcW w:w="29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2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w w:val="98"/>
              </w:rPr>
              <w:t>+101.CAL</w:t>
            </w:r>
          </w:p>
        </w:tc>
        <w:tc>
          <w:tcPr>
            <w:tcW w:w="304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Inline XBRL Taxonomy Extension Calculation</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56"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Definition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rPr>
              <w:t>+101.LAB</w:t>
            </w: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Labels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+101.PRE</w:t>
            </w: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Inline XBRL Taxonomy Extension Presentation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14"/>
                <w:szCs w:val="14"/>
                <w:color w:val="auto"/>
              </w:rPr>
            </w:pP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Cover Page Interactive Data File (formatted as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2"/>
          </w:tcPr>
          <w:p>
            <w:pPr>
              <w:ind w:left="20"/>
              <w:spacing w:after="0"/>
              <w:rPr>
                <w:sz w:val="20"/>
                <w:szCs w:val="20"/>
                <w:color w:val="auto"/>
              </w:rPr>
            </w:pPr>
            <w:r>
              <w:rPr>
                <w:rFonts w:ascii="Arial" w:cs="Arial" w:eastAsia="Arial" w:hAnsi="Arial"/>
                <w:sz w:val="14"/>
                <w:szCs w:val="14"/>
                <w:color w:val="auto"/>
              </w:rPr>
              <w:t>Inline XBRL and contained in Exhibit 101)</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40" w:right="800" w:hanging="212"/>
        <w:spacing w:after="0" w:line="263" w:lineRule="auto"/>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44"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CENTERPOINT ENERGY, INC.</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8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917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Kristie L. Colvin</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and 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25"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W. Somerhalder II, certify that:</w:t>
      </w:r>
    </w:p>
    <w:p>
      <w:pPr>
        <w:spacing w:after="0" w:line="225" w:lineRule="exact"/>
        <w:rPr>
          <w:sz w:val="20"/>
          <w:szCs w:val="20"/>
          <w:color w:val="auto"/>
        </w:rPr>
      </w:pPr>
    </w:p>
    <w:p>
      <w:pPr>
        <w:ind w:left="1440" w:hanging="784"/>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John W. Somerhalder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John W. Somerhalder II</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Interim President and Chief Executive Officer</w:t>
      </w:r>
    </w:p>
    <w:p>
      <w:pPr>
        <w:sectPr>
          <w:pgSz w:w="11900" w:h="16838" w:orient="portrait"/>
          <w:cols w:equalWidth="0" w:num="1">
            <w:col w:w="11240"/>
          </w:cols>
          <w:pgMar w:left="320" w:top="55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W. Somerhalder II, certify that:</w:t>
      </w:r>
    </w:p>
    <w:p>
      <w:pPr>
        <w:spacing w:after="0" w:line="225"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John W. Somerhalder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John W. Somerhalder II</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Interim Manager and Chairman (Principal Executive Officer)</w:t>
      </w:r>
    </w:p>
    <w:p>
      <w:pPr>
        <w:sectPr>
          <w:pgSz w:w="11900" w:h="16838" w:orient="portrait"/>
          <w:cols w:equalWidth="0" w:num="1">
            <w:col w:w="11240"/>
          </w:cols>
          <w:pgMar w:left="320" w:top="55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31.1.3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W. Somerhalder II, certify that:</w:t>
      </w:r>
    </w:p>
    <w:p>
      <w:pPr>
        <w:spacing w:after="0" w:line="225" w:lineRule="exact"/>
        <w:rPr>
          <w:sz w:val="20"/>
          <w:szCs w:val="20"/>
          <w:color w:val="auto"/>
        </w:rPr>
      </w:pPr>
    </w:p>
    <w:p>
      <w:pPr>
        <w:ind w:left="1280" w:hanging="624"/>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left="1300" w:right="12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right="460" w:hanging="644"/>
        <w:spacing w:after="0" w:line="342" w:lineRule="auto"/>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W. Somerhalder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854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W. Somerhalder II</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Interim President and Chief Executive Officer</w:t>
      </w:r>
    </w:p>
    <w:p>
      <w:pPr>
        <w:sectPr>
          <w:pgSz w:w="11900" w:h="16838" w:orient="portrait"/>
          <w:cols w:equalWidth="0" w:num="1">
            <w:col w:w="11240"/>
          </w:cols>
          <w:pgMar w:left="320" w:top="557"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31.2.1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Kristie L. Colvin, certify that:</w:t>
      </w:r>
    </w:p>
    <w:p>
      <w:pPr>
        <w:spacing w:after="0" w:line="225" w:lineRule="exact"/>
        <w:rPr>
          <w:sz w:val="20"/>
          <w:szCs w:val="20"/>
          <w:color w:val="auto"/>
        </w:rPr>
      </w:pPr>
    </w:p>
    <w:p>
      <w:pPr>
        <w:ind w:left="1440" w:hanging="784"/>
        <w:spacing w:after="0"/>
        <w:tabs>
          <w:tab w:leader="none" w:pos="1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1240"/>
          </w:cols>
          <w:pgMar w:left="320" w:top="55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31.2.2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Kristie L. Colvin, certify that:</w:t>
      </w:r>
    </w:p>
    <w:p>
      <w:pPr>
        <w:spacing w:after="0" w:line="225" w:lineRule="exact"/>
        <w:rPr>
          <w:sz w:val="20"/>
          <w:szCs w:val="20"/>
          <w:color w:val="auto"/>
        </w:rPr>
      </w:pPr>
    </w:p>
    <w:p>
      <w:pPr>
        <w:ind w:left="1440" w:hanging="784"/>
        <w:spacing w:after="0"/>
        <w:tabs>
          <w:tab w:leader="none" w:pos="14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1240"/>
          </w:cols>
          <w:pgMar w:left="320" w:top="557"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31.2.3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Kristie L. Colvin, certify that:</w:t>
      </w:r>
    </w:p>
    <w:p>
      <w:pPr>
        <w:spacing w:after="0" w:line="225" w:lineRule="exact"/>
        <w:rPr>
          <w:sz w:val="20"/>
          <w:szCs w:val="20"/>
          <w:color w:val="auto"/>
        </w:rPr>
      </w:pPr>
    </w:p>
    <w:p>
      <w:pPr>
        <w:ind w:left="1280" w:hanging="624"/>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left="1300" w:right="120" w:hanging="644"/>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644"/>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right="460" w:hanging="644"/>
        <w:spacing w:after="0" w:line="342" w:lineRule="auto"/>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31750</wp:posOffset>
            </wp:positionV>
            <wp:extent cx="29229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Interim Executive Vice President and Chief Financial Officer</w:t>
      </w:r>
    </w:p>
    <w:p>
      <w:pPr>
        <w:spacing w:after="0" w:line="7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1240"/>
          </w:cols>
          <w:pgMar w:left="320" w:top="55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CenterPoint Energy, Inc. (the “Company”) on Form 10-Q for the quarter ended March 31, 2020 (the “Report”), as filed with the Securities and Exchange Commission on the date hereof, I, John W. Somerhalder II, Interim Chief Executive Officer, certify, pursuant to 18 U.S.C. Section 1350, as adopted pursuant to Section 906 of the Sarbanes-Oxley Act of 2002, to the best of my knowledge, that:</w:t>
      </w:r>
    </w:p>
    <w:p>
      <w:pPr>
        <w:spacing w:after="0" w:line="149" w:lineRule="exact"/>
        <w:rPr>
          <w:sz w:val="20"/>
          <w:szCs w:val="20"/>
          <w:color w:val="auto"/>
        </w:rPr>
      </w:pPr>
    </w:p>
    <w:p>
      <w:pPr>
        <w:ind w:left="800" w:hanging="792"/>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Somerhalder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W. Somerhalder II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CenterPoint Energy Houston Electric, LLC (the “Company”) on Form 10-Q for the three months ended March 31, 2020 (the “Report”), as filed with the Securities and Exchange Commission on the date hereof, I, John W. Somerhalder II, Interim Chairman (Principal Executive Officer), certify, pursuant to 18 U.S.C. Section 1350, as adopted pursuant to Section 906 of the Sarbanes-Oxley Act of 2002, to the best of my knowledge, that:</w:t>
      </w:r>
    </w:p>
    <w:p>
      <w:pPr>
        <w:spacing w:after="0" w:line="187" w:lineRule="exact"/>
        <w:rPr>
          <w:sz w:val="20"/>
          <w:szCs w:val="20"/>
          <w:color w:val="auto"/>
        </w:rPr>
      </w:pPr>
    </w:p>
    <w:p>
      <w:pPr>
        <w:ind w:left="800" w:hanging="792"/>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Somerhalder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W. Somerhalder II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Chairman (Principal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7"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32.1.3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three months ended March 31, 2020 (the “Report”), as filed with the Securities and Exchange Commission on the date hereof, I, John W. Somerhalder II, Interim Chief Executive Officer, certify, pursuant to 18 U.S.C. Section 1350, as adopted pursuant to Section 906 of the Sarbanes-Oxley Act of 2002, to the best of my knowledge, that:</w:t>
      </w:r>
    </w:p>
    <w:p>
      <w:pPr>
        <w:spacing w:after="0" w:line="149"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Somerhalder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28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W. Somerhalder II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7"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March 31, 2020 (the “Report”), as filed with the Securities and Exchange Commission on the date hereof, I, Kristie L. Colvin, Interim Chief Financial Officer, certify, pursuant to 18 U.S.C. Section 1350, as adopted pursuant to Section 906 of the Sarbanes-Oxley Act of 2002, to the best of my knowledge, that:</w:t>
      </w:r>
    </w:p>
    <w:p>
      <w:pPr>
        <w:spacing w:after="0" w:line="165" w:lineRule="exact"/>
        <w:rPr>
          <w:sz w:val="20"/>
          <w:szCs w:val="20"/>
          <w:color w:val="auto"/>
        </w:rPr>
      </w:pPr>
    </w:p>
    <w:p>
      <w:pPr>
        <w:ind w:left="800" w:hanging="792"/>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7"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CenterPoint Energy Houston Electric, LLC (the “Company”) on Form 10-Q for the three months ended March 31, 2020 (the “Report”), as filed with the Securities and Exchange Commission on the date hereof, I, Kristie L. Colvin, Interim Chief Financial Officer, certify, pursuant to 18 U.S.C. Section 1350, as adopted pursuant to Section 906 of the Sarbanes-Oxley Act of 2002, to the best of my knowledge, that:</w:t>
      </w:r>
    </w:p>
    <w:p>
      <w:pPr>
        <w:spacing w:after="0" w:line="187" w:lineRule="exact"/>
        <w:rPr>
          <w:sz w:val="20"/>
          <w:szCs w:val="20"/>
          <w:color w:val="auto"/>
        </w:rPr>
      </w:pPr>
    </w:p>
    <w:p>
      <w:pPr>
        <w:ind w:left="800" w:hanging="792"/>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Kristie L. Colvin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32.2.3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three months ended March 31, 2020 (the “Report”), as filed with the Securities and Exchange Commission on the date hereof, I, Kristie L. Colvin, Interim Chief Financial Officer, certify, pursuant to 18 U.S.C. Section 1350, as adopted pursuant to Section 906 of the Sarbanes-Oxley Act of 2002, to the best of my knowledge, that:</w:t>
      </w:r>
    </w:p>
    <w:p>
      <w:pPr>
        <w:spacing w:after="0" w:line="149"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lvl w:ilvl="1">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lvl w:ilvl="1">
      <w:lvlJc w:val="left"/>
      <w:lvlText w:val="•"/>
      <w:numFmt w:val="bullet"/>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decimal"/>
      <w:start w:val="1"/>
    </w:lvl>
    <w:lvl w:ilvl="1">
      <w:lvlJc w:val="left"/>
      <w:lvlText w:val="(%2)"/>
      <w:numFmt w:val="decimal"/>
      <w:start w:val="1"/>
    </w:lvl>
  </w:abstractNum>
  <w:abstractNum w:abstractNumId="8">
    <w:nsid w:val="354FE9F9"/>
    <w:multiLevelType w:val="hybridMultilevel"/>
    <w:lvl w:ilvl="0">
      <w:lvlJc w:val="left"/>
      <w:lvlText w:val="(%1)"/>
      <w:numFmt w:val="decimal"/>
      <w:start w:val="4"/>
    </w:lvl>
    <w:lvl w:ilvl="1">
      <w:lvlJc w:val="left"/>
      <w:lvlText w:val="%2"/>
      <w:numFmt w:val="decimal"/>
      <w:start w:val="1"/>
    </w:lvl>
  </w:abstractNum>
  <w:abstractNum w:abstractNumId="9">
    <w:nsid w:val="15B5AF5C"/>
    <w:multiLevelType w:val="hybridMultilevel"/>
    <w:lvl w:ilvl="0">
      <w:lvlJc w:val="left"/>
      <w:lvlText w:val="(%1)"/>
      <w:numFmt w:val="decimal"/>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1)"/>
      <w:numFmt w:val="decimal"/>
      <w:start w:val="1"/>
    </w:lvl>
  </w:abstractNum>
  <w:abstractNum w:abstractNumId="13">
    <w:nsid w:val="3F6AB60F"/>
    <w:multiLevelType w:val="hybridMultilevel"/>
    <w:lvl w:ilvl="0">
      <w:lvlJc w:val="left"/>
      <w:lvlText w:val="(%1)"/>
      <w:numFmt w:val="decimal"/>
      <w:start w:val="3"/>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decimal"/>
      <w:start w:val="1"/>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1)"/>
      <w:numFmt w:val="decimal"/>
      <w:start w:val="1"/>
    </w:lvl>
  </w:abstractNum>
  <w:abstractNum w:abstractNumId="21">
    <w:nsid w:val="25A70BF7"/>
    <w:multiLevelType w:val="hybridMultilevel"/>
    <w:lvl w:ilvl="0">
      <w:lvlJc w:val="left"/>
      <w:lvlText w:val="(%1)"/>
      <w:numFmt w:val="decimal"/>
      <w:start w:val="2"/>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1"/>
      <w:numFmt w:val="decimal"/>
      <w:start w:val="1"/>
    </w:lvl>
    <w:lvl w:ilvl="1">
      <w:lvlJc w:val="left"/>
      <w:lvlText w:val="(%2)"/>
      <w:numFmt w:val="decimal"/>
      <w:start w:val="1"/>
    </w:lvl>
  </w:abstractNum>
  <w:abstractNum w:abstractNumId="25">
    <w:nsid w:val="1381823A"/>
    <w:multiLevelType w:val="hybridMultilevel"/>
    <w:lvl w:ilvl="0">
      <w:lvlJc w:val="left"/>
      <w:lvlText w:val="(%1)"/>
      <w:numFmt w:val="decimal"/>
      <w:start w:val="9"/>
    </w:lvl>
    <w:lvl w:ilvl="1">
      <w:lvlJc w:val="left"/>
      <w:lvlText w:val="%2"/>
      <w:numFmt w:val="decimal"/>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1"/>
    </w:lvl>
  </w:abstractNum>
  <w:abstractNum w:abstractNumId="28">
    <w:nsid w:val="6590700B"/>
    <w:multiLevelType w:val="hybridMultilevel"/>
    <w:lvl w:ilvl="0">
      <w:lvlJc w:val="left"/>
      <w:lvlText w:val="(%1)"/>
      <w:numFmt w:val="decimal"/>
      <w:start w:val="1"/>
    </w:lvl>
  </w:abstractNum>
  <w:abstractNum w:abstractNumId="29">
    <w:nsid w:val="15014ACB"/>
    <w:multiLevelType w:val="hybridMultilevel"/>
    <w:lvl w:ilvl="0">
      <w:lvlJc w:val="left"/>
      <w:lvlText w:val="%1"/>
      <w:numFmt w:val="decimal"/>
      <w:start w:val="1"/>
    </w:lvl>
    <w:lvl w:ilvl="1">
      <w:lvlJc w:val="left"/>
      <w:lvlText w:val="(%2)"/>
      <w:numFmt w:val="decimal"/>
      <w:start w:val="1"/>
    </w:lvl>
  </w:abstractNum>
  <w:abstractNum w:abstractNumId="30">
    <w:nsid w:val="5F5E7FD0"/>
    <w:multiLevelType w:val="hybridMultilevel"/>
    <w:lvl w:ilvl="0">
      <w:lvlJc w:val="left"/>
      <w:lvlText w:val="(%1)"/>
      <w:numFmt w:val="decimal"/>
      <w:start w:val="10"/>
    </w:lvl>
    <w:lvl w:ilvl="1">
      <w:lvlJc w:val="left"/>
      <w:lvlText w:val="%2"/>
      <w:numFmt w:val="decimal"/>
      <w:start w:val="1"/>
    </w:lvl>
  </w:abstractNum>
  <w:abstractNum w:abstractNumId="31">
    <w:nsid w:val="98A3148"/>
    <w:multiLevelType w:val="hybridMultilevel"/>
    <w:lvl w:ilvl="0">
      <w:lvlJc w:val="left"/>
      <w:lvlText w:val="(%1)"/>
      <w:numFmt w:val="decimal"/>
      <w:start w:val="1"/>
    </w:lvl>
  </w:abstractNum>
  <w:abstractNum w:abstractNumId="32">
    <w:nsid w:val="799D0247"/>
    <w:multiLevelType w:val="hybridMultilevel"/>
    <w:lvl w:ilvl="0">
      <w:lvlJc w:val="left"/>
      <w:lvlText w:val="(%1)"/>
      <w:numFmt w:val="decimal"/>
      <w:start w:val="11"/>
    </w:lvl>
    <w:lvl w:ilvl="1">
      <w:lvlJc w:val="left"/>
      <w:lvlText w:val="(%2)"/>
      <w:numFmt w:val="lowerLetter"/>
      <w:start w:val="1"/>
    </w:lvl>
  </w:abstractNum>
  <w:abstractNum w:abstractNumId="33">
    <w:nsid w:val="6B94764"/>
    <w:multiLevelType w:val="hybridMultilevel"/>
    <w:lvl w:ilvl="0">
      <w:lvlJc w:val="left"/>
      <w:lvlText w:val="(%1)"/>
      <w:numFmt w:val="decimal"/>
      <w:start w:val="12"/>
    </w:lvl>
    <w:lvl w:ilvl="1">
      <w:lvlJc w:val="left"/>
      <w:lvlText w:val="(%2)"/>
      <w:numFmt w:val="lowerLetter"/>
      <w:start w:val="1"/>
    </w:lvl>
  </w:abstractNum>
  <w:abstractNum w:abstractNumId="34">
    <w:nsid w:val="42C296BD"/>
    <w:multiLevelType w:val="hybridMultilevel"/>
    <w:lvl w:ilvl="0">
      <w:lvlJc w:val="left"/>
      <w:lvlText w:val="(%1)"/>
      <w:numFmt w:val="decimal"/>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1)"/>
      <w:numFmt w:val="decimal"/>
      <w:start w:val="2"/>
    </w:lvl>
  </w:abstractNum>
  <w:abstractNum w:abstractNumId="37">
    <w:nsid w:val="661E3F1E"/>
    <w:multiLevelType w:val="hybridMultilevel"/>
    <w:lvl w:ilvl="0">
      <w:lvlJc w:val="left"/>
      <w:lvlText w:val="(%1)"/>
      <w:numFmt w:val="decimal"/>
      <w:start w:val="1"/>
    </w:lvl>
  </w:abstractNum>
  <w:abstractNum w:abstractNumId="38">
    <w:nsid w:val="5DC79EA8"/>
    <w:multiLevelType w:val="hybridMultilevel"/>
    <w:lvl w:ilvl="0">
      <w:lvlJc w:val="left"/>
      <w:lvlText w:val="(%1)"/>
      <w:numFmt w:val="lowerLetter"/>
      <w:start w:val="4"/>
    </w:lvl>
  </w:abstractNum>
  <w:abstractNum w:abstractNumId="39">
    <w:nsid w:val="540A471C"/>
    <w:multiLevelType w:val="hybridMultilevel"/>
    <w:lvl w:ilvl="0">
      <w:lvlJc w:val="left"/>
      <w:lvlText w:val="(%1)"/>
      <w:numFmt w:val="lowerRoman"/>
      <w:start w:val="1"/>
    </w:lvl>
  </w:abstractNum>
  <w:abstractNum w:abstractNumId="40">
    <w:nsid w:val="7BD3EE7B"/>
    <w:multiLevelType w:val="hybridMultilevel"/>
    <w:lvl w:ilvl="0">
      <w:lvlJc w:val="left"/>
      <w:lvlText w:val="(%1)"/>
      <w:numFmt w:val="decimal"/>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1)"/>
      <w:numFmt w:val="decimal"/>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lvl w:ilvl="1">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1)"/>
      <w:numFmt w:val="decimal"/>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decimal"/>
      <w:start w:val="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1."/>
      <w:numFmt w:val="decimal"/>
      <w:start w:val="1"/>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decimal"/>
      <w:start w:val="5"/>
    </w:lvl>
  </w:abstractNum>
  <w:abstractNum w:abstractNumId="82">
    <w:nsid w:val="7055A5F5"/>
    <w:multiLevelType w:val="hybridMultilevel"/>
    <w:lvl w:ilvl="0">
      <w:lvlJc w:val="left"/>
      <w:lvlText w:val="(%1)"/>
      <w:numFmt w:val="lowerLetter"/>
      <w:start w:val="1"/>
    </w:lvl>
  </w:abstractNum>
  <w:abstractNum w:abstractNumId="83">
    <w:nsid w:val="5FB8370B"/>
    <w:multiLevelType w:val="hybridMultilevel"/>
    <w:lvl w:ilvl="0">
      <w:lvlJc w:val="left"/>
      <w:lvlText w:val="%1."/>
      <w:numFmt w:val="decimal"/>
      <w:start w:val="1"/>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decimal"/>
      <w:start w:val="5"/>
    </w:lvl>
  </w:abstractNum>
  <w:abstractNum w:abstractNumId="86">
    <w:nsid w:val="5FB8011C"/>
    <w:multiLevelType w:val="hybridMultilevel"/>
    <w:lvl w:ilvl="0">
      <w:lvlJc w:val="left"/>
      <w:lvlText w:val="(%1)"/>
      <w:numFmt w:val="lowerLetter"/>
      <w:start w:val="1"/>
    </w:lvl>
  </w:abstractNum>
  <w:abstractNum w:abstractNumId="87">
    <w:nsid w:val="6AA78F7F"/>
    <w:multiLevelType w:val="hybridMultilevel"/>
    <w:lvl w:ilvl="0">
      <w:lvlJc w:val="left"/>
      <w:lvlText w:val="%1."/>
      <w:numFmt w:val="decimal"/>
      <w:start w:val="1"/>
    </w:lvl>
  </w:abstractNum>
  <w:abstractNum w:abstractNumId="88">
    <w:nsid w:val="7672BD23"/>
    <w:multiLevelType w:val="hybridMultilevel"/>
    <w:lvl w:ilvl="0">
      <w:lvlJc w:val="left"/>
      <w:lvlText w:val="(%1)"/>
      <w:numFmt w:val="lowerLetter"/>
      <w:start w:val="1"/>
    </w:lvl>
  </w:abstractNum>
  <w:abstractNum w:abstractNumId="89">
    <w:nsid w:val="6FC75AF8"/>
    <w:multiLevelType w:val="hybridMultilevel"/>
    <w:lvl w:ilvl="0">
      <w:lvlJc w:val="left"/>
      <w:lvlText w:val="%1."/>
      <w:numFmt w:val="decimal"/>
      <w:start w:val="5"/>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decimal"/>
      <w:start w:val="1"/>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decimal"/>
      <w:start w:val="5"/>
    </w:lvl>
  </w:abstractNum>
  <w:abstractNum w:abstractNumId="94">
    <w:nsid w:val="7DE67713"/>
    <w:multiLevelType w:val="hybridMultilevel"/>
    <w:lvl w:ilvl="0">
      <w:lvlJc w:val="left"/>
      <w:lvlText w:val="(%1)"/>
      <w:numFmt w:val="lowerLetter"/>
      <w:start w:val="1"/>
    </w:lvl>
  </w:abstractNum>
  <w:abstractNum w:abstractNumId="95">
    <w:nsid w:val="555C55B5"/>
    <w:multiLevelType w:val="hybridMultilevel"/>
    <w:lvl w:ilvl="0">
      <w:lvlJc w:val="left"/>
      <w:lvlText w:val="%1."/>
      <w:numFmt w:val="decimal"/>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decimal"/>
      <w:start w:val="5"/>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decimal"/>
      <w:start w:val="1"/>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decimal"/>
      <w:start w:val="5"/>
    </w:lvl>
  </w:abstractNum>
  <w:abstractNum w:abstractNumId="102">
    <w:nsid w:val="1FBFE8E0"/>
    <w:multiLevelType w:val="hybridMultilevel"/>
    <w:lvl w:ilvl="0">
      <w:lvlJc w:val="left"/>
      <w:lvlText w:val="(%1)"/>
      <w:numFmt w:val="lowerLetter"/>
      <w:start w:val="1"/>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1"/>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4" Type="http://schemas.openxmlformats.org/officeDocument/2006/relationships/image" Target="media/image15.png"/><Relationship Id="rId26" Type="http://schemas.openxmlformats.org/officeDocument/2006/relationships/image" Target="media/image16.png"/><Relationship Id="rId36" Type="http://schemas.openxmlformats.org/officeDocument/2006/relationships/image" Target="media/image17.png"/><Relationship Id="rId61" Type="http://schemas.openxmlformats.org/officeDocument/2006/relationships/image" Target="media/image18.png"/><Relationship Id="rId62" Type="http://schemas.openxmlformats.org/officeDocument/2006/relationships/image" Target="media/image19.png"/><Relationship Id="rId63" Type="http://schemas.openxmlformats.org/officeDocument/2006/relationships/image" Target="media/image20.png"/><Relationship Id="rId64" Type="http://schemas.openxmlformats.org/officeDocument/2006/relationships/image" Target="media/image21.png"/><Relationship Id="rId65" Type="http://schemas.openxmlformats.org/officeDocument/2006/relationships/image" Target="media/image22.png"/><Relationship Id="rId66" Type="http://schemas.openxmlformats.org/officeDocument/2006/relationships/image" Target="media/image23.png"/><Relationship Id="rId67" Type="http://schemas.openxmlformats.org/officeDocument/2006/relationships/image" Target="media/image24.png"/><Relationship Id="rId68" Type="http://schemas.openxmlformats.org/officeDocument/2006/relationships/image" Target="media/image25.png"/><Relationship Id="rId69" Type="http://schemas.openxmlformats.org/officeDocument/2006/relationships/image" Target="media/image26.png"/><Relationship Id="rId70" Type="http://schemas.openxmlformats.org/officeDocument/2006/relationships/image" Target="media/image27.png"/><Relationship Id="rId71" Type="http://schemas.openxmlformats.org/officeDocument/2006/relationships/image" Target="media/image28.png"/><Relationship Id="rId72" Type="http://schemas.openxmlformats.org/officeDocument/2006/relationships/image" Target="media/image29.png"/><Relationship Id="rId73" Type="http://schemas.openxmlformats.org/officeDocument/2006/relationships/image" Target="media/image30.png"/><Relationship Id="rId10" Type="http://schemas.openxmlformats.org/officeDocument/2006/relationships/hyperlink" Target="http://www.sec.gov/Archives/edgar/data/48732/000113031020000016/cnp10k12312019.htm#sD3793EA5412555CB914AA6CDB5D40DFC" TargetMode="External"/><Relationship Id="rId23" Type="http://schemas.openxmlformats.org/officeDocument/2006/relationships/hyperlink" Target="http://www.sec.gov/Archives/edgar/data/1130310/000119312518125804/d561804dex21.htm" TargetMode="External"/><Relationship Id="rId25" Type="http://schemas.openxmlformats.org/officeDocument/2006/relationships/hyperlink" Target="http://www.sec.gov/Archives/edgar/data/1130310/000113031020000006/exhibit21purchaseagreeme.htm" TargetMode="External"/><Relationship Id="rId27" Type="http://schemas.openxmlformats.org/officeDocument/2006/relationships/hyperlink" Target="http://www.sec.gov/Archives/edgar/data/1042773/000113031020000012/exhibit21.htm" TargetMode="External"/><Relationship Id="rId28" Type="http://schemas.openxmlformats.org/officeDocument/2006/relationships/hyperlink" Target="http://www.sec.gov/Archives/edgar/data/1130310/000113031008000004/ex3-2.htm" TargetMode="External"/><Relationship Id="rId29" Type="http://schemas.openxmlformats.org/officeDocument/2006/relationships/hyperlink" Target="http://www.sec.gov/Archives/edgar/data/48732/000113031011000048/ex3-1.htm" TargetMode="External"/><Relationship Id="rId30" Type="http://schemas.openxmlformats.org/officeDocument/2006/relationships/hyperlink" Target="http://www.sec.gov/Archives/edgar/data/1042773/0000950129-98-001585.txt" TargetMode="External"/><Relationship Id="rId31" Type="http://schemas.openxmlformats.org/officeDocument/2006/relationships/hyperlink" Target="http://www.sec.gov/Archives/edgar/data/48732/0000950129-99-001059.txt" TargetMode="External"/><Relationship Id="rId32" Type="http://schemas.openxmlformats.org/officeDocument/2006/relationships/hyperlink" Target="http://www.sec.gov/Archives/edgar/data/1042773/000095012903004183/h07971exv3wa4.txt" TargetMode="External"/><Relationship Id="rId33" Type="http://schemas.openxmlformats.org/officeDocument/2006/relationships/hyperlink" Target="http://www.sec.gov/Archives/edgar/data/1130310/000119312517056500/d354129dex31.htm" TargetMode="External"/><Relationship Id="rId34" Type="http://schemas.openxmlformats.org/officeDocument/2006/relationships/hyperlink" Target="http://www.sec.gov/Archives/edgar/data/48732/000113031011000048/ex3-2.htm" TargetMode="External"/><Relationship Id="rId35" Type="http://schemas.openxmlformats.org/officeDocument/2006/relationships/hyperlink" Target="http://www.sec.gov/Archives/edgar/data/1130310/000113031012000011/exhibit3c.htm" TargetMode="External"/><Relationship Id="rId37" Type="http://schemas.openxmlformats.org/officeDocument/2006/relationships/hyperlink" Target="http://www.sec.gov/Archives/edgar/data/1130310/000119312518256372/d601681dex31.htm" TargetMode="External"/><Relationship Id="rId38" Type="http://schemas.openxmlformats.org/officeDocument/2006/relationships/hyperlink" Target="http://www.sec.gov/Archives/edgar/data/1130310/000119312518288531/d589550dex31.htm" TargetMode="External"/><Relationship Id="rId39" Type="http://schemas.openxmlformats.org/officeDocument/2006/relationships/hyperlink" Target="http://www.sec.gov/Archives/edgar/data/1130310/000095012901503771/h90625a1ex4-1.txt" TargetMode="External"/><Relationship Id="rId40" Type="http://schemas.openxmlformats.org/officeDocument/2006/relationships/hyperlink" Target="http://www.sec.gov/Archives/edgar/data/1130310/000119312518256372/d601681dex41.htm" TargetMode="External"/><Relationship Id="rId41" Type="http://schemas.openxmlformats.org/officeDocument/2006/relationships/hyperlink" Target="http://www.sec.gov/Archives/edgar/data/1130310/000119312518288531/d589550dex42.htm" TargetMode="External"/><Relationship Id="rId42" Type="http://schemas.openxmlformats.org/officeDocument/2006/relationships/hyperlink" Target="http://www.sec.gov/Archives/edgar/data/48732/000119312516496852/d113097dex41.htm" TargetMode="External"/><Relationship Id="rId43" Type="http://schemas.openxmlformats.org/officeDocument/2006/relationships/hyperlink" Target="http://www.sec.gov/Archives/edgar/data/48732/000119312516496852/d113097dex42.htm" TargetMode="External"/><Relationship Id="rId44" Type="http://schemas.openxmlformats.org/officeDocument/2006/relationships/hyperlink" Target="http://www.sec.gov/Archives/edgar/data/48732/000119312516496852/d113097dex43.htm" TargetMode="External"/><Relationship Id="rId45" Type="http://schemas.openxmlformats.org/officeDocument/2006/relationships/hyperlink" Target="http://www.sec.gov/Archives/edgar/data/48732/000119312517207142/d415215dex41.htm" TargetMode="External"/><Relationship Id="rId46" Type="http://schemas.openxmlformats.org/officeDocument/2006/relationships/hyperlink" Target="http://www.sec.gov/Archives/edgar/data/1130310/000119312518176843/d421944dex41.htm" TargetMode="External"/><Relationship Id="rId47" Type="http://schemas.openxmlformats.org/officeDocument/2006/relationships/hyperlink" Target="http://www.sec.gov/Archives/edgar/data/48732/000119312517207142/d415215dex42.htm" TargetMode="External"/><Relationship Id="rId48" Type="http://schemas.openxmlformats.org/officeDocument/2006/relationships/hyperlink" Target="http://www.sec.gov/Archives/edgar/data/48732/000119312517207142/d415215dex43.htm" TargetMode="External"/><Relationship Id="rId49" Type="http://schemas.openxmlformats.org/officeDocument/2006/relationships/hyperlink" Target="http://www.sec.gov/Archives/edgar/data/1096385/000090883417000142/vc_8k0713ex101.htm" TargetMode="External"/><Relationship Id="rId50" Type="http://schemas.openxmlformats.org/officeDocument/2006/relationships/hyperlink" Target="http://www.sec.gov/Archives/edgar/data/1096385/000090883417000142/vc_8k0713ex102.htm" TargetMode="External"/><Relationship Id="rId51" Type="http://schemas.openxmlformats.org/officeDocument/2006/relationships/hyperlink" Target="http://www.sec.gov/Archives/edgar/data/1096385/000090883418000156/vc_8k0730ex.htm" TargetMode="External"/><Relationship Id="rId52" Type="http://schemas.openxmlformats.org/officeDocument/2006/relationships/hyperlink" Target="http://www.sec.gov/Archives/edgar/data/1096385/000090883418000163/vc_8k0914ex.htm" TargetMode="External"/><Relationship Id="rId53" Type="http://schemas.openxmlformats.org/officeDocument/2006/relationships/hyperlink" Target="http://www.sec.gov/Archives/edgar/data/48732/000113031019000028/cnpexhibit417firstamen.htm" TargetMode="External"/><Relationship Id="rId54" Type="http://schemas.openxmlformats.org/officeDocument/2006/relationships/hyperlink" Target="http://www.sec.gov/Archives/edgar/data/1130310/000119312519149468/d727379dex41.htm" TargetMode="External"/><Relationship Id="rId55" Type="http://schemas.openxmlformats.org/officeDocument/2006/relationships/hyperlink" Target="http://www.sec.gov/Archives/edgar/data/1130310/000113031019000051/exhibit1012ndamendmentto.htm" TargetMode="External"/><Relationship Id="rId56" Type="http://schemas.openxmlformats.org/officeDocument/2006/relationships/hyperlink" Target="http://www.sec.gov/Archives/edgar/data/48732/000113031020000016/cnpexhibit10n2123120191.htm" TargetMode="External"/><Relationship Id="rId57" Type="http://schemas.openxmlformats.org/officeDocument/2006/relationships/hyperlink" Target="http://www.sec.gov/Archives/edgar/data/48732/000113031020000025/exhibit1012.htm" TargetMode="External"/><Relationship Id="rId58" Type="http://schemas.openxmlformats.org/officeDocument/2006/relationships/hyperlink" Target="http://www.sec.gov/Archives/edgar/data/48732/000113031020000019/exhibit101.htm" TargetMode="External"/><Relationship Id="rId59" Type="http://schemas.openxmlformats.org/officeDocument/2006/relationships/hyperlink" Target="http://www.sec.gov/Archives/edgar/data/48732/000113031020000033/exhibit101psuawardagre.htm" TargetMode="External"/><Relationship Id="rId60" Type="http://schemas.openxmlformats.org/officeDocument/2006/relationships/hyperlink" Target="http://www.sec.gov/Archives/edgar/data/48732/000113031020000033/exhibit102rsuaward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2020-05-07T05:44:13Z</dcterms:created>
  <dcterms:modified xsi:type="dcterms:W3CDTF">2020-05-07T05:44:13Z</dcterms:modified>
</cp:coreProperties>
</file>