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625673d3_fwp.htm"/>
      <w:bookmarkStart w:id="1" w:name="kstm2625673d3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333-295924-02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Preliminary Prospectus Supplement dated September 21,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669"/>
        <w:gridCol w:w="8536"/>
      </w:tblGrid>
      <w:tr>
        <w:trPr/>
        <w:tc>
          <w:tcPr>
            <w:tcW w:w="16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853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CenterPoint Energy Houston Electric, LLC</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Format:</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Registered</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Anticipated Ratings*:</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A2 (stable) / A (stable) / A (stable) (Moody’s / S&amp;P / Fitch)</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5.40% General Mortgage Bonds, Series AS, due 2031</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$700,000,000</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15, 2031</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15 and October 15, commencing April 15, 2027</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5.40%</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99.934% of the principal amount</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4.375% due August 31, 2031</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Yield:</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4.834%</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 basis points</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Re-offer Yield:</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5.414%</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September 15, 2031, greater of: (1)(a) make-whole at treasury rate</w:t>
            </w:r>
            <w:r>
              <w:rPr>
                <w:rFonts w:ascii="Times New Roman;Times;Serif" w:hAnsi="Times New Roman;Times;Serif"/>
                <w:position w:val="7"/>
                <w:sz w:val="16"/>
                <w:sz w:val="20"/>
              </w:rPr>
              <w:t>[1]</w:t>
            </w:r>
            <w:r>
              <w:rPr>
                <w:rFonts w:ascii="Times New Roman;Times;Serif" w:hAnsi="Times New Roman;Times;Serif"/>
                <w:sz w:val="20"/>
              </w:rPr>
              <w:t xml:space="preserve"> plus 10 basis points (calculated to September 15, 2031), less (b) interest accrued to the date of redemption and (2) 100%, plus, in either case, accrued and unpaid interest.  On or after September 15, 2031, 100% plus accrued and unpaid interest.</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Credit Event Call:</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but not in part, at 101%, plus accrued and unpaid interest to, but excluding, the redemption date, if certain tax credit-related events occur (provided that the notice of such redemption may only be sent by the later of (a) December 31, 2026 and (b) six months from the date of issuance).  </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15189X BM9</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21, 2026</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Settlement Date**:</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24, 2026 (T+3)</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Barclays Capital Inc.</w:t>
              <w:br/>
              <w:t>BNP Paribas Securities Corp.</w:t>
              <w:br/>
              <w:t>Goldman Sachs &amp; Co. LLC</w:t>
              <w:br/>
              <w:t>MUFG Securities Americas Inc.</w:t>
              <w:br/>
              <w:t xml:space="preserve">Truist Securities, Inc. </w:t>
              <w:br/>
              <w:t>PNC Capital Markets LLC</w:t>
            </w:r>
          </w:p>
        </w:tc>
      </w:tr>
      <w:tr>
        <w:trPr/>
        <w:tc>
          <w:tcPr>
            <w:tcW w:w="166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w:t>
            </w:r>
          </w:p>
        </w:tc>
        <w:tc>
          <w:tcPr>
            <w:tcW w:w="85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Independence Point Securities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The term “treasury rate” shall have the meaning ascribed to it in the issuer’s preliminary prospectus supplement dated </w:t>
      </w:r>
      <w:r>
        <w:rPr>
          <w:rFonts w:ascii="Times New Roman;Times;Serif" w:hAnsi="Times New Roman;Times;Serif"/>
          <w:b w:val="false"/>
          <w:i w:val="false"/>
          <w:caps w:val="false"/>
          <w:smallCaps w:val="false"/>
          <w:sz w:val="20"/>
          <w:shd w:fill="FFFFFF" w:val="clear"/>
        </w:rPr>
        <w:t>September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securities rating is not a recommendation to buy, sell or hold securities and may be subject to revision or withdrawal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We expect that delivery of the mortgage bonds offered hereby will be made against payment therefor on or about September 24, 2026, which will be the third business day following the date of pricing of the mortgage bonds (this settlement cycle being referred to as “T+3”). Under Rule 15c6-1 of the Securities Exchange Act of 1934, as amended, trades in the secondary market generally are required to settle in one business day, unless the parties to a trade expressly agree otherwise. Accordingly, purchasers who wish to trade the mortgage bonds on any date prior to the first business day before delivery of the mortgage bonds will be required, by virtue of the fact that the mortgage bonds initially will settle in T+3, to specify alternative settlement arrangements at the time of any such trade to prevent a failed settlement and should consult their own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Barclays Capital Inc. toll-free at (888) 603-5847, BNP Paribas Securities Corp. toll-free at (800) 854-5674, Goldman Sachs &amp; Co. LLC toll-free at (866) 471-2526, MUFG Securities Americas Inc. toll-free at (877) 649-6848 or Truist Securities, Inc. toll-free at (800) 685-4786.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3155</Characters>
  <CharactersWithSpaces>3712</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