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49630d1_10k.htm"/>
      <w:bookmarkStart w:id="1" w:name="kstm249630d1_10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b/>
              </w:rPr>
            </w:pPr>
            <w:r>
              <w:rPr>
                <w:b/>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b/>
              </w:rPr>
            </w:pPr>
            <w:r>
              <w:rPr>
                <w:b/>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to__________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shd w:fill="FFFFFF" w:val="clear"/>
        </w:rPr>
        <w:t>333-270851-01</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SIGECO Securitization I, LLC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(issuing entity)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Index Key Number (CIK): 0001968445</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Southern Indiana Gas and Electric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depositor and sponsor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Index Key Number (CIK): 0000092195</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4385"/>
        <w:gridCol w:w="4490"/>
      </w:tblGrid>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92-2762878</w:t>
            </w:r>
          </w:p>
        </w:tc>
      </w:tr>
      <w:tr>
        <w:trPr/>
        <w:tc>
          <w:tcPr>
            <w:tcW w:w="43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44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211 NW Riverside Drive, Suite 800-04</w:t>
            </w:r>
          </w:p>
        </w:tc>
        <w:tc>
          <w:tcPr>
            <w:tcW w:w="449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Evansville, Indiana 47708</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(812) 491-4141</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and zip code of principal executive offices)</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r>
        <w:rPr>
          <w:rFonts w:ascii="Times New Roman;Times;Serif" w:hAnsi="Times New Roman;Times;Serif"/>
          <w:b w:val="false"/>
          <w:i w:val="false"/>
          <w:caps w:val="false"/>
          <w:smallCaps w:val="false"/>
          <w:sz w:val="20"/>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7"/>
        <w:gridCol w:w="1557"/>
        <w:gridCol w:w="1880"/>
        <w:gridCol w:w="2427"/>
        <w:gridCol w:w="2304"/>
      </w:tblGrid>
      <w:tr>
        <w:trPr/>
        <w:tc>
          <w:tcPr>
            <w:tcW w:w="2037" w:type="dxa"/>
            <w:tcBorders/>
            <w:vAlign w:val="center"/>
          </w:tcPr>
          <w:p>
            <w:pPr>
              <w:pStyle w:val="TableContents"/>
              <w:bidi w:val="0"/>
              <w:spacing w:before="0" w:after="283"/>
              <w:jc w:val="center"/>
              <w:rPr>
                <w:sz w:val="20"/>
              </w:rPr>
            </w:pPr>
            <w:r>
              <w:rPr>
                <w:rFonts w:ascii="Times New Roman;Times;Serif" w:hAnsi="Times New Roman;Times;Serif"/>
                <w:sz w:val="20"/>
              </w:rPr>
              <w:t xml:space="preserve">Large accelerated filer </w:t>
            </w:r>
            <w:r>
              <w:rPr>
                <w:sz w:val="20"/>
              </w:rPr>
              <w:t>☐</w:t>
            </w:r>
          </w:p>
        </w:tc>
        <w:tc>
          <w:tcPr>
            <w:tcW w:w="1557" w:type="dxa"/>
            <w:tcBorders/>
            <w:vAlign w:val="center"/>
          </w:tcPr>
          <w:p>
            <w:pPr>
              <w:pStyle w:val="TableContents"/>
              <w:bidi w:val="0"/>
              <w:spacing w:before="0" w:after="283"/>
              <w:jc w:val="center"/>
              <w:rPr>
                <w:sz w:val="20"/>
              </w:rPr>
            </w:pPr>
            <w:r>
              <w:rPr>
                <w:rFonts w:ascii="Times New Roman;Times;Serif" w:hAnsi="Times New Roman;Times;Serif"/>
                <w:sz w:val="20"/>
              </w:rPr>
              <w:t xml:space="preserve">Accelerated filer </w:t>
            </w:r>
            <w:r>
              <w:rPr>
                <w:sz w:val="20"/>
              </w:rPr>
              <w:t>☐</w:t>
            </w:r>
          </w:p>
        </w:tc>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2427" w:type="dxa"/>
            <w:tcBorders/>
            <w:vAlign w:val="center"/>
          </w:tcPr>
          <w:p>
            <w:pPr>
              <w:pStyle w:val="TableContents"/>
              <w:bidi w:val="0"/>
              <w:spacing w:before="0" w:after="283"/>
              <w:jc w:val="center"/>
              <w:rPr>
                <w:sz w:val="20"/>
              </w:rPr>
            </w:pPr>
            <w:r>
              <w:rPr>
                <w:rFonts w:ascii="Times New Roman;Times;Serif" w:hAnsi="Times New Roman;Times;Serif"/>
                <w:sz w:val="20"/>
              </w:rPr>
              <w:t xml:space="preserve">Smaller reporting company </w:t>
            </w:r>
            <w:r>
              <w:rPr>
                <w:sz w:val="20"/>
              </w:rPr>
              <w:t>☐</w:t>
            </w:r>
          </w:p>
        </w:tc>
        <w:tc>
          <w:tcPr>
            <w:tcW w:w="2304" w:type="dxa"/>
            <w:tcBorders/>
            <w:vAlign w:val="center"/>
          </w:tcPr>
          <w:p>
            <w:pPr>
              <w:pStyle w:val="TableContents"/>
              <w:bidi w:val="0"/>
              <w:spacing w:before="0" w:after="283"/>
              <w:jc w:val="center"/>
              <w:rPr>
                <w:sz w:val="20"/>
              </w:rPr>
            </w:pPr>
            <w:r>
              <w:rPr>
                <w:rFonts w:ascii="Times New Roman;Times;Serif" w:hAnsi="Times New Roman;Times;Serif"/>
                <w:sz w:val="20"/>
              </w:rPr>
              <w:t xml:space="preserve">Emerging growth company </w:t>
            </w:r>
            <w:r>
              <w:rPr>
                <w:sz w:val="20"/>
              </w:rPr>
              <w:t>☐</w:t>
            </w:r>
          </w:p>
        </w:tc>
      </w:tr>
      <w:tr>
        <w:trPr/>
        <w:tc>
          <w:tcPr>
            <w:tcW w:w="10205" w:type="dxa"/>
            <w:gridSpan w:val="5"/>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by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member’s equity held by non-affiliates of the registrant as of June 30, 2023: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 portion of the proxy statement relating to the 2024 Annual Meeting of Shareholders of CenterPoint Energy, Inc. is incorporated by reference in Item 11 of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Changes in and Disagreements with Accountants on Accounting and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Annual Report on Form 10-K, SIGECO Securitization I, LLC (the “Issuing Entity”) has four managers. Pursuant to the Issuing Entity’s Amended and Restated Limited Liability Company Agreement (the “LLC Agreement”), the Issuing Entity will be managed by managers to be appointed from time to time by the Member (currently Southern Indiana Gas and Electric Company (“SIGECO”)). At all times during which any of the Issuing Entity’s </w:t>
      </w:r>
      <w:r>
        <w:rPr>
          <w:rFonts w:ascii="Times New Roman;Times;Serif" w:hAnsi="Times New Roman;Times;Serif"/>
          <w:b w:val="false"/>
          <w:i w:val="false"/>
          <w:caps w:val="false"/>
          <w:smallCaps w:val="false"/>
          <w:sz w:val="20"/>
          <w:shd w:fill="FFFFFF" w:val="clear"/>
        </w:rPr>
        <w:t>Series 2023-A Senior Secured Securitization Bonds are Outstanding</w:t>
      </w:r>
      <w:r>
        <w:rPr>
          <w:rFonts w:ascii="Times New Roman;Times;Serif" w:hAnsi="Times New Roman;Times;Serif"/>
          <w:b w:val="false"/>
          <w:i w:val="false"/>
          <w:caps w:val="false"/>
          <w:smallCaps w:val="false"/>
          <w:sz w:val="20"/>
        </w:rPr>
        <w:t>, and the Indenture remains in full force and effect (and otherwise in accordance with the Indenture) the Issuing Entity shall have at least one Independent Manager. Currently, Mr. Corrigan serves as the Independent Manager of the Issuing Entity. Capitalized terms used in this paragraph and the following paragraph have the meanings assigned to them in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Manager is defined in the LLC Agreement as a natural person who (1) has prior experience as an independent director, independent manager or independent member for special-purpose entities, (2) is employed by a nationally-recognized company that provides professional independent managers and other corporate services in the ordinary course of its business, (3) is duly appointed as an Independent Manager of the Issuing Entity and (4) is not and has not been for at least five years from the date of his or her or its appointment, and while serving as an Independent Manager of the Issuing Entity will not be,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member, partner, or equity holder, manager, director, officer, agent, consultant, attorney, accountant, advisor or employee of the Issuing Entity, the Member or any of their respective equityholders or affiliates (other than as an Independent Manager or Special Member of the Issuing Entity or similar roles for any other special purpose bankruptcy-remote entity); provided, that the indirect or beneficial ownership of stock of the Member or its affiliates through a mutual fund or similar diversified investment vehicle with respect to which the owner does not have discretion or control over the investments held by such diversified investment vehicle shall not preclude such owner from being an Independent Manager;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creditor, supplier or service provider (including provider of professional services) to the Issuing Entity, the Member or any of their respective equityholders or affiliates (other than a nationally-recognized company that routinely provides professional independent managers and other corporate services to the Issuing Entity, the Member or any of their affiliates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family member of any such Person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Person that controls (whether directly, indirectly or otherwise) any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managers of the Issuing Entity as of the date of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2"/>
        <w:gridCol w:w="60"/>
        <w:gridCol w:w="350"/>
        <w:gridCol w:w="60"/>
        <w:gridCol w:w="8413"/>
      </w:tblGrid>
      <w:tr>
        <w:trPr/>
        <w:tc>
          <w:tcPr>
            <w:tcW w:w="1322"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w:t>
            </w:r>
          </w:p>
        </w:tc>
        <w:tc>
          <w:tcPr>
            <w:tcW w:w="60" w:type="dxa"/>
            <w:tcBorders/>
            <w:tcMar>
              <w:bottom w:w="0" w:type="dxa"/>
            </w:tcMar>
            <w:vAlign w:val="center"/>
          </w:tcPr>
          <w:p>
            <w:pPr>
              <w:pStyle w:val="TableContents"/>
              <w:bidi w:val="0"/>
              <w:spacing w:before="0" w:after="283"/>
              <w:jc w:val="left"/>
              <w:rPr/>
            </w:pPr>
            <w:r>
              <w:rPr/>
              <w:t> </w:t>
            </w:r>
          </w:p>
        </w:tc>
        <w:tc>
          <w:tcPr>
            <w:tcW w:w="8413"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Background</w:t>
            </w:r>
          </w:p>
        </w:tc>
      </w:tr>
      <w:tr>
        <w:trPr/>
        <w:tc>
          <w:tcPr>
            <w:tcW w:w="13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13" w:type="dxa"/>
            <w:tcBorders/>
            <w:tcMar>
              <w:bottom w:w="0" w:type="dxa"/>
            </w:tcMar>
            <w:vAlign w:val="center"/>
          </w:tcPr>
          <w:p>
            <w:pPr>
              <w:pStyle w:val="TableContents"/>
              <w:bidi w:val="0"/>
              <w:spacing w:before="0" w:after="283"/>
              <w:jc w:val="left"/>
              <w:rPr/>
            </w:pPr>
            <w:r>
              <w:rPr/>
              <w:t> </w:t>
            </w:r>
          </w:p>
        </w:tc>
      </w:tr>
      <w:tr>
        <w:trPr/>
        <w:tc>
          <w:tcPr>
            <w:tcW w:w="132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Lynnae K. Wilson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tcMar>
              <w:bottom w:w="0" w:type="dxa"/>
            </w:tcMar>
            <w:vAlign w:val="center"/>
          </w:tcPr>
          <w:p>
            <w:pPr>
              <w:pStyle w:val="TableContents"/>
              <w:bidi w:val="0"/>
              <w:spacing w:before="0" w:after="283"/>
              <w:jc w:val="left"/>
              <w:rPr/>
            </w:pPr>
            <w:r>
              <w:rPr/>
              <w:t> </w:t>
            </w:r>
          </w:p>
        </w:tc>
        <w:tc>
          <w:tcPr>
            <w:tcW w:w="8413" w:type="dxa"/>
            <w:tcBorders/>
            <w:tcMar>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Manager and President of the Issuing Entity since January 16, 2024. Director and President of SIGECO since January 2024. Vice President of SIGECO from February 2019 to January 2024 and Director of SIGECO from February 2019 to December 2021.  Senior Vice President, Electric Business of CenterPoint Energy, Inc. </w:t>
            </w:r>
            <w:r>
              <w:rPr>
                <w:rFonts w:ascii="Times New Roman;Times;Serif" w:hAnsi="Times New Roman;Times;Serif"/>
                <w:b w:val="false"/>
                <w:i w:val="false"/>
                <w:caps w:val="false"/>
                <w:smallCaps w:val="false"/>
                <w:sz w:val="20"/>
                <w:shd w:fill="FFFFFF" w:val="clear"/>
              </w:rPr>
              <w:t xml:space="preserve">(the ultimate holding company of SIGECO) </w:t>
            </w:r>
            <w:r>
              <w:rPr>
                <w:rFonts w:ascii="Times New Roman;Times;Serif" w:hAnsi="Times New Roman;Times;Serif"/>
                <w:b w:val="false"/>
                <w:i w:val="false"/>
                <w:caps w:val="false"/>
                <w:smallCaps w:val="false"/>
                <w:sz w:val="20"/>
              </w:rPr>
              <w:t>since January 2023.    Senior Vice President, Houston Electric at CenterPoint Energy, Inc. from January 2022 to January 2023.  Senior Vice President, High Voltage Operations at CenterPoint Energy, Inc. from August 2020 to January 2022.  Chief Business Officer, Indiana Electric of CenterPoint Energy, Inc. from February 2019 to August 2020.  Ms. Wilson served in various roles of increasing responsibility at Vectren Corp. from 2003 through February 2019, when that entity was acquired by CenterPoint Energy, Inc.</w:t>
            </w:r>
          </w:p>
          <w:p>
            <w:pPr>
              <w:pStyle w:val="TableContents"/>
              <w:bidi w:val="0"/>
              <w:spacing w:before="0" w:after="0"/>
              <w:ind w:left="236" w:right="0" w:hanging="0"/>
              <w:jc w:val="left"/>
              <w:rPr>
                <w:caps w:val="false"/>
                <w:smallCaps w:val="false"/>
              </w:rPr>
            </w:pPr>
            <w:r>
              <w:rPr>
                <w:caps w:val="false"/>
                <w:smallCaps w:val="false"/>
              </w:rPr>
              <w:t> </w:t>
            </w:r>
          </w:p>
        </w:tc>
      </w:tr>
      <w:tr>
        <w:trPr/>
        <w:tc>
          <w:tcPr>
            <w:tcW w:w="132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Kristie L. Colvin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w:t>
            </w:r>
          </w:p>
        </w:tc>
        <w:tc>
          <w:tcPr>
            <w:tcW w:w="60" w:type="dxa"/>
            <w:tcBorders/>
            <w:tcMar>
              <w:bottom w:w="0" w:type="dxa"/>
            </w:tcMar>
            <w:vAlign w:val="center"/>
          </w:tcPr>
          <w:p>
            <w:pPr>
              <w:pStyle w:val="TableContents"/>
              <w:bidi w:val="0"/>
              <w:spacing w:before="0" w:after="283"/>
              <w:jc w:val="left"/>
              <w:rPr/>
            </w:pPr>
            <w:r>
              <w:rPr/>
              <w:t> </w:t>
            </w:r>
          </w:p>
        </w:tc>
        <w:tc>
          <w:tcPr>
            <w:tcW w:w="8413" w:type="dxa"/>
            <w:tcBorders/>
            <w:tcMar>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Manager and Vice President and Chief Accounting Officer of the Issuing Entity since </w:t>
            </w:r>
            <w:r>
              <w:rPr>
                <w:rFonts w:ascii="Times New Roman;Times;Serif" w:hAnsi="Times New Roman;Times;Serif"/>
                <w:b w:val="false"/>
                <w:i w:val="false"/>
                <w:caps w:val="false"/>
                <w:smallCaps w:val="false"/>
                <w:sz w:val="20"/>
              </w:rPr>
              <w:t>October 2023</w:t>
            </w:r>
            <w:r>
              <w:rPr>
                <w:rFonts w:ascii="Times New Roman;Times;Serif" w:hAnsi="Times New Roman;Times;Serif"/>
                <w:b w:val="false"/>
                <w:i w:val="false"/>
                <w:caps w:val="false"/>
                <w:smallCaps w:val="false"/>
                <w:sz w:val="20"/>
                <w:shd w:fill="FFFFFF" w:val="clear"/>
              </w:rPr>
              <w:t>. Vice President of SIGECO since October 2023 and from February 2019 to December 2021. Senior Vice President and Chief Accounting Officer of CenterPoint Energy, Inc. since October 2023. Other offices held at CenterPoint Energy, Inc. include Senior Vice President Regulatory Planning, Reporting and Electric Services from March 2022 until October 2023, Senior Vice President, Finance from December 2021 until March 2022, Senior Vice President and Chief Accounting Officer from September 2014 until December 2021 and, in addition to this role, Interim Executive Vice President and Chief Financial Officer from April 2020 to September 2020, Division Vice President Finance, Regulated Operations from July 2010 until September 2014, and Senior Director, Financial Planning and Performance Measurement from August 2007 through June 2010.</w:t>
            </w:r>
          </w:p>
          <w:p>
            <w:pPr>
              <w:pStyle w:val="TableContents"/>
              <w:bidi w:val="0"/>
              <w:spacing w:before="0" w:after="0"/>
              <w:ind w:left="236" w:right="0" w:hanging="0"/>
              <w:jc w:val="left"/>
              <w:rPr>
                <w:caps w:val="false"/>
                <w:smallCaps w:val="false"/>
              </w:rPr>
            </w:pPr>
            <w:r>
              <w:rPr>
                <w:caps w:val="false"/>
                <w:smallCaps w:val="false"/>
              </w:rPr>
              <w:t> </w:t>
            </w:r>
          </w:p>
        </w:tc>
      </w:tr>
      <w:tr>
        <w:trPr/>
        <w:tc>
          <w:tcPr>
            <w:tcW w:w="132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Jacqueline M. Richert</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w:t>
            </w:r>
          </w:p>
        </w:tc>
        <w:tc>
          <w:tcPr>
            <w:tcW w:w="60" w:type="dxa"/>
            <w:tcBorders/>
            <w:tcMar>
              <w:bottom w:w="0" w:type="dxa"/>
            </w:tcMar>
            <w:vAlign w:val="center"/>
          </w:tcPr>
          <w:p>
            <w:pPr>
              <w:pStyle w:val="TableContents"/>
              <w:bidi w:val="0"/>
              <w:spacing w:before="0" w:after="283"/>
              <w:jc w:val="left"/>
              <w:rPr/>
            </w:pPr>
            <w:r>
              <w:rPr/>
              <w:t> </w:t>
            </w:r>
          </w:p>
        </w:tc>
        <w:tc>
          <w:tcPr>
            <w:tcW w:w="8413" w:type="dxa"/>
            <w:tcBorders/>
            <w:tcMar>
              <w:bottom w:w="0" w:type="dxa"/>
            </w:tcMar>
            <w:vAlign w:val="center"/>
          </w:tcPr>
          <w:p>
            <w:pPr>
              <w:pStyle w:val="TableContents"/>
              <w:bidi w:val="0"/>
              <w:spacing w:before="0" w:after="283"/>
              <w:jc w:val="left"/>
              <w:rPr>
                <w:sz w:val="20"/>
              </w:rPr>
            </w:pPr>
            <w:r>
              <w:rPr>
                <w:rFonts w:ascii="Times New Roman;Times;Serif" w:hAnsi="Times New Roman;Times;Serif"/>
                <w:sz w:val="20"/>
              </w:rPr>
              <w:t>Manager and Vice President of the Issuing Entity since February 2023. Vice President and Treasurer of SIGECO since January 2022.  </w:t>
            </w:r>
            <w:r>
              <w:rPr>
                <w:sz w:val="20"/>
              </w:rPr>
              <w:t>Senior Vice President, Corporate Planning, Investor Relations, and Treasury of CenterPoint Energy, Inc. since March 2024. Vice President, Investor Relations and Treasurer of CenterPoint Energy, Inc. from January 2022 until March 2024. Director, Investor Relations of CenterPoint Energy, Inc. from March 2021 to January 2022. Ms. Richert served in various roles of increasing responsibility at Enterprise Products Partners from 2008 to 2021, including as Senior Director of Investor Relations from 2019 to 2021.</w:t>
            </w:r>
          </w:p>
        </w:tc>
      </w:tr>
      <w:tr>
        <w:trPr/>
        <w:tc>
          <w:tcPr>
            <w:tcW w:w="13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13" w:type="dxa"/>
            <w:tcBorders/>
            <w:tcMar>
              <w:bottom w:w="0" w:type="dxa"/>
            </w:tcMar>
            <w:vAlign w:val="center"/>
          </w:tcPr>
          <w:p>
            <w:pPr>
              <w:pStyle w:val="TableContents"/>
              <w:bidi w:val="0"/>
              <w:spacing w:before="0" w:after="283"/>
              <w:jc w:val="left"/>
              <w:rPr/>
            </w:pPr>
            <w:r>
              <w:rPr/>
              <w:t> </w:t>
            </w:r>
          </w:p>
        </w:tc>
      </w:tr>
      <w:tr>
        <w:trPr/>
        <w:tc>
          <w:tcPr>
            <w:tcW w:w="1322"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Kevin J. Corrigan (Independent Manager)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tcMar>
              <w:bottom w:w="0" w:type="dxa"/>
            </w:tcMar>
            <w:vAlign w:val="center"/>
          </w:tcPr>
          <w:p>
            <w:pPr>
              <w:pStyle w:val="TableContents"/>
              <w:bidi w:val="0"/>
              <w:spacing w:before="0" w:after="283"/>
              <w:jc w:val="left"/>
              <w:rPr/>
            </w:pPr>
            <w:r>
              <w:rPr/>
              <w:t> </w:t>
            </w:r>
          </w:p>
        </w:tc>
        <w:tc>
          <w:tcPr>
            <w:tcW w:w="8413" w:type="dxa"/>
            <w:tcBorders/>
            <w:tcMar>
              <w:bottom w:w="0" w:type="dxa"/>
            </w:tcMar>
            <w:vAlign w:val="center"/>
          </w:tcPr>
          <w:p>
            <w:pPr>
              <w:pStyle w:val="TableContents"/>
              <w:bidi w:val="0"/>
              <w:spacing w:before="0" w:after="283"/>
              <w:jc w:val="left"/>
              <w:rPr>
                <w:sz w:val="20"/>
              </w:rPr>
            </w:pPr>
            <w:r>
              <w:rPr>
                <w:rFonts w:ascii="Times New Roman;Times;Serif" w:hAnsi="Times New Roman;Times;Serif"/>
                <w:sz w:val="20"/>
              </w:rPr>
              <w:t xml:space="preserve">Manager of the Issuing Entity since June 2023. </w:t>
            </w:r>
            <w:r>
              <w:rPr>
                <w:rFonts w:ascii="Times New Roman;Times;Serif" w:hAnsi="Times New Roman;Times;Serif"/>
                <w:sz w:val="20"/>
                <w:shd w:fill="FFFFFF" w:val="clear"/>
              </w:rPr>
              <w:t>Senior Vice President of Global Securitization Services, LLC since April 2017.</w:t>
            </w:r>
            <w:r>
              <w:rPr>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Issuing Entity is a wholly owned subsidiary of SIGECO which in turn is an indirect wholly owned subsidiary of CenterPoint Energy, Inc. (“CenterPoint Energy”). CenterPoint Energy has adopted a code of ethics for its Chief Executive Officer and Senior Financial Officers, which group consists of its Chief Financial Officer, Chief Accounting Officer, Treasurer and Assistant Controller.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Times New Roman;Times;Serif" w:hAnsi="Times New Roman;Times;Serif"/>
          <w:b w:val="false"/>
          <w:i/>
          <w:caps w:val="false"/>
          <w:smallCaps w:val="false"/>
          <w:sz w:val="20"/>
        </w:rPr>
        <w:t>https://investors.centerpointenergy.com/governance.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annual independent managers fee of $3,500 paid to Global Securitization Services, LLC, the Issuing Entity does not pay any compensation to its executive officers or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by this item with respect to SIGECO is incorporated herein by reference to the material under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xml:space="preserve"> of the definitive proxy statement of CenterPoint Energy for its 2024 annual meeting of shareholders filed with the Securities and Exchange Commission on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7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755" w:type="dxa"/>
            <w:tcBorders/>
            <w:vAlign w:val="center"/>
          </w:tcPr>
          <w:p>
            <w:pPr>
              <w:pStyle w:val="TableContents"/>
              <w:bidi w:val="0"/>
              <w:spacing w:before="0" w:after="283"/>
              <w:jc w:val="left"/>
              <w:rPr/>
            </w:pPr>
            <w:r>
              <w:rPr/>
              <w:t>Documents filed as a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894"/>
        <w:gridCol w:w="9142"/>
      </w:tblGrid>
      <w:tr>
        <w:trPr/>
        <w:tc>
          <w:tcPr>
            <w:tcW w:w="1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pPr>
            <w:r>
              <w:rPr/>
              <w:t>1.</w:t>
            </w:r>
          </w:p>
        </w:tc>
        <w:tc>
          <w:tcPr>
            <w:tcW w:w="9142" w:type="dxa"/>
            <w:tcBorders/>
            <w:vAlign w:val="center"/>
          </w:tcPr>
          <w:p>
            <w:pPr>
              <w:pStyle w:val="TableContents"/>
              <w:bidi w:val="0"/>
              <w:spacing w:before="0" w:after="283"/>
              <w:jc w:val="left"/>
              <w:rPr/>
            </w:pPr>
            <w:r>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2.</w:t>
            </w:r>
          </w:p>
        </w:tc>
        <w:tc>
          <w:tcPr>
            <w:tcW w:w="9450" w:type="dxa"/>
            <w:tcBorders/>
            <w:vAlign w:val="center"/>
          </w:tcPr>
          <w:p>
            <w:pPr>
              <w:pStyle w:val="TableContents"/>
              <w:bidi w:val="0"/>
              <w:spacing w:before="0" w:after="283"/>
              <w:jc w:val="left"/>
              <w:rPr/>
            </w:pPr>
            <w:r>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left"/>
              <w:rPr/>
            </w:pPr>
            <w:r>
              <w:rPr/>
              <w:t>Exhibits required by Item 601 of Regulation S-K (exhibits marked with an asterisk are filed herewith and the others are incorporated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hyperlink r:id="rId2">
              <w:r>
                <w:rPr>
                  <w:rStyle w:val="InternetLink"/>
                  <w:rFonts w:ascii="Times New Roman;Times;Serif" w:hAnsi="Times New Roman;Times;Serif"/>
                  <w:sz w:val="20"/>
                </w:rPr>
                <w:t>3.1</w:t>
              </w:r>
            </w:hyperlink>
          </w:p>
        </w:tc>
        <w:tc>
          <w:tcPr>
            <w:tcW w:w="9855"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Certificate of Formation of SIGECO Securitization I, LLC filed with the Delaware Secretary of State on February 16, 2023.</w:t>
              </w:r>
            </w:hyperlink>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hyperlink r:id="rId4">
              <w:r>
                <w:rPr>
                  <w:rStyle w:val="InternetLink"/>
                  <w:rFonts w:ascii="Times New Roman;Times;Serif" w:hAnsi="Times New Roman;Times;Serif"/>
                  <w:sz w:val="20"/>
                </w:rPr>
                <w:t>3.2</w:t>
              </w:r>
            </w:hyperlink>
          </w:p>
        </w:tc>
        <w:tc>
          <w:tcPr>
            <w:tcW w:w="9855"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Amended and Restated Limited Liability Company Agreement of SIGECO Securitization I, LLC dated as of June 29, 2023.</w:t>
              </w:r>
            </w:hyperlink>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hyperlink r:id="rId6">
              <w:r>
                <w:rPr>
                  <w:rStyle w:val="InternetLink"/>
                  <w:rFonts w:ascii="Times New Roman;Times;Serif" w:hAnsi="Times New Roman;Times;Serif"/>
                  <w:sz w:val="20"/>
                </w:rPr>
                <w:t>4.1</w:t>
              </w:r>
            </w:hyperlink>
          </w:p>
        </w:tc>
        <w:tc>
          <w:tcPr>
            <w:tcW w:w="9855"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 xml:space="preserve">Indenture by and among SIGECO Securitization I, LLC, U.S. Bank Trust Company, National Association, as Indenture Trustee, and U.S. Bank National Association, as Securities Intermediary (including the forms of the Issuing Entity’s </w:t>
              </w:r>
            </w:hyperlink>
            <w:hyperlink r:id="rId8">
              <w:r>
                <w:rPr>
                  <w:rStyle w:val="InternetLink"/>
                  <w:rFonts w:ascii="Times New Roman;Times;Serif" w:hAnsi="Times New Roman;Times;Serif"/>
                  <w:sz w:val="20"/>
                  <w:shd w:fill="FFFFFF" w:val="clear"/>
                </w:rPr>
                <w:t>Series 2023-A Senior Secured Securitization Bonds</w:t>
              </w:r>
            </w:hyperlink>
            <w:hyperlink r:id="rId9">
              <w:r>
                <w:rPr>
                  <w:rStyle w:val="InternetLink"/>
                  <w:rFonts w:ascii="Times New Roman;Times;Serif" w:hAnsi="Times New Roman;Times;Serif"/>
                  <w:sz w:val="20"/>
                </w:rPr>
                <w:t xml:space="preserve"> and the Series Supplement) dated as of June 29, 2023.</w:t>
              </w:r>
            </w:hyperlink>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hyperlink r:id="rId10">
              <w:r>
                <w:rPr>
                  <w:rStyle w:val="InternetLink"/>
                  <w:rFonts w:ascii="Times New Roman;Times;Serif" w:hAnsi="Times New Roman;Times;Serif"/>
                  <w:sz w:val="20"/>
                </w:rPr>
                <w:t>4.2</w:t>
              </w:r>
            </w:hyperlink>
          </w:p>
        </w:tc>
        <w:tc>
          <w:tcPr>
            <w:tcW w:w="9855"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Series Supplement between SIGECO Securitization I, LLC and U.S. Bank Trust Company, National Association, as Indenture Trustee, dated as of June 29, 2023.</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30d1_ex31-1.htm">
              <w:r>
                <w:rPr>
                  <w:rStyle w:val="InternetLink"/>
                  <w:rFonts w:ascii="Times New Roman;Times;Serif" w:hAnsi="Times New Roman;Times;Serif"/>
                  <w:sz w:val="20"/>
                </w:rPr>
                <w:t>*31.1</w:t>
              </w:r>
            </w:hyperlink>
          </w:p>
        </w:tc>
        <w:tc>
          <w:tcPr>
            <w:tcW w:w="9645" w:type="dxa"/>
            <w:tcBorders/>
            <w:vAlign w:val="center"/>
          </w:tcPr>
          <w:p>
            <w:pPr>
              <w:pStyle w:val="TableContents"/>
              <w:bidi w:val="0"/>
              <w:spacing w:before="0" w:after="283"/>
              <w:jc w:val="left"/>
              <w:rPr/>
            </w:pPr>
            <w:hyperlink w:anchor="tm249630d1_ex31-1.htm">
              <w:r>
                <w:rPr>
                  <w:rStyle w:val="InternetLink"/>
                  <w:rFonts w:ascii="Times New Roman;Times;Serif" w:hAnsi="Times New Roman;Times;Serif"/>
                  <w:sz w:val="20"/>
                </w:rPr>
                <w:t>Certification.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30d1_ex33-1.htm">
              <w:r>
                <w:rPr>
                  <w:rStyle w:val="InternetLink"/>
                  <w:rFonts w:ascii="Times New Roman;Times;Serif" w:hAnsi="Times New Roman;Times;Serif"/>
                  <w:sz w:val="20"/>
                </w:rPr>
                <w:t>*33.1</w:t>
              </w:r>
            </w:hyperlink>
          </w:p>
        </w:tc>
        <w:tc>
          <w:tcPr>
            <w:tcW w:w="9645" w:type="dxa"/>
            <w:tcBorders/>
            <w:vAlign w:val="center"/>
          </w:tcPr>
          <w:p>
            <w:pPr>
              <w:pStyle w:val="TableContents"/>
              <w:bidi w:val="0"/>
              <w:spacing w:before="0" w:after="283"/>
              <w:jc w:val="left"/>
              <w:rPr/>
            </w:pPr>
            <w:hyperlink w:anchor="tm249630d1_ex33-1.htm">
              <w:r>
                <w:rPr>
                  <w:rStyle w:val="InternetLink"/>
                  <w:rFonts w:ascii="Times New Roman;Times;Serif" w:hAnsi="Times New Roman;Times;Serif"/>
                  <w:sz w:val="20"/>
                </w:rPr>
                <w:t>Report on assessment of compliance with servicing criteria for asset-backed securities for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30d1_ex33-2.htm">
              <w:r>
                <w:rPr>
                  <w:rStyle w:val="InternetLink"/>
                  <w:rFonts w:ascii="Times New Roman;Times;Serif" w:hAnsi="Times New Roman;Times;Serif"/>
                  <w:sz w:val="20"/>
                </w:rPr>
                <w:t>*33.2</w:t>
              </w:r>
            </w:hyperlink>
          </w:p>
        </w:tc>
        <w:tc>
          <w:tcPr>
            <w:tcW w:w="9645" w:type="dxa"/>
            <w:tcBorders/>
            <w:vAlign w:val="center"/>
          </w:tcPr>
          <w:p>
            <w:pPr>
              <w:pStyle w:val="TableContents"/>
              <w:bidi w:val="0"/>
              <w:spacing w:before="0" w:after="283"/>
              <w:jc w:val="left"/>
              <w:rPr/>
            </w:pPr>
            <w:hyperlink w:anchor="tm249630d1_ex33-2.htm">
              <w:r>
                <w:rPr>
                  <w:rStyle w:val="InternetLink"/>
                  <w:rFonts w:ascii="Times New Roman;Times;Serif" w:hAnsi="Times New Roman;Times;Serif"/>
                  <w:sz w:val="20"/>
                </w:rPr>
                <w:t>Assertion of compliance with applicable servicing criteria for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30d1_ex34-1.htm">
              <w:r>
                <w:rPr>
                  <w:rStyle w:val="InternetLink"/>
                  <w:rFonts w:ascii="Times New Roman;Times;Serif" w:hAnsi="Times New Roman;Times;Serif"/>
                  <w:sz w:val="20"/>
                </w:rPr>
                <w:t>*34.1</w:t>
              </w:r>
            </w:hyperlink>
          </w:p>
        </w:tc>
        <w:tc>
          <w:tcPr>
            <w:tcW w:w="9645" w:type="dxa"/>
            <w:tcBorders/>
            <w:vAlign w:val="center"/>
          </w:tcPr>
          <w:p>
            <w:pPr>
              <w:pStyle w:val="TableContents"/>
              <w:bidi w:val="0"/>
              <w:spacing w:before="0" w:after="283"/>
              <w:jc w:val="left"/>
              <w:rPr/>
            </w:pPr>
            <w:hyperlink w:anchor="tm249630d1_ex34-1.htm">
              <w:r>
                <w:rPr>
                  <w:rStyle w:val="InternetLink"/>
                  <w:rFonts w:ascii="Times New Roman;Times;Serif" w:hAnsi="Times New Roman;Times;Serif"/>
                  <w:sz w:val="20"/>
                </w:rPr>
                <w:t>Attestation report on assessment of compliance with servicing criteria for asset-backed securities of Deloitte &amp; Touche LLP on behalf of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30d1_ex34-2.htm">
              <w:r>
                <w:rPr>
                  <w:rStyle w:val="InternetLink"/>
                  <w:rFonts w:ascii="Times New Roman;Times;Serif" w:hAnsi="Times New Roman;Times;Serif"/>
                  <w:sz w:val="20"/>
                </w:rPr>
                <w:t>*34.2</w:t>
              </w:r>
            </w:hyperlink>
          </w:p>
        </w:tc>
        <w:tc>
          <w:tcPr>
            <w:tcW w:w="9645" w:type="dxa"/>
            <w:tcBorders/>
            <w:vAlign w:val="center"/>
          </w:tcPr>
          <w:p>
            <w:pPr>
              <w:pStyle w:val="TableContents"/>
              <w:bidi w:val="0"/>
              <w:spacing w:before="0" w:after="283"/>
              <w:jc w:val="left"/>
              <w:rPr/>
            </w:pPr>
            <w:hyperlink w:anchor="tm249630d1_ex34-2.htm">
              <w:r>
                <w:rPr>
                  <w:rStyle w:val="InternetLink"/>
                  <w:rFonts w:ascii="Times New Roman;Times;Serif" w:hAnsi="Times New Roman;Times;Serif"/>
                  <w:sz w:val="20"/>
                </w:rPr>
                <w:t>Attestation report on assessment of compliance with servicing criteria for asset-backed securities of Ernst &amp; Young LLP on behalf of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30d1_ex35-1.htm">
              <w:r>
                <w:rPr>
                  <w:rStyle w:val="InternetLink"/>
                  <w:rFonts w:ascii="Times New Roman;Times;Serif" w:hAnsi="Times New Roman;Times;Serif"/>
                  <w:sz w:val="20"/>
                </w:rPr>
                <w:t>*35.1</w:t>
              </w:r>
            </w:hyperlink>
          </w:p>
        </w:tc>
        <w:tc>
          <w:tcPr>
            <w:tcW w:w="9645" w:type="dxa"/>
            <w:tcBorders/>
            <w:vAlign w:val="center"/>
          </w:tcPr>
          <w:p>
            <w:pPr>
              <w:pStyle w:val="TableContents"/>
              <w:bidi w:val="0"/>
              <w:spacing w:before="0" w:after="283"/>
              <w:jc w:val="left"/>
              <w:rPr/>
            </w:pPr>
            <w:hyperlink w:anchor="tm249630d1_ex35-1.htm">
              <w:r>
                <w:rPr>
                  <w:rStyle w:val="InternetLink"/>
                  <w:rFonts w:ascii="Times New Roman;Times;Serif" w:hAnsi="Times New Roman;Times;Serif"/>
                  <w:sz w:val="20"/>
                </w:rPr>
                <w:t>Servicer compliance statement.</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hyperlink r:id="rId12">
              <w:r>
                <w:rPr>
                  <w:rStyle w:val="InternetLink"/>
                  <w:rFonts w:ascii="Times New Roman;Times;Serif" w:hAnsi="Times New Roman;Times;Serif"/>
                  <w:sz w:val="20"/>
                </w:rPr>
                <w:t>99.1</w:t>
              </w:r>
            </w:hyperlink>
          </w:p>
        </w:tc>
        <w:tc>
          <w:tcPr>
            <w:tcW w:w="9750"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Securitization Property Servicing Agreement between SIGECO Securitization I, LLC and Southern Indiana Gas and Electric Company, as Servicer, dated as of June 29, 2023.</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hyperlink r:id="rId14">
              <w:r>
                <w:rPr>
                  <w:rStyle w:val="InternetLink"/>
                  <w:rFonts w:ascii="Times New Roman;Times;Serif" w:hAnsi="Times New Roman;Times;Serif"/>
                  <w:sz w:val="20"/>
                </w:rPr>
                <w:t>99.2</w:t>
              </w:r>
            </w:hyperlink>
          </w:p>
        </w:tc>
        <w:tc>
          <w:tcPr>
            <w:tcW w:w="9750"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Securitization Property Purchase and Sale Agreement between SIGECO Securitization I, LLC and Southern Indiana Gas and Electric Company, as Seller, dated as of June 29, 2023.</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hyperlink r:id="rId16">
              <w:r>
                <w:rPr>
                  <w:rStyle w:val="InternetLink"/>
                  <w:rFonts w:ascii="Times New Roman;Times;Serif" w:hAnsi="Times New Roman;Times;Serif"/>
                  <w:sz w:val="20"/>
                </w:rPr>
                <w:t>99.3</w:t>
              </w:r>
            </w:hyperlink>
          </w:p>
        </w:tc>
        <w:tc>
          <w:tcPr>
            <w:tcW w:w="9750"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Administration Agreement between SIGECO Securitization I, LLC and Southern Indiana Gas and Electric Company, as Administrator, dated as of June 29,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left"/>
              <w:rPr/>
            </w:pPr>
            <w:r>
              <w:rPr/>
              <w:t>Exhibits required by this Form and Item 601 of Regulation S-K (exhibits marked with an asterisk are 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rPr>
                <w:t>3.1</w:t>
              </w:r>
            </w:hyperlink>
          </w:p>
        </w:tc>
        <w:tc>
          <w:tcPr>
            <w:tcW w:w="9855"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Certificate of Formation of SIGECO Securitization I, LLC filed with the Delaware Secretary of State on February 16, 2023 (incorporated by reference to exhibit 3.1 included as an exhibit to the Issuing Entity’s Registration Statement on Form SF-1 filed March 24, 2023 (Registration No. 333-270851-01)).</w:t>
              </w:r>
            </w:hyperlink>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3.2</w:t>
              </w:r>
            </w:hyperlink>
          </w:p>
        </w:tc>
        <w:tc>
          <w:tcPr>
            <w:tcW w:w="9855" w:type="dxa"/>
            <w:tcBorders/>
            <w:vAlign w:val="center"/>
          </w:tcPr>
          <w:p>
            <w:pPr>
              <w:pStyle w:val="TableContents"/>
              <w:bidi w:val="0"/>
              <w:spacing w:before="0" w:after="283"/>
              <w:jc w:val="left"/>
              <w:rPr/>
            </w:pPr>
            <w:hyperlink r:id="rId21">
              <w:r>
                <w:rPr>
                  <w:rStyle w:val="InternetLink"/>
                  <w:rFonts w:ascii="Times New Roman;Times;Serif" w:hAnsi="Times New Roman;Times;Serif"/>
                  <w:sz w:val="20"/>
                </w:rPr>
                <w:t>Amended and Restated Limited Liability Company Agreement of SIGECO Securitization I, LLC dated as of June 29, 2023 (incorporated by reference to exhibit 3.1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4.1</w:t>
              </w:r>
            </w:hyperlink>
          </w:p>
        </w:tc>
        <w:tc>
          <w:tcPr>
            <w:tcW w:w="9855" w:type="dxa"/>
            <w:tcBorders/>
            <w:vAlign w:val="center"/>
          </w:tcPr>
          <w:p>
            <w:pPr>
              <w:pStyle w:val="TableContents"/>
              <w:bidi w:val="0"/>
              <w:spacing w:before="0" w:after="283"/>
              <w:jc w:val="left"/>
              <w:rPr/>
            </w:pPr>
            <w:hyperlink r:id="rId23">
              <w:r>
                <w:rPr>
                  <w:rStyle w:val="InternetLink"/>
                  <w:rFonts w:ascii="Times New Roman;Times;Serif" w:hAnsi="Times New Roman;Times;Serif"/>
                  <w:sz w:val="20"/>
                </w:rPr>
                <w:t xml:space="preserve">Indenture by and among SIGECO Securitization I, LLC, U.S. Bank Trust Company, National Association, as Indenture Trustee, and U.S. Bank National Association, as Securities Intermediary (including the forms of the Issuing Entity’s </w:t>
              </w:r>
            </w:hyperlink>
            <w:hyperlink r:id="rId24">
              <w:r>
                <w:rPr>
                  <w:rStyle w:val="InternetLink"/>
                  <w:rFonts w:ascii="Times New Roman;Times;Serif" w:hAnsi="Times New Roman;Times;Serif"/>
                  <w:sz w:val="20"/>
                  <w:shd w:fill="FFFFFF" w:val="clear"/>
                </w:rPr>
                <w:t>Series 2023-A Senior Secured Securitization Bonds</w:t>
              </w:r>
            </w:hyperlink>
            <w:hyperlink r:id="rId25">
              <w:r>
                <w:rPr>
                  <w:rStyle w:val="InternetLink"/>
                  <w:rFonts w:ascii="Times New Roman;Times;Serif" w:hAnsi="Times New Roman;Times;Serif"/>
                  <w:sz w:val="20"/>
                </w:rPr>
                <w:t xml:space="preserve"> and the Series Supplement) dated as of June 29, 2023 (incorporated by reference to exhibit 4.1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4.2</w:t>
              </w:r>
            </w:hyperlink>
          </w:p>
        </w:tc>
        <w:tc>
          <w:tcPr>
            <w:tcW w:w="9855"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Series Supplement between SIGECO Securitization I, LLC and U.S. Bank Trust Company, National Association, as Indenture Trustee, dated as of June 29, 2023 (incorporated by reference to exhibit 4.2 included as an exhibit to the Issuing Entity’s Current Report on Form 8-K filed June 29, 2023 (File No. 333-270851-01)).</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9630d1_ex31-1.htm">
              <w:r>
                <w:rPr>
                  <w:rStyle w:val="InternetLink"/>
                  <w:rFonts w:ascii="Times New Roman;Times;Serif" w:hAnsi="Times New Roman;Times;Serif"/>
                  <w:sz w:val="20"/>
                </w:rPr>
                <w:t>*31.1</w:t>
              </w:r>
            </w:hyperlink>
          </w:p>
        </w:tc>
        <w:tc>
          <w:tcPr>
            <w:tcW w:w="9645" w:type="dxa"/>
            <w:tcBorders/>
            <w:vAlign w:val="center"/>
          </w:tcPr>
          <w:p>
            <w:pPr>
              <w:pStyle w:val="TableContents"/>
              <w:bidi w:val="0"/>
              <w:spacing w:before="0" w:after="283"/>
              <w:jc w:val="left"/>
              <w:rPr/>
            </w:pPr>
            <w:hyperlink w:anchor="tm249630d1_ex31-1.htm">
              <w:r>
                <w:rPr>
                  <w:rStyle w:val="InternetLink"/>
                  <w:rFonts w:ascii="Times New Roman;Times;Serif" w:hAnsi="Times New Roman;Times;Serif"/>
                  <w:sz w:val="20"/>
                </w:rPr>
                <w:t>Certification.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9630d1_ex33-1.htm">
              <w:r>
                <w:rPr>
                  <w:rStyle w:val="InternetLink"/>
                  <w:rFonts w:ascii="Times New Roman;Times;Serif" w:hAnsi="Times New Roman;Times;Serif"/>
                  <w:sz w:val="20"/>
                </w:rPr>
                <w:t>*33.1</w:t>
              </w:r>
            </w:hyperlink>
          </w:p>
        </w:tc>
        <w:tc>
          <w:tcPr>
            <w:tcW w:w="9645" w:type="dxa"/>
            <w:tcBorders/>
            <w:vAlign w:val="center"/>
          </w:tcPr>
          <w:p>
            <w:pPr>
              <w:pStyle w:val="TableContents"/>
              <w:bidi w:val="0"/>
              <w:spacing w:before="0" w:after="283"/>
              <w:jc w:val="left"/>
              <w:rPr/>
            </w:pPr>
            <w:hyperlink w:anchor="tm249630d1_ex33-1.htm">
              <w:r>
                <w:rPr>
                  <w:rStyle w:val="InternetLink"/>
                  <w:rFonts w:ascii="Times New Roman;Times;Serif" w:hAnsi="Times New Roman;Times;Serif"/>
                  <w:sz w:val="20"/>
                </w:rPr>
                <w:t>Report on assessment of compliance with servicing criteria for asset-backed securities for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9630d1_ex33-2.htm">
              <w:r>
                <w:rPr>
                  <w:rStyle w:val="InternetLink"/>
                  <w:rFonts w:ascii="Times New Roman;Times;Serif" w:hAnsi="Times New Roman;Times;Serif"/>
                  <w:sz w:val="20"/>
                </w:rPr>
                <w:t>*33.2</w:t>
              </w:r>
            </w:hyperlink>
          </w:p>
        </w:tc>
        <w:tc>
          <w:tcPr>
            <w:tcW w:w="9645" w:type="dxa"/>
            <w:tcBorders/>
            <w:vAlign w:val="center"/>
          </w:tcPr>
          <w:p>
            <w:pPr>
              <w:pStyle w:val="TableContents"/>
              <w:bidi w:val="0"/>
              <w:spacing w:before="0" w:after="283"/>
              <w:jc w:val="left"/>
              <w:rPr/>
            </w:pPr>
            <w:hyperlink w:anchor="tm249630d1_ex33-2.htm">
              <w:r>
                <w:rPr>
                  <w:rStyle w:val="InternetLink"/>
                  <w:rFonts w:ascii="Times New Roman;Times;Serif" w:hAnsi="Times New Roman;Times;Serif"/>
                  <w:sz w:val="20"/>
                </w:rPr>
                <w:t>Assertion of compliance with applicable servicing criteria for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9630d1_ex34-1.htm">
              <w:r>
                <w:rPr>
                  <w:rStyle w:val="InternetLink"/>
                  <w:rFonts w:ascii="Times New Roman;Times;Serif" w:hAnsi="Times New Roman;Times;Serif"/>
                  <w:sz w:val="20"/>
                </w:rPr>
                <w:t>*34.1</w:t>
              </w:r>
            </w:hyperlink>
          </w:p>
        </w:tc>
        <w:tc>
          <w:tcPr>
            <w:tcW w:w="9645" w:type="dxa"/>
            <w:tcBorders/>
            <w:vAlign w:val="center"/>
          </w:tcPr>
          <w:p>
            <w:pPr>
              <w:pStyle w:val="TableContents"/>
              <w:bidi w:val="0"/>
              <w:spacing w:before="0" w:after="283"/>
              <w:jc w:val="left"/>
              <w:rPr/>
            </w:pPr>
            <w:hyperlink w:anchor="tm249630d1_ex34-1.htm">
              <w:r>
                <w:rPr>
                  <w:rStyle w:val="InternetLink"/>
                  <w:rFonts w:ascii="Times New Roman;Times;Serif" w:hAnsi="Times New Roman;Times;Serif"/>
                  <w:sz w:val="20"/>
                </w:rPr>
                <w:t>Attestation report on assessment of compliance with servicing criteria for asset-backed securities of Deloitte &amp; Touche LLP on behalf of Southern Indiana Gas and Electric Company.</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9630d1_ex34-2.htm">
              <w:r>
                <w:rPr>
                  <w:rStyle w:val="InternetLink"/>
                  <w:rFonts w:ascii="Times New Roman;Times;Serif" w:hAnsi="Times New Roman;Times;Serif"/>
                  <w:sz w:val="20"/>
                </w:rPr>
                <w:t>*34.2</w:t>
              </w:r>
            </w:hyperlink>
          </w:p>
        </w:tc>
        <w:tc>
          <w:tcPr>
            <w:tcW w:w="9645" w:type="dxa"/>
            <w:tcBorders/>
            <w:vAlign w:val="center"/>
          </w:tcPr>
          <w:p>
            <w:pPr>
              <w:pStyle w:val="TableContents"/>
              <w:bidi w:val="0"/>
              <w:spacing w:before="0" w:after="283"/>
              <w:jc w:val="left"/>
              <w:rPr/>
            </w:pPr>
            <w:hyperlink w:anchor="tm249630d1_ex34-2.htm">
              <w:r>
                <w:rPr>
                  <w:rStyle w:val="InternetLink"/>
                  <w:rFonts w:ascii="Times New Roman;Times;Serif" w:hAnsi="Times New Roman;Times;Serif"/>
                  <w:sz w:val="20"/>
                </w:rPr>
                <w:t>Attestation report on assessment of compliance with servicing criteria for asset-backed securities of Ernst &amp; Young LLP on behalf of U.S. Bank Trust Company,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9630d1_ex35-1.htm">
              <w:r>
                <w:rPr>
                  <w:rStyle w:val="InternetLink"/>
                  <w:rFonts w:ascii="Times New Roman;Times;Serif" w:hAnsi="Times New Roman;Times;Serif"/>
                  <w:sz w:val="20"/>
                </w:rPr>
                <w:t>*35.1</w:t>
              </w:r>
            </w:hyperlink>
          </w:p>
        </w:tc>
        <w:tc>
          <w:tcPr>
            <w:tcW w:w="9645" w:type="dxa"/>
            <w:tcBorders/>
            <w:vAlign w:val="center"/>
          </w:tcPr>
          <w:p>
            <w:pPr>
              <w:pStyle w:val="TableContents"/>
              <w:bidi w:val="0"/>
              <w:spacing w:before="0" w:after="283"/>
              <w:jc w:val="left"/>
              <w:rPr/>
            </w:pPr>
            <w:hyperlink w:anchor="tm249630d1_ex35-1.htm">
              <w:r>
                <w:rPr>
                  <w:rStyle w:val="InternetLink"/>
                  <w:rFonts w:ascii="Times New Roman;Times;Serif" w:hAnsi="Times New Roman;Times;Serif"/>
                  <w:sz w:val="20"/>
                </w:rPr>
                <w:t>Servicer compliance statement.</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99.1</w:t>
              </w:r>
            </w:hyperlink>
          </w:p>
        </w:tc>
        <w:tc>
          <w:tcPr>
            <w:tcW w:w="9750"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Securitization Property Servicing Agreement between SIGECO Securitization I, LLC and Southern Indiana Gas and Electric Company, as Servicer, dated as of June 29, 2023 (incorporated by reference to exhibit 10.1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99.2</w:t>
              </w:r>
            </w:hyperlink>
          </w:p>
        </w:tc>
        <w:tc>
          <w:tcPr>
            <w:tcW w:w="9750"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Securitization Property Purchase and Sale Agreement between SIGECO Securitization I, LLC and Southern Indiana Gas and Electric Company, as Seller, dated as of June 29, 2023 (incorporated by reference to exhibit 10.2 included as an exhibit to the Issuing Entity’s Current Report on Form 8-K filed June 29, 2023 (File No. 333-270851-01)).</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99.3</w:t>
              </w:r>
            </w:hyperlink>
          </w:p>
        </w:tc>
        <w:tc>
          <w:tcPr>
            <w:tcW w:w="9750"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Administration Agreement between SIGECO Securitization I, LLC and Southern Indiana Gas and Electric Company, as Administrator, dated as of June 29, 2023 (incorporated by reference to exhibit 10.3 included as an exhibit to the Issuing Entity’s Current Report on Form 8-K filed June 29, 2023 (File No. 333-270851-01)).</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570"/>
        <w:gridCol w:w="8419"/>
      </w:tblGrid>
      <w:tr>
        <w:trPr/>
        <w:tc>
          <w:tcPr>
            <w:tcW w:w="21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pPr>
            <w:r>
              <w:rPr/>
              <w:t>(c)</w:t>
            </w:r>
          </w:p>
        </w:tc>
        <w:tc>
          <w:tcPr>
            <w:tcW w:w="8419"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1112(b). Significant Obligors of Pool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1114(b)(2). Credit Enhancement and Other Support, Except for Certain Derivatives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1115(b). Certain Derivatives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1117.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1119. Affiliations and 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Issuing Entity is a wholly owned subsidiary of 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1122. Compliance with Applicable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Exhibits 33.1, 33.2, 34.1 and 34.2 under Item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1123. Servicer Compliance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35.1 under Item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on the 28th day of March, 2024.</w:t>
      </w:r>
    </w:p>
    <w:p>
      <w:pPr>
        <w:pStyle w:val="TextBody"/>
        <w:bidi w:val="0"/>
        <w:spacing w:before="0" w:after="0"/>
        <w:ind w:left="0" w:right="0" w:hanging="0"/>
        <w:jc w:val="left"/>
        <w:rPr>
          <w:caps w:val="false"/>
          <w:smallCaps w:val="false"/>
        </w:rPr>
      </w:pPr>
      <w:r>
        <w:rPr>
          <w:caps w:val="false"/>
          <w:smallCaps w:val="false"/>
        </w:rPr>
        <w:t> </w:t>
      </w:r>
    </w:p>
    <w:tbl>
      <w:tblPr>
        <w:tblW w:w="3705" w:type="dxa"/>
        <w:jc w:val="left"/>
        <w:tblInd w:w="0" w:type="dxa"/>
        <w:tblLayout w:type="fixed"/>
        <w:tblCellMar>
          <w:top w:w="0" w:type="dxa"/>
          <w:left w:w="0" w:type="dxa"/>
          <w:bottom w:w="0" w:type="dxa"/>
          <w:right w:w="0" w:type="dxa"/>
        </w:tblCellMar>
      </w:tblPr>
      <w:tblGrid>
        <w:gridCol w:w="75"/>
        <w:gridCol w:w="320"/>
        <w:gridCol w:w="545"/>
        <w:gridCol w:w="2765"/>
      </w:tblGrid>
      <w:tr>
        <w:trPr/>
        <w:tc>
          <w:tcPr>
            <w:tcW w:w="75" w:type="dxa"/>
            <w:tcBorders/>
            <w:vAlign w:val="center"/>
          </w:tcPr>
          <w:p>
            <w:pPr>
              <w:pStyle w:val="TableContents"/>
              <w:bidi w:val="0"/>
              <w:spacing w:before="0" w:after="283"/>
              <w:jc w:val="left"/>
              <w:rPr/>
            </w:pPr>
            <w:r>
              <w:rPr/>
              <w:t> </w:t>
            </w:r>
          </w:p>
        </w:tc>
        <w:tc>
          <w:tcPr>
            <w:tcW w:w="36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SIGECO SECURITIZATION I, LLC,</w:t>
            </w:r>
          </w:p>
        </w:tc>
      </w:tr>
      <w:tr>
        <w:trPr/>
        <w:tc>
          <w:tcPr>
            <w:tcW w:w="75" w:type="dxa"/>
            <w:tcBorders/>
            <w:vAlign w:val="center"/>
          </w:tcPr>
          <w:p>
            <w:pPr>
              <w:pStyle w:val="TableContents"/>
              <w:bidi w:val="0"/>
              <w:spacing w:before="0" w:after="283"/>
              <w:jc w:val="left"/>
              <w:rPr/>
            </w:pPr>
            <w:r>
              <w:rPr/>
              <w:t> </w:t>
            </w:r>
          </w:p>
        </w:tc>
        <w:tc>
          <w:tcPr>
            <w:tcW w:w="36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Issuing Entity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SOUTHERN INDIANA GAS AND</w:t>
              <w:br/>
              <w:t>ELECTRIC COMPANY, as servicer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Jacqueline M. Richert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Jacqueline M. Richert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officer in charge of the </w:t>
              <w:br/>
              <w:t>servicing function of the servicer)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to be Furnished With Reports Filed Pursuant to Section 15(d) of the Act by Registrants Which Have Not Registered Securities Pursuant to Section 12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tm249630d1_ex31-1.htm"/>
      <w:bookmarkStart w:id="3" w:name="kstm249630d1_ex31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Jacqueline M. Richert,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report on Form 10-K and all reports on Form 10-D required to be filed in respect of the period covered by this report on Form 10-K of SIGECO Securitization I, LLC (the “Exchange Act periodic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all of the distribution, servicing and other information required to be provided under Form 10-D for the period covered by this report is included in the Exchange Act periodic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Securitization Property Servicing Agreement dated as of June 29, 2023 between SIGECO Securitization I, LLC, as the Issuing Entity, and the Servicer, in all material respects;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certifications above, I have reasonably relied on information provided to me by the following unaffiliated parties: U.S. Bank Trust Company, National Association, as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6"/>
        <w:gridCol w:w="9583"/>
        <w:gridCol w:w="76"/>
      </w:tblGrid>
      <w:tr>
        <w:trPr/>
        <w:tc>
          <w:tcPr>
            <w:tcW w:w="10129"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Jacqueline M. Richert</w:t>
            </w:r>
          </w:p>
        </w:tc>
        <w:tc>
          <w:tcPr>
            <w:tcW w:w="76" w:type="dxa"/>
            <w:tcBorders/>
            <w:tcMar>
              <w:bottom w:w="0" w:type="dxa"/>
            </w:tcMar>
            <w:vAlign w:val="center"/>
          </w:tcPr>
          <w:p>
            <w:pPr>
              <w:pStyle w:val="TableContents"/>
              <w:bidi w:val="0"/>
              <w:spacing w:before="0" w:after="283"/>
              <w:jc w:val="left"/>
              <w:rPr/>
            </w:pPr>
            <w:r>
              <w:rPr/>
              <w:t> </w:t>
            </w:r>
          </w:p>
        </w:tc>
      </w:tr>
      <w:tr>
        <w:trPr/>
        <w:tc>
          <w:tcPr>
            <w:tcW w:w="5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5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Jacqueline M. Richert</w:t>
            </w:r>
          </w:p>
        </w:tc>
        <w:tc>
          <w:tcPr>
            <w:tcW w:w="76" w:type="dxa"/>
            <w:tcBorders/>
            <w:tcMar>
              <w:bottom w:w="0" w:type="dxa"/>
            </w:tcMar>
            <w:vAlign w:val="center"/>
          </w:tcPr>
          <w:p>
            <w:pPr>
              <w:pStyle w:val="TableContents"/>
              <w:bidi w:val="0"/>
              <w:spacing w:before="0" w:after="283"/>
              <w:jc w:val="left"/>
              <w:rPr/>
            </w:pPr>
            <w:r>
              <w:rPr/>
              <w:t> </w:t>
            </w:r>
          </w:p>
        </w:tc>
      </w:tr>
      <w:tr>
        <w:trPr/>
        <w:tc>
          <w:tcPr>
            <w:tcW w:w="5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583" w:type="dxa"/>
            <w:tcBorders/>
            <w:tcMar>
              <w:bottom w:w="0" w:type="dxa"/>
            </w:tcMar>
            <w:vAlign w:val="center"/>
          </w:tcPr>
          <w:p>
            <w:pPr>
              <w:pStyle w:val="TableContents"/>
              <w:bidi w:val="0"/>
              <w:spacing w:before="0" w:after="283"/>
              <w:jc w:val="left"/>
              <w:rPr/>
            </w:pPr>
            <w:r>
              <w:rPr/>
              <w:t xml:space="preserve">Vice President and Treasurer </w:t>
            </w:r>
            <w:r>
              <w:rPr>
                <w:rFonts w:ascii="Times New Roman;Times;Serif" w:hAnsi="Times New Roman;Times;Serif"/>
                <w:sz w:val="20"/>
              </w:rPr>
              <w:t xml:space="preserve">(Senior Officer in Charge of Servicing Function) </w:t>
            </w:r>
            <w:r>
              <w:rPr/>
              <w:t>Southern Indiana Gas and Electric Company, as servicer</w:t>
            </w:r>
          </w:p>
        </w:tc>
        <w:tc>
          <w:tcPr>
            <w:tcW w:w="7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tm249630d1_ex33-1.htm"/>
      <w:bookmarkStart w:id="5" w:name="kstm249630d1_ex33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SERVICER ANNUAL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SIGECO SECURITIZATION 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$341,450,000 Series 2023-A Senior Secured Securitization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the undersigned is the duly elected and acting Vice President and Treasurer of SOUTHERN INDIANA GAS AND ELECTRIC COMPANY d/b/a CenterPoint Energy Indiana South, as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under the Securitization Property Servicing Agreement dated as of June 29, 2023 (the “</w:t>
      </w:r>
      <w:r>
        <w:rPr>
          <w:rFonts w:ascii="Times New Roman;Times;Serif" w:hAnsi="Times New Roman;Times;Serif"/>
          <w:b w:val="false"/>
          <w:i/>
          <w:caps w:val="false"/>
          <w:smallCaps w:val="false"/>
          <w:sz w:val="20"/>
        </w:rPr>
        <w:t>Servicing Agreement</w:t>
      </w:r>
      <w:r>
        <w:rPr>
          <w:rFonts w:ascii="Times New Roman;Times;Serif" w:hAnsi="Times New Roman;Times;Serif"/>
          <w:b w:val="false"/>
          <w:i w:val="false"/>
          <w:caps w:val="false"/>
          <w:smallCaps w:val="false"/>
          <w:sz w:val="20"/>
        </w:rPr>
        <w:t>”) by and between the Servicer and SIGECO SECURITIZATION I, LLC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further certifies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pPr>
            <w:r>
              <w:rPr/>
              <w:t>The undersigned is responsible for assessing the Servicer’s compliance with the servicing criteria set forth in Item 1122(d) of Regulation AB (the “</w:t>
            </w:r>
            <w:r>
              <w:rPr>
                <w:i/>
              </w:rPr>
              <w:t>Servicing Criteria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3" w:type="dxa"/>
            <w:tcBorders/>
            <w:vAlign w:val="center"/>
          </w:tcPr>
          <w:p>
            <w:pPr>
              <w:pStyle w:val="TableContents"/>
              <w:bidi w:val="0"/>
              <w:spacing w:before="0" w:after="283"/>
              <w:jc w:val="left"/>
              <w:rPr/>
            </w:pPr>
            <w:r>
              <w:rPr/>
              <w:t>With respect to each of the Servicing Criteria, the undersigned has made the following assessment of the Servicing Criteria in accordance with Item 1122(d) of Regulation AB, with such discussion regarding the performance of such Servicing Criteria during the period from June 29, 2023 to December 31, 2023, and covered by the Issuer’s annual report on Form 10-K (such fiscal year, the “</w:t>
            </w:r>
            <w:r>
              <w:rPr>
                <w:i/>
              </w:rPr>
              <w:t>Assessment Period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60" w:type="dxa"/>
        </w:tblCellMar>
      </w:tblPr>
      <w:tblGrid>
        <w:gridCol w:w="1496"/>
        <w:gridCol w:w="5873"/>
        <w:gridCol w:w="2836"/>
      </w:tblGrid>
      <w:tr>
        <w:trPr/>
        <w:tc>
          <w:tcPr>
            <w:tcW w:w="14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Regulation AB Reference</w:t>
            </w:r>
          </w:p>
        </w:tc>
        <w:tc>
          <w:tcPr>
            <w:tcW w:w="587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r>
              <w:rPr>
                <w:b/>
              </w:rPr>
              <w:t>Servicing Criteri</w:t>
            </w:r>
            <w:r>
              <w:rPr/>
              <w:t>a</w:t>
            </w:r>
          </w:p>
        </w:tc>
        <w:tc>
          <w:tcPr>
            <w:tcW w:w="283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Assessment</w:t>
            </w:r>
          </w:p>
        </w:tc>
      </w:tr>
      <w:tr>
        <w:trPr/>
        <w:tc>
          <w:tcPr>
            <w:tcW w:w="14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5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General Servicing Considerations</w:t>
            </w:r>
          </w:p>
        </w:tc>
        <w:tc>
          <w:tcPr>
            <w:tcW w:w="2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w:t>
            </w:r>
          </w:p>
        </w:tc>
        <w:tc>
          <w:tcPr>
            <w:tcW w:w="5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Policies and procedures are instituted to monitor any performance or other triggers and events of default in accordance with the transaction agreements.</w:t>
            </w:r>
          </w:p>
        </w:tc>
        <w:tc>
          <w:tcPr>
            <w:tcW w:w="2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4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w:t>
            </w:r>
          </w:p>
        </w:tc>
        <w:tc>
          <w:tcPr>
            <w:tcW w:w="5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any material servicing activities are outsourced to third parties, policies and procedures are instituted to monitor the third party’s performance and compliance with such servicing activities.</w:t>
            </w:r>
          </w:p>
        </w:tc>
        <w:tc>
          <w:tcPr>
            <w:tcW w:w="2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servicing activities were outsourced.</w:t>
            </w:r>
          </w:p>
        </w:tc>
      </w:tr>
      <w:tr>
        <w:trPr/>
        <w:tc>
          <w:tcPr>
            <w:tcW w:w="14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1122(d)(1)(iii)</w:t>
            </w:r>
          </w:p>
        </w:tc>
        <w:tc>
          <w:tcPr>
            <w:tcW w:w="5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requirements in the transaction agreements to maintain a back-up servicer for pool assets are maintained.</w:t>
            </w:r>
          </w:p>
        </w:tc>
        <w:tc>
          <w:tcPr>
            <w:tcW w:w="2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transaction agreements do not provide for a back-up servicer.</w:t>
            </w:r>
          </w:p>
        </w:tc>
      </w:tr>
      <w:tr>
        <w:trPr/>
        <w:tc>
          <w:tcPr>
            <w:tcW w:w="14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1122(d)(1)(iv)</w:t>
            </w:r>
          </w:p>
        </w:tc>
        <w:tc>
          <w:tcPr>
            <w:tcW w:w="5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2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transaction agreements do not require a fidelity bond or errors and omissions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60" w:type="dxa"/>
        </w:tblCellMar>
      </w:tblPr>
      <w:tblGrid>
        <w:gridCol w:w="595"/>
        <w:gridCol w:w="7515"/>
        <w:gridCol w:w="2095"/>
      </w:tblGrid>
      <w:tr>
        <w:trPr/>
        <w:tc>
          <w:tcPr>
            <w:tcW w:w="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1122(d)(1)(v)</w:t>
            </w:r>
          </w:p>
        </w:tc>
        <w:tc>
          <w:tcPr>
            <w:tcW w:w="75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Aggregation of information, as applicable, is mathematically accurate and the information conveyed accurately reflects the information</w:t>
            </w:r>
          </w:p>
        </w:tc>
        <w:tc>
          <w:tcPr>
            <w:tcW w:w="20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Collection and Administration</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pool assets are deposited into the appropriate custodial bank accounts and related bank clearing accounts no more than two Business Days following receipt, or such other number of days specified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via wire transfer on behalf of an obligor or to an investor are made only by authorized personnel.</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of funds or guarantees regarding collections, cash flows or distributions, and any interest or other fees charged for such advances, are made, reviewed and approved as specified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no advances by the Servicer are permitted under the transaction agreements, except for payments of certain indemnities.</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1122(d)(2)(iv)</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related accounts for the transaction, such as cash reserve accounts or accounts established as a form of overcollateralization, are separately maintained (e.g., with respect to commingling of cash) as set forth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is required since the related accounts are maintained by the Trustee.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under the Exchange Act.</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required; all “custodial accounts” are maintained by the Trustee.</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Unissued checks are safeguarded so as to prevent unauthorized access.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all payments made by wire transfer.</w:t>
            </w:r>
          </w:p>
        </w:tc>
      </w:tr>
      <w:tr>
        <w:trPr/>
        <w:tc>
          <w:tcPr>
            <w:tcW w:w="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1122(d)(2)(vii)</w:t>
            </w:r>
          </w:p>
        </w:tc>
        <w:tc>
          <w:tcPr>
            <w:tcW w:w="7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60" w:type="dxa"/>
        </w:tblCellMar>
      </w:tblPr>
      <w:tblGrid>
        <w:gridCol w:w="601"/>
        <w:gridCol w:w="7223"/>
        <w:gridCol w:w="2381"/>
      </w:tblGrid>
      <w:tr>
        <w:trPr/>
        <w:tc>
          <w:tcPr>
            <w:tcW w:w="6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72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Investor Remittances and Reporting</w:t>
            </w:r>
          </w:p>
        </w:tc>
        <w:tc>
          <w:tcPr>
            <w:tcW w:w="23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to investors, including those to be filed with the SEC, are maintained in accordance with the transaction agreements and applicable SEC requirements. Specifically, such reports: (A) are prepared in accordance with timeframes and other terms set forth in the transaction agreements; (B) provide information calculated in accordance with the terms specified in the transaction agreements; (C) are filed with the SEC as required by its rules and regulations; and (D) agree with investors’ or the trustee’s records as to the total unpaid principal balance and number of pool assets serviced by the servicer.</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investors are allocated and remitted in accordance with timeframes, distribution priority and other terms set forth in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investor records maintained by the Trustee.</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to an investor are posted within two Business Days to the servicer’s investor records, or such other number of days specified in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1122(d)(3)(iv)</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remitted to investors per the investor reports agree with cancelled checks, or other form of payment, or custodial bank statements.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Pool Asset Administration</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or security on pool assets is maintained as required by the transaction agreements or related pool asset documents.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Pool assets and related documents are safeguarded as required by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1122(d)(4)(iii)</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additions, removals or substitutions to the asset pool are made, reviewed and approved in accordance with any conditions or requirements in the transaction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removals or substitutions of Securitization Property are contemplated or allowed under the transaction documents.</w:t>
            </w:r>
          </w:p>
        </w:tc>
      </w:tr>
      <w:tr>
        <w:trPr/>
        <w:tc>
          <w:tcPr>
            <w:tcW w:w="6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1122(d)(4)(iv)</w:t>
            </w:r>
          </w:p>
        </w:tc>
        <w:tc>
          <w:tcPr>
            <w:tcW w:w="7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agreements.</w:t>
            </w:r>
          </w:p>
        </w:tc>
        <w:tc>
          <w:tcPr>
            <w:tcW w:w="2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60" w:type="dxa"/>
        </w:tblCellMar>
      </w:tblPr>
      <w:tblGrid>
        <w:gridCol w:w="594"/>
        <w:gridCol w:w="5724"/>
        <w:gridCol w:w="3887"/>
      </w:tblGrid>
      <w:tr>
        <w:trPr/>
        <w:tc>
          <w:tcPr>
            <w:tcW w:w="5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w:t>
            </w:r>
          </w:p>
        </w:tc>
        <w:tc>
          <w:tcPr>
            <w:tcW w:w="57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servicer’s records regarding the pool assets agree with the servicer’s records with respect to an obligor’s unpaid principal balance.</w:t>
            </w:r>
          </w:p>
        </w:tc>
        <w:tc>
          <w:tcPr>
            <w:tcW w:w="38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because underlying obligation (Securitization Charge) is not an interest-bearing instrument.</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with respect to the terms or status of an obligor’s pool assets (e.g., loan modifications or re- agings) are made, reviewed and approved by authorized personnel in accordance with the transaction agreements and related pool asset documents.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limited assessment below. Servicer actions governed by Indiana Commission regulations.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Records documenting collection efforts are maintained during the period a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does not require assessment since no explicit documentation requirement with respect to delinquent accounts are imposed under the transaction agreements due to availability of “true-up” mechanism; and any such documentation is maintained in accordance with applicable Indiana Commission rules and regulations.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1122(d)(4)(ix)</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interest rates or rates of return for pool assets with variable rates are computed based on the related pool asset documents.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Securitization Charges are not interest-bearing instruments.</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5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w:t>
            </w:r>
          </w:p>
        </w:tc>
        <w:tc>
          <w:tcPr>
            <w:tcW w:w="57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38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does not make payments on behalf of obligors.</w:t>
            </w:r>
          </w:p>
        </w:tc>
      </w:tr>
    </w:tbl>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60" w:type="dxa"/>
          <w:bottom w:w="28" w:type="dxa"/>
          <w:right w:w="60" w:type="dxa"/>
        </w:tblCellMar>
      </w:tblPr>
      <w:tblGrid>
        <w:gridCol w:w="729"/>
        <w:gridCol w:w="5851"/>
        <w:gridCol w:w="3625"/>
      </w:tblGrid>
      <w:tr>
        <w:trPr/>
        <w:tc>
          <w:tcPr>
            <w:tcW w:w="7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w:t>
            </w:r>
          </w:p>
        </w:tc>
        <w:tc>
          <w:tcPr>
            <w:tcW w:w="5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late payment penalties in connection with any payment to be made on behalf of an obligor are paid from the servicer’s funds and not charged to the obligor unless the late payment was due to the obligor’s error or omission.</w:t>
            </w:r>
          </w:p>
        </w:tc>
        <w:tc>
          <w:tcPr>
            <w:tcW w:w="3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under the transaction agreements.</w:t>
            </w:r>
          </w:p>
        </w:tc>
      </w:tr>
      <w:tr>
        <w:trPr/>
        <w:tc>
          <w:tcPr>
            <w:tcW w:w="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1122(d)(4)(xiii)</w:t>
            </w:r>
          </w:p>
        </w:tc>
        <w:tc>
          <w:tcPr>
            <w:tcW w:w="58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on behalf of an obligor are posted within two Business Days to the obligor’s records maintained by the servicer, or such other number of days specified in the transaction agreements.</w:t>
            </w:r>
          </w:p>
        </w:tc>
        <w:tc>
          <w:tcPr>
            <w:tcW w:w="3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to pay principal or interest on the bonds.</w:t>
            </w:r>
          </w:p>
        </w:tc>
      </w:tr>
      <w:tr>
        <w:trPr/>
        <w:tc>
          <w:tcPr>
            <w:tcW w:w="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1122(d)(4)(xiv)</w:t>
            </w:r>
          </w:p>
        </w:tc>
        <w:tc>
          <w:tcPr>
            <w:tcW w:w="58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Delinquencies, charge-offs and uncollectible accounts are recognized and recorded in accordance with the transaction agreements.</w:t>
            </w:r>
          </w:p>
        </w:tc>
        <w:tc>
          <w:tcPr>
            <w:tcW w:w="3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1122(d)(4)(xv)</w:t>
            </w:r>
          </w:p>
        </w:tc>
        <w:tc>
          <w:tcPr>
            <w:tcW w:w="58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external enhancement or other support, identified in Item 1114(a)(1) through (3) or Item 1115 of Regulation AB, is maintained as set forth in the transaction agreements.</w:t>
            </w:r>
          </w:p>
        </w:tc>
        <w:tc>
          <w:tcPr>
            <w:tcW w:w="3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external enhancement is required under the transaction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7" w:type="dxa"/>
            <w:tcBorders/>
            <w:vAlign w:val="center"/>
          </w:tcPr>
          <w:p>
            <w:pPr>
              <w:pStyle w:val="TableContents"/>
              <w:bidi w:val="0"/>
              <w:spacing w:before="0" w:after="283"/>
              <w:jc w:val="left"/>
              <w:rPr/>
            </w:pPr>
            <w:r>
              <w:rPr/>
              <w:t>To the best of the undersigned’s knowledge, based on such review, the Servicer is in compliance in all material respects with the applicable servicing criteria set forth above as of and for the period ended the end of the fiscal year covered by the Issuer’s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9" w:type="dxa"/>
            <w:tcBorders/>
            <w:vAlign w:val="center"/>
          </w:tcPr>
          <w:p>
            <w:pPr>
              <w:pStyle w:val="TableContents"/>
              <w:bidi w:val="0"/>
              <w:spacing w:before="0" w:after="283"/>
              <w:jc w:val="left"/>
              <w:rPr/>
            </w:pPr>
            <w:r>
              <w:rPr/>
              <w:t>A registered independent public accounting firm has issued an attestation report in accordance with Section 1122(b) of Regulation AB on its assessment of compliance with the applicable servicing criteria as of and for the period ended the end of the fiscal year covered by the Issuer’s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283"/>
              <w:jc w:val="left"/>
              <w:rPr/>
            </w:pPr>
            <w:r>
              <w:rPr/>
              <w:t>Capitalized terms used but not defined herein have their respective meanings as set forth in the Servicing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Servicer Annual Certificate this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2024</w:t>
      </w:r>
    </w:p>
    <w:p>
      <w:pPr>
        <w:pStyle w:val="TextBody"/>
        <w:bidi w:val="0"/>
        <w:spacing w:before="0" w:after="0"/>
        <w:ind w:left="0" w:right="0" w:firstLine="720"/>
        <w:jc w:val="left"/>
        <w:rPr>
          <w:caps w:val="false"/>
          <w:smallCaps w:val="false"/>
        </w:rPr>
      </w:pPr>
      <w:r>
        <w:rPr>
          <w:caps w:val="false"/>
          <w:smallCaps w:val="false"/>
        </w:rPr>
        <w:t> </w:t>
      </w:r>
    </w:p>
    <w:tbl>
      <w:tblPr>
        <w:tblW w:w="5524" w:type="dxa"/>
        <w:jc w:val="left"/>
        <w:tblInd w:w="0" w:type="dxa"/>
        <w:tblLayout w:type="fixed"/>
        <w:tblCellMar>
          <w:top w:w="0" w:type="dxa"/>
          <w:left w:w="0" w:type="dxa"/>
          <w:bottom w:w="0" w:type="dxa"/>
          <w:right w:w="0" w:type="dxa"/>
        </w:tblCellMar>
      </w:tblPr>
      <w:tblGrid>
        <w:gridCol w:w="75"/>
        <w:gridCol w:w="1084"/>
        <w:gridCol w:w="4365"/>
      </w:tblGrid>
      <w:tr>
        <w:trPr/>
        <w:tc>
          <w:tcPr>
            <w:tcW w:w="75"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SOUTHERN INDIANA GAS AND ELECTRIC COMPANY d/b/a</w:t>
            </w:r>
          </w:p>
        </w:tc>
      </w:tr>
      <w:tr>
        <w:trPr/>
        <w:tc>
          <w:tcPr>
            <w:tcW w:w="75"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Indiana South, as Servicer</w:t>
            </w:r>
          </w:p>
        </w:tc>
      </w:tr>
      <w:tr>
        <w:trPr/>
        <w:tc>
          <w:tcPr>
            <w:tcW w:w="75"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Jacqueline M. Richert</w:t>
            </w:r>
          </w:p>
        </w:tc>
      </w:tr>
      <w:tr>
        <w:trPr/>
        <w:tc>
          <w:tcPr>
            <w:tcW w:w="75"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M. Richert</w:t>
            </w:r>
          </w:p>
        </w:tc>
      </w:tr>
      <w:tr>
        <w:trPr/>
        <w:tc>
          <w:tcPr>
            <w:tcW w:w="75"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6" w:name="tm249630d1_ex33-2.htm"/>
      <w:bookmarkStart w:id="7" w:name="kstm249630d1_ex332"/>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ASSERTION OF COMPLIANCE WITH APPLICABLE SERVICING CRITERIA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ASSERTION OF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U.S. Bank National Association and U.S. Bank Trust Company, National Association (collectively “U.S. Bank”) is responsible for assessing compliance as of and for the year ended December 31, 2023 with the servicing criteria set forth in Item 1122 (d) of Regulation AB applicable to it as set forth on Exhibit A hereto. This report covers asset backed securities transactions within the U.S. Bank Corporate Trust Asset-Backed Securities Platform1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hereby provides the following report on its assessment of compliance with the servicing criteria set forth in Item 1122 of Regulation AB applicable to it and as described on Exhibit A hereto: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1.</w:t>
            </w:r>
          </w:p>
        </w:tc>
        <w:tc>
          <w:tcPr>
            <w:tcW w:w="9983" w:type="dxa"/>
            <w:tcBorders/>
            <w:vAlign w:val="center"/>
          </w:tcPr>
          <w:p>
            <w:pPr>
              <w:pStyle w:val="TableContents"/>
              <w:bidi w:val="0"/>
              <w:spacing w:before="0" w:after="283"/>
              <w:jc w:val="both"/>
              <w:rPr/>
            </w:pPr>
            <w:r>
              <w:rPr/>
              <w:t>U.S. Bank is responsible for assessing its compliance with the servicing criteria applicable to it as noted on the accompanying Exhibit A;</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2.</w:t>
            </w:r>
          </w:p>
        </w:tc>
        <w:tc>
          <w:tcPr>
            <w:tcW w:w="9995" w:type="dxa"/>
            <w:tcBorders/>
            <w:vAlign w:val="center"/>
          </w:tcPr>
          <w:p>
            <w:pPr>
              <w:pStyle w:val="TableContents"/>
              <w:bidi w:val="0"/>
              <w:spacing w:before="0" w:after="283"/>
              <w:jc w:val="both"/>
              <w:rPr/>
            </w:pPr>
            <w:r>
              <w:rPr/>
              <w:t>Except as set forth in paragraph 3 below, U.S. Bank used the criteria set forth in paragraph (d) of Item 1122 of Regulation AB to assess its compliance with the applicable servicing criteria;</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3.</w:t>
            </w:r>
          </w:p>
        </w:tc>
        <w:tc>
          <w:tcPr>
            <w:tcW w:w="9998" w:type="dxa"/>
            <w:tcBorders/>
            <w:vAlign w:val="center"/>
          </w:tcPr>
          <w:p>
            <w:pPr>
              <w:pStyle w:val="TableContents"/>
              <w:bidi w:val="0"/>
              <w:spacing w:before="0" w:after="283"/>
              <w:jc w:val="both"/>
              <w:rPr/>
            </w:pPr>
            <w:r>
              <w:rPr/>
              <w:t>The criteria listed in the column titled “Inapplicable Servicing Criteria” on Exhibit A hereto are inapplicable to U.S. Bank based on the servicing activities it performs directly with respect to the Platform;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4.</w:t>
            </w:r>
          </w:p>
        </w:tc>
        <w:tc>
          <w:tcPr>
            <w:tcW w:w="9983" w:type="dxa"/>
            <w:tcBorders/>
            <w:vAlign w:val="center"/>
          </w:tcPr>
          <w:p>
            <w:pPr>
              <w:pStyle w:val="TableContents"/>
              <w:bidi w:val="0"/>
              <w:spacing w:before="0" w:after="283"/>
              <w:jc w:val="both"/>
              <w:rPr/>
            </w:pPr>
            <w:r>
              <w:rPr/>
              <w:t>U.S. Bank has complied, in all material respects, with the applicable servicing criteria as of and for the year ended December 31, 2023; and</w:t>
            </w:r>
          </w:p>
        </w:tc>
      </w:tr>
    </w:tbl>
    <w:p>
      <w:pPr>
        <w:pStyle w:val="TextBody"/>
        <w:bidi w:val="0"/>
        <w:spacing w:before="0" w:after="0"/>
        <w:ind w:left="36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5.</w:t>
            </w:r>
          </w:p>
        </w:tc>
        <w:tc>
          <w:tcPr>
            <w:tcW w:w="10000" w:type="dxa"/>
            <w:tcBorders/>
            <w:vAlign w:val="center"/>
          </w:tcPr>
          <w:p>
            <w:pPr>
              <w:pStyle w:val="TableContents"/>
              <w:bidi w:val="0"/>
              <w:spacing w:before="0" w:after="283"/>
              <w:jc w:val="both"/>
              <w:rPr/>
            </w:pPr>
            <w:r>
              <w:rPr/>
              <w:t>Ernst &amp; Young, LLP, a registered public accounting firm, has issued an attestation report on U.S. Bank’s assessment of compliance with the applicable servicing criteria as of and for the year ended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U.S. Bank Corporate Trust Asset-Backed Securities Platform (the "Platform") consists of the activities involved in the performance of servicing functions for which the Company provides trustee, securities administration, registrar and paying agent services for (i) publicly issued asset-backed and mortgage-backed transactions the securities of which were offered on or after January 1, 2006 and (ii) certain asset-backed transactions for which the Issuer has voluntarily elected to make Regulation AB compliant filings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r>
    </w:p>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28" w:type="dxa"/>
          <w:right w:w="0" w:type="dxa"/>
        </w:tblCellMar>
      </w:tblPr>
      <w:tblGrid>
        <w:gridCol w:w="1190"/>
        <w:gridCol w:w="60"/>
      </w:tblGrid>
      <w:tr>
        <w:trPr/>
        <w:tc>
          <w:tcPr>
            <w:tcW w:w="1190" w:type="dxa"/>
            <w:tcBorders>
              <w:bottom w:val="single" w:sz="8" w:space="0" w:color="000000"/>
            </w:tcBorders>
            <w:vAlign w:val="center"/>
          </w:tcPr>
          <w:p>
            <w:pPr>
              <w:pStyle w:val="TableContents"/>
              <w:bidi w:val="0"/>
              <w:spacing w:before="0" w:after="283"/>
              <w:jc w:val="left"/>
              <w:rPr/>
            </w:pPr>
            <w:r>
              <w:rPr/>
              <w:t xml:space="preserve">/s/ Jeff Kerr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 Kerr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28" w:type="dxa"/>
          <w:right w:w="0" w:type="dxa"/>
        </w:tblCellMar>
      </w:tblPr>
      <w:tblGrid>
        <w:gridCol w:w="1190"/>
        <w:gridCol w:w="60"/>
      </w:tblGrid>
      <w:tr>
        <w:trPr/>
        <w:tc>
          <w:tcPr>
            <w:tcW w:w="1190" w:type="dxa"/>
            <w:tcBorders>
              <w:bottom w:val="single" w:sz="8" w:space="0" w:color="000000"/>
            </w:tcBorders>
            <w:vAlign w:val="center"/>
          </w:tcPr>
          <w:p>
            <w:pPr>
              <w:pStyle w:val="TableContents"/>
              <w:bidi w:val="0"/>
              <w:spacing w:before="0" w:after="283"/>
              <w:jc w:val="left"/>
              <w:rPr/>
            </w:pPr>
            <w:r>
              <w:rPr/>
              <w:t xml:space="preserve">/s/ Jeff Kerr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 Kerr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Management’s Assertion</w:t>
      </w:r>
    </w:p>
    <w:tbl>
      <w:tblPr>
        <w:tblW w:w="10205" w:type="dxa"/>
        <w:jc w:val="left"/>
        <w:tblInd w:w="-10" w:type="dxa"/>
        <w:tblLayout w:type="fixed"/>
        <w:tblCellMar>
          <w:top w:w="28" w:type="dxa"/>
          <w:left w:w="108" w:type="dxa"/>
          <w:bottom w:w="28" w:type="dxa"/>
          <w:right w:w="108" w:type="dxa"/>
        </w:tblCellMar>
      </w:tblPr>
      <w:tblGrid>
        <w:gridCol w:w="937"/>
        <w:gridCol w:w="6620"/>
        <w:gridCol w:w="1236"/>
        <w:gridCol w:w="1412"/>
      </w:tblGrid>
      <w:tr>
        <w:trPr/>
        <w:tc>
          <w:tcPr>
            <w:tcW w:w="9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Reference</w:t>
            </w:r>
          </w:p>
        </w:tc>
        <w:tc>
          <w:tcPr>
            <w:tcW w:w="66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Servicing Criteria</w:t>
            </w:r>
          </w:p>
        </w:tc>
        <w:tc>
          <w:tcPr>
            <w:tcW w:w="123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Applicable Servicing Criteria</w:t>
            </w:r>
          </w:p>
        </w:tc>
        <w:tc>
          <w:tcPr>
            <w:tcW w:w="141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Inapplicable Servicing Criteria </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Servicing Considerations</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Policies and procedures are instituted to monitor any performance or other triggers and events of default in accordance with the transaction agreements.</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1122(d)(1)(ii)</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material servicing activities are outsourced to third parties, policies and procedures are instituted to monitor the third party’s performance and compliance with such servicing activities.</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X2</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1122(d)(1)(iii)</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requirements in the transaction agreements to maintain a back-up servicer for the Pool Assets are maintained.</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1122(d)(1)(iv)</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1122(d)(1)(v)</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Aggregation of information, as applicable, is mathematically accurate and the information conveyed accurately reflects the information.</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X3</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205"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Collection and Administration</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pool assets are deposited into the appropriate custodial bank accounts and related bank clearing accounts no more than two business days following receipt, or such other number of days specified in the transaction agreements. </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1122(d)(2)(ii)</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made via wire transfer on behalf of an obligor or to an investor are made only by authorized personnel. </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1122(d)(2)(iii)</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of funds or guarantees regarding collections, cash flows or distributions, and any interest or other fees charged for such advances, are made, reviewed and approved as specified in the transaction agreements. </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X4</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1122(d)(2)(iv)</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accounts for the transaction, such as cash reserve accounts or accounts established as a form of over collateralization, are separately maintained (e.g., with respect to commingling of cash) as set forth in the transaction agreements.</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93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1122(d)(2)(v)</w:t>
            </w:r>
          </w:p>
        </w:tc>
        <w:tc>
          <w:tcPr>
            <w:tcW w:w="66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of the Securities Exchange Act.</w:t>
            </w:r>
          </w:p>
        </w:tc>
        <w:tc>
          <w:tcPr>
            <w:tcW w:w="123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servicing activities were performed by the Company that required the servicing criteria to be complied 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servicing activities were performed by the Company that required the servicing criteria to be complied 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servicing activities were performed by the Company that required the servicing criteria to be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470"/>
        <w:gridCol w:w="6392"/>
        <w:gridCol w:w="1086"/>
        <w:gridCol w:w="1257"/>
      </w:tblGrid>
      <w:tr>
        <w:trPr/>
        <w:tc>
          <w:tcPr>
            <w:tcW w:w="1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Reference</w:t>
            </w:r>
          </w:p>
        </w:tc>
        <w:tc>
          <w:tcPr>
            <w:tcW w:w="639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Servicing Criteria</w:t>
            </w:r>
          </w:p>
        </w:tc>
        <w:tc>
          <w:tcPr>
            <w:tcW w:w="10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Applicable Servicing Criteria</w:t>
            </w:r>
          </w:p>
        </w:tc>
        <w:tc>
          <w:tcPr>
            <w:tcW w:w="125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Inapplicable Servicing Criteria </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1122(d)(2)(vii)</w:t>
            </w:r>
          </w:p>
          <w:p>
            <w:pPr>
              <w:pStyle w:val="TableContents"/>
              <w:bidi w:val="0"/>
              <w:spacing w:before="0" w:after="0"/>
              <w:ind w:left="0" w:right="0" w:firstLine="1395"/>
              <w:jc w:val="left"/>
              <w:rPr>
                <w:caps w:val="false"/>
                <w:smallCaps w:val="false"/>
              </w:rPr>
            </w:pPr>
            <w:r>
              <w:rPr>
                <w:caps w:val="false"/>
                <w:smallCaps w:val="false"/>
              </w:rPr>
              <w:t> </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 Remittances and Reporting</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to investors, including those to be filed with the Commission, are maintained in accordance with the transaction agreements and applicable Commission requirements. Specifically, such reports (A) are prepared in accordance with timeframes and other terms set forth in the transaction agreements; (B) provide information calculated in accordance with the terms specified in the transaction agreements; (C) are filed with the Commission as required by its rules and regulations; and (D) agree with investors’ or the trustee’s records as to the total unpaid principal balance and number of Pool Assets serviced by the Servicer. </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1122(d)(3)(ii)</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investors are allocated and remitted in accordance with timeframes, distribution priority and other terms set forth in the transaction agreements. </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 </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1122(d)(3)(iii)</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made to an investor are posted within two business days to the Servicer’s investor records, or such other number of days specified in the transaction agreements. </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1122(d)(3)(iv)</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remitted to investors per the investor reports agree with cancelled checks, or other form of payment, or custodial bank statements.</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10205"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Pool Asset Administration</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or security on pool assets is maintained as required by the transaction agreements or related pool asset documents.</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1122(d)(4)(ii)</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Pool assets and related documents are safeguarded as required by the transaction agreements.</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14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1122(d)(4)(iii)</w:t>
            </w:r>
          </w:p>
        </w:tc>
        <w:tc>
          <w:tcPr>
            <w:tcW w:w="639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additions, removals or substitutions to the asset pool are made, reviewed and approved in accordance with any conditions or requirements in the transaction agreements. </w:t>
            </w:r>
          </w:p>
        </w:tc>
        <w:tc>
          <w:tcPr>
            <w:tcW w:w="108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5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929"/>
        <w:gridCol w:w="6838"/>
        <w:gridCol w:w="1133"/>
        <w:gridCol w:w="1305"/>
      </w:tblGrid>
      <w:tr>
        <w:trPr/>
        <w:tc>
          <w:tcPr>
            <w:tcW w:w="9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Reference</w:t>
            </w:r>
          </w:p>
        </w:tc>
        <w:tc>
          <w:tcPr>
            <w:tcW w:w="68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Servicing Criteria</w:t>
            </w:r>
          </w:p>
        </w:tc>
        <w:tc>
          <w:tcPr>
            <w:tcW w:w="11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Applicable Servicing Criteria</w:t>
            </w:r>
          </w:p>
        </w:tc>
        <w:tc>
          <w:tcPr>
            <w:tcW w:w="13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Inapplicable Servicing Criteria </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1122(d)(4)(iv)</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 and allocated to principal, interest or other items (e.g., escrow) in accordance with the related pool asset documents.</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Servicer’s records regarding the pool assets agree with the Servicer’s records with respect to an obligor’s unpaid principal balance.</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1122(d)(4)(vi)</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with respect to the terms or status of an obligor's pool assets (e.g., loan modifications or re-agings) are made, reviewed and approved by authorized personnel in accordance with the transaction agreements and related pool asset documents.</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1122(d)(4)(vii)</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1122(d)(4)(viii)</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Records documenting collection efforts are maintained during the period a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 </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1122(d)(4)(ix)</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interest rates or rates of return for pool assets with variable rates are computed based on the related pool asset documents.</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ableContents"/>
              <w:bidi w:val="0"/>
              <w:spacing w:before="0" w:after="0"/>
              <w:ind w:left="0" w:right="0" w:hanging="0"/>
              <w:jc w:val="center"/>
              <w:rPr>
                <w:caps w:val="false"/>
                <w:smallCaps w:val="false"/>
              </w:rPr>
            </w:pPr>
            <w:r>
              <w:rPr>
                <w:caps w:val="false"/>
                <w:smallCaps w:val="false"/>
              </w:rPr>
              <w:t> </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 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ableContents"/>
              <w:bidi w:val="0"/>
              <w:spacing w:before="0" w:after="0"/>
              <w:ind w:left="0" w:right="0" w:hanging="0"/>
              <w:jc w:val="center"/>
              <w:rPr>
                <w:caps w:val="false"/>
                <w:smallCaps w:val="false"/>
              </w:rPr>
            </w:pPr>
            <w:r>
              <w:rPr>
                <w:caps w:val="false"/>
                <w:smallCaps w:val="false"/>
              </w:rPr>
              <w:t> </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9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1122(d)(4)(xii)</w:t>
            </w:r>
          </w:p>
        </w:tc>
        <w:tc>
          <w:tcPr>
            <w:tcW w:w="6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late payment penalties in connection with any payment to be made on behalf of an obligor are paid from the Servicer’s funds and not charged to the obligor, unless the late payment was due to the obligor’s error or omission.</w:t>
            </w:r>
          </w:p>
        </w:tc>
        <w:tc>
          <w:tcPr>
            <w:tcW w:w="113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3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015"/>
        <w:gridCol w:w="6111"/>
        <w:gridCol w:w="1449"/>
        <w:gridCol w:w="1630"/>
      </w:tblGrid>
      <w:tr>
        <w:trPr/>
        <w:tc>
          <w:tcPr>
            <w:tcW w:w="10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Reference</w:t>
            </w:r>
          </w:p>
        </w:tc>
        <w:tc>
          <w:tcPr>
            <w:tcW w:w="61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Servicing Criteria</w:t>
            </w:r>
          </w:p>
        </w:tc>
        <w:tc>
          <w:tcPr>
            <w:tcW w:w="14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Applicable Servicing Criteria</w:t>
            </w:r>
          </w:p>
        </w:tc>
        <w:tc>
          <w:tcPr>
            <w:tcW w:w="16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Inapplicable Servicing Criteria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1122(d)(4)(xiii)</w:t>
            </w:r>
          </w:p>
        </w:tc>
        <w:tc>
          <w:tcPr>
            <w:tcW w:w="611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made on behalf of an obligor are posted within two business days to the obligor’s records maintained by the servicer, or such other number of days specified in the transaction agreements.</w:t>
            </w:r>
          </w:p>
        </w:tc>
        <w:tc>
          <w:tcPr>
            <w:tcW w:w="14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6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p>
            <w:pPr>
              <w:pStyle w:val="TableContents"/>
              <w:bidi w:val="0"/>
              <w:spacing w:before="0" w:after="0"/>
              <w:ind w:left="0" w:right="0" w:hanging="0"/>
              <w:jc w:val="center"/>
              <w:rPr>
                <w:caps w:val="false"/>
                <w:smallCaps w:val="false"/>
              </w:rPr>
            </w:pPr>
            <w:r>
              <w:rPr>
                <w:caps w:val="false"/>
                <w:smallCaps w:val="false"/>
              </w:rPr>
              <w:t> </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1122(d)(4)(xiv)</w:t>
            </w:r>
          </w:p>
        </w:tc>
        <w:tc>
          <w:tcPr>
            <w:tcW w:w="611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Delinquencies, charge-offs and uncollectible accounts are recognized and recorded in accordance with the transaction agreements.</w:t>
            </w:r>
          </w:p>
        </w:tc>
        <w:tc>
          <w:tcPr>
            <w:tcW w:w="14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16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r>
      <w:tr>
        <w:trPr/>
        <w:tc>
          <w:tcPr>
            <w:tcW w:w="1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1122(d)(4)(xv)</w:t>
            </w:r>
          </w:p>
        </w:tc>
        <w:tc>
          <w:tcPr>
            <w:tcW w:w="611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external enhancement or other support, identified in Item 1114(a)(1) through (3) or Item 1115 of Regulation AB, is maintained as set forth in the transaction agreements.</w:t>
            </w:r>
          </w:p>
        </w:tc>
        <w:tc>
          <w:tcPr>
            <w:tcW w:w="14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6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tm249630d1_ex34-1.htm"/>
      <w:bookmarkStart w:id="9" w:name="kstm249630d1_ex341"/>
      <w:bookmarkEnd w:id="8"/>
      <w:bookmarkEnd w:id="9"/>
      <w:r>
        <w:rPr>
          <w:rFonts w:ascii="Times New Roman;Times;Serif" w:hAnsi="Times New Roman;Times;Serif"/>
          <w:b/>
          <w:i w:val="false"/>
          <w:caps w:val="false"/>
          <w:smallCaps w:val="false"/>
          <w:sz w:val="20"/>
        </w:rPr>
        <w:t>Exhibit 34.1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ON ASSESSMENT OF COMPLIANCE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 FOR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Member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Indiana Gas and Electric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Evansville, Indiana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management of Southern Indiana Gas and Electric Company's assertion, included in the accompanying Report on Assessment of Compliance with Servicing Criteria for Asset-Backed Securities for Southern Indiana Gas and Electric Company, that Southern Indiana Gas and Electric Company (the "Company") complied with the servicing criteria set forth in Item 1122(d) of the Securities and Exchange Commission's Regulation AB for the approximately $341 million of SIGECO Securitization I, LLC’s Securitization Bonds (the "Securitization Bonds"), excluding criteria in Items 1122(d)(1)(ii) (outsourcing), (1)(iii) (back-up servicing), (1)(iv) (fidelity bond), (2)(vi) (unissued checks), (3)(ii) (allocation and remittance), (4)(iii) (additions, removals or substitutions), (4)(v) (records regarding pool assets), (4)(ix) (adjustments to interest rates), (4)(x) (funds held in trust), (4)(xi) (payments on behalf of obligors), (4)(xii) (late payment penalties), (4)(xiii) (obligor disbursements), and (4)(xv) (external credit enhancement) (the "servicing criteria"), as of and for the year ended December 31, 2023, which management has determined are not applicable to the activities performed by the Company with respect to the Securitization Bonds. Management is responsible for the Company's compliance with the servicing criteria and its assertion. Our responsibility is to express an opinion on management's assertion about the Company's compliance with the servicing criteria based on our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about compliance with the servicing criteria is fairly stated, in all material respects. An examination involves performing procedures to obtain evidence about management’s assertion on compliance with the servicing criteria. The nature, timing and extent of the procedures selected depend on our judgment, including an assessment of the risks of material misstatement of management’s assertion on compliance with the servicing criteria, whether due to error or fraud, and, accordingly, included examining, on a test basis, evidence about the Company's compliance with the servicing criteria, including tests on a sample basis of the servicing activities related to the Securitization Bonds,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Securitization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be independent and to meet our other ethical responsibilities in accordance with relevant ethical requirements relating to the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does not provide a legal determination on the Company's compliance with the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management's assertion that the Company complied with the servicing criteria as of and for the year ended December 31, 2023, is fairly stated,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0" w:name="tm249630d1_ex34-2.htm"/>
      <w:bookmarkStart w:id="11" w:name="kstm249630d1_ex342"/>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ON ASSESSMENT OF COMPLIANCE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 FOR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 and 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management’s assertion, included in the accompanying Report on Assessment of Compliance with Applicable Servicing Criteria, that U.S. Bank National Association and U.S. Bank Trust Company, National Association (collectively, the “Company”) complied with the servicing criteria set forth in Item 1122(d) of the Securities and Exchange Commission’s Regulation AB for the U.S. Bank Corporate Trust Asset-Backed Securities Platform (the “Platform”), for which the Company provides trustee, securities administration, registrar and paying agent services, as of and for the year ended December 31, 2023, except for servicing criteria Items 1122(d)(1)(iii), 1122(d)(4)(i)-(ii), and 1122(d)(4)(iv)-(xiv), which the Company has determined are not applicable to the activities it performs with respect to the servicing platform covered by this report. Management is responsible for the Company’s compliance with those servicing criteria. Our responsibility is to express an opinion on management’s assertion about the Company’s compliance with the servicing criteria based on our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Items 1122(d)(1)(ii), 1122(d)(1)(v), and 1122(d)(2)(iii) of Regulation AB, there were no servicing activities performed by the Company during the year ended December 31, 2023 that required these servicing criteria to be complied with. We believe that the evidence we obtained is sufficient and appropriate to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be independent of the Company and to meet our other ethical responsibilities, in accordance with the relevant ethical requirements related to our examination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does not provide a legal determination on the Company’s compliance with the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management’s assertion that the Company complied with the aforementioned servicing criteria as of and for the year ended December 31, 2023, for the U.S. Bank Corporate Trust Asset-Backed Securities Platform is fairly stated,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2" w:name="tm249630d1_ex35-1.htm"/>
      <w:bookmarkStart w:id="13" w:name="kstm249630d1_ex351"/>
      <w:bookmarkEnd w:id="12"/>
      <w:bookmarkEnd w:id="1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SIGECO SECURITIZATION 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$341,450,000 Series 2023-A Senior Secured Securitization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the undersigned is the duly elected and acting Vice President and Treasurer of SOUTHERN INDIANA GAS AND ELECTRIC COMPANY d/b/a CenterPoint Energy Indiana South, as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under the Securitization Property Servicing Agreement dated as of June 29, 2023 (the “</w:t>
      </w:r>
      <w:r>
        <w:rPr>
          <w:rFonts w:ascii="Times New Roman;Times;Serif" w:hAnsi="Times New Roman;Times;Serif"/>
          <w:b w:val="false"/>
          <w:i/>
          <w:caps w:val="false"/>
          <w:smallCaps w:val="false"/>
          <w:sz w:val="20"/>
        </w:rPr>
        <w:t>Servicing Agreement</w:t>
      </w:r>
      <w:r>
        <w:rPr>
          <w:rFonts w:ascii="Times New Roman;Times;Serif" w:hAnsi="Times New Roman;Times;Serif"/>
          <w:b w:val="false"/>
          <w:i w:val="false"/>
          <w:caps w:val="false"/>
          <w:smallCaps w:val="false"/>
          <w:sz w:val="20"/>
        </w:rPr>
        <w:t>”) by and between the Servicer and SIGECO SECURITIZATION I, LLC (the “</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and further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review of the activities of the Servicer and of its performance under the Servicing Agreement during the period from June 29, 2023 to December 31, 2023 has been made under the supervision of the undersigned pursuant to Section 3.03 of the Servicing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the undersigned’s knowledge, based on such review, the Servicer has fulfilled all of its obligations in all material respects under the Servicing Agreement throughout the period from June 29, 2023 to December 31, 2023, except as set forth on </w:t>
      </w:r>
      <w:r>
        <w:rPr>
          <w:rFonts w:ascii="Times New Roman;Times;Serif" w:hAnsi="Times New Roman;Times;Serif"/>
          <w:b w:val="false"/>
          <w:i/>
          <w:caps w:val="false"/>
          <w:smallCaps w:val="false"/>
          <w:sz w:val="20"/>
        </w:rPr>
        <w:t xml:space="preserve">Annex A </w:t>
      </w:r>
      <w:r>
        <w:rPr>
          <w:rFonts w:ascii="Times New Roman;Times;Serif" w:hAnsi="Times New Roman;Times;Serif"/>
          <w:b w:val="false"/>
          <w:i w:val="false"/>
          <w:caps w:val="false"/>
          <w:smallCaps w:val="false"/>
          <w:sz w:val="20"/>
        </w:rPr>
        <w: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Servicer Certificate of Compliance this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March, 2024.</w:t>
      </w:r>
    </w:p>
    <w:p>
      <w:pPr>
        <w:pStyle w:val="TextBody"/>
        <w:bidi w:val="0"/>
        <w:spacing w:before="0" w:after="0"/>
        <w:ind w:left="0" w:right="0" w:firstLine="720"/>
        <w:jc w:val="left"/>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75"/>
        <w:gridCol w:w="1900"/>
        <w:gridCol w:w="7554"/>
      </w:tblGrid>
      <w:tr>
        <w:trPr/>
        <w:tc>
          <w:tcPr>
            <w:tcW w:w="75" w:type="dxa"/>
            <w:tcBorders/>
            <w:vAlign w:val="center"/>
          </w:tcPr>
          <w:p>
            <w:pPr>
              <w:pStyle w:val="TableContents"/>
              <w:bidi w:val="0"/>
              <w:spacing w:before="0" w:after="283"/>
              <w:jc w:val="left"/>
              <w:rPr/>
            </w:pPr>
            <w:r>
              <w:rPr/>
              <w:t> </w:t>
            </w:r>
          </w:p>
        </w:tc>
        <w:tc>
          <w:tcPr>
            <w:tcW w:w="94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SOUTHERN INDIANA GAS AND ELECTRIC COMPANY d/b/a CenterPoint Energy Indiana South, as Servicer</w:t>
            </w:r>
          </w:p>
        </w:tc>
      </w:tr>
      <w:tr>
        <w:trPr/>
        <w:tc>
          <w:tcPr>
            <w:tcW w:w="75" w:type="dxa"/>
            <w:tcBorders/>
            <w:vAlign w:val="center"/>
          </w:tcPr>
          <w:p>
            <w:pPr>
              <w:pStyle w:val="TableContents"/>
              <w:bidi w:val="0"/>
              <w:spacing w:before="0" w:after="283"/>
              <w:jc w:val="left"/>
              <w:rPr/>
            </w:pPr>
            <w:r>
              <w:rPr/>
              <w:t> </w:t>
            </w:r>
          </w:p>
        </w:tc>
        <w:tc>
          <w:tcPr>
            <w:tcW w:w="94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Jacqueline Richert</w:t>
            </w:r>
          </w:p>
        </w:tc>
      </w:tr>
      <w:tr>
        <w:trPr/>
        <w:tc>
          <w:tcPr>
            <w:tcW w:w="75" w:type="dxa"/>
            <w:tcBorders/>
            <w:vAlign w:val="center"/>
          </w:tcPr>
          <w:p>
            <w:pPr>
              <w:pStyle w:val="TableContents"/>
              <w:bidi w:val="0"/>
              <w:spacing w:before="0" w:after="283"/>
              <w:jc w:val="left"/>
              <w:rPr/>
            </w:pPr>
            <w:r>
              <w:rPr/>
              <w:t> </w:t>
            </w:r>
          </w:p>
        </w:tc>
        <w:tc>
          <w:tcPr>
            <w:tcW w:w="1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7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Richert</w:t>
            </w:r>
          </w:p>
        </w:tc>
      </w:tr>
      <w:tr>
        <w:trPr/>
        <w:tc>
          <w:tcPr>
            <w:tcW w:w="75" w:type="dxa"/>
            <w:tcBorders/>
            <w:vAlign w:val="center"/>
          </w:tcPr>
          <w:p>
            <w:pPr>
              <w:pStyle w:val="TableContents"/>
              <w:bidi w:val="0"/>
              <w:spacing w:before="0" w:after="283"/>
              <w:jc w:val="left"/>
              <w:rPr/>
            </w:pPr>
            <w:r>
              <w:rPr/>
              <w:t> </w:t>
            </w:r>
          </w:p>
        </w:tc>
        <w:tc>
          <w:tcPr>
            <w:tcW w:w="1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7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SERVICER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Servicer Defaults, or events that with the giving of notice, the lapse of time, or both, would become Servicer Defaults known to the undersigned occurred during the twelve months ended December 31, 2023:</w:t>
      </w:r>
    </w:p>
    <w:p>
      <w:pPr>
        <w:pStyle w:val="TextBody"/>
        <w:bidi w:val="0"/>
        <w:spacing w:before="0" w:after="0"/>
        <w:ind w:left="0" w:right="0" w:hanging="0"/>
        <w:jc w:val="left"/>
        <w:rPr>
          <w:caps w:val="false"/>
          <w:smallCaps w:val="false"/>
        </w:rPr>
      </w:pPr>
      <w:r>
        <w:rPr>
          <w:caps w:val="false"/>
          <w:smallCaps w:val="false"/>
        </w:rPr>
        <w:t> </w:t>
      </w:r>
    </w:p>
    <w:tbl>
      <w:tblPr>
        <w:tblW w:w="2020" w:type="dxa"/>
        <w:jc w:val="center"/>
        <w:tblInd w:w="0" w:type="dxa"/>
        <w:tblLayout w:type="fixed"/>
        <w:tblCellMar>
          <w:top w:w="28" w:type="dxa"/>
          <w:left w:w="28" w:type="dxa"/>
          <w:bottom w:w="28" w:type="dxa"/>
          <w:right w:w="28" w:type="dxa"/>
        </w:tblCellMar>
      </w:tblPr>
      <w:tblGrid>
        <w:gridCol w:w="1430"/>
        <w:gridCol w:w="60"/>
        <w:gridCol w:w="53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of Default</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5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95/000119312523079261/d472510dex31.htm" TargetMode="External"/><Relationship Id="rId3" Type="http://schemas.openxmlformats.org/officeDocument/2006/relationships/hyperlink" Target="https://www.sec.gov/Archives/edgar/data/92195/000119312523079261/d472510dex31.htm" TargetMode="External"/><Relationship Id="rId4" Type="http://schemas.openxmlformats.org/officeDocument/2006/relationships/hyperlink" Target="https://www.sec.gov/Archives/edgar/data/92195/000119312523178728/d523857dex31.htm" TargetMode="External"/><Relationship Id="rId5" Type="http://schemas.openxmlformats.org/officeDocument/2006/relationships/hyperlink" Target="https://www.sec.gov/Archives/edgar/data/92195/000119312523178728/d523857dex31.htm" TargetMode="External"/><Relationship Id="rId6" Type="http://schemas.openxmlformats.org/officeDocument/2006/relationships/hyperlink" Target="https://www.sec.gov/Archives/edgar/data/92195/000119312523178728/d523857dex41.htm" TargetMode="External"/><Relationship Id="rId7" Type="http://schemas.openxmlformats.org/officeDocument/2006/relationships/hyperlink" Target="https://www.sec.gov/Archives/edgar/data/92195/000119312523178728/d523857dex41.htm" TargetMode="External"/><Relationship Id="rId8" Type="http://schemas.openxmlformats.org/officeDocument/2006/relationships/hyperlink" Target="https://www.sec.gov/Archives/edgar/data/92195/000119312523178728/d523857dex41.htm" TargetMode="External"/><Relationship Id="rId9" Type="http://schemas.openxmlformats.org/officeDocument/2006/relationships/hyperlink" Target="https://www.sec.gov/Archives/edgar/data/92195/000119312523178728/d523857dex41.htm" TargetMode="External"/><Relationship Id="rId10" Type="http://schemas.openxmlformats.org/officeDocument/2006/relationships/hyperlink" Target="https://www.sec.gov/Archives/edgar/data/92195/000119312523178728/d523857dex42.htm" TargetMode="External"/><Relationship Id="rId11" Type="http://schemas.openxmlformats.org/officeDocument/2006/relationships/hyperlink" Target="https://www.sec.gov/Archives/edgar/data/92195/000119312523178728/d523857dex42.htm" TargetMode="External"/><Relationship Id="rId12" Type="http://schemas.openxmlformats.org/officeDocument/2006/relationships/hyperlink" Target="https://www.sec.gov/Archives/edgar/data/92195/000119312523178728/d523857dex101.htm" TargetMode="External"/><Relationship Id="rId13" Type="http://schemas.openxmlformats.org/officeDocument/2006/relationships/hyperlink" Target="https://www.sec.gov/Archives/edgar/data/92195/000119312523178728/d523857dex101.htm" TargetMode="External"/><Relationship Id="rId14" Type="http://schemas.openxmlformats.org/officeDocument/2006/relationships/hyperlink" Target="https://www.sec.gov/Archives/edgar/data/92195/000119312523178728/d523857dex102.htm" TargetMode="External"/><Relationship Id="rId15" Type="http://schemas.openxmlformats.org/officeDocument/2006/relationships/hyperlink" Target="https://www.sec.gov/Archives/edgar/data/92195/000119312523178728/d523857dex102.htm" TargetMode="External"/><Relationship Id="rId16" Type="http://schemas.openxmlformats.org/officeDocument/2006/relationships/hyperlink" Target="https://www.sec.gov/Archives/edgar/data/92195/000119312523178728/d523857dex103.htm" TargetMode="External"/><Relationship Id="rId17" Type="http://schemas.openxmlformats.org/officeDocument/2006/relationships/hyperlink" Target="https://www.sec.gov/Archives/edgar/data/92195/000119312523178728/d523857dex103.htm" TargetMode="External"/><Relationship Id="rId18" Type="http://schemas.openxmlformats.org/officeDocument/2006/relationships/hyperlink" Target="https://www.sec.gov/Archives/edgar/data/92195/000119312523079261/d472510dex31.htm" TargetMode="External"/><Relationship Id="rId19" Type="http://schemas.openxmlformats.org/officeDocument/2006/relationships/hyperlink" Target="https://www.sec.gov/Archives/edgar/data/92195/000119312523079261/d472510dex31.htm" TargetMode="External"/><Relationship Id="rId20" Type="http://schemas.openxmlformats.org/officeDocument/2006/relationships/hyperlink" Target="https://www.sec.gov/Archives/edgar/data/92195/000119312523178728/d523857dex31.htm" TargetMode="External"/><Relationship Id="rId21" Type="http://schemas.openxmlformats.org/officeDocument/2006/relationships/hyperlink" Target="https://www.sec.gov/Archives/edgar/data/92195/000119312523178728/d523857dex31.htm" TargetMode="External"/><Relationship Id="rId22" Type="http://schemas.openxmlformats.org/officeDocument/2006/relationships/hyperlink" Target="https://www.sec.gov/Archives/edgar/data/92195/000119312523178728/d523857dex41.htm" TargetMode="External"/><Relationship Id="rId23" Type="http://schemas.openxmlformats.org/officeDocument/2006/relationships/hyperlink" Target="https://www.sec.gov/Archives/edgar/data/92195/000119312523178728/d523857dex41.htm" TargetMode="External"/><Relationship Id="rId24" Type="http://schemas.openxmlformats.org/officeDocument/2006/relationships/hyperlink" Target="https://www.sec.gov/Archives/edgar/data/92195/000119312523178728/d523857dex41.htm" TargetMode="External"/><Relationship Id="rId25" Type="http://schemas.openxmlformats.org/officeDocument/2006/relationships/hyperlink" Target="https://www.sec.gov/Archives/edgar/data/92195/000119312523178728/d523857dex41.htm" TargetMode="External"/><Relationship Id="rId26" Type="http://schemas.openxmlformats.org/officeDocument/2006/relationships/hyperlink" Target="https://www.sec.gov/Archives/edgar/data/92195/000119312523178728/d523857dex42.htm" TargetMode="External"/><Relationship Id="rId27" Type="http://schemas.openxmlformats.org/officeDocument/2006/relationships/hyperlink" Target="https://www.sec.gov/Archives/edgar/data/92195/000119312523178728/d523857dex42.htm" TargetMode="External"/><Relationship Id="rId28" Type="http://schemas.openxmlformats.org/officeDocument/2006/relationships/hyperlink" Target="https://www.sec.gov/Archives/edgar/data/92195/000119312523178728/d523857dex101.htm" TargetMode="External"/><Relationship Id="rId29" Type="http://schemas.openxmlformats.org/officeDocument/2006/relationships/hyperlink" Target="https://www.sec.gov/Archives/edgar/data/92195/000119312523178728/d523857dex101.htm" TargetMode="External"/><Relationship Id="rId30" Type="http://schemas.openxmlformats.org/officeDocument/2006/relationships/hyperlink" Target="https://www.sec.gov/Archives/edgar/data/92195/000119312523178728/d523857dex102.htm" TargetMode="External"/><Relationship Id="rId31" Type="http://schemas.openxmlformats.org/officeDocument/2006/relationships/hyperlink" Target="https://www.sec.gov/Archives/edgar/data/92195/000119312523178728/d523857dex102.htm" TargetMode="External"/><Relationship Id="rId32" Type="http://schemas.openxmlformats.org/officeDocument/2006/relationships/hyperlink" Target="https://www.sec.gov/Archives/edgar/data/92195/000119312523178728/d523857dex103.htm" TargetMode="External"/><Relationship Id="rId33" Type="http://schemas.openxmlformats.org/officeDocument/2006/relationships/hyperlink" Target="https://www.sec.gov/Archives/edgar/data/92195/000119312523178728/d523857dex103.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8338</Words>
  <Characters>48128</Characters>
  <CharactersWithSpaces>56629</CharactersWithSpaces>
  <Paragraphs>1151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