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691515</wp:posOffset>
            </wp:positionH>
            <wp:positionV relativeFrom="page">
              <wp:posOffset>156845</wp:posOffset>
            </wp:positionV>
            <wp:extent cx="61664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194945</wp:posOffset>
            </wp:positionV>
            <wp:extent cx="61664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7620"/>
                    </a:xfrm>
                    <a:prstGeom prst="rect">
                      <a:avLst/>
                    </a:prstGeom>
                    <a:noFill/>
                  </pic:spPr>
                </pic:pic>
              </a:graphicData>
            </a:graphic>
          </wp:anchor>
        </w:drawing>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9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195580</wp:posOffset>
            </wp:positionV>
            <wp:extent cx="1299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SCHEDULE 14A</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Proxy Statement Pursuant to Section 14(a) of the Securities</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203200</wp:posOffset>
            </wp:positionV>
            <wp:extent cx="1299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14"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7" w:lineRule="exact"/>
        <w:rPr>
          <w:rFonts w:ascii="MS PGothic" w:cs="MS PGothic" w:eastAsia="MS PGothic" w:hAnsi="MS PGothic"/>
          <w:sz w:val="16"/>
          <w:szCs w:val="16"/>
          <w:color w:val="auto"/>
        </w:rPr>
      </w:pPr>
    </w:p>
    <w:p>
      <w:pPr>
        <w:ind w:left="500" w:hanging="491"/>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06" w:lineRule="exact"/>
        <w:rPr>
          <w:sz w:val="24"/>
          <w:szCs w:val="24"/>
          <w:color w:val="auto"/>
        </w:rPr>
      </w:pPr>
    </w:p>
    <w:p>
      <w:pPr>
        <w:ind w:left="500" w:hanging="491"/>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02" w:lineRule="exact"/>
        <w:rPr>
          <w:sz w:val="24"/>
          <w:szCs w:val="24"/>
          <w:color w:val="auto"/>
        </w:rPr>
      </w:pPr>
    </w:p>
    <w:p>
      <w:pPr>
        <w:ind w:left="500" w:hanging="491"/>
        <w:spacing w:after="0"/>
        <w:tabs>
          <w:tab w:leader="none" w:pos="5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01" w:lineRule="exact"/>
        <w:rPr>
          <w:rFonts w:ascii="MS PGothic" w:cs="MS PGothic" w:eastAsia="MS PGothic" w:hAnsi="MS PGothic"/>
          <w:sz w:val="16"/>
          <w:szCs w:val="16"/>
          <w:color w:val="auto"/>
        </w:rPr>
      </w:pPr>
    </w:p>
    <w:p>
      <w:pPr>
        <w:ind w:left="500" w:hanging="491"/>
        <w:spacing w:after="0"/>
        <w:tabs>
          <w:tab w:leader="none" w:pos="5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63" w:lineRule="exact"/>
        <w:rPr>
          <w:sz w:val="24"/>
          <w:szCs w:val="24"/>
          <w:color w:val="auto"/>
        </w:rPr>
      </w:pPr>
    </w:p>
    <w:p>
      <w:pPr>
        <w:jc w:val="center"/>
        <w:ind w:right="-99"/>
        <w:spacing w:after="0"/>
        <w:rPr>
          <w:sz w:val="20"/>
          <w:szCs w:val="20"/>
          <w:color w:val="auto"/>
        </w:rPr>
      </w:pPr>
      <w:r>
        <w:rPr>
          <w:rFonts w:ascii="Arial" w:cs="Arial" w:eastAsia="Arial" w:hAnsi="Arial"/>
          <w:sz w:val="35"/>
          <w:szCs w:val="35"/>
          <w:b w:val="1"/>
          <w:bCs w:val="1"/>
          <w:color w:val="auto"/>
        </w:rPr>
        <w:t>CenterPoint Energy, Inc.</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of Registrant as Specified In Its Charter)</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97" w:lineRule="exact"/>
        <w:rPr>
          <w:sz w:val="24"/>
          <w:szCs w:val="24"/>
          <w:color w:val="auto"/>
        </w:rPr>
      </w:pPr>
    </w:p>
    <w:p>
      <w:pPr>
        <w:ind w:left="500" w:hanging="491"/>
        <w:spacing w:after="0"/>
        <w:tabs>
          <w:tab w:leader="none" w:pos="5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7" w:lineRule="exact"/>
        <w:rPr>
          <w:sz w:val="24"/>
          <w:szCs w:val="24"/>
          <w:color w:val="auto"/>
        </w:rPr>
      </w:pPr>
    </w:p>
    <w:p>
      <w:pPr>
        <w:ind w:left="500" w:hanging="491"/>
        <w:spacing w:after="0"/>
        <w:tabs>
          <w:tab w:leader="none" w:pos="5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96" w:lineRule="exact"/>
        <w:rPr>
          <w:rFonts w:ascii="MS PGothic" w:cs="MS PGothic" w:eastAsia="MS PGothic" w:hAnsi="MS PGothic"/>
          <w:sz w:val="16"/>
          <w:szCs w:val="16"/>
          <w:color w:val="auto"/>
        </w:rPr>
      </w:pPr>
    </w:p>
    <w:p>
      <w:pPr>
        <w:ind w:left="980" w:hanging="471"/>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980" w:hanging="471"/>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980" w:hanging="471"/>
        <w:spacing w:after="0" w:line="271"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6"/>
          <w:szCs w:val="16"/>
          <w:color w:val="auto"/>
        </w:rPr>
      </w:pPr>
    </w:p>
    <w:p>
      <w:pPr>
        <w:ind w:left="980" w:hanging="471"/>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980" w:hanging="471"/>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00" w:hanging="491"/>
        <w:spacing w:after="0"/>
        <w:tabs>
          <w:tab w:leader="none" w:pos="5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92" w:lineRule="exact"/>
        <w:rPr>
          <w:rFonts w:ascii="MS PGothic" w:cs="MS PGothic" w:eastAsia="MS PGothic" w:hAnsi="MS PGothic"/>
          <w:sz w:val="16"/>
          <w:szCs w:val="16"/>
          <w:color w:val="auto"/>
        </w:rPr>
      </w:pPr>
    </w:p>
    <w:p>
      <w:pPr>
        <w:ind w:left="500" w:right="160" w:hanging="491"/>
        <w:spacing w:after="0" w:line="305" w:lineRule="auto"/>
        <w:tabs>
          <w:tab w:leader="none" w:pos="50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8" w:lineRule="exact"/>
        <w:rPr>
          <w:rFonts w:ascii="MS PGothic" w:cs="MS PGothic" w:eastAsia="MS PGothic" w:hAnsi="MS PGothic"/>
          <w:sz w:val="15"/>
          <w:szCs w:val="15"/>
          <w:color w:val="auto"/>
        </w:rPr>
      </w:pPr>
    </w:p>
    <w:p>
      <w:pPr>
        <w:ind w:left="980" w:hanging="471"/>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980" w:hanging="471"/>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980" w:hanging="471"/>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980" w:hanging="471"/>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625475</wp:posOffset>
            </wp:positionH>
            <wp:positionV relativeFrom="paragraph">
              <wp:posOffset>-3901440</wp:posOffset>
            </wp:positionV>
            <wp:extent cx="55467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-3509010</wp:posOffset>
            </wp:positionV>
            <wp:extent cx="55467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-2994660</wp:posOffset>
            </wp:positionV>
            <wp:extent cx="5546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-2602230</wp:posOffset>
            </wp:positionV>
            <wp:extent cx="55467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-2209165</wp:posOffset>
            </wp:positionV>
            <wp:extent cx="55467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-909320</wp:posOffset>
            </wp:positionV>
            <wp:extent cx="55467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-516255</wp:posOffset>
            </wp:positionV>
            <wp:extent cx="55467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-123190</wp:posOffset>
            </wp:positionV>
            <wp:extent cx="55467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269240</wp:posOffset>
            </wp:positionV>
            <wp:extent cx="55467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67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427355</wp:posOffset>
            </wp:positionV>
            <wp:extent cx="61664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465455</wp:posOffset>
            </wp:positionV>
            <wp:extent cx="61664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620"/>
          </w:cols>
          <w:pgMar w:left="1080" w:top="472" w:right="11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1673860</wp:posOffset>
            </wp:positionH>
            <wp:positionV relativeFrom="page">
              <wp:posOffset>2400935</wp:posOffset>
            </wp:positionV>
            <wp:extent cx="4201795" cy="1473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201795" cy="147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560"/>
        <w:spacing w:after="0"/>
        <w:rPr>
          <w:sz w:val="20"/>
          <w:szCs w:val="20"/>
          <w:color w:val="auto"/>
        </w:rPr>
      </w:pPr>
      <w:r>
        <w:rPr>
          <w:rFonts w:ascii="Arial" w:cs="Arial" w:eastAsia="Arial" w:hAnsi="Arial"/>
          <w:sz w:val="76"/>
          <w:szCs w:val="76"/>
          <w:color w:val="auto"/>
        </w:rPr>
        <w:t>Always There.</w:t>
      </w:r>
      <w:r>
        <w:rPr>
          <w:rFonts w:ascii="Arial" w:cs="Arial" w:eastAsia="Arial" w:hAnsi="Arial"/>
          <w:sz w:val="64"/>
          <w:szCs w:val="6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040" w:right="1039"/>
        <w:spacing w:after="0" w:line="253" w:lineRule="auto"/>
        <w:rPr>
          <w:sz w:val="20"/>
          <w:szCs w:val="20"/>
          <w:color w:val="auto"/>
        </w:rPr>
      </w:pPr>
      <w:r>
        <w:rPr>
          <w:rFonts w:ascii="Arial" w:cs="Arial" w:eastAsia="Arial" w:hAnsi="Arial"/>
          <w:sz w:val="35"/>
          <w:szCs w:val="35"/>
          <w:b w:val="1"/>
          <w:bCs w:val="1"/>
          <w:color w:val="0061AF"/>
        </w:rPr>
        <w:t>CenterPoint Energy, Inc. Notice of Annual Meeting of Shareholders to be held on April 23, 2021 and Proxy Statement</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891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891540"/>
                    </a:xfrm>
                    <a:prstGeom prst="rect">
                      <a:avLst/>
                    </a:prstGeom>
                    <a:noFill/>
                  </pic:spPr>
                </pic:pic>
              </a:graphicData>
            </a:graphic>
          </wp:anchor>
        </w:drawing>
      </w:r>
    </w:p>
    <w:p>
      <w:pPr>
        <w:spacing w:after="0" w:line="309" w:lineRule="exact"/>
        <w:rPr>
          <w:sz w:val="20"/>
          <w:szCs w:val="20"/>
          <w:color w:val="auto"/>
        </w:rPr>
      </w:pPr>
    </w:p>
    <w:p>
      <w:pPr>
        <w:ind w:left="920"/>
        <w:spacing w:after="0"/>
        <w:rPr>
          <w:sz w:val="20"/>
          <w:szCs w:val="20"/>
          <w:color w:val="auto"/>
        </w:rPr>
      </w:pPr>
      <w:r>
        <w:rPr>
          <w:rFonts w:ascii="Arial" w:cs="Arial" w:eastAsia="Arial" w:hAnsi="Arial"/>
          <w:sz w:val="44"/>
          <w:szCs w:val="44"/>
          <w:color w:val="auto"/>
        </w:rPr>
        <w:t>Always There.</w:t>
      </w:r>
      <w:r>
        <w:rPr>
          <w:rFonts w:ascii="Arial" w:cs="Arial" w:eastAsia="Arial" w:hAnsi="Arial"/>
          <w:sz w:val="75"/>
          <w:szCs w:val="75"/>
          <w:color w:val="auto"/>
          <w:vertAlign w:val="superscript"/>
        </w:rPr>
        <w:t>®</w:t>
      </w:r>
    </w:p>
    <w:p>
      <w:pPr>
        <w:spacing w:after="0" w:line="21" w:lineRule="exact"/>
        <w:rPr>
          <w:sz w:val="20"/>
          <w:szCs w:val="20"/>
          <w:color w:val="auto"/>
        </w:rPr>
      </w:pPr>
    </w:p>
    <w:p>
      <w:pPr>
        <w:spacing w:after="0"/>
        <w:rPr>
          <w:sz w:val="20"/>
          <w:szCs w:val="20"/>
          <w:color w:val="auto"/>
        </w:rPr>
      </w:pPr>
      <w:r>
        <w:rPr>
          <w:rFonts w:ascii="Arial" w:cs="Arial" w:eastAsia="Arial" w:hAnsi="Arial"/>
          <w:sz w:val="29"/>
          <w:szCs w:val="29"/>
          <w:color w:val="0061AF"/>
        </w:rPr>
        <w:t>Welcome to the CenterPoint Energy</w:t>
      </w:r>
    </w:p>
    <w:p>
      <w:pPr>
        <w:spacing w:after="0"/>
        <w:rPr>
          <w:sz w:val="20"/>
          <w:szCs w:val="20"/>
          <w:color w:val="auto"/>
        </w:rPr>
      </w:pPr>
      <w:r>
        <w:rPr>
          <w:rFonts w:ascii="Arial" w:cs="Arial" w:eastAsia="Arial" w:hAnsi="Arial"/>
          <w:sz w:val="29"/>
          <w:szCs w:val="29"/>
          <w:color w:val="0061AF"/>
        </w:rPr>
        <w:t>Annual Shareholder Meeting</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March 12, 2021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Dear Fellow Shareholders: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are pleased to invite you to attend our annual shareholder meeting to be held on April 23, 2021, at 9:00 a.m. central time in our auditorium located at 1111 Louisiana Street in Houston, Texas.</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As explained in the enclosed proxy statement, at this year’s meeting you will be asked to vote (i)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nine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CenterPoint Energy’s independent registered public accounting firm and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on an advisory basis, of CenterPoint Energy’s executive compensation, and to consider any other business that may properly come before the meeting.</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Your vote is very important to us – participate in the future of CenterPoint Energy and exercise your shareholder right by voting your shares right away.</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Only holders of record of CenterPoint Energy common stock at the close of business on February 26, 2021 or their proxy holders, may vote at the meeting. Attendance at the meeting is limited to holders of our common stock or their proxy holders and CenterPoint Energy guests. Only holders of our common stock or their valid proxy holders may address the meeting.</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Please review the proxy card for instructions on how you can vote your shares of CenterPoint Energy common stock over the internet, by telephone or by mail. It is important that all holders of CenterPoint Energy common stock, regardless of the number of shares owned, participate in the affairs of the Company. At CenterPoint Energy’s 2020 Annual Shareholder Meeting, approximately 86 percent of the Company’s outstanding shares of common stock was represented in person or by proxy.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investment in CenterPoint Energy.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193675</wp:posOffset>
            </wp:positionV>
            <wp:extent cx="1375410" cy="370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5410" cy="37020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155575</wp:posOffset>
            </wp:positionV>
            <wp:extent cx="1383030" cy="408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3030" cy="40830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Milton Carroll</w:t>
      </w:r>
    </w:p>
    <w:p>
      <w:pPr>
        <w:jc w:val="center"/>
        <w:ind w:right="920"/>
        <w:spacing w:after="0"/>
        <w:rPr>
          <w:sz w:val="20"/>
          <w:szCs w:val="20"/>
          <w:color w:val="auto"/>
        </w:rPr>
      </w:pPr>
      <w:r>
        <w:rPr>
          <w:rFonts w:ascii="Arial" w:cs="Arial" w:eastAsia="Arial" w:hAnsi="Arial"/>
          <w:sz w:val="15"/>
          <w:szCs w:val="15"/>
          <w:color w:val="auto"/>
        </w:rPr>
        <w:t>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David J. Lesar</w:t>
      </w:r>
    </w:p>
    <w:p>
      <w:pPr>
        <w:jc w:val="center"/>
        <w:ind w:right="960"/>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2">
            <w:col w:w="5400" w:space="720"/>
            <w:col w:w="3600"/>
          </w:cols>
          <w:pgMar w:left="1080" w:top="1440" w:right="10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7580" w:type="dxa"/>
            <w:vAlign w:val="bottom"/>
          </w:tcPr>
          <w:p>
            <w:pPr>
              <w:spacing w:after="0"/>
              <w:rPr>
                <w:sz w:val="19"/>
                <w:szCs w:val="19"/>
                <w:color w:val="auto"/>
              </w:rPr>
            </w:pPr>
          </w:p>
        </w:tc>
        <w:tc>
          <w:tcPr>
            <w:tcW w:w="2140" w:type="dxa"/>
            <w:vAlign w:val="bottom"/>
            <w:shd w:val="clear" w:color="auto" w:fill="0061AF"/>
          </w:tcPr>
          <w:p>
            <w:pPr>
              <w:jc w:val="right"/>
              <w:ind w:right="74"/>
              <w:spacing w:after="0"/>
              <w:rPr>
                <w:sz w:val="20"/>
                <w:szCs w:val="20"/>
                <w:color w:val="auto"/>
              </w:rPr>
            </w:pPr>
            <w:r>
              <w:rPr>
                <w:rFonts w:ascii="Arial" w:cs="Arial" w:eastAsia="Arial" w:hAnsi="Arial"/>
                <w:sz w:val="16"/>
                <w:szCs w:val="16"/>
                <w:color w:val="FFFFFF"/>
              </w:rPr>
              <w:t>2021 Proxy Statement</w:t>
            </w:r>
          </w:p>
        </w:tc>
      </w:tr>
      <w:tr>
        <w:trPr>
          <w:trHeight w:val="73"/>
        </w:trPr>
        <w:tc>
          <w:tcPr>
            <w:tcW w:w="7580" w:type="dxa"/>
            <w:vAlign w:val="bottom"/>
            <w:tcBorders>
              <w:bottom w:val="single" w:sz="8" w:color="0061AF"/>
            </w:tcBorders>
          </w:tcPr>
          <w:p>
            <w:pPr>
              <w:spacing w:after="0"/>
              <w:rPr>
                <w:sz w:val="6"/>
                <w:szCs w:val="6"/>
                <w:color w:val="auto"/>
              </w:rPr>
            </w:pPr>
          </w:p>
        </w:tc>
        <w:tc>
          <w:tcPr>
            <w:tcW w:w="2140" w:type="dxa"/>
            <w:vAlign w:val="bottom"/>
            <w:tcBorders>
              <w:bottom w:val="single" w:sz="8" w:color="0061AF"/>
            </w:tcBorders>
            <w:shd w:val="clear" w:color="auto" w:fill="0061AF"/>
          </w:tcPr>
          <w:p>
            <w:pPr>
              <w:spacing w:after="0"/>
              <w:rPr>
                <w:sz w:val="6"/>
                <w:szCs w:val="6"/>
                <w:color w:val="auto"/>
              </w:rPr>
            </w:pPr>
          </w:p>
        </w:tc>
      </w:tr>
      <w:tr>
        <w:trPr>
          <w:trHeight w:val="508"/>
        </w:trPr>
        <w:tc>
          <w:tcPr>
            <w:tcW w:w="7580" w:type="dxa"/>
            <w:vAlign w:val="bottom"/>
          </w:tcPr>
          <w:p>
            <w:pPr>
              <w:spacing w:after="0"/>
              <w:rPr>
                <w:sz w:val="20"/>
                <w:szCs w:val="20"/>
                <w:color w:val="auto"/>
              </w:rPr>
            </w:pPr>
            <w:r>
              <w:rPr>
                <w:rFonts w:ascii="Arial" w:cs="Arial" w:eastAsia="Arial" w:hAnsi="Arial"/>
                <w:sz w:val="25"/>
                <w:szCs w:val="25"/>
                <w:color w:val="0061AF"/>
              </w:rPr>
              <w:t>Table of Contents</w:t>
            </w:r>
          </w:p>
        </w:tc>
        <w:tc>
          <w:tcPr>
            <w:tcW w:w="2140" w:type="dxa"/>
            <w:vAlign w:val="bottom"/>
          </w:tcPr>
          <w:p>
            <w:pPr>
              <w:spacing w:after="0"/>
              <w:rPr>
                <w:sz w:val="24"/>
                <w:szCs w:val="24"/>
                <w:color w:val="auto"/>
              </w:rPr>
            </w:pPr>
          </w:p>
        </w:tc>
      </w:tr>
      <w:tr>
        <w:trPr>
          <w:trHeight w:val="539"/>
        </w:trPr>
        <w:tc>
          <w:tcPr>
            <w:tcW w:w="7580" w:type="dxa"/>
            <w:vAlign w:val="bottom"/>
          </w:tcPr>
          <w:p>
            <w:pPr>
              <w:spacing w:after="0"/>
              <w:rPr>
                <w:sz w:val="20"/>
                <w:szCs w:val="20"/>
                <w:color w:val="auto"/>
              </w:rPr>
            </w:pPr>
            <w:r>
              <w:rPr>
                <w:rFonts w:ascii="Arial" w:cs="Arial" w:eastAsia="Arial" w:hAnsi="Arial"/>
                <w:sz w:val="19"/>
                <w:szCs w:val="19"/>
                <w:color w:val="auto"/>
              </w:rPr>
              <w:t>Notice of Annual Meeting of Shareholders</w:t>
            </w:r>
          </w:p>
        </w:tc>
        <w:tc>
          <w:tcPr>
            <w:tcW w:w="2140" w:type="dxa"/>
            <w:vAlign w:val="bottom"/>
          </w:tcPr>
          <w:p>
            <w:pPr>
              <w:spacing w:after="0"/>
              <w:rPr>
                <w:sz w:val="24"/>
                <w:szCs w:val="24"/>
                <w:color w:val="auto"/>
              </w:rPr>
            </w:pPr>
          </w:p>
        </w:tc>
      </w:tr>
      <w:tr>
        <w:trPr>
          <w:trHeight w:val="405"/>
        </w:trPr>
        <w:tc>
          <w:tcPr>
            <w:tcW w:w="7580" w:type="dxa"/>
            <w:vAlign w:val="bottom"/>
          </w:tcPr>
          <w:p>
            <w:pPr>
              <w:spacing w:after="0"/>
              <w:rPr>
                <w:sz w:val="20"/>
                <w:szCs w:val="20"/>
                <w:color w:val="auto"/>
              </w:rPr>
            </w:pPr>
            <w:r>
              <w:rPr>
                <w:rFonts w:ascii="Arial" w:cs="Arial" w:eastAsia="Arial" w:hAnsi="Arial"/>
                <w:sz w:val="19"/>
                <w:szCs w:val="19"/>
                <w:color w:val="auto"/>
              </w:rPr>
              <w:t>PROXY STATEMENT</w:t>
            </w:r>
          </w:p>
        </w:tc>
        <w:tc>
          <w:tcPr>
            <w:tcW w:w="2140" w:type="dxa"/>
            <w:vAlign w:val="bottom"/>
          </w:tcPr>
          <w:p>
            <w:pPr>
              <w:spacing w:after="0"/>
              <w:rPr>
                <w:sz w:val="24"/>
                <w:szCs w:val="24"/>
                <w:color w:val="auto"/>
              </w:rPr>
            </w:pPr>
          </w:p>
        </w:tc>
      </w:tr>
      <w:tr>
        <w:trPr>
          <w:trHeight w:val="361"/>
        </w:trPr>
        <w:tc>
          <w:tcPr>
            <w:tcW w:w="7580" w:type="dxa"/>
            <w:vAlign w:val="bottom"/>
            <w:tcBorders>
              <w:bottom w:val="single" w:sz="8" w:color="auto"/>
            </w:tcBorders>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Frequently Asked Questions About Voting</w:t>
              </w:r>
            </w:hyperlink>
          </w:p>
        </w:tc>
        <w:tc>
          <w:tcPr>
            <w:tcW w:w="21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color w:val="0061AF"/>
              </w:rPr>
              <w:t>1</w:t>
            </w:r>
          </w:p>
        </w:tc>
      </w:tr>
      <w:tr>
        <w:trPr>
          <w:trHeight w:val="349"/>
        </w:trPr>
        <w:tc>
          <w:tcPr>
            <w:tcW w:w="7580" w:type="dxa"/>
            <w:vAlign w:val="bottom"/>
            <w:tcBorders>
              <w:bottom w:val="single" w:sz="8" w:color="auto"/>
            </w:tcBorders>
          </w:tcPr>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Election of Directors (Item 1)</w:t>
              </w:r>
            </w:hyperlink>
          </w:p>
        </w:tc>
        <w:tc>
          <w:tcPr>
            <w:tcW w:w="21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color w:val="0061AF"/>
              </w:rPr>
              <w:t>4</w:t>
            </w:r>
          </w:p>
        </w:tc>
      </w:tr>
      <w:tr>
        <w:trPr>
          <w:trHeight w:val="135"/>
        </w:trPr>
        <w:tc>
          <w:tcPr>
            <w:tcW w:w="7580" w:type="dxa"/>
            <w:vAlign w:val="bottom"/>
          </w:tcPr>
          <w:p>
            <w:pPr>
              <w:ind w:left="100"/>
              <w:spacing w:after="0" w:line="135" w:lineRule="exact"/>
              <w:rPr>
                <w:rFonts w:ascii="Arial" w:cs="Arial" w:eastAsia="Arial" w:hAnsi="Arial"/>
                <w:sz w:val="13"/>
                <w:szCs w:val="13"/>
                <w:u w:val="single" w:color="auto"/>
                <w:color w:val="0000EE"/>
              </w:rPr>
            </w:pPr>
            <w:hyperlink w:anchor="page11">
              <w:r>
                <w:rPr>
                  <w:rFonts w:ascii="Arial" w:cs="Arial" w:eastAsia="Arial" w:hAnsi="Arial"/>
                  <w:sz w:val="13"/>
                  <w:szCs w:val="13"/>
                  <w:u w:val="single" w:color="auto"/>
                  <w:color w:val="0000EE"/>
                </w:rPr>
                <w:t>Nominees for Directors</w:t>
              </w:r>
            </w:hyperlink>
          </w:p>
        </w:tc>
        <w:tc>
          <w:tcPr>
            <w:tcW w:w="2140" w:type="dxa"/>
            <w:vAlign w:val="bottom"/>
          </w:tcPr>
          <w:p>
            <w:pPr>
              <w:jc w:val="right"/>
              <w:ind w:right="34"/>
              <w:spacing w:after="0" w:line="135" w:lineRule="exact"/>
              <w:rPr>
                <w:sz w:val="20"/>
                <w:szCs w:val="20"/>
                <w:color w:val="auto"/>
              </w:rPr>
            </w:pPr>
            <w:r>
              <w:rPr>
                <w:rFonts w:ascii="Arial" w:cs="Arial" w:eastAsia="Arial" w:hAnsi="Arial"/>
                <w:sz w:val="13"/>
                <w:szCs w:val="13"/>
                <w:color w:val="auto"/>
              </w:rPr>
              <w:t>5</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18">
              <w:r>
                <w:rPr>
                  <w:rFonts w:ascii="Arial" w:cs="Arial" w:eastAsia="Arial" w:hAnsi="Arial"/>
                  <w:sz w:val="13"/>
                  <w:szCs w:val="13"/>
                  <w:u w:val="single" w:color="auto"/>
                  <w:color w:val="0000EE"/>
                </w:rPr>
                <w:t>Director Nomination Process</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12</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20">
              <w:r>
                <w:rPr>
                  <w:rFonts w:ascii="Arial" w:cs="Arial" w:eastAsia="Arial" w:hAnsi="Arial"/>
                  <w:sz w:val="13"/>
                  <w:szCs w:val="13"/>
                  <w:u w:val="single" w:color="auto"/>
                  <w:color w:val="0000EE"/>
                </w:rPr>
                <w:t>Annual Board Self-Assessment and Director Peer Evaluation</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14</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20">
              <w:r>
                <w:rPr>
                  <w:rFonts w:ascii="Arial" w:cs="Arial" w:eastAsia="Arial" w:hAnsi="Arial"/>
                  <w:sz w:val="13"/>
                  <w:szCs w:val="13"/>
                  <w:u w:val="single" w:color="auto"/>
                  <w:color w:val="0000EE"/>
                </w:rPr>
                <w:t>Director Independence</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14</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21">
              <w:r>
                <w:rPr>
                  <w:rFonts w:ascii="Arial" w:cs="Arial" w:eastAsia="Arial" w:hAnsi="Arial"/>
                  <w:sz w:val="13"/>
                  <w:szCs w:val="13"/>
                  <w:u w:val="single" w:color="auto"/>
                  <w:color w:val="0000EE"/>
                </w:rPr>
                <w:t>Code of Ethics and Ethics and Compliance Code</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15</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21">
              <w:r>
                <w:rPr>
                  <w:rFonts w:ascii="Arial" w:cs="Arial" w:eastAsia="Arial" w:hAnsi="Arial"/>
                  <w:sz w:val="13"/>
                  <w:szCs w:val="13"/>
                  <w:u w:val="single" w:color="auto"/>
                  <w:color w:val="0000EE"/>
                </w:rPr>
                <w:t>Conflicts of Interest and Related-Party Transactions</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15</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22">
              <w:r>
                <w:rPr>
                  <w:rFonts w:ascii="Arial" w:cs="Arial" w:eastAsia="Arial" w:hAnsi="Arial"/>
                  <w:sz w:val="13"/>
                  <w:szCs w:val="13"/>
                  <w:u w:val="single" w:color="auto"/>
                  <w:color w:val="0000EE"/>
                </w:rPr>
                <w:t>Majority Voting in Director Elections</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16</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23">
              <w:r>
                <w:rPr>
                  <w:rFonts w:ascii="Arial" w:cs="Arial" w:eastAsia="Arial" w:hAnsi="Arial"/>
                  <w:sz w:val="13"/>
                  <w:szCs w:val="13"/>
                  <w:u w:val="single" w:color="auto"/>
                  <w:color w:val="0000EE"/>
                </w:rPr>
                <w:t>Board Leadership</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17</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23">
              <w:r>
                <w:rPr>
                  <w:rFonts w:ascii="Arial" w:cs="Arial" w:eastAsia="Arial" w:hAnsi="Arial"/>
                  <w:sz w:val="13"/>
                  <w:szCs w:val="13"/>
                  <w:u w:val="single" w:color="auto"/>
                  <w:color w:val="0000EE"/>
                </w:rPr>
                <w:t>The Board’s Role in Risk Oversight</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17</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25">
              <w:r>
                <w:rPr>
                  <w:rFonts w:ascii="Arial" w:cs="Arial" w:eastAsia="Arial" w:hAnsi="Arial"/>
                  <w:sz w:val="13"/>
                  <w:szCs w:val="13"/>
                  <w:u w:val="single" w:color="auto"/>
                  <w:color w:val="0000EE"/>
                </w:rPr>
                <w:t>Executive Succession Planning and Leadership Development</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19</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25">
              <w:r>
                <w:rPr>
                  <w:rFonts w:ascii="Arial" w:cs="Arial" w:eastAsia="Arial" w:hAnsi="Arial"/>
                  <w:sz w:val="13"/>
                  <w:szCs w:val="13"/>
                  <w:u w:val="single" w:color="auto"/>
                  <w:color w:val="0000EE"/>
                </w:rPr>
                <w:t>Director Attendance</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19</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25">
              <w:r>
                <w:rPr>
                  <w:rFonts w:ascii="Arial" w:cs="Arial" w:eastAsia="Arial" w:hAnsi="Arial"/>
                  <w:sz w:val="13"/>
                  <w:szCs w:val="13"/>
                  <w:u w:val="single" w:color="auto"/>
                  <w:color w:val="0000EE"/>
                </w:rPr>
                <w:t>Board Organization and Committees</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19</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28">
              <w:r>
                <w:rPr>
                  <w:rFonts w:ascii="Arial" w:cs="Arial" w:eastAsia="Arial" w:hAnsi="Arial"/>
                  <w:sz w:val="13"/>
                  <w:szCs w:val="13"/>
                  <w:u w:val="single" w:color="auto"/>
                  <w:color w:val="0000EE"/>
                </w:rPr>
                <w:t>Shareholder Engagement</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22</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29">
              <w:r>
                <w:rPr>
                  <w:rFonts w:ascii="Arial" w:cs="Arial" w:eastAsia="Arial" w:hAnsi="Arial"/>
                  <w:sz w:val="13"/>
                  <w:szCs w:val="13"/>
                  <w:u w:val="single" w:color="auto"/>
                  <w:color w:val="0000EE"/>
                </w:rPr>
                <w:t>Communications with Directors</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23</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29">
              <w:r>
                <w:rPr>
                  <w:rFonts w:ascii="Arial" w:cs="Arial" w:eastAsia="Arial" w:hAnsi="Arial"/>
                  <w:sz w:val="13"/>
                  <w:szCs w:val="13"/>
                  <w:u w:val="single" w:color="auto"/>
                  <w:color w:val="0000EE"/>
                </w:rPr>
                <w:t>Website Availability of Documents</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23</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29">
              <w:r>
                <w:rPr>
                  <w:rFonts w:ascii="Arial" w:cs="Arial" w:eastAsia="Arial" w:hAnsi="Arial"/>
                  <w:sz w:val="13"/>
                  <w:szCs w:val="13"/>
                  <w:u w:val="single" w:color="auto"/>
                  <w:color w:val="0000EE"/>
                </w:rPr>
                <w:t>Compensation of Directors</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23</w:t>
            </w:r>
          </w:p>
        </w:tc>
      </w:tr>
      <w:tr>
        <w:trPr>
          <w:trHeight w:val="157"/>
        </w:trPr>
        <w:tc>
          <w:tcPr>
            <w:tcW w:w="7580" w:type="dxa"/>
            <w:vAlign w:val="bottom"/>
          </w:tcPr>
          <w:p>
            <w:pPr>
              <w:ind w:left="100"/>
              <w:spacing w:after="0"/>
              <w:rPr>
                <w:rFonts w:ascii="Arial" w:cs="Arial" w:eastAsia="Arial" w:hAnsi="Arial"/>
                <w:sz w:val="13"/>
                <w:szCs w:val="13"/>
                <w:u w:val="single" w:color="auto"/>
                <w:color w:val="0000EE"/>
              </w:rPr>
            </w:pPr>
            <w:hyperlink w:anchor="page31">
              <w:r>
                <w:rPr>
                  <w:rFonts w:ascii="Arial" w:cs="Arial" w:eastAsia="Arial" w:hAnsi="Arial"/>
                  <w:sz w:val="13"/>
                  <w:szCs w:val="13"/>
                  <w:u w:val="single" w:color="auto"/>
                  <w:color w:val="0000EE"/>
                </w:rPr>
                <w:t>Director Compensation Table</w:t>
              </w:r>
            </w:hyperlink>
          </w:p>
        </w:tc>
        <w:tc>
          <w:tcPr>
            <w:tcW w:w="2140" w:type="dxa"/>
            <w:vAlign w:val="bottom"/>
          </w:tcPr>
          <w:p>
            <w:pPr>
              <w:jc w:val="right"/>
              <w:ind w:right="34"/>
              <w:spacing w:after="0"/>
              <w:rPr>
                <w:sz w:val="20"/>
                <w:szCs w:val="20"/>
                <w:color w:val="auto"/>
              </w:rPr>
            </w:pPr>
            <w:r>
              <w:rPr>
                <w:rFonts w:ascii="Arial" w:cs="Arial" w:eastAsia="Arial" w:hAnsi="Arial"/>
                <w:sz w:val="13"/>
                <w:szCs w:val="13"/>
                <w:color w:val="auto"/>
              </w:rPr>
              <w:t>25</w:t>
            </w:r>
          </w:p>
        </w:tc>
      </w:tr>
      <w:tr>
        <w:trPr>
          <w:trHeight w:val="355"/>
        </w:trPr>
        <w:tc>
          <w:tcPr>
            <w:tcW w:w="7580" w:type="dxa"/>
            <w:vAlign w:val="bottom"/>
            <w:tcBorders>
              <w:bottom w:val="single" w:sz="8" w:color="auto"/>
            </w:tcBorders>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Stock Ownership</w:t>
              </w:r>
            </w:hyperlink>
          </w:p>
        </w:tc>
        <w:tc>
          <w:tcPr>
            <w:tcW w:w="21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color w:val="0061AF"/>
              </w:rPr>
              <w:t>27</w:t>
            </w:r>
          </w:p>
        </w:tc>
      </w:tr>
      <w:tr>
        <w:trPr>
          <w:trHeight w:val="349"/>
        </w:trPr>
        <w:tc>
          <w:tcPr>
            <w:tcW w:w="7580" w:type="dxa"/>
            <w:vAlign w:val="bottom"/>
            <w:tcBorders>
              <w:bottom w:val="single" w:sz="8" w:color="auto"/>
            </w:tcBorders>
          </w:tcPr>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Compensation Discussion and Analysis</w:t>
              </w:r>
            </w:hyperlink>
          </w:p>
        </w:tc>
        <w:tc>
          <w:tcPr>
            <w:tcW w:w="21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color w:val="0061AF"/>
              </w:rPr>
              <w:t>29</w:t>
            </w:r>
          </w:p>
        </w:tc>
      </w:tr>
      <w:tr>
        <w:trPr>
          <w:trHeight w:val="135"/>
        </w:trPr>
        <w:tc>
          <w:tcPr>
            <w:tcW w:w="7580" w:type="dxa"/>
            <w:vAlign w:val="bottom"/>
          </w:tcPr>
          <w:p>
            <w:pPr>
              <w:ind w:left="100"/>
              <w:spacing w:after="0" w:line="135" w:lineRule="exact"/>
              <w:rPr>
                <w:rFonts w:ascii="Arial" w:cs="Arial" w:eastAsia="Arial" w:hAnsi="Arial"/>
                <w:sz w:val="13"/>
                <w:szCs w:val="13"/>
                <w:u w:val="single" w:color="auto"/>
                <w:color w:val="0000EE"/>
              </w:rPr>
            </w:pPr>
            <w:hyperlink w:anchor="page35">
              <w:r>
                <w:rPr>
                  <w:rFonts w:ascii="Arial" w:cs="Arial" w:eastAsia="Arial" w:hAnsi="Arial"/>
                  <w:sz w:val="13"/>
                  <w:szCs w:val="13"/>
                  <w:u w:val="single" w:color="auto"/>
                  <w:color w:val="0000EE"/>
                </w:rPr>
                <w:t>Executive Summary</w:t>
              </w:r>
            </w:hyperlink>
          </w:p>
        </w:tc>
        <w:tc>
          <w:tcPr>
            <w:tcW w:w="2140" w:type="dxa"/>
            <w:vAlign w:val="bottom"/>
          </w:tcPr>
          <w:p>
            <w:pPr>
              <w:jc w:val="right"/>
              <w:ind w:right="34"/>
              <w:spacing w:after="0" w:line="135" w:lineRule="exact"/>
              <w:rPr>
                <w:sz w:val="20"/>
                <w:szCs w:val="20"/>
                <w:color w:val="auto"/>
              </w:rPr>
            </w:pPr>
            <w:r>
              <w:rPr>
                <w:rFonts w:ascii="Arial" w:cs="Arial" w:eastAsia="Arial" w:hAnsi="Arial"/>
                <w:sz w:val="13"/>
                <w:szCs w:val="13"/>
                <w:color w:val="auto"/>
              </w:rPr>
              <w:t>29</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43">
              <w:r>
                <w:rPr>
                  <w:rFonts w:ascii="Arial" w:cs="Arial" w:eastAsia="Arial" w:hAnsi="Arial"/>
                  <w:sz w:val="13"/>
                  <w:szCs w:val="13"/>
                  <w:u w:val="single" w:color="auto"/>
                  <w:color w:val="0000EE"/>
                </w:rPr>
                <w:t>Executive Compensation Program Overview</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37</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44">
              <w:r>
                <w:rPr>
                  <w:rFonts w:ascii="Arial" w:cs="Arial" w:eastAsia="Arial" w:hAnsi="Arial"/>
                  <w:sz w:val="13"/>
                  <w:szCs w:val="13"/>
                  <w:u w:val="single" w:color="auto"/>
                  <w:color w:val="0000EE"/>
                </w:rPr>
                <w:t>Design of Executive Compensation Program</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38</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46">
              <w:r>
                <w:rPr>
                  <w:rFonts w:ascii="Arial" w:cs="Arial" w:eastAsia="Arial" w:hAnsi="Arial"/>
                  <w:sz w:val="13"/>
                  <w:szCs w:val="13"/>
                  <w:u w:val="single" w:color="auto"/>
                  <w:color w:val="0000EE"/>
                </w:rPr>
                <w:t>2020 Executive Compensation Program</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40</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55">
              <w:r>
                <w:rPr>
                  <w:rFonts w:ascii="Arial" w:cs="Arial" w:eastAsia="Arial" w:hAnsi="Arial"/>
                  <w:sz w:val="13"/>
                  <w:szCs w:val="13"/>
                  <w:u w:val="single" w:color="auto"/>
                  <w:color w:val="0000EE"/>
                </w:rPr>
                <w:t>Our Executive Compensation Decision-Making Process</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49</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58">
              <w:r>
                <w:rPr>
                  <w:rFonts w:ascii="Arial" w:cs="Arial" w:eastAsia="Arial" w:hAnsi="Arial"/>
                  <w:sz w:val="13"/>
                  <w:szCs w:val="13"/>
                  <w:u w:val="single" w:color="auto"/>
                  <w:color w:val="0000EE"/>
                </w:rPr>
                <w:t>Other Compensation Programs and Practices</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52</w:t>
            </w:r>
          </w:p>
        </w:tc>
      </w:tr>
      <w:tr>
        <w:trPr>
          <w:trHeight w:val="369"/>
        </w:trPr>
        <w:tc>
          <w:tcPr>
            <w:tcW w:w="7580" w:type="dxa"/>
            <w:vAlign w:val="bottom"/>
            <w:tcBorders>
              <w:bottom w:val="single" w:sz="8" w:color="auto"/>
            </w:tcBorders>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Executive Compensation Tables</w:t>
              </w:r>
            </w:hyperlink>
          </w:p>
        </w:tc>
        <w:tc>
          <w:tcPr>
            <w:tcW w:w="21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color w:val="0061AF"/>
              </w:rPr>
              <w:t>55</w:t>
            </w:r>
          </w:p>
        </w:tc>
      </w:tr>
      <w:tr>
        <w:trPr>
          <w:trHeight w:val="135"/>
        </w:trPr>
        <w:tc>
          <w:tcPr>
            <w:tcW w:w="7580" w:type="dxa"/>
            <w:vAlign w:val="bottom"/>
          </w:tcPr>
          <w:p>
            <w:pPr>
              <w:ind w:left="100"/>
              <w:spacing w:after="0" w:line="135" w:lineRule="exact"/>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Summary Compensation Table for Fiscal Year 2020</w:t>
              </w:r>
            </w:hyperlink>
          </w:p>
        </w:tc>
        <w:tc>
          <w:tcPr>
            <w:tcW w:w="2140" w:type="dxa"/>
            <w:vAlign w:val="bottom"/>
          </w:tcPr>
          <w:p>
            <w:pPr>
              <w:jc w:val="right"/>
              <w:ind w:right="34"/>
              <w:spacing w:after="0" w:line="135" w:lineRule="exact"/>
              <w:rPr>
                <w:sz w:val="20"/>
                <w:szCs w:val="20"/>
                <w:color w:val="auto"/>
              </w:rPr>
            </w:pPr>
            <w:r>
              <w:rPr>
                <w:rFonts w:ascii="Arial" w:cs="Arial" w:eastAsia="Arial" w:hAnsi="Arial"/>
                <w:sz w:val="13"/>
                <w:szCs w:val="13"/>
                <w:color w:val="auto"/>
              </w:rPr>
              <w:t>55</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64">
              <w:r>
                <w:rPr>
                  <w:rFonts w:ascii="Arial" w:cs="Arial" w:eastAsia="Arial" w:hAnsi="Arial"/>
                  <w:sz w:val="13"/>
                  <w:szCs w:val="13"/>
                  <w:u w:val="single" w:color="auto"/>
                  <w:color w:val="0000EE"/>
                </w:rPr>
                <w:t>Grants of Plan-Based Awards for Fiscal Year 2020</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58</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66">
              <w:r>
                <w:rPr>
                  <w:rFonts w:ascii="Arial" w:cs="Arial" w:eastAsia="Arial" w:hAnsi="Arial"/>
                  <w:sz w:val="13"/>
                  <w:szCs w:val="13"/>
                  <w:u w:val="single" w:color="auto"/>
                  <w:color w:val="0000EE"/>
                </w:rPr>
                <w:t>Non-Equity Incentive Plan Awards</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60</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69">
              <w:r>
                <w:rPr>
                  <w:rFonts w:ascii="Arial" w:cs="Arial" w:eastAsia="Arial" w:hAnsi="Arial"/>
                  <w:sz w:val="13"/>
                  <w:szCs w:val="13"/>
                  <w:u w:val="single" w:color="auto"/>
                  <w:color w:val="0000EE"/>
                </w:rPr>
                <w:t>Equity Incentive Plan Awards – Additional Information</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63</w:t>
            </w:r>
          </w:p>
        </w:tc>
      </w:tr>
      <w:tr>
        <w:trPr>
          <w:trHeight w:val="143"/>
        </w:trPr>
        <w:tc>
          <w:tcPr>
            <w:tcW w:w="7580" w:type="dxa"/>
            <w:vAlign w:val="bottom"/>
          </w:tcPr>
          <w:p>
            <w:pPr>
              <w:ind w:left="100"/>
              <w:spacing w:after="0" w:line="143" w:lineRule="exact"/>
              <w:rPr>
                <w:rFonts w:ascii="Arial" w:cs="Arial" w:eastAsia="Arial" w:hAnsi="Arial"/>
                <w:sz w:val="13"/>
                <w:szCs w:val="13"/>
                <w:u w:val="single" w:color="auto"/>
                <w:color w:val="0000EE"/>
              </w:rPr>
            </w:pPr>
            <w:hyperlink w:anchor="page71">
              <w:r>
                <w:rPr>
                  <w:rFonts w:ascii="Arial" w:cs="Arial" w:eastAsia="Arial" w:hAnsi="Arial"/>
                  <w:sz w:val="13"/>
                  <w:szCs w:val="13"/>
                  <w:u w:val="single" w:color="auto"/>
                  <w:color w:val="0000EE"/>
                </w:rPr>
                <w:t>Outstanding Equity Awards at Fiscal Year-End 2020</w:t>
              </w:r>
            </w:hyperlink>
          </w:p>
        </w:tc>
        <w:tc>
          <w:tcPr>
            <w:tcW w:w="2140" w:type="dxa"/>
            <w:vAlign w:val="bottom"/>
          </w:tcPr>
          <w:p>
            <w:pPr>
              <w:jc w:val="right"/>
              <w:ind w:right="34"/>
              <w:spacing w:after="0" w:line="143" w:lineRule="exact"/>
              <w:rPr>
                <w:sz w:val="20"/>
                <w:szCs w:val="20"/>
                <w:color w:val="auto"/>
              </w:rPr>
            </w:pPr>
            <w:r>
              <w:rPr>
                <w:rFonts w:ascii="Arial" w:cs="Arial" w:eastAsia="Arial" w:hAnsi="Arial"/>
                <w:sz w:val="13"/>
                <w:szCs w:val="13"/>
                <w:color w:val="auto"/>
              </w:rPr>
              <w:t>65</w:t>
            </w:r>
          </w:p>
        </w:tc>
      </w:tr>
      <w:tr>
        <w:trPr>
          <w:trHeight w:val="143"/>
        </w:trPr>
        <w:tc>
          <w:tcPr>
            <w:tcW w:w="758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72">
              <w:r>
                <w:rPr>
                  <w:rFonts w:ascii="Arial" w:cs="Arial" w:eastAsia="Arial" w:hAnsi="Arial"/>
                  <w:sz w:val="13"/>
                  <w:szCs w:val="13"/>
                  <w:u w:val="single" w:color="auto"/>
                  <w:color w:val="0000EE"/>
                </w:rPr>
                <w:t>Option Exercises and Stock Vested for Fiscal Year 2020</w:t>
              </w:r>
            </w:hyperlink>
          </w:p>
        </w:tc>
        <w:tc>
          <w:tcPr>
            <w:tcW w:w="2140" w:type="dxa"/>
            <w:vAlign w:val="bottom"/>
            <w:shd w:val="clear" w:color="auto" w:fill="D8E7F3"/>
          </w:tcPr>
          <w:p>
            <w:pPr>
              <w:jc w:val="right"/>
              <w:ind w:right="34"/>
              <w:spacing w:after="0" w:line="143" w:lineRule="exact"/>
              <w:rPr>
                <w:sz w:val="20"/>
                <w:szCs w:val="20"/>
                <w:color w:val="auto"/>
              </w:rPr>
            </w:pPr>
            <w:r>
              <w:rPr>
                <w:rFonts w:ascii="Arial" w:cs="Arial" w:eastAsia="Arial" w:hAnsi="Arial"/>
                <w:sz w:val="13"/>
                <w:szCs w:val="13"/>
                <w:color w:val="auto"/>
              </w:rPr>
              <w:t>66</w:t>
            </w:r>
          </w:p>
        </w:tc>
      </w:tr>
      <w:tr>
        <w:trPr>
          <w:trHeight w:val="157"/>
        </w:trPr>
        <w:tc>
          <w:tcPr>
            <w:tcW w:w="7580" w:type="dxa"/>
            <w:vAlign w:val="bottom"/>
          </w:tcPr>
          <w:p>
            <w:pPr>
              <w:ind w:left="100"/>
              <w:spacing w:after="0"/>
              <w:rPr>
                <w:rFonts w:ascii="Arial" w:cs="Arial" w:eastAsia="Arial" w:hAnsi="Arial"/>
                <w:sz w:val="13"/>
                <w:szCs w:val="13"/>
                <w:u w:val="single" w:color="auto"/>
                <w:color w:val="0000EE"/>
              </w:rPr>
            </w:pPr>
            <w:hyperlink w:anchor="page73">
              <w:r>
                <w:rPr>
                  <w:rFonts w:ascii="Arial" w:cs="Arial" w:eastAsia="Arial" w:hAnsi="Arial"/>
                  <w:sz w:val="13"/>
                  <w:szCs w:val="13"/>
                  <w:u w:val="single" w:color="auto"/>
                  <w:color w:val="0000EE"/>
                </w:rPr>
                <w:t>Pension Benefits</w:t>
              </w:r>
            </w:hyperlink>
          </w:p>
        </w:tc>
        <w:tc>
          <w:tcPr>
            <w:tcW w:w="2140" w:type="dxa"/>
            <w:vAlign w:val="bottom"/>
          </w:tcPr>
          <w:p>
            <w:pPr>
              <w:jc w:val="right"/>
              <w:ind w:right="34"/>
              <w:spacing w:after="0"/>
              <w:rPr>
                <w:sz w:val="20"/>
                <w:szCs w:val="20"/>
                <w:color w:val="auto"/>
              </w:rPr>
            </w:pPr>
            <w:r>
              <w:rPr>
                <w:rFonts w:ascii="Arial" w:cs="Arial" w:eastAsia="Arial" w:hAnsi="Arial"/>
                <w:sz w:val="13"/>
                <w:szCs w:val="13"/>
                <w:color w:val="auto"/>
              </w:rPr>
              <w:t>67</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228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1664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70" w:right="1099" w:bottom="1440" w:gutter="0" w:footer="0" w:header="0"/>
        </w:sectPr>
      </w:pPr>
    </w:p>
    <w:bookmarkStart w:id="4" w:name="page5"/>
    <w:bookmarkEnd w:id="4"/>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Table of Contents (continued)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shd w:val="clear" w:color="auto" w:fill="D8E7F3"/>
          </w:tcPr>
          <w:p>
            <w:pPr>
              <w:ind w:left="100"/>
              <w:spacing w:after="0"/>
              <w:rPr>
                <w:rFonts w:ascii="Arial" w:cs="Arial" w:eastAsia="Arial" w:hAnsi="Arial"/>
                <w:sz w:val="13"/>
                <w:szCs w:val="13"/>
                <w:u w:val="single" w:color="auto"/>
                <w:color w:val="0000EE"/>
              </w:rPr>
            </w:pPr>
            <w:hyperlink w:anchor="page75">
              <w:r>
                <w:rPr>
                  <w:rFonts w:ascii="Arial" w:cs="Arial" w:eastAsia="Arial" w:hAnsi="Arial"/>
                  <w:sz w:val="13"/>
                  <w:szCs w:val="13"/>
                  <w:u w:val="single" w:color="auto"/>
                  <w:color w:val="0000EE"/>
                </w:rPr>
                <w:t>Savings Plan and Savings Restoration Plans</w:t>
              </w:r>
            </w:hyperlink>
          </w:p>
        </w:tc>
        <w:tc>
          <w:tcPr>
            <w:tcW w:w="1820" w:type="dxa"/>
            <w:vAlign w:val="bottom"/>
            <w:shd w:val="clear" w:color="auto" w:fill="D8E7F3"/>
          </w:tcPr>
          <w:p>
            <w:pPr>
              <w:jc w:val="right"/>
              <w:ind w:right="30"/>
              <w:spacing w:after="0"/>
              <w:rPr>
                <w:sz w:val="20"/>
                <w:szCs w:val="20"/>
                <w:color w:val="auto"/>
              </w:rPr>
            </w:pPr>
            <w:r>
              <w:rPr>
                <w:rFonts w:ascii="Arial" w:cs="Arial" w:eastAsia="Arial" w:hAnsi="Arial"/>
                <w:sz w:val="13"/>
                <w:szCs w:val="13"/>
                <w:color w:val="auto"/>
              </w:rPr>
              <w:t>69</w:t>
            </w:r>
          </w:p>
        </w:tc>
      </w:tr>
      <w:tr>
        <w:trPr>
          <w:trHeight w:val="143"/>
        </w:trPr>
        <w:tc>
          <w:tcPr>
            <w:tcW w:w="7900" w:type="dxa"/>
            <w:vAlign w:val="bottom"/>
          </w:tcPr>
          <w:p>
            <w:pPr>
              <w:ind w:left="100"/>
              <w:spacing w:after="0" w:line="143" w:lineRule="exact"/>
              <w:rPr>
                <w:rFonts w:ascii="Arial" w:cs="Arial" w:eastAsia="Arial" w:hAnsi="Arial"/>
                <w:sz w:val="13"/>
                <w:szCs w:val="13"/>
                <w:u w:val="single" w:color="auto"/>
                <w:color w:val="0000EE"/>
              </w:rPr>
            </w:pPr>
            <w:hyperlink w:anchor="page76">
              <w:r>
                <w:rPr>
                  <w:rFonts w:ascii="Arial" w:cs="Arial" w:eastAsia="Arial" w:hAnsi="Arial"/>
                  <w:sz w:val="13"/>
                  <w:szCs w:val="13"/>
                  <w:u w:val="single" w:color="auto"/>
                  <w:color w:val="0000EE"/>
                </w:rPr>
                <w:t>Deferred Compensation Plans</w:t>
              </w:r>
            </w:hyperlink>
          </w:p>
        </w:tc>
        <w:tc>
          <w:tcPr>
            <w:tcW w:w="1820" w:type="dxa"/>
            <w:vAlign w:val="bottom"/>
          </w:tcPr>
          <w:p>
            <w:pPr>
              <w:jc w:val="right"/>
              <w:ind w:right="30"/>
              <w:spacing w:after="0" w:line="143" w:lineRule="exact"/>
              <w:rPr>
                <w:sz w:val="20"/>
                <w:szCs w:val="20"/>
                <w:color w:val="auto"/>
              </w:rPr>
            </w:pPr>
            <w:r>
              <w:rPr>
                <w:rFonts w:ascii="Arial" w:cs="Arial" w:eastAsia="Arial" w:hAnsi="Arial"/>
                <w:sz w:val="13"/>
                <w:szCs w:val="13"/>
                <w:color w:val="auto"/>
              </w:rPr>
              <w:t>70</w:t>
            </w:r>
          </w:p>
        </w:tc>
      </w:tr>
      <w:tr>
        <w:trPr>
          <w:trHeight w:val="143"/>
        </w:trPr>
        <w:tc>
          <w:tcPr>
            <w:tcW w:w="790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77">
              <w:r>
                <w:rPr>
                  <w:rFonts w:ascii="Arial" w:cs="Arial" w:eastAsia="Arial" w:hAnsi="Arial"/>
                  <w:sz w:val="13"/>
                  <w:szCs w:val="13"/>
                  <w:u w:val="single" w:color="auto"/>
                  <w:color w:val="0000EE"/>
                </w:rPr>
                <w:t>Nonqualified Deferred Compensation Table</w:t>
              </w:r>
            </w:hyperlink>
          </w:p>
        </w:tc>
        <w:tc>
          <w:tcPr>
            <w:tcW w:w="1820" w:type="dxa"/>
            <w:vAlign w:val="bottom"/>
            <w:shd w:val="clear" w:color="auto" w:fill="D8E7F3"/>
          </w:tcPr>
          <w:p>
            <w:pPr>
              <w:jc w:val="right"/>
              <w:ind w:right="30"/>
              <w:spacing w:after="0" w:line="143" w:lineRule="exact"/>
              <w:rPr>
                <w:sz w:val="20"/>
                <w:szCs w:val="20"/>
                <w:color w:val="auto"/>
              </w:rPr>
            </w:pPr>
            <w:r>
              <w:rPr>
                <w:rFonts w:ascii="Arial" w:cs="Arial" w:eastAsia="Arial" w:hAnsi="Arial"/>
                <w:sz w:val="13"/>
                <w:szCs w:val="13"/>
                <w:color w:val="auto"/>
              </w:rPr>
              <w:t>71</w:t>
            </w:r>
          </w:p>
        </w:tc>
      </w:tr>
      <w:tr>
        <w:trPr>
          <w:trHeight w:val="143"/>
        </w:trPr>
        <w:tc>
          <w:tcPr>
            <w:tcW w:w="7900" w:type="dxa"/>
            <w:vAlign w:val="bottom"/>
          </w:tcPr>
          <w:p>
            <w:pPr>
              <w:ind w:left="100"/>
              <w:spacing w:after="0" w:line="143" w:lineRule="exact"/>
              <w:rPr>
                <w:rFonts w:ascii="Arial" w:cs="Arial" w:eastAsia="Arial" w:hAnsi="Arial"/>
                <w:sz w:val="13"/>
                <w:szCs w:val="13"/>
                <w:u w:val="single" w:color="auto"/>
                <w:color w:val="0000EE"/>
              </w:rPr>
            </w:pPr>
            <w:hyperlink w:anchor="page78">
              <w:r>
                <w:rPr>
                  <w:rFonts w:ascii="Arial" w:cs="Arial" w:eastAsia="Arial" w:hAnsi="Arial"/>
                  <w:sz w:val="13"/>
                  <w:szCs w:val="13"/>
                  <w:u w:val="single" w:color="auto"/>
                  <w:color w:val="0000EE"/>
                </w:rPr>
                <w:t>Potential Payments upon Change in Control or Termination</w:t>
              </w:r>
            </w:hyperlink>
          </w:p>
        </w:tc>
        <w:tc>
          <w:tcPr>
            <w:tcW w:w="1820" w:type="dxa"/>
            <w:vAlign w:val="bottom"/>
          </w:tcPr>
          <w:p>
            <w:pPr>
              <w:jc w:val="right"/>
              <w:ind w:right="30"/>
              <w:spacing w:after="0" w:line="143" w:lineRule="exact"/>
              <w:rPr>
                <w:sz w:val="20"/>
                <w:szCs w:val="20"/>
                <w:color w:val="auto"/>
              </w:rPr>
            </w:pPr>
            <w:r>
              <w:rPr>
                <w:rFonts w:ascii="Arial" w:cs="Arial" w:eastAsia="Arial" w:hAnsi="Arial"/>
                <w:sz w:val="13"/>
                <w:szCs w:val="13"/>
                <w:color w:val="auto"/>
              </w:rPr>
              <w:t>72</w:t>
            </w:r>
          </w:p>
        </w:tc>
      </w:tr>
      <w:tr>
        <w:trPr>
          <w:trHeight w:val="143"/>
        </w:trPr>
        <w:tc>
          <w:tcPr>
            <w:tcW w:w="790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Chief Executive Officer Pay Ratio</w:t>
              </w:r>
            </w:hyperlink>
          </w:p>
        </w:tc>
        <w:tc>
          <w:tcPr>
            <w:tcW w:w="1820" w:type="dxa"/>
            <w:vAlign w:val="bottom"/>
            <w:shd w:val="clear" w:color="auto" w:fill="D8E7F3"/>
          </w:tcPr>
          <w:p>
            <w:pPr>
              <w:jc w:val="right"/>
              <w:ind w:right="30"/>
              <w:spacing w:after="0" w:line="143" w:lineRule="exact"/>
              <w:rPr>
                <w:sz w:val="20"/>
                <w:szCs w:val="20"/>
                <w:color w:val="auto"/>
              </w:rPr>
            </w:pPr>
            <w:r>
              <w:rPr>
                <w:rFonts w:ascii="Arial" w:cs="Arial" w:eastAsia="Arial" w:hAnsi="Arial"/>
                <w:sz w:val="13"/>
                <w:szCs w:val="13"/>
                <w:color w:val="auto"/>
              </w:rPr>
              <w:t>77</w:t>
            </w:r>
          </w:p>
        </w:tc>
      </w:tr>
      <w:tr>
        <w:trPr>
          <w:trHeight w:val="369"/>
        </w:trPr>
        <w:tc>
          <w:tcPr>
            <w:tcW w:w="7900" w:type="dxa"/>
            <w:vAlign w:val="bottom"/>
            <w:tcBorders>
              <w:bottom w:val="single" w:sz="8" w:color="auto"/>
            </w:tcBorders>
          </w:tcPr>
          <w:p>
            <w:pPr>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Equity Compensation Plan Information</w:t>
              </w:r>
            </w:hyperlink>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0061AF"/>
              </w:rPr>
              <w:t>79</w:t>
            </w:r>
          </w:p>
        </w:tc>
      </w:tr>
      <w:tr>
        <w:trPr>
          <w:trHeight w:val="349"/>
        </w:trPr>
        <w:tc>
          <w:tcPr>
            <w:tcW w:w="7900" w:type="dxa"/>
            <w:vAlign w:val="bottom"/>
            <w:tcBorders>
              <w:bottom w:val="single" w:sz="8" w:color="auto"/>
            </w:tcBorders>
          </w:tcPr>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Report of the Compensation Committee</w:t>
              </w:r>
            </w:hyperlink>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0061AF"/>
              </w:rPr>
              <w:t>80</w:t>
            </w:r>
          </w:p>
        </w:tc>
      </w:tr>
      <w:tr>
        <w:trPr>
          <w:trHeight w:val="349"/>
        </w:trPr>
        <w:tc>
          <w:tcPr>
            <w:tcW w:w="7900" w:type="dxa"/>
            <w:vAlign w:val="bottom"/>
            <w:tcBorders>
              <w:bottom w:val="single" w:sz="8" w:color="auto"/>
            </w:tcBorders>
          </w:tcPr>
          <w:p>
            <w:pPr>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Report of the Audit Committee</w:t>
              </w:r>
            </w:hyperlink>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0061AF"/>
              </w:rPr>
              <w:t>81</w:t>
            </w:r>
          </w:p>
        </w:tc>
      </w:tr>
      <w:tr>
        <w:trPr>
          <w:trHeight w:val="349"/>
        </w:trPr>
        <w:tc>
          <w:tcPr>
            <w:tcW w:w="7900" w:type="dxa"/>
            <w:vAlign w:val="bottom"/>
            <w:tcBorders>
              <w:bottom w:val="single" w:sz="8" w:color="auto"/>
            </w:tcBorders>
          </w:tcPr>
          <w:p>
            <w:pPr>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Principal Accounting Firm Fees</w:t>
              </w:r>
            </w:hyperlink>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0061AF"/>
              </w:rPr>
              <w:t>82</w:t>
            </w:r>
          </w:p>
        </w:tc>
      </w:tr>
      <w:tr>
        <w:trPr>
          <w:trHeight w:val="149"/>
        </w:trPr>
        <w:tc>
          <w:tcPr>
            <w:tcW w:w="7900" w:type="dxa"/>
            <w:vAlign w:val="bottom"/>
          </w:tcPr>
          <w:p>
            <w:pPr>
              <w:ind w:left="100"/>
              <w:spacing w:after="0"/>
              <w:rPr>
                <w:rFonts w:ascii="Arial" w:cs="Arial" w:eastAsia="Arial" w:hAnsi="Arial"/>
                <w:sz w:val="13"/>
                <w:szCs w:val="13"/>
                <w:u w:val="single" w:color="auto"/>
                <w:color w:val="0000EE"/>
              </w:rPr>
            </w:pPr>
            <w:hyperlink w:anchor="page88">
              <w:r>
                <w:rPr>
                  <w:rFonts w:ascii="Arial" w:cs="Arial" w:eastAsia="Arial" w:hAnsi="Arial"/>
                  <w:sz w:val="13"/>
                  <w:szCs w:val="13"/>
                  <w:u w:val="single" w:color="auto"/>
                  <w:color w:val="0000EE"/>
                </w:rPr>
                <w:t>Audit Committee Policies and Procedures for Preapproval of Audit and Non-Audit Services</w:t>
              </w:r>
            </w:hyperlink>
          </w:p>
        </w:tc>
        <w:tc>
          <w:tcPr>
            <w:tcW w:w="1820" w:type="dxa"/>
            <w:vAlign w:val="bottom"/>
          </w:tcPr>
          <w:p>
            <w:pPr>
              <w:jc w:val="right"/>
              <w:ind w:right="30"/>
              <w:spacing w:after="0"/>
              <w:rPr>
                <w:sz w:val="20"/>
                <w:szCs w:val="20"/>
                <w:color w:val="auto"/>
              </w:rPr>
            </w:pPr>
            <w:r>
              <w:rPr>
                <w:rFonts w:ascii="Arial" w:cs="Arial" w:eastAsia="Arial" w:hAnsi="Arial"/>
                <w:sz w:val="13"/>
                <w:szCs w:val="13"/>
                <w:color w:val="auto"/>
              </w:rPr>
              <w:t>82</w:t>
            </w:r>
          </w:p>
        </w:tc>
      </w:tr>
      <w:tr>
        <w:trPr>
          <w:trHeight w:val="355"/>
        </w:trPr>
        <w:tc>
          <w:tcPr>
            <w:tcW w:w="7900" w:type="dxa"/>
            <w:vAlign w:val="bottom"/>
            <w:tcBorders>
              <w:bottom w:val="single" w:sz="8" w:color="auto"/>
            </w:tcBorders>
          </w:tcPr>
          <w:p>
            <w:pPr>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Ratification of Appointment of the Independent Registered Public Accounting Firm (Item 2)</w:t>
              </w:r>
            </w:hyperlink>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0061AF"/>
              </w:rPr>
              <w:t>83</w:t>
            </w:r>
          </w:p>
        </w:tc>
      </w:tr>
      <w:tr>
        <w:trPr>
          <w:trHeight w:val="349"/>
        </w:trPr>
        <w:tc>
          <w:tcPr>
            <w:tcW w:w="7900" w:type="dxa"/>
            <w:vAlign w:val="bottom"/>
            <w:tcBorders>
              <w:bottom w:val="single" w:sz="8" w:color="auto"/>
            </w:tcBorders>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Advisory Vote on Executive Compensation (Item 3)</w:t>
              </w:r>
            </w:hyperlink>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0061AF"/>
              </w:rPr>
              <w:t>84</w:t>
            </w:r>
          </w:p>
        </w:tc>
      </w:tr>
      <w:tr>
        <w:trPr>
          <w:trHeight w:val="349"/>
        </w:trPr>
        <w:tc>
          <w:tcPr>
            <w:tcW w:w="7900" w:type="dxa"/>
            <w:vAlign w:val="bottom"/>
            <w:tcBorders>
              <w:bottom w:val="single" w:sz="8" w:color="auto"/>
            </w:tcBorders>
          </w:tcPr>
          <w:p>
            <w:pPr>
              <w:spacing w:after="0"/>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General Information</w:t>
              </w:r>
            </w:hyperlink>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0061AF"/>
              </w:rPr>
              <w:t>88</w:t>
            </w:r>
          </w:p>
        </w:tc>
      </w:tr>
      <w:tr>
        <w:trPr>
          <w:trHeight w:val="135"/>
        </w:trPr>
        <w:tc>
          <w:tcPr>
            <w:tcW w:w="7900" w:type="dxa"/>
            <w:vAlign w:val="bottom"/>
          </w:tcPr>
          <w:p>
            <w:pPr>
              <w:ind w:left="100"/>
              <w:spacing w:after="0" w:line="135" w:lineRule="exact"/>
              <w:rPr>
                <w:rFonts w:ascii="Arial" w:cs="Arial" w:eastAsia="Arial" w:hAnsi="Arial"/>
                <w:sz w:val="13"/>
                <w:szCs w:val="13"/>
                <w:u w:val="single" w:color="auto"/>
                <w:color w:val="0000EE"/>
              </w:rPr>
            </w:pPr>
            <w:hyperlink w:anchor="page94">
              <w:r>
                <w:rPr>
                  <w:rFonts w:ascii="Arial" w:cs="Arial" w:eastAsia="Arial" w:hAnsi="Arial"/>
                  <w:sz w:val="13"/>
                  <w:szCs w:val="13"/>
                  <w:u w:val="single" w:color="auto"/>
                  <w:color w:val="0000EE"/>
                </w:rPr>
                <w:t>Shareholder Proposals for the 2022 Annual Meeting</w:t>
              </w:r>
            </w:hyperlink>
          </w:p>
        </w:tc>
        <w:tc>
          <w:tcPr>
            <w:tcW w:w="1820" w:type="dxa"/>
            <w:vAlign w:val="bottom"/>
          </w:tcPr>
          <w:p>
            <w:pPr>
              <w:jc w:val="right"/>
              <w:ind w:right="30"/>
              <w:spacing w:after="0" w:line="135" w:lineRule="exact"/>
              <w:rPr>
                <w:sz w:val="20"/>
                <w:szCs w:val="20"/>
                <w:color w:val="auto"/>
              </w:rPr>
            </w:pPr>
            <w:r>
              <w:rPr>
                <w:rFonts w:ascii="Arial" w:cs="Arial" w:eastAsia="Arial" w:hAnsi="Arial"/>
                <w:sz w:val="13"/>
                <w:szCs w:val="13"/>
                <w:color w:val="auto"/>
              </w:rPr>
              <w:t>88</w:t>
            </w:r>
          </w:p>
        </w:tc>
      </w:tr>
      <w:tr>
        <w:trPr>
          <w:trHeight w:val="143"/>
        </w:trPr>
        <w:tc>
          <w:tcPr>
            <w:tcW w:w="790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94">
              <w:r>
                <w:rPr>
                  <w:rFonts w:ascii="Arial" w:cs="Arial" w:eastAsia="Arial" w:hAnsi="Arial"/>
                  <w:sz w:val="13"/>
                  <w:szCs w:val="13"/>
                  <w:u w:val="single" w:color="auto"/>
                  <w:color w:val="0000EE"/>
                </w:rPr>
                <w:t>Director Nominations for the 2022 Annual Meeting</w:t>
              </w:r>
            </w:hyperlink>
          </w:p>
        </w:tc>
        <w:tc>
          <w:tcPr>
            <w:tcW w:w="1820" w:type="dxa"/>
            <w:vAlign w:val="bottom"/>
            <w:shd w:val="clear" w:color="auto" w:fill="D8E7F3"/>
          </w:tcPr>
          <w:p>
            <w:pPr>
              <w:jc w:val="right"/>
              <w:ind w:right="30"/>
              <w:spacing w:after="0" w:line="143" w:lineRule="exact"/>
              <w:rPr>
                <w:sz w:val="20"/>
                <w:szCs w:val="20"/>
                <w:color w:val="auto"/>
              </w:rPr>
            </w:pPr>
            <w:r>
              <w:rPr>
                <w:rFonts w:ascii="Arial" w:cs="Arial" w:eastAsia="Arial" w:hAnsi="Arial"/>
                <w:sz w:val="13"/>
                <w:szCs w:val="13"/>
                <w:color w:val="auto"/>
              </w:rPr>
              <w:t>88</w:t>
            </w:r>
          </w:p>
        </w:tc>
      </w:tr>
      <w:tr>
        <w:trPr>
          <w:trHeight w:val="143"/>
        </w:trPr>
        <w:tc>
          <w:tcPr>
            <w:tcW w:w="7900" w:type="dxa"/>
            <w:vAlign w:val="bottom"/>
          </w:tcPr>
          <w:p>
            <w:pPr>
              <w:ind w:left="100"/>
              <w:spacing w:after="0" w:line="143" w:lineRule="exact"/>
              <w:rPr>
                <w:rFonts w:ascii="Arial" w:cs="Arial" w:eastAsia="Arial" w:hAnsi="Arial"/>
                <w:sz w:val="13"/>
                <w:szCs w:val="13"/>
                <w:u w:val="single" w:color="auto"/>
                <w:color w:val="0000EE"/>
              </w:rPr>
            </w:pPr>
            <w:hyperlink w:anchor="page94">
              <w:r>
                <w:rPr>
                  <w:rFonts w:ascii="Arial" w:cs="Arial" w:eastAsia="Arial" w:hAnsi="Arial"/>
                  <w:sz w:val="13"/>
                  <w:szCs w:val="13"/>
                  <w:u w:val="single" w:color="auto"/>
                  <w:color w:val="0000EE"/>
                </w:rPr>
                <w:t>Householding of Annual Meeting Materials</w:t>
              </w:r>
            </w:hyperlink>
          </w:p>
        </w:tc>
        <w:tc>
          <w:tcPr>
            <w:tcW w:w="1820" w:type="dxa"/>
            <w:vAlign w:val="bottom"/>
          </w:tcPr>
          <w:p>
            <w:pPr>
              <w:jc w:val="right"/>
              <w:ind w:right="30"/>
              <w:spacing w:after="0" w:line="143" w:lineRule="exact"/>
              <w:rPr>
                <w:sz w:val="20"/>
                <w:szCs w:val="20"/>
                <w:color w:val="auto"/>
              </w:rPr>
            </w:pPr>
            <w:r>
              <w:rPr>
                <w:rFonts w:ascii="Arial" w:cs="Arial" w:eastAsia="Arial" w:hAnsi="Arial"/>
                <w:sz w:val="13"/>
                <w:szCs w:val="13"/>
                <w:color w:val="auto"/>
              </w:rPr>
              <w:t>88</w:t>
            </w:r>
          </w:p>
        </w:tc>
      </w:tr>
      <w:tr>
        <w:trPr>
          <w:trHeight w:val="143"/>
        </w:trPr>
        <w:tc>
          <w:tcPr>
            <w:tcW w:w="7900" w:type="dxa"/>
            <w:vAlign w:val="bottom"/>
            <w:shd w:val="clear" w:color="auto" w:fill="D8E7F3"/>
          </w:tcPr>
          <w:p>
            <w:pPr>
              <w:ind w:left="100"/>
              <w:spacing w:after="0" w:line="143" w:lineRule="exact"/>
              <w:rPr>
                <w:rFonts w:ascii="Arial" w:cs="Arial" w:eastAsia="Arial" w:hAnsi="Arial"/>
                <w:sz w:val="13"/>
                <w:szCs w:val="13"/>
                <w:u w:val="single" w:color="auto"/>
                <w:color w:val="0000EE"/>
              </w:rPr>
            </w:pPr>
            <w:hyperlink w:anchor="page95">
              <w:r>
                <w:rPr>
                  <w:rFonts w:ascii="Arial" w:cs="Arial" w:eastAsia="Arial" w:hAnsi="Arial"/>
                  <w:sz w:val="13"/>
                  <w:szCs w:val="13"/>
                  <w:u w:val="single" w:color="auto"/>
                  <w:color w:val="0000EE"/>
                </w:rPr>
                <w:t>Annual Report to Shareholders</w:t>
              </w:r>
            </w:hyperlink>
          </w:p>
        </w:tc>
        <w:tc>
          <w:tcPr>
            <w:tcW w:w="1820" w:type="dxa"/>
            <w:vAlign w:val="bottom"/>
            <w:shd w:val="clear" w:color="auto" w:fill="D8E7F3"/>
          </w:tcPr>
          <w:p>
            <w:pPr>
              <w:jc w:val="right"/>
              <w:ind w:right="30"/>
              <w:spacing w:after="0" w:line="143" w:lineRule="exact"/>
              <w:rPr>
                <w:sz w:val="20"/>
                <w:szCs w:val="20"/>
                <w:color w:val="auto"/>
              </w:rPr>
            </w:pPr>
            <w:r>
              <w:rPr>
                <w:rFonts w:ascii="Arial" w:cs="Arial" w:eastAsia="Arial" w:hAnsi="Arial"/>
                <w:sz w:val="13"/>
                <w:szCs w:val="13"/>
                <w:color w:val="auto"/>
              </w:rPr>
              <w:t>89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1664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 w:name="page6"/>
    <w:bookmarkEnd w:id="5"/>
    <w:p>
      <w:pPr>
        <w:spacing w:after="0" w:line="2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891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891540"/>
                    </a:xfrm>
                    <a:prstGeom prst="rect">
                      <a:avLst/>
                    </a:prstGeom>
                    <a:noFill/>
                  </pic:spPr>
                </pic:pic>
              </a:graphicData>
            </a:graphic>
          </wp:anchor>
        </w:drawing>
      </w:r>
    </w:p>
    <w:p>
      <w:pPr>
        <w:ind w:left="920"/>
        <w:spacing w:after="0"/>
        <w:rPr>
          <w:sz w:val="20"/>
          <w:szCs w:val="20"/>
          <w:color w:val="auto"/>
        </w:rPr>
      </w:pPr>
      <w:r>
        <w:rPr>
          <w:rFonts w:ascii="Arial" w:cs="Arial" w:eastAsia="Arial" w:hAnsi="Arial"/>
          <w:sz w:val="44"/>
          <w:szCs w:val="44"/>
          <w:color w:val="auto"/>
        </w:rPr>
        <w:t>Always There.</w:t>
      </w:r>
      <w:r>
        <w:rPr>
          <w:rFonts w:ascii="Arial" w:cs="Arial" w:eastAsia="Arial" w:hAnsi="Arial"/>
          <w:sz w:val="75"/>
          <w:szCs w:val="75"/>
          <w:color w:val="auto"/>
          <w:vertAlign w:val="superscript"/>
        </w:rPr>
        <w:t>®</w:t>
      </w:r>
    </w:p>
    <w:p>
      <w:pPr>
        <w:spacing w:after="0"/>
        <w:rPr>
          <w:sz w:val="20"/>
          <w:szCs w:val="20"/>
          <w:color w:val="auto"/>
        </w:rPr>
      </w:pPr>
      <w:r>
        <w:rPr>
          <w:rFonts w:ascii="Arial" w:cs="Arial" w:eastAsia="Arial" w:hAnsi="Arial"/>
          <w:sz w:val="29"/>
          <w:szCs w:val="29"/>
          <w:b w:val="1"/>
          <w:bCs w:val="1"/>
          <w:color w:val="0061AF"/>
        </w:rPr>
        <w:t>Notice of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Dear Shareholders: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You are cordially invited to attend the 2021 annual meeting of shareholders of CenterPoint Energy, Inc. This is your notice for the meeting.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 AND DATE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9:00 a.m. Central Time on April 23, 2021.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CenterPoint Energy auditorium at 1111 Louisiana, Houston, Texas.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ITEMS OF BUSINESS</w:t>
      </w:r>
    </w:p>
    <w:p>
      <w:pPr>
        <w:spacing w:after="0" w:line="69" w:lineRule="exact"/>
        <w:rPr>
          <w:sz w:val="20"/>
          <w:szCs w:val="20"/>
          <w:color w:val="auto"/>
        </w:rPr>
      </w:pPr>
    </w:p>
    <w:p>
      <w:pPr>
        <w:ind w:left="380" w:hanging="276"/>
        <w:spacing w:after="0"/>
        <w:tabs>
          <w:tab w:leader="none" w:pos="380" w:val="left"/>
        </w:tabs>
        <w:numPr>
          <w:ilvl w:val="0"/>
          <w:numId w:val="6"/>
        </w:numPr>
        <w:rPr>
          <w:rFonts w:ascii="Arial" w:cs="Arial" w:eastAsia="Arial" w:hAnsi="Arial"/>
          <w:sz w:val="16"/>
          <w:szCs w:val="16"/>
          <w:color w:val="0061AF"/>
        </w:rPr>
      </w:pPr>
      <w:r>
        <w:rPr>
          <w:rFonts w:ascii="Arial" w:cs="Arial" w:eastAsia="Arial" w:hAnsi="Arial"/>
          <w:sz w:val="16"/>
          <w:szCs w:val="16"/>
          <w:color w:val="auto"/>
        </w:rPr>
        <w:t>elect the nine nominees named in the proxy statement as directors to hold office until the 2022 annual meeting;</w:t>
      </w:r>
    </w:p>
    <w:p>
      <w:pPr>
        <w:ind w:left="380" w:hanging="276"/>
        <w:spacing w:after="0" w:line="232" w:lineRule="auto"/>
        <w:tabs>
          <w:tab w:leader="none" w:pos="380" w:val="left"/>
        </w:tabs>
        <w:numPr>
          <w:ilvl w:val="0"/>
          <w:numId w:val="6"/>
        </w:numPr>
        <w:rPr>
          <w:rFonts w:ascii="Arial" w:cs="Arial" w:eastAsia="Arial" w:hAnsi="Arial"/>
          <w:sz w:val="16"/>
          <w:szCs w:val="16"/>
          <w:color w:val="0061AF"/>
        </w:rPr>
      </w:pPr>
      <w:r>
        <w:rPr>
          <w:rFonts w:ascii="Arial" w:cs="Arial" w:eastAsia="Arial" w:hAnsi="Arial"/>
          <w:sz w:val="16"/>
          <w:szCs w:val="16"/>
          <w:color w:val="auto"/>
        </w:rPr>
        <w:t>ratify the appointment of Deloitte &amp; Touche LLP as our independent registered public accounting firm for 2021;</w:t>
      </w:r>
    </w:p>
    <w:p>
      <w:pPr>
        <w:ind w:left="380" w:hanging="276"/>
        <w:spacing w:after="0" w:line="232" w:lineRule="auto"/>
        <w:tabs>
          <w:tab w:leader="none" w:pos="380" w:val="left"/>
        </w:tabs>
        <w:numPr>
          <w:ilvl w:val="0"/>
          <w:numId w:val="6"/>
        </w:numPr>
        <w:rPr>
          <w:rFonts w:ascii="Arial" w:cs="Arial" w:eastAsia="Arial" w:hAnsi="Arial"/>
          <w:sz w:val="16"/>
          <w:szCs w:val="16"/>
          <w:color w:val="0061AF"/>
        </w:rPr>
      </w:pPr>
      <w:r>
        <w:rPr>
          <w:rFonts w:ascii="Arial" w:cs="Arial" w:eastAsia="Arial" w:hAnsi="Arial"/>
          <w:sz w:val="16"/>
          <w:szCs w:val="16"/>
          <w:color w:val="auto"/>
        </w:rPr>
        <w:t>conduct an advisory vote on executive compensation; and</w:t>
      </w:r>
    </w:p>
    <w:p>
      <w:pPr>
        <w:ind w:left="380" w:hanging="276"/>
        <w:spacing w:after="0"/>
        <w:tabs>
          <w:tab w:leader="none" w:pos="380" w:val="left"/>
        </w:tabs>
        <w:numPr>
          <w:ilvl w:val="0"/>
          <w:numId w:val="6"/>
        </w:numPr>
        <w:rPr>
          <w:rFonts w:ascii="Arial" w:cs="Arial" w:eastAsia="Arial" w:hAnsi="Arial"/>
          <w:sz w:val="16"/>
          <w:szCs w:val="16"/>
          <w:color w:val="0061AF"/>
        </w:rPr>
      </w:pPr>
      <w:r>
        <w:rPr>
          <w:rFonts w:ascii="Arial" w:cs="Arial" w:eastAsia="Arial" w:hAnsi="Arial"/>
          <w:sz w:val="16"/>
          <w:szCs w:val="16"/>
          <w:color w:val="auto"/>
        </w:rPr>
        <w:t>conduct other business if properly raised.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Holders of record of CenterPoint Energy common stock at the close of business on February 26, 2021 are entitled to vote.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VOTING</w:t>
      </w:r>
    </w:p>
    <w:p>
      <w:pPr>
        <w:spacing w:after="0" w:line="11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Each share of CenterPoint Energy common stock entitles the holder to one vote on each matter to be voted on at the meeting. You may vote either by attending the meeting or by proxy. For specific voting information, please see “Frequently Asked Questions About Voting” beginning on page 1 of the proxy statement that follows. </w:t>
      </w:r>
      <w:r>
        <w:rPr>
          <w:rFonts w:ascii="Arial" w:cs="Arial" w:eastAsia="Arial" w:hAnsi="Arial"/>
          <w:sz w:val="16"/>
          <w:szCs w:val="16"/>
          <w:b w:val="1"/>
          <w:bCs w:val="1"/>
          <w:color w:val="auto"/>
        </w:rPr>
        <w:t>Even if you plan to attend the meeting, please sign, date and return the</w:t>
      </w:r>
      <w:r>
        <w:rPr>
          <w:rFonts w:ascii="Arial" w:cs="Arial" w:eastAsia="Arial" w:hAnsi="Arial"/>
          <w:sz w:val="16"/>
          <w:szCs w:val="16"/>
          <w:color w:val="auto"/>
        </w:rPr>
        <w:t xml:space="preserve"> </w:t>
      </w:r>
      <w:r>
        <w:rPr>
          <w:rFonts w:ascii="Arial" w:cs="Arial" w:eastAsia="Arial" w:hAnsi="Arial"/>
          <w:sz w:val="16"/>
          <w:szCs w:val="16"/>
          <w:b w:val="1"/>
          <w:bCs w:val="1"/>
          <w:color w:val="auto"/>
        </w:rPr>
        <w:t>enclosed proxy card or submit your proxy using the Internet or telephone procedures described on the proxy card.</w:t>
      </w:r>
    </w:p>
    <w:p>
      <w:pPr>
        <w:spacing w:after="0" w:line="27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42545</wp:posOffset>
            </wp:positionV>
            <wp:extent cx="1352550" cy="264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52550" cy="2647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Vincent A. Mercaldi</w:t>
      </w:r>
    </w:p>
    <w:p>
      <w:pPr>
        <w:ind w:left="5260"/>
        <w:spacing w:after="0"/>
        <w:rPr>
          <w:sz w:val="20"/>
          <w:szCs w:val="20"/>
          <w:color w:val="auto"/>
        </w:rPr>
      </w:pPr>
      <w:r>
        <w:rPr>
          <w:rFonts w:ascii="Arial" w:cs="Arial" w:eastAsia="Arial" w:hAnsi="Arial"/>
          <w:sz w:val="16"/>
          <w:szCs w:val="16"/>
          <w:color w:val="auto"/>
        </w:rPr>
        <w:t>Corporate Secretary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Dated and first mailed</w:t>
      </w:r>
    </w:p>
    <w:p>
      <w:pPr>
        <w:spacing w:after="0" w:line="232" w:lineRule="auto"/>
        <w:rPr>
          <w:sz w:val="20"/>
          <w:szCs w:val="20"/>
          <w:color w:val="auto"/>
        </w:rPr>
      </w:pPr>
      <w:r>
        <w:rPr>
          <w:rFonts w:ascii="Arial" w:cs="Arial" w:eastAsia="Arial" w:hAnsi="Arial"/>
          <w:sz w:val="16"/>
          <w:szCs w:val="16"/>
          <w:color w:val="auto"/>
        </w:rPr>
        <w:t>to shareholders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or about March 12, 2021</w:t>
      </w:r>
    </w:p>
    <w:p>
      <w:pPr>
        <w:spacing w:after="0" w:line="200" w:lineRule="exact"/>
        <w:rPr>
          <w:sz w:val="20"/>
          <w:szCs w:val="20"/>
          <w:color w:val="auto"/>
        </w:rPr>
      </w:pPr>
    </w:p>
    <w:p>
      <w:pPr>
        <w:spacing w:after="0" w:line="242" w:lineRule="exact"/>
        <w:rPr>
          <w:sz w:val="20"/>
          <w:szCs w:val="20"/>
          <w:color w:val="auto"/>
        </w:rPr>
      </w:pPr>
    </w:p>
    <w:p>
      <w:pPr>
        <w:ind w:left="2120" w:right="2060" w:hanging="54"/>
        <w:spacing w:after="0" w:line="272" w:lineRule="auto"/>
        <w:rPr>
          <w:sz w:val="20"/>
          <w:szCs w:val="20"/>
          <w:color w:val="auto"/>
        </w:rPr>
      </w:pPr>
      <w:r>
        <w:rPr>
          <w:rFonts w:ascii="Arial" w:cs="Arial" w:eastAsia="Arial" w:hAnsi="Arial"/>
          <w:sz w:val="19"/>
          <w:szCs w:val="19"/>
          <w:b w:val="1"/>
          <w:bCs w:val="1"/>
          <w:color w:val="0061AF"/>
        </w:rPr>
        <w:t>Important Notice Regarding the Availability of Proxy Materials for the Annual Shareholder Meeting to be Held April 23, 2021</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proxy statement and annual report to shareholders are available at: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http://materials.proxyvote.com/15189T</w:t>
      </w:r>
    </w:p>
    <w:p>
      <w:pPr>
        <w:sectPr>
          <w:pgSz w:w="11900" w:h="16838" w:orient="portrait"/>
          <w:cols w:equalWidth="0" w:num="1">
            <w:col w:w="9720"/>
          </w:cols>
          <w:pgMar w:left="1080" w:top="1440" w:right="1099" w:bottom="1440" w:gutter="0" w:footer="0" w:header="0"/>
        </w:sectPr>
      </w:pPr>
    </w:p>
    <w:bookmarkStart w:id="6" w:name="page7"/>
    <w:bookmarkEnd w:id="6"/>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CENTERPOINT ENERGY,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1111 Louisiana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Houston, Texas 77002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(713) 207-1111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For deliveries by U.S. Postal Service: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 Box 4567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Houston, Texas 77210-4567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Proxy Statement</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FREQUENTLY ASKED QUESTIONS ABOUT VOTING</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On what am I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shd w:val="clear" w:color="auto" w:fill="0061AF"/>
          </w:tcPr>
          <w:p>
            <w:pPr>
              <w:spacing w:after="0"/>
              <w:rPr>
                <w:sz w:val="13"/>
                <w:szCs w:val="13"/>
                <w:color w:val="auto"/>
              </w:rPr>
            </w:pPr>
          </w:p>
        </w:tc>
        <w:tc>
          <w:tcPr>
            <w:tcW w:w="1560" w:type="dxa"/>
            <w:vAlign w:val="bottom"/>
            <w:shd w:val="clear" w:color="auto" w:fill="0061AF"/>
          </w:tcPr>
          <w:p>
            <w:pPr>
              <w:spacing w:after="0"/>
              <w:rPr>
                <w:sz w:val="13"/>
                <w:szCs w:val="13"/>
                <w:color w:val="auto"/>
              </w:rPr>
            </w:pPr>
          </w:p>
        </w:tc>
        <w:tc>
          <w:tcPr>
            <w:tcW w:w="15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5"/>
              </w:rPr>
              <w:t>Board</w:t>
            </w:r>
          </w:p>
        </w:tc>
        <w:tc>
          <w:tcPr>
            <w:tcW w:w="1440" w:type="dxa"/>
            <w:vAlign w:val="bottom"/>
            <w:shd w:val="clear" w:color="auto" w:fill="0061AF"/>
          </w:tcPr>
          <w:p>
            <w:pPr>
              <w:jc w:val="center"/>
              <w:ind w:right="17"/>
              <w:spacing w:after="0"/>
              <w:rPr>
                <w:sz w:val="20"/>
                <w:szCs w:val="20"/>
                <w:color w:val="auto"/>
              </w:rPr>
            </w:pPr>
            <w:r>
              <w:rPr>
                <w:rFonts w:ascii="Arial" w:cs="Arial" w:eastAsia="Arial" w:hAnsi="Arial"/>
                <w:sz w:val="13"/>
                <w:szCs w:val="13"/>
                <w:b w:val="1"/>
                <w:bCs w:val="1"/>
                <w:color w:val="FFFFFF"/>
                <w:w w:val="95"/>
              </w:rPr>
              <w:t>Broker</w:t>
            </w:r>
          </w:p>
        </w:tc>
        <w:tc>
          <w:tcPr>
            <w:tcW w:w="1320" w:type="dxa"/>
            <w:vAlign w:val="bottom"/>
            <w:shd w:val="clear" w:color="auto" w:fill="0061AF"/>
          </w:tcPr>
          <w:p>
            <w:pPr>
              <w:spacing w:after="0"/>
              <w:rPr>
                <w:sz w:val="13"/>
                <w:szCs w:val="13"/>
                <w:color w:val="auto"/>
              </w:rPr>
            </w:pPr>
          </w:p>
        </w:tc>
        <w:tc>
          <w:tcPr>
            <w:tcW w:w="1480" w:type="dxa"/>
            <w:vAlign w:val="bottom"/>
            <w:shd w:val="clear" w:color="auto" w:fill="0061AF"/>
          </w:tcPr>
          <w:p>
            <w:pPr>
              <w:jc w:val="center"/>
              <w:ind w:left="137"/>
              <w:spacing w:after="0"/>
              <w:rPr>
                <w:sz w:val="20"/>
                <w:szCs w:val="20"/>
                <w:color w:val="auto"/>
              </w:rPr>
            </w:pPr>
            <w:r>
              <w:rPr>
                <w:rFonts w:ascii="Arial" w:cs="Arial" w:eastAsia="Arial" w:hAnsi="Arial"/>
                <w:sz w:val="13"/>
                <w:szCs w:val="13"/>
                <w:b w:val="1"/>
                <w:bCs w:val="1"/>
                <w:color w:val="FFFFFF"/>
                <w:w w:val="96"/>
              </w:rPr>
              <w:t>Votes required</w:t>
            </w:r>
          </w:p>
        </w:tc>
      </w:tr>
      <w:tr>
        <w:trPr>
          <w:trHeight w:val="167"/>
        </w:trPr>
        <w:tc>
          <w:tcPr>
            <w:tcW w:w="236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Item Description</w:t>
            </w:r>
          </w:p>
        </w:tc>
        <w:tc>
          <w:tcPr>
            <w:tcW w:w="15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7"/>
              </w:rPr>
              <w:t>More Information</w:t>
            </w:r>
          </w:p>
        </w:tc>
        <w:tc>
          <w:tcPr>
            <w:tcW w:w="15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7"/>
              </w:rPr>
              <w:t>Recommendation</w:t>
            </w:r>
          </w:p>
        </w:tc>
        <w:tc>
          <w:tcPr>
            <w:tcW w:w="1440" w:type="dxa"/>
            <w:vAlign w:val="bottom"/>
            <w:shd w:val="clear" w:color="auto" w:fill="0061AF"/>
          </w:tcPr>
          <w:p>
            <w:pPr>
              <w:jc w:val="center"/>
              <w:ind w:right="17"/>
              <w:spacing w:after="0"/>
              <w:rPr>
                <w:sz w:val="20"/>
                <w:szCs w:val="20"/>
                <w:color w:val="auto"/>
              </w:rPr>
            </w:pPr>
            <w:r>
              <w:rPr>
                <w:rFonts w:ascii="Arial" w:cs="Arial" w:eastAsia="Arial" w:hAnsi="Arial"/>
                <w:sz w:val="13"/>
                <w:szCs w:val="13"/>
                <w:b w:val="1"/>
                <w:bCs w:val="1"/>
                <w:color w:val="FFFFFF"/>
                <w:w w:val="96"/>
              </w:rPr>
              <w:t>non-votes</w:t>
            </w:r>
          </w:p>
        </w:tc>
        <w:tc>
          <w:tcPr>
            <w:tcW w:w="1320" w:type="dxa"/>
            <w:vAlign w:val="bottom"/>
            <w:shd w:val="clear" w:color="auto" w:fill="0061AF"/>
          </w:tcPr>
          <w:p>
            <w:pPr>
              <w:ind w:left="320"/>
              <w:spacing w:after="0"/>
              <w:rPr>
                <w:sz w:val="20"/>
                <w:szCs w:val="20"/>
                <w:color w:val="auto"/>
              </w:rPr>
            </w:pPr>
            <w:r>
              <w:rPr>
                <w:rFonts w:ascii="Arial" w:cs="Arial" w:eastAsia="Arial" w:hAnsi="Arial"/>
                <w:sz w:val="13"/>
                <w:szCs w:val="13"/>
                <w:b w:val="1"/>
                <w:bCs w:val="1"/>
                <w:color w:val="FFFFFF"/>
              </w:rPr>
              <w:t>Abstentions</w:t>
            </w:r>
          </w:p>
        </w:tc>
        <w:tc>
          <w:tcPr>
            <w:tcW w:w="1480" w:type="dxa"/>
            <w:vAlign w:val="bottom"/>
            <w:shd w:val="clear" w:color="auto" w:fill="0061AF"/>
          </w:tcPr>
          <w:p>
            <w:pPr>
              <w:jc w:val="center"/>
              <w:ind w:left="137"/>
              <w:spacing w:after="0"/>
              <w:rPr>
                <w:sz w:val="20"/>
                <w:szCs w:val="20"/>
                <w:color w:val="auto"/>
              </w:rPr>
            </w:pPr>
            <w:r>
              <w:rPr>
                <w:rFonts w:ascii="Arial" w:cs="Arial" w:eastAsia="Arial" w:hAnsi="Arial"/>
                <w:sz w:val="13"/>
                <w:szCs w:val="13"/>
                <w:b w:val="1"/>
                <w:bCs w:val="1"/>
                <w:color w:val="FFFFFF"/>
                <w:w w:val="95"/>
              </w:rPr>
              <w:t>for approval</w:t>
            </w:r>
          </w:p>
        </w:tc>
      </w:tr>
      <w:tr>
        <w:trPr>
          <w:trHeight w:val="147"/>
        </w:trPr>
        <w:tc>
          <w:tcPr>
            <w:tcW w:w="2360" w:type="dxa"/>
            <w:vAlign w:val="bottom"/>
          </w:tcPr>
          <w:p>
            <w:pPr>
              <w:ind w:left="80"/>
              <w:spacing w:after="0" w:line="147" w:lineRule="exact"/>
              <w:rPr>
                <w:sz w:val="20"/>
                <w:szCs w:val="20"/>
                <w:color w:val="auto"/>
              </w:rPr>
            </w:pPr>
            <w:r>
              <w:rPr>
                <w:rFonts w:ascii="Arial" w:cs="Arial" w:eastAsia="Arial" w:hAnsi="Arial"/>
                <w:sz w:val="13"/>
                <w:szCs w:val="13"/>
                <w:b w:val="1"/>
                <w:bCs w:val="1"/>
                <w:color w:val="auto"/>
              </w:rPr>
              <w:t>Item 1: Election of directors</w:t>
            </w:r>
          </w:p>
        </w:tc>
        <w:tc>
          <w:tcPr>
            <w:tcW w:w="1560" w:type="dxa"/>
            <w:vAlign w:val="bottom"/>
          </w:tcPr>
          <w:p>
            <w:pPr>
              <w:jc w:val="center"/>
              <w:spacing w:after="0" w:line="147" w:lineRule="exact"/>
              <w:rPr>
                <w:sz w:val="20"/>
                <w:szCs w:val="20"/>
                <w:color w:val="auto"/>
              </w:rPr>
            </w:pPr>
            <w:r>
              <w:rPr>
                <w:rFonts w:ascii="Arial" w:cs="Arial" w:eastAsia="Arial" w:hAnsi="Arial"/>
                <w:sz w:val="13"/>
                <w:szCs w:val="13"/>
                <w:color w:val="auto"/>
                <w:w w:val="96"/>
              </w:rPr>
              <w:t>Page 4</w:t>
            </w:r>
          </w:p>
        </w:tc>
        <w:tc>
          <w:tcPr>
            <w:tcW w:w="1560" w:type="dxa"/>
            <w:vAlign w:val="bottom"/>
          </w:tcPr>
          <w:p>
            <w:pPr>
              <w:jc w:val="center"/>
              <w:spacing w:after="0" w:line="147" w:lineRule="exact"/>
              <w:rPr>
                <w:sz w:val="20"/>
                <w:szCs w:val="20"/>
                <w:color w:val="auto"/>
              </w:rPr>
            </w:pPr>
            <w:r>
              <w:rPr>
                <w:rFonts w:ascii="Arial" w:cs="Arial" w:eastAsia="Arial" w:hAnsi="Arial"/>
                <w:sz w:val="13"/>
                <w:szCs w:val="13"/>
                <w:color w:val="auto"/>
              </w:rPr>
              <w:t>FOR</w:t>
            </w:r>
          </w:p>
        </w:tc>
        <w:tc>
          <w:tcPr>
            <w:tcW w:w="1440" w:type="dxa"/>
            <w:vAlign w:val="bottom"/>
          </w:tcPr>
          <w:p>
            <w:pPr>
              <w:jc w:val="center"/>
              <w:ind w:right="17"/>
              <w:spacing w:after="0" w:line="147" w:lineRule="exact"/>
              <w:rPr>
                <w:sz w:val="20"/>
                <w:szCs w:val="20"/>
                <w:color w:val="auto"/>
              </w:rPr>
            </w:pPr>
            <w:r>
              <w:rPr>
                <w:rFonts w:ascii="Arial" w:cs="Arial" w:eastAsia="Arial" w:hAnsi="Arial"/>
                <w:sz w:val="13"/>
                <w:szCs w:val="13"/>
                <w:color w:val="auto"/>
                <w:w w:val="97"/>
              </w:rPr>
              <w:t>Do not count</w:t>
            </w:r>
          </w:p>
        </w:tc>
        <w:tc>
          <w:tcPr>
            <w:tcW w:w="1320" w:type="dxa"/>
            <w:vAlign w:val="bottom"/>
          </w:tcPr>
          <w:p>
            <w:pPr>
              <w:ind w:left="340"/>
              <w:spacing w:after="0" w:line="147" w:lineRule="exact"/>
              <w:rPr>
                <w:sz w:val="20"/>
                <w:szCs w:val="20"/>
                <w:color w:val="auto"/>
              </w:rPr>
            </w:pPr>
            <w:r>
              <w:rPr>
                <w:rFonts w:ascii="Arial" w:cs="Arial" w:eastAsia="Arial" w:hAnsi="Arial"/>
                <w:sz w:val="13"/>
                <w:szCs w:val="13"/>
                <w:color w:val="auto"/>
              </w:rPr>
              <w:t>Do not count</w:t>
            </w:r>
          </w:p>
        </w:tc>
        <w:tc>
          <w:tcPr>
            <w:tcW w:w="1480" w:type="dxa"/>
            <w:vAlign w:val="bottom"/>
          </w:tcPr>
          <w:p>
            <w:pPr>
              <w:jc w:val="center"/>
              <w:ind w:left="137"/>
              <w:spacing w:after="0" w:line="147" w:lineRule="exact"/>
              <w:rPr>
                <w:sz w:val="20"/>
                <w:szCs w:val="20"/>
                <w:color w:val="auto"/>
              </w:rPr>
            </w:pPr>
            <w:r>
              <w:rPr>
                <w:rFonts w:ascii="Arial" w:cs="Arial" w:eastAsia="Arial" w:hAnsi="Arial"/>
                <w:sz w:val="13"/>
                <w:szCs w:val="13"/>
                <w:color w:val="auto"/>
                <w:w w:val="96"/>
              </w:rPr>
              <w:t>Shares voted for</w:t>
            </w:r>
          </w:p>
        </w:tc>
      </w:tr>
      <w:tr>
        <w:trPr>
          <w:trHeight w:val="143"/>
        </w:trPr>
        <w:tc>
          <w:tcPr>
            <w:tcW w:w="2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tcPr>
          <w:p>
            <w:pPr>
              <w:jc w:val="center"/>
              <w:spacing w:after="0" w:line="143" w:lineRule="exact"/>
              <w:rPr>
                <w:sz w:val="20"/>
                <w:szCs w:val="20"/>
                <w:color w:val="auto"/>
              </w:rPr>
            </w:pPr>
            <w:r>
              <w:rPr>
                <w:rFonts w:ascii="Arial" w:cs="Arial" w:eastAsia="Arial" w:hAnsi="Arial"/>
                <w:sz w:val="13"/>
                <w:szCs w:val="13"/>
                <w:color w:val="auto"/>
                <w:w w:val="97"/>
              </w:rPr>
              <w:t>each nominee</w:t>
            </w: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jc w:val="center"/>
              <w:ind w:left="157"/>
              <w:spacing w:after="0" w:line="143" w:lineRule="exact"/>
              <w:rPr>
                <w:sz w:val="20"/>
                <w:szCs w:val="20"/>
                <w:color w:val="auto"/>
              </w:rPr>
            </w:pPr>
            <w:r>
              <w:rPr>
                <w:rFonts w:ascii="Arial" w:cs="Arial" w:eastAsia="Arial" w:hAnsi="Arial"/>
                <w:sz w:val="13"/>
                <w:szCs w:val="13"/>
                <w:color w:val="auto"/>
                <w:w w:val="97"/>
              </w:rPr>
              <w:t>must exceed shares</w:t>
            </w:r>
          </w:p>
        </w:tc>
      </w:tr>
      <w:tr>
        <w:trPr>
          <w:trHeight w:val="139"/>
        </w:trPr>
        <w:tc>
          <w:tcPr>
            <w:tcW w:w="2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jc w:val="center"/>
              <w:ind w:left="137"/>
              <w:spacing w:after="0" w:line="139" w:lineRule="exact"/>
              <w:rPr>
                <w:sz w:val="20"/>
                <w:szCs w:val="20"/>
                <w:color w:val="auto"/>
              </w:rPr>
            </w:pPr>
            <w:r>
              <w:rPr>
                <w:rFonts w:ascii="Arial" w:cs="Arial" w:eastAsia="Arial" w:hAnsi="Arial"/>
                <w:sz w:val="13"/>
                <w:szCs w:val="13"/>
                <w:color w:val="auto"/>
                <w:w w:val="98"/>
              </w:rPr>
              <w:t>voted against</w:t>
            </w:r>
          </w:p>
        </w:tc>
      </w:tr>
      <w:tr>
        <w:trPr>
          <w:trHeight w:val="131"/>
        </w:trPr>
        <w:tc>
          <w:tcPr>
            <w:tcW w:w="2360" w:type="dxa"/>
            <w:vAlign w:val="bottom"/>
            <w:shd w:val="clear" w:color="auto" w:fill="D8E7F3"/>
          </w:tcPr>
          <w:p>
            <w:pPr>
              <w:ind w:left="80"/>
              <w:spacing w:after="0" w:line="131" w:lineRule="exact"/>
              <w:rPr>
                <w:sz w:val="20"/>
                <w:szCs w:val="20"/>
                <w:color w:val="auto"/>
              </w:rPr>
            </w:pPr>
            <w:r>
              <w:rPr>
                <w:rFonts w:ascii="Arial" w:cs="Arial" w:eastAsia="Arial" w:hAnsi="Arial"/>
                <w:sz w:val="13"/>
                <w:szCs w:val="13"/>
                <w:b w:val="1"/>
                <w:bCs w:val="1"/>
                <w:color w:val="auto"/>
              </w:rPr>
              <w:t>Item 2: Ratification of</w:t>
            </w:r>
          </w:p>
        </w:tc>
        <w:tc>
          <w:tcPr>
            <w:tcW w:w="1560" w:type="dxa"/>
            <w:vAlign w:val="bottom"/>
            <w:shd w:val="clear" w:color="auto" w:fill="D8E7F3"/>
          </w:tcPr>
          <w:p>
            <w:pPr>
              <w:jc w:val="center"/>
              <w:spacing w:after="0" w:line="131" w:lineRule="exact"/>
              <w:rPr>
                <w:sz w:val="20"/>
                <w:szCs w:val="20"/>
                <w:color w:val="auto"/>
              </w:rPr>
            </w:pPr>
            <w:r>
              <w:rPr>
                <w:rFonts w:ascii="Arial" w:cs="Arial" w:eastAsia="Arial" w:hAnsi="Arial"/>
                <w:sz w:val="13"/>
                <w:szCs w:val="13"/>
                <w:color w:val="auto"/>
                <w:w w:val="99"/>
              </w:rPr>
              <w:t>Page 83</w:t>
            </w:r>
          </w:p>
        </w:tc>
        <w:tc>
          <w:tcPr>
            <w:tcW w:w="1560" w:type="dxa"/>
            <w:vAlign w:val="bottom"/>
            <w:shd w:val="clear" w:color="auto" w:fill="D8E7F3"/>
          </w:tcPr>
          <w:p>
            <w:pPr>
              <w:jc w:val="center"/>
              <w:spacing w:after="0" w:line="131" w:lineRule="exact"/>
              <w:rPr>
                <w:sz w:val="20"/>
                <w:szCs w:val="20"/>
                <w:color w:val="auto"/>
              </w:rPr>
            </w:pPr>
            <w:r>
              <w:rPr>
                <w:rFonts w:ascii="Arial" w:cs="Arial" w:eastAsia="Arial" w:hAnsi="Arial"/>
                <w:sz w:val="13"/>
                <w:szCs w:val="13"/>
                <w:color w:val="auto"/>
              </w:rPr>
              <w:t>FOR</w:t>
            </w:r>
          </w:p>
        </w:tc>
        <w:tc>
          <w:tcPr>
            <w:tcW w:w="1440" w:type="dxa"/>
            <w:vAlign w:val="bottom"/>
            <w:shd w:val="clear" w:color="auto" w:fill="D8E7F3"/>
          </w:tcPr>
          <w:p>
            <w:pPr>
              <w:jc w:val="center"/>
              <w:ind w:right="37"/>
              <w:spacing w:after="0" w:line="131" w:lineRule="exact"/>
              <w:rPr>
                <w:sz w:val="20"/>
                <w:szCs w:val="20"/>
                <w:color w:val="auto"/>
              </w:rPr>
            </w:pPr>
            <w:r>
              <w:rPr>
                <w:rFonts w:ascii="Arial" w:cs="Arial" w:eastAsia="Arial" w:hAnsi="Arial"/>
                <w:sz w:val="13"/>
                <w:szCs w:val="13"/>
                <w:color w:val="auto"/>
                <w:w w:val="98"/>
              </w:rPr>
              <w:t>None expected</w:t>
            </w:r>
          </w:p>
        </w:tc>
        <w:tc>
          <w:tcPr>
            <w:tcW w:w="1320" w:type="dxa"/>
            <w:vAlign w:val="bottom"/>
            <w:shd w:val="clear" w:color="auto" w:fill="D8E7F3"/>
          </w:tcPr>
          <w:p>
            <w:pPr>
              <w:ind w:left="340"/>
              <w:spacing w:after="0" w:line="131" w:lineRule="exact"/>
              <w:rPr>
                <w:sz w:val="20"/>
                <w:szCs w:val="20"/>
                <w:color w:val="auto"/>
              </w:rPr>
            </w:pPr>
            <w:r>
              <w:rPr>
                <w:rFonts w:ascii="Arial" w:cs="Arial" w:eastAsia="Arial" w:hAnsi="Arial"/>
                <w:sz w:val="13"/>
                <w:szCs w:val="13"/>
                <w:color w:val="auto"/>
              </w:rPr>
              <w:t>Do not count</w:t>
            </w:r>
          </w:p>
        </w:tc>
        <w:tc>
          <w:tcPr>
            <w:tcW w:w="1480" w:type="dxa"/>
            <w:vAlign w:val="bottom"/>
            <w:shd w:val="clear" w:color="auto" w:fill="D8E7F3"/>
          </w:tcPr>
          <w:p>
            <w:pPr>
              <w:jc w:val="center"/>
              <w:ind w:left="137"/>
              <w:spacing w:after="0" w:line="131" w:lineRule="exact"/>
              <w:rPr>
                <w:sz w:val="20"/>
                <w:szCs w:val="20"/>
                <w:color w:val="auto"/>
              </w:rPr>
            </w:pPr>
            <w:r>
              <w:rPr>
                <w:rFonts w:ascii="Arial" w:cs="Arial" w:eastAsia="Arial" w:hAnsi="Arial"/>
                <w:sz w:val="13"/>
                <w:szCs w:val="13"/>
                <w:color w:val="auto"/>
                <w:w w:val="96"/>
              </w:rPr>
              <w:t>Shares voted for</w:t>
            </w:r>
          </w:p>
        </w:tc>
      </w:tr>
      <w:tr>
        <w:trPr>
          <w:trHeight w:val="143"/>
        </w:trPr>
        <w:tc>
          <w:tcPr>
            <w:tcW w:w="23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b w:val="1"/>
                <w:bCs w:val="1"/>
                <w:color w:val="auto"/>
              </w:rPr>
              <w:t>appointment of the independent</w:t>
            </w:r>
          </w:p>
        </w:tc>
        <w:tc>
          <w:tcPr>
            <w:tcW w:w="1560" w:type="dxa"/>
            <w:vAlign w:val="bottom"/>
            <w:shd w:val="clear" w:color="auto" w:fill="D8E7F3"/>
          </w:tcPr>
          <w:p>
            <w:pPr>
              <w:spacing w:after="0"/>
              <w:rPr>
                <w:sz w:val="12"/>
                <w:szCs w:val="12"/>
                <w:color w:val="auto"/>
              </w:rPr>
            </w:pPr>
          </w:p>
        </w:tc>
        <w:tc>
          <w:tcPr>
            <w:tcW w:w="156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320" w:type="dxa"/>
            <w:vAlign w:val="bottom"/>
            <w:shd w:val="clear" w:color="auto" w:fill="D8E7F3"/>
          </w:tcPr>
          <w:p>
            <w:pPr>
              <w:spacing w:after="0"/>
              <w:rPr>
                <w:sz w:val="12"/>
                <w:szCs w:val="12"/>
                <w:color w:val="auto"/>
              </w:rPr>
            </w:pPr>
          </w:p>
        </w:tc>
        <w:tc>
          <w:tcPr>
            <w:tcW w:w="1480" w:type="dxa"/>
            <w:vAlign w:val="bottom"/>
            <w:shd w:val="clear" w:color="auto" w:fill="D8E7F3"/>
          </w:tcPr>
          <w:p>
            <w:pPr>
              <w:jc w:val="center"/>
              <w:ind w:left="157"/>
              <w:spacing w:after="0" w:line="143" w:lineRule="exact"/>
              <w:rPr>
                <w:sz w:val="20"/>
                <w:szCs w:val="20"/>
                <w:color w:val="auto"/>
              </w:rPr>
            </w:pPr>
            <w:r>
              <w:rPr>
                <w:rFonts w:ascii="Arial" w:cs="Arial" w:eastAsia="Arial" w:hAnsi="Arial"/>
                <w:sz w:val="13"/>
                <w:szCs w:val="13"/>
                <w:color w:val="auto"/>
                <w:w w:val="97"/>
              </w:rPr>
              <w:t>must exceed shares</w:t>
            </w:r>
          </w:p>
        </w:tc>
      </w:tr>
      <w:tr>
        <w:trPr>
          <w:trHeight w:val="155"/>
        </w:trPr>
        <w:tc>
          <w:tcPr>
            <w:tcW w:w="2360" w:type="dxa"/>
            <w:vAlign w:val="bottom"/>
            <w:shd w:val="clear" w:color="auto" w:fill="D8E7F3"/>
          </w:tcPr>
          <w:p>
            <w:pPr>
              <w:ind w:left="80"/>
              <w:spacing w:after="0"/>
              <w:rPr>
                <w:sz w:val="20"/>
                <w:szCs w:val="20"/>
                <w:color w:val="auto"/>
              </w:rPr>
            </w:pPr>
            <w:r>
              <w:rPr>
                <w:rFonts w:ascii="Arial" w:cs="Arial" w:eastAsia="Arial" w:hAnsi="Arial"/>
                <w:sz w:val="13"/>
                <w:szCs w:val="13"/>
                <w:b w:val="1"/>
                <w:bCs w:val="1"/>
                <w:color w:val="auto"/>
              </w:rPr>
              <w:t>registered public accounting firm</w:t>
            </w:r>
          </w:p>
        </w:tc>
        <w:tc>
          <w:tcPr>
            <w:tcW w:w="1560" w:type="dxa"/>
            <w:vAlign w:val="bottom"/>
            <w:shd w:val="clear" w:color="auto" w:fill="D8E7F3"/>
          </w:tcPr>
          <w:p>
            <w:pPr>
              <w:spacing w:after="0"/>
              <w:rPr>
                <w:sz w:val="13"/>
                <w:szCs w:val="13"/>
                <w:color w:val="auto"/>
              </w:rPr>
            </w:pPr>
          </w:p>
        </w:tc>
        <w:tc>
          <w:tcPr>
            <w:tcW w:w="1560" w:type="dxa"/>
            <w:vAlign w:val="bottom"/>
            <w:shd w:val="clear" w:color="auto" w:fill="D8E7F3"/>
          </w:tcPr>
          <w:p>
            <w:pPr>
              <w:spacing w:after="0"/>
              <w:rPr>
                <w:sz w:val="13"/>
                <w:szCs w:val="13"/>
                <w:color w:val="auto"/>
              </w:rPr>
            </w:pPr>
          </w:p>
        </w:tc>
        <w:tc>
          <w:tcPr>
            <w:tcW w:w="1440" w:type="dxa"/>
            <w:vAlign w:val="bottom"/>
            <w:shd w:val="clear" w:color="auto" w:fill="D8E7F3"/>
          </w:tcPr>
          <w:p>
            <w:pPr>
              <w:spacing w:after="0"/>
              <w:rPr>
                <w:sz w:val="13"/>
                <w:szCs w:val="13"/>
                <w:color w:val="auto"/>
              </w:rPr>
            </w:pPr>
          </w:p>
        </w:tc>
        <w:tc>
          <w:tcPr>
            <w:tcW w:w="1320" w:type="dxa"/>
            <w:vAlign w:val="bottom"/>
            <w:shd w:val="clear" w:color="auto" w:fill="D8E7F3"/>
          </w:tcPr>
          <w:p>
            <w:pPr>
              <w:spacing w:after="0"/>
              <w:rPr>
                <w:sz w:val="13"/>
                <w:szCs w:val="13"/>
                <w:color w:val="auto"/>
              </w:rPr>
            </w:pPr>
          </w:p>
        </w:tc>
        <w:tc>
          <w:tcPr>
            <w:tcW w:w="1480" w:type="dxa"/>
            <w:vAlign w:val="bottom"/>
            <w:shd w:val="clear" w:color="auto" w:fill="D8E7F3"/>
          </w:tcPr>
          <w:p>
            <w:pPr>
              <w:jc w:val="center"/>
              <w:ind w:left="137"/>
              <w:spacing w:after="0"/>
              <w:rPr>
                <w:sz w:val="20"/>
                <w:szCs w:val="20"/>
                <w:color w:val="auto"/>
              </w:rPr>
            </w:pPr>
            <w:r>
              <w:rPr>
                <w:rFonts w:ascii="Arial" w:cs="Arial" w:eastAsia="Arial" w:hAnsi="Arial"/>
                <w:sz w:val="13"/>
                <w:szCs w:val="13"/>
                <w:color w:val="auto"/>
                <w:w w:val="98"/>
              </w:rPr>
              <w:t>voted against</w:t>
            </w:r>
          </w:p>
        </w:tc>
      </w:tr>
      <w:tr>
        <w:trPr>
          <w:trHeight w:val="131"/>
        </w:trPr>
        <w:tc>
          <w:tcPr>
            <w:tcW w:w="2360" w:type="dxa"/>
            <w:vAlign w:val="bottom"/>
          </w:tcPr>
          <w:p>
            <w:pPr>
              <w:ind w:left="80"/>
              <w:spacing w:after="0" w:line="131" w:lineRule="exact"/>
              <w:rPr>
                <w:sz w:val="20"/>
                <w:szCs w:val="20"/>
                <w:color w:val="auto"/>
              </w:rPr>
            </w:pPr>
            <w:r>
              <w:rPr>
                <w:rFonts w:ascii="Arial" w:cs="Arial" w:eastAsia="Arial" w:hAnsi="Arial"/>
                <w:sz w:val="13"/>
                <w:szCs w:val="13"/>
                <w:b w:val="1"/>
                <w:bCs w:val="1"/>
                <w:color w:val="auto"/>
              </w:rPr>
              <w:t>Item 3: Advisory vote on</w:t>
            </w:r>
          </w:p>
        </w:tc>
        <w:tc>
          <w:tcPr>
            <w:tcW w:w="1560" w:type="dxa"/>
            <w:vAlign w:val="bottom"/>
          </w:tcPr>
          <w:p>
            <w:pPr>
              <w:jc w:val="center"/>
              <w:spacing w:after="0" w:line="131" w:lineRule="exact"/>
              <w:rPr>
                <w:sz w:val="20"/>
                <w:szCs w:val="20"/>
                <w:color w:val="auto"/>
              </w:rPr>
            </w:pPr>
            <w:r>
              <w:rPr>
                <w:rFonts w:ascii="Arial" w:cs="Arial" w:eastAsia="Arial" w:hAnsi="Arial"/>
                <w:sz w:val="13"/>
                <w:szCs w:val="13"/>
                <w:color w:val="auto"/>
                <w:w w:val="99"/>
              </w:rPr>
              <w:t>Page 84</w:t>
            </w:r>
          </w:p>
        </w:tc>
        <w:tc>
          <w:tcPr>
            <w:tcW w:w="1560" w:type="dxa"/>
            <w:vAlign w:val="bottom"/>
          </w:tcPr>
          <w:p>
            <w:pPr>
              <w:jc w:val="center"/>
              <w:spacing w:after="0" w:line="131" w:lineRule="exact"/>
              <w:rPr>
                <w:sz w:val="20"/>
                <w:szCs w:val="20"/>
                <w:color w:val="auto"/>
              </w:rPr>
            </w:pPr>
            <w:r>
              <w:rPr>
                <w:rFonts w:ascii="Arial" w:cs="Arial" w:eastAsia="Arial" w:hAnsi="Arial"/>
                <w:sz w:val="13"/>
                <w:szCs w:val="13"/>
                <w:color w:val="auto"/>
              </w:rPr>
              <w:t>FOR</w:t>
            </w:r>
          </w:p>
        </w:tc>
        <w:tc>
          <w:tcPr>
            <w:tcW w:w="1440" w:type="dxa"/>
            <w:vAlign w:val="bottom"/>
          </w:tcPr>
          <w:p>
            <w:pPr>
              <w:jc w:val="center"/>
              <w:ind w:right="17"/>
              <w:spacing w:after="0" w:line="131" w:lineRule="exact"/>
              <w:rPr>
                <w:sz w:val="20"/>
                <w:szCs w:val="20"/>
                <w:color w:val="auto"/>
              </w:rPr>
            </w:pPr>
            <w:r>
              <w:rPr>
                <w:rFonts w:ascii="Arial" w:cs="Arial" w:eastAsia="Arial" w:hAnsi="Arial"/>
                <w:sz w:val="13"/>
                <w:szCs w:val="13"/>
                <w:color w:val="auto"/>
                <w:w w:val="97"/>
              </w:rPr>
              <w:t>Do not count</w:t>
            </w:r>
          </w:p>
        </w:tc>
        <w:tc>
          <w:tcPr>
            <w:tcW w:w="1320" w:type="dxa"/>
            <w:vAlign w:val="bottom"/>
          </w:tcPr>
          <w:p>
            <w:pPr>
              <w:ind w:left="340"/>
              <w:spacing w:after="0" w:line="131" w:lineRule="exact"/>
              <w:rPr>
                <w:sz w:val="20"/>
                <w:szCs w:val="20"/>
                <w:color w:val="auto"/>
              </w:rPr>
            </w:pPr>
            <w:r>
              <w:rPr>
                <w:rFonts w:ascii="Arial" w:cs="Arial" w:eastAsia="Arial" w:hAnsi="Arial"/>
                <w:sz w:val="13"/>
                <w:szCs w:val="13"/>
                <w:color w:val="auto"/>
              </w:rPr>
              <w:t>Do not count</w:t>
            </w:r>
          </w:p>
        </w:tc>
        <w:tc>
          <w:tcPr>
            <w:tcW w:w="1480" w:type="dxa"/>
            <w:vAlign w:val="bottom"/>
          </w:tcPr>
          <w:p>
            <w:pPr>
              <w:jc w:val="center"/>
              <w:ind w:left="137"/>
              <w:spacing w:after="0" w:line="131" w:lineRule="exact"/>
              <w:rPr>
                <w:sz w:val="20"/>
                <w:szCs w:val="20"/>
                <w:color w:val="auto"/>
              </w:rPr>
            </w:pPr>
            <w:r>
              <w:rPr>
                <w:rFonts w:ascii="Arial" w:cs="Arial" w:eastAsia="Arial" w:hAnsi="Arial"/>
                <w:sz w:val="13"/>
                <w:szCs w:val="13"/>
                <w:color w:val="auto"/>
                <w:w w:val="96"/>
              </w:rPr>
              <w:t>Shares voted for</w:t>
            </w:r>
          </w:p>
        </w:tc>
      </w:tr>
      <w:tr>
        <w:trPr>
          <w:trHeight w:val="159"/>
        </w:trPr>
        <w:tc>
          <w:tcPr>
            <w:tcW w:w="2360" w:type="dxa"/>
            <w:vAlign w:val="bottom"/>
          </w:tcPr>
          <w:p>
            <w:pPr>
              <w:ind w:left="80"/>
              <w:spacing w:after="0"/>
              <w:rPr>
                <w:sz w:val="20"/>
                <w:szCs w:val="20"/>
                <w:color w:val="auto"/>
              </w:rPr>
            </w:pPr>
            <w:r>
              <w:rPr>
                <w:rFonts w:ascii="Arial" w:cs="Arial" w:eastAsia="Arial" w:hAnsi="Arial"/>
                <w:sz w:val="13"/>
                <w:szCs w:val="13"/>
                <w:b w:val="1"/>
                <w:bCs w:val="1"/>
                <w:color w:val="auto"/>
              </w:rPr>
              <w:t>executive compensation</w:t>
            </w:r>
          </w:p>
        </w:tc>
        <w:tc>
          <w:tcPr>
            <w:tcW w:w="1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tcPr>
          <w:p>
            <w:pPr>
              <w:jc w:val="center"/>
              <w:ind w:left="157"/>
              <w:spacing w:after="0"/>
              <w:rPr>
                <w:sz w:val="20"/>
                <w:szCs w:val="20"/>
                <w:color w:val="auto"/>
              </w:rPr>
            </w:pPr>
            <w:r>
              <w:rPr>
                <w:rFonts w:ascii="Arial" w:cs="Arial" w:eastAsia="Arial" w:hAnsi="Arial"/>
                <w:sz w:val="13"/>
                <w:szCs w:val="13"/>
                <w:color w:val="auto"/>
                <w:w w:val="97"/>
              </w:rPr>
              <w:t>must exceed shares</w:t>
            </w:r>
          </w:p>
        </w:tc>
      </w:tr>
      <w:tr>
        <w:trPr>
          <w:trHeight w:val="153"/>
        </w:trPr>
        <w:tc>
          <w:tcPr>
            <w:tcW w:w="2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tcPr>
          <w:p>
            <w:pPr>
              <w:jc w:val="center"/>
              <w:ind w:left="137"/>
              <w:spacing w:after="0"/>
              <w:rPr>
                <w:sz w:val="20"/>
                <w:szCs w:val="20"/>
                <w:color w:val="auto"/>
              </w:rPr>
            </w:pPr>
            <w:r>
              <w:rPr>
                <w:rFonts w:ascii="Arial" w:cs="Arial" w:eastAsia="Arial" w:hAnsi="Arial"/>
                <w:sz w:val="13"/>
                <w:szCs w:val="13"/>
                <w:color w:val="auto"/>
                <w:w w:val="98"/>
              </w:rPr>
              <w:t>voted against</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Who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jc w:val="both"/>
        <w:spacing w:after="0"/>
        <w:rPr>
          <w:sz w:val="20"/>
          <w:szCs w:val="20"/>
          <w:color w:val="auto"/>
        </w:rPr>
      </w:pPr>
      <w:r>
        <w:rPr>
          <w:rFonts w:ascii="Arial" w:cs="Arial" w:eastAsia="Arial" w:hAnsi="Arial"/>
          <w:sz w:val="16"/>
          <w:szCs w:val="16"/>
          <w:color w:val="auto"/>
        </w:rPr>
        <w:t>Holders of our common stock recorded in our stock register at the close of business on February 26, 2021 may vote at the meeting. As of that date, there were 551,580,936 shares of our common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You have one vote for each share of our common stock you owned as of the record date for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Your vote is important. You may vote in person at the meeting or by proxy. We recommend you vote by proxy even if you plan to attend the meeting. You may always change your vote at the meeting if you are a holder of record or have a proxy from the record holder. Giving us your proxy means that you authorize us to vote your shares of our common stock at the meeting in the manner you indicated on your proxy card. You may also provide your proxy using the Internet or telephone procedures described on the proxy card.</w:t>
      </w:r>
    </w:p>
    <w:p>
      <w:pPr>
        <w:spacing w:after="0" w:line="8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You may vote for or against each director nominee under Item 1 (election of directors) and the proposals under Item 2 (ratification of appointment of the independent registered public accounting firm) and Item 3 (advisory vote on executive compensation), or you may abstain from voting on these items. If you give us your proxy but do not specify how to vote, we will vote your shares of our common stock in accordance with the Board’s recommendations.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9"/>
          <w:szCs w:val="19"/>
          <w:b w:val="1"/>
          <w:bCs w:val="1"/>
          <w:color w:val="0061A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 w:name="page8"/>
    <w:bookmarkEnd w:id="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Frequently Asked Questions About Voting (continued)</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What are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Board’s recommendations are set forth together with the description of each item in this proxy statement. In summary, the Board and, with respect to the ratification of the appointment of the independent registered public accounting firm, the Audit Committee, recommends a vote as follows:</w:t>
      </w:r>
    </w:p>
    <w:p>
      <w:pPr>
        <w:spacing w:after="0" w:line="78" w:lineRule="exact"/>
        <w:rPr>
          <w:sz w:val="20"/>
          <w:szCs w:val="20"/>
          <w:color w:val="auto"/>
        </w:rPr>
      </w:pPr>
    </w:p>
    <w:p>
      <w:pPr>
        <w:ind w:left="380" w:hanging="276"/>
        <w:spacing w:after="0"/>
        <w:tabs>
          <w:tab w:leader="none" w:pos="380" w:val="left"/>
        </w:tabs>
        <w:numPr>
          <w:ilvl w:val="0"/>
          <w:numId w:val="7"/>
        </w:numPr>
        <w:rPr>
          <w:rFonts w:ascii="Arial" w:cs="Arial" w:eastAsia="Arial" w:hAnsi="Arial"/>
          <w:sz w:val="16"/>
          <w:szCs w:val="16"/>
          <w:color w:val="0061AF"/>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nine nominees named in this proxy statement as directors;</w:t>
      </w:r>
    </w:p>
    <w:p>
      <w:pPr>
        <w:spacing w:after="0" w:line="101" w:lineRule="exact"/>
        <w:rPr>
          <w:rFonts w:ascii="Arial" w:cs="Arial" w:eastAsia="Arial" w:hAnsi="Arial"/>
          <w:sz w:val="16"/>
          <w:szCs w:val="16"/>
          <w:color w:val="0061AF"/>
        </w:rPr>
      </w:pPr>
    </w:p>
    <w:p>
      <w:pPr>
        <w:ind w:left="380" w:hanging="276"/>
        <w:spacing w:after="0"/>
        <w:tabs>
          <w:tab w:leader="none" w:pos="380" w:val="left"/>
        </w:tabs>
        <w:numPr>
          <w:ilvl w:val="0"/>
          <w:numId w:val="7"/>
        </w:numPr>
        <w:rPr>
          <w:rFonts w:ascii="Arial" w:cs="Arial" w:eastAsia="Arial" w:hAnsi="Arial"/>
          <w:sz w:val="16"/>
          <w:szCs w:val="16"/>
          <w:color w:val="0061AF"/>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Deloitte &amp; Touche LLP as our independent registered public accounting firm for 2021; and</w:t>
      </w:r>
    </w:p>
    <w:p>
      <w:pPr>
        <w:spacing w:after="0" w:line="101" w:lineRule="exact"/>
        <w:rPr>
          <w:rFonts w:ascii="Arial" w:cs="Arial" w:eastAsia="Arial" w:hAnsi="Arial"/>
          <w:sz w:val="16"/>
          <w:szCs w:val="16"/>
          <w:color w:val="0061AF"/>
        </w:rPr>
      </w:pPr>
    </w:p>
    <w:p>
      <w:pPr>
        <w:ind w:left="380" w:hanging="276"/>
        <w:spacing w:after="0" w:line="266" w:lineRule="auto"/>
        <w:tabs>
          <w:tab w:leader="none" w:pos="380" w:val="left"/>
        </w:tabs>
        <w:numPr>
          <w:ilvl w:val="0"/>
          <w:numId w:val="7"/>
        </w:numPr>
        <w:rPr>
          <w:rFonts w:ascii="Arial" w:cs="Arial" w:eastAsia="Arial" w:hAnsi="Arial"/>
          <w:sz w:val="16"/>
          <w:szCs w:val="16"/>
          <w:color w:val="0061AF"/>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paid to our named executive officers as disclosed in this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w:t>
      </w:r>
    </w:p>
    <w:p>
      <w:pPr>
        <w:spacing w:after="0" w:line="160"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If any other matters properly come before the meeting, we will vote the shares of common stock in accordance with our best judgment and discretion.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What if I change my mind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before it is voted by:</w:t>
      </w:r>
    </w:p>
    <w:p>
      <w:pPr>
        <w:spacing w:after="0" w:line="102" w:lineRule="exact"/>
        <w:rPr>
          <w:sz w:val="20"/>
          <w:szCs w:val="20"/>
          <w:color w:val="auto"/>
        </w:rPr>
      </w:pPr>
    </w:p>
    <w:p>
      <w:pPr>
        <w:ind w:left="380" w:hanging="276"/>
        <w:spacing w:after="0"/>
        <w:tabs>
          <w:tab w:leader="none" w:pos="380" w:val="left"/>
        </w:tabs>
        <w:numPr>
          <w:ilvl w:val="0"/>
          <w:numId w:val="8"/>
        </w:numPr>
        <w:rPr>
          <w:rFonts w:ascii="Arial" w:cs="Arial" w:eastAsia="Arial" w:hAnsi="Arial"/>
          <w:sz w:val="16"/>
          <w:szCs w:val="16"/>
          <w:color w:val="0061AF"/>
        </w:rPr>
      </w:pPr>
      <w:r>
        <w:rPr>
          <w:rFonts w:ascii="Arial" w:cs="Arial" w:eastAsia="Arial" w:hAnsi="Arial"/>
          <w:sz w:val="16"/>
          <w:szCs w:val="16"/>
          <w:color w:val="auto"/>
        </w:rPr>
        <w:t>submitting a new proxy card with a later date;</w:t>
      </w:r>
    </w:p>
    <w:p>
      <w:pPr>
        <w:spacing w:after="0" w:line="101" w:lineRule="exact"/>
        <w:rPr>
          <w:rFonts w:ascii="Arial" w:cs="Arial" w:eastAsia="Arial" w:hAnsi="Arial"/>
          <w:sz w:val="16"/>
          <w:szCs w:val="16"/>
          <w:color w:val="0061AF"/>
        </w:rPr>
      </w:pPr>
    </w:p>
    <w:p>
      <w:pPr>
        <w:ind w:left="380" w:hanging="276"/>
        <w:spacing w:after="0"/>
        <w:tabs>
          <w:tab w:leader="none" w:pos="380" w:val="left"/>
        </w:tabs>
        <w:numPr>
          <w:ilvl w:val="0"/>
          <w:numId w:val="8"/>
        </w:numPr>
        <w:rPr>
          <w:rFonts w:ascii="Arial" w:cs="Arial" w:eastAsia="Arial" w:hAnsi="Arial"/>
          <w:sz w:val="16"/>
          <w:szCs w:val="16"/>
          <w:color w:val="0061AF"/>
        </w:rPr>
      </w:pPr>
      <w:r>
        <w:rPr>
          <w:rFonts w:ascii="Arial" w:cs="Arial" w:eastAsia="Arial" w:hAnsi="Arial"/>
          <w:sz w:val="16"/>
          <w:szCs w:val="16"/>
          <w:color w:val="auto"/>
        </w:rPr>
        <w:t>voting in person at the meeting; or</w:t>
      </w:r>
    </w:p>
    <w:p>
      <w:pPr>
        <w:spacing w:after="0" w:line="101" w:lineRule="exact"/>
        <w:rPr>
          <w:rFonts w:ascii="Arial" w:cs="Arial" w:eastAsia="Arial" w:hAnsi="Arial"/>
          <w:sz w:val="16"/>
          <w:szCs w:val="16"/>
          <w:color w:val="0061AF"/>
        </w:rPr>
      </w:pPr>
    </w:p>
    <w:p>
      <w:pPr>
        <w:ind w:left="380" w:hanging="276"/>
        <w:spacing w:after="0"/>
        <w:tabs>
          <w:tab w:leader="none" w:pos="380" w:val="left"/>
        </w:tabs>
        <w:numPr>
          <w:ilvl w:val="0"/>
          <w:numId w:val="8"/>
        </w:numPr>
        <w:rPr>
          <w:rFonts w:ascii="Arial" w:cs="Arial" w:eastAsia="Arial" w:hAnsi="Arial"/>
          <w:sz w:val="16"/>
          <w:szCs w:val="16"/>
          <w:color w:val="0061AF"/>
        </w:rPr>
      </w:pPr>
      <w:r>
        <w:rPr>
          <w:rFonts w:ascii="Arial" w:cs="Arial" w:eastAsia="Arial" w:hAnsi="Arial"/>
          <w:sz w:val="16"/>
          <w:szCs w:val="16"/>
          <w:color w:val="auto"/>
        </w:rPr>
        <w:t>giving written notice to Mr. Vincent A. Mercaldi, Corporate Secretary, at CenterPoint Energy’s address shown above.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It depends on whether you hold your shares of our common stock in your own name or in the name of a bank or brokerage firm. If you hold your shares of our common stock directly in your own name, they will not be voted unless you provide a proxy or vote in person at the meeting.</w:t>
      </w:r>
    </w:p>
    <w:p>
      <w:pPr>
        <w:spacing w:after="0" w:line="8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Brokerage firms generally have the authority to vote their customers’ unvoted shares of common stock on certain “routine” matters as determined by the New York Stock Exchange. If your shares of our common stock are held in the name of a broker, bank or other nominee, such nominee can vote your shares for the ratification of the appointment of Deloitte &amp; Touche LLP as our independent registered public accounting firm for 2021 if you do not timely provide your proxy because this matter is considered “routine” under the applicable rules. However, no other items are considered “routine” and may not be voted on by your nominee without your instruction.</w:t>
      </w:r>
    </w:p>
    <w:p>
      <w:pPr>
        <w:spacing w:after="0" w:line="8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all items other than ratification of the appointment of our independent registered public accounting firm, brokers holding shares of our common stock must vote according to specific instructions they receive from the beneficial owners of those shares because the New York Stock Exchange precludes brokers from exercising voting discretion on certain proposals without specific instructions from the beneficial owner as to how to vote. Brokers cannot vote on Item 1 (election of directors) or Item 3 (advisory vote on executive compensation) without instructions from the beneficial owners. If you do not instruct your broker how to vote with respect to Item 1 or Item 3, your broker will not vote for you with respect to those items.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Do I need a ticket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To be admitted to the meeting, you must provide proof of ownership of our common stock and proof of identification. If you plan to attend the meeting and your shares of common stock are held by banks, brokers, stock plans or other holders of record (in “street name”), you will need to provide proof of ownership. Examples of proof of ownership include a recent brokerage statement or letter from your broker or bank. All holders of our common stock will be required to present valid picture identification, such as a driver’s license, before being admitted to the meeting.</w:t>
      </w:r>
    </w:p>
    <w:p>
      <w:pPr>
        <w:spacing w:after="0" w:line="180" w:lineRule="exact"/>
        <w:rPr>
          <w:sz w:val="20"/>
          <w:szCs w:val="20"/>
          <w:color w:val="auto"/>
        </w:rPr>
      </w:pPr>
    </w:p>
    <w:p>
      <w:pPr>
        <w:ind w:left="220" w:hanging="211"/>
        <w:spacing w:after="0"/>
        <w:tabs>
          <w:tab w:leader="none" w:pos="220" w:val="left"/>
        </w:tabs>
        <w:numPr>
          <w:ilvl w:val="0"/>
          <w:numId w:val="9"/>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 w:name="page9"/>
    <w:bookmarkEnd w:id="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Frequently Asked Questions About Voting (continued)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To carry on the business of the meeting, we must have a quorum. This means at least a majority of the shares of our common stock outstanding as of the record date must be represented at the meeting, either by proxy or in person. Shares of our common stock owned by CenterPoint Energy are not voted and do not count for this purpose.</w:t>
      </w:r>
    </w:p>
    <w:p>
      <w:pPr>
        <w:spacing w:after="0" w:line="86" w:lineRule="exact"/>
        <w:rPr>
          <w:sz w:val="20"/>
          <w:szCs w:val="20"/>
          <w:color w:val="auto"/>
        </w:rPr>
      </w:pPr>
    </w:p>
    <w:p>
      <w:pPr>
        <w:jc w:val="both"/>
        <w:spacing w:after="0"/>
        <w:rPr>
          <w:sz w:val="20"/>
          <w:szCs w:val="20"/>
          <w:color w:val="auto"/>
        </w:rPr>
      </w:pPr>
      <w:r>
        <w:rPr>
          <w:rFonts w:ascii="Arial" w:cs="Arial" w:eastAsia="Arial" w:hAnsi="Arial"/>
          <w:sz w:val="16"/>
          <w:szCs w:val="16"/>
          <w:color w:val="auto"/>
        </w:rPr>
        <w:t>Abstentions and proxies submitted by brokers that do not indicate a vote because they do not have discretionary authority and have not received instructions as to how to vote on a proposal (so-called “broker non-votes”) will be considered as present for quorum purposes.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What vote is required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Under our third amended and restated bylaws (bylaws), directors are elected by a majority of the votes cast at the meeting. Under our bylaws, this means that the number of votes cast “for” a director must exceed the number of votes cast “against” that director. Abstentions and broker non-votes will not affect the outcome of the vote. For additional information on the election of directors, see “Item 1: Election of Directors—Majority Voting in Director Elections.”</w:t>
      </w:r>
    </w:p>
    <w:p>
      <w:pPr>
        <w:spacing w:after="0" w:line="8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Each of the ratification of the appointment of independent registered public accounting firm in Item 2 and the approval of the resolution included in Item 3 regarding the advisory vote on executive compensation requires the affirmative vote of a majority of the shares of our common stock entitled to vote at the meeting and voted for or against the item. Abstentions and broker non-votes (none of which are expected for Item 2) will not affect the outcome of the vote on these items.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Who conducts the proxy solicitation and how much will 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7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CenterPoint Energy is requesting your proxy for the annual shareholder meeting and will pay all the costs of requesting shareholder proxies, including a fee of $13,000 plus expenses to Morrow Sodali LLC, 470 West Ave, Stamford, CT 06902, who will help us solicit proxies. We can request proxies through the mail, in person, or by telephone, fax or Internet. We can use directors, officers and other employees of CenterPoint Energy to request proxies. Directors, officers and other employees will not receive additional compensation for these services. We will reimburse brokerage firms, nominees, fiduciaries, custodians and other agents for their expenses in distributing proxy material to the beneficial owners of our common stock.</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9"/>
          <w:szCs w:val="19"/>
          <w:b w:val="1"/>
          <w:bCs w:val="1"/>
          <w:color w:val="0061A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9" w:name="page10"/>
    <w:bookmarkEnd w:id="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ITEM 1: ELECTION OF DIRECTORS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shd w:val="clear" w:color="auto" w:fill="0061AF"/>
          </w:tcPr>
          <w:p>
            <w:pPr>
              <w:ind w:left="3700"/>
              <w:spacing w:after="0"/>
              <w:rPr>
                <w:sz w:val="20"/>
                <w:szCs w:val="20"/>
                <w:color w:val="auto"/>
              </w:rPr>
            </w:pPr>
            <w:r>
              <w:rPr>
                <w:rFonts w:ascii="Arial" w:cs="Arial" w:eastAsia="Arial" w:hAnsi="Arial"/>
                <w:sz w:val="13"/>
                <w:szCs w:val="13"/>
                <w:b w:val="1"/>
                <w:bCs w:val="1"/>
                <w:color w:val="FFFFFF"/>
              </w:rPr>
              <w:t>Election of Directors Table of Contents</w:t>
            </w:r>
          </w:p>
        </w:tc>
        <w:tc>
          <w:tcPr>
            <w:tcW w:w="1940" w:type="dxa"/>
            <w:vAlign w:val="bottom"/>
            <w:shd w:val="clear" w:color="auto" w:fill="0061AF"/>
          </w:tcPr>
          <w:p>
            <w:pPr>
              <w:spacing w:after="0"/>
              <w:rPr>
                <w:sz w:val="13"/>
                <w:szCs w:val="13"/>
                <w:color w:val="auto"/>
              </w:rPr>
            </w:pP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Executive Summary</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5</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Nominees for Directors</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5</w:t>
            </w: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Director Nomination Process</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12</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Annual Board Self-Assessment and Director Peer Evaluation</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14</w:t>
            </w: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Director Independence</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14</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Code of Ethics and Ethics and Compliance Code</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15</w:t>
            </w: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Conflicts of Interest and Related-Party Transactions</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15</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Majority Voting in Director Elections</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16</w:t>
            </w: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Board Leadership</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17</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The Board’s Role in Risk Oversight</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17</w:t>
            </w: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Executive Succession Planning and Leadership Development</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19</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Director Attendance</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19</w:t>
            </w: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Board Organization and Committees</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19</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Shareholder Engagement</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22</w:t>
            </w: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Communications with Directors</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23</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Website Availability of Documents</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23</w:t>
            </w:r>
          </w:p>
        </w:tc>
      </w:tr>
      <w:tr>
        <w:trPr>
          <w:trHeight w:val="179"/>
        </w:trPr>
        <w:tc>
          <w:tcPr>
            <w:tcW w:w="7780" w:type="dxa"/>
            <w:vAlign w:val="bottom"/>
          </w:tcPr>
          <w:p>
            <w:pPr>
              <w:ind w:left="100"/>
              <w:spacing w:after="0" w:line="178" w:lineRule="exact"/>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Compensation of Directors</w:t>
              </w:r>
            </w:hyperlink>
          </w:p>
        </w:tc>
        <w:tc>
          <w:tcPr>
            <w:tcW w:w="1940" w:type="dxa"/>
            <w:vAlign w:val="bottom"/>
          </w:tcPr>
          <w:p>
            <w:pPr>
              <w:jc w:val="right"/>
              <w:spacing w:after="0" w:line="178" w:lineRule="exact"/>
              <w:rPr>
                <w:sz w:val="20"/>
                <w:szCs w:val="20"/>
                <w:color w:val="auto"/>
              </w:rPr>
            </w:pPr>
            <w:r>
              <w:rPr>
                <w:rFonts w:ascii="Arial" w:cs="Arial" w:eastAsia="Arial" w:hAnsi="Arial"/>
                <w:sz w:val="16"/>
                <w:szCs w:val="16"/>
                <w:color w:val="auto"/>
              </w:rPr>
              <w:t>23</w:t>
            </w:r>
          </w:p>
        </w:tc>
      </w:tr>
      <w:tr>
        <w:trPr>
          <w:trHeight w:val="179"/>
        </w:trPr>
        <w:tc>
          <w:tcPr>
            <w:tcW w:w="778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Director Compensation Table</w:t>
              </w:r>
            </w:hyperlink>
          </w:p>
        </w:tc>
        <w:tc>
          <w:tcPr>
            <w:tcW w:w="1940" w:type="dxa"/>
            <w:vAlign w:val="bottom"/>
            <w:shd w:val="clear" w:color="auto" w:fill="D8E7F3"/>
          </w:tcPr>
          <w:p>
            <w:pPr>
              <w:jc w:val="right"/>
              <w:spacing w:after="0" w:line="178" w:lineRule="exact"/>
              <w:rPr>
                <w:sz w:val="20"/>
                <w:szCs w:val="20"/>
                <w:color w:val="auto"/>
              </w:rPr>
            </w:pPr>
            <w:r>
              <w:rPr>
                <w:rFonts w:ascii="Arial" w:cs="Arial" w:eastAsia="Arial" w:hAnsi="Arial"/>
                <w:sz w:val="16"/>
                <w:szCs w:val="16"/>
                <w:color w:val="auto"/>
              </w:rPr>
              <w:t>25</w:t>
            </w:r>
          </w:p>
        </w:tc>
      </w:tr>
    </w:tbl>
    <w:p>
      <w:pPr>
        <w:spacing w:after="0" w:line="188" w:lineRule="exact"/>
        <w:rPr>
          <w:sz w:val="20"/>
          <w:szCs w:val="20"/>
          <w:color w:val="auto"/>
        </w:rPr>
      </w:pPr>
    </w:p>
    <w:p>
      <w:pPr>
        <w:ind w:left="220" w:hanging="211"/>
        <w:spacing w:after="0"/>
        <w:tabs>
          <w:tab w:leader="none" w:pos="220" w:val="left"/>
        </w:tabs>
        <w:numPr>
          <w:ilvl w:val="0"/>
          <w:numId w:val="10"/>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10" w:name="page11"/>
    <w:bookmarkEnd w:id="1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1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this section, we introduce the nine nominees for election to our Board of Directors. These nominees bring relevant expertise</w:t>
      </w:r>
      <w:r>
        <w:rPr>
          <w:rFonts w:ascii="Arial" w:cs="Arial" w:eastAsia="Arial" w:hAnsi="Arial"/>
          <w:sz w:val="16"/>
          <w:szCs w:val="16"/>
          <w:i w:val="1"/>
          <w:iCs w:val="1"/>
          <w:color w:val="auto"/>
        </w:rPr>
        <w:t xml:space="preserve"> </w:t>
      </w:r>
      <w:r>
        <w:rPr>
          <w:rFonts w:ascii="Arial" w:cs="Arial" w:eastAsia="Arial" w:hAnsi="Arial"/>
          <w:sz w:val="16"/>
          <w:szCs w:val="16"/>
          <w:color w:val="auto"/>
        </w:rPr>
        <w:t>and skills and represent a diverse mix of professional experience, backgrounds and perspectives appropriate to oversee our Company’s businesses and operations. In addition, we describe our corporate governance practices and policies. Strong corporate governance is a priority for the Company and the Board of Directors, is in the best interests of our shareholders and is critical to the Company’s long-term success. We have implemented corporate governance and business conduct policies and procedures designed to help us operate effectively with accountability, integrity and transparency, some of which are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131445</wp:posOffset>
            </wp:positionV>
            <wp:extent cx="4367530" cy="259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67530" cy="259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616648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Each of our directors will be elected at this year’s meeting to a one-year term expiring at the annual meeting of shareholders in 2022.</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If any nominee becomes unavailable for election, the Board of Directors can name a substitute nominee, and proxies will be voted for the substitute nominee pursuant to discretionary authority. Proxies cannot be voted for a greater number of persons than the number of nominees named below.</w:t>
      </w:r>
    </w:p>
    <w:p>
      <w:pPr>
        <w:spacing w:after="0" w:line="86" w:lineRule="exact"/>
        <w:rPr>
          <w:sz w:val="20"/>
          <w:szCs w:val="20"/>
          <w:color w:val="auto"/>
        </w:rPr>
      </w:pPr>
    </w:p>
    <w:p>
      <w:pPr>
        <w:jc w:val="both"/>
        <w:spacing w:after="0"/>
        <w:rPr>
          <w:sz w:val="20"/>
          <w:szCs w:val="20"/>
          <w:color w:val="auto"/>
        </w:rPr>
      </w:pPr>
      <w:r>
        <w:rPr>
          <w:rFonts w:ascii="Arial" w:cs="Arial" w:eastAsia="Arial" w:hAnsi="Arial"/>
          <w:sz w:val="16"/>
          <w:szCs w:val="16"/>
          <w:color w:val="auto"/>
        </w:rPr>
        <w:t>Unless otherwise indicated or the context otherwise requires, when we refer to periods prior to September 1, 2002, CenterPoint Energy should be understood to mean or include the public companies that were its predecessors.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9"/>
          <w:szCs w:val="19"/>
          <w:b w:val="1"/>
          <w:bCs w:val="1"/>
          <w:color w:val="0061A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11" w:name="page12"/>
    <w:bookmarkEnd w:id="1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Composition Highlights</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Board of Directors believes that having a diverse mix of directors with complementary qualifications, skills and expertise is essential to effectively discharging its oversight responsibility while advancing the Company’s long-term business strategy. Accordingly, the Board of Directors is focused on striking an appropriate balance between retaining directors with a deep knowledge of the Company and adding new directors with a fresh perspective, among other factors that are set forth below with respect to the nominees for election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130175</wp:posOffset>
            </wp:positionV>
            <wp:extent cx="4579620" cy="2138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79620" cy="2138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hanging="211"/>
        <w:spacing w:after="0"/>
        <w:tabs>
          <w:tab w:leader="none" w:pos="220" w:val="left"/>
        </w:tabs>
        <w:numPr>
          <w:ilvl w:val="0"/>
          <w:numId w:val="11"/>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00"/>
          </w:cols>
          <w:pgMar w:left="1080" w:top="305" w:right="1119" w:bottom="1440" w:gutter="0" w:footer="0" w:header="0"/>
        </w:sectPr>
      </w:pPr>
    </w:p>
    <w:bookmarkStart w:id="12" w:name="page13"/>
    <w:bookmarkEnd w:id="1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collectively represents the following backgrounds, key skills and competencies: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7220" w:type="dxa"/>
            <w:vAlign w:val="bottom"/>
            <w:shd w:val="clear" w:color="auto" w:fill="0061AF"/>
          </w:tcPr>
          <w:p>
            <w:pPr>
              <w:ind w:left="2780"/>
              <w:spacing w:after="0"/>
              <w:rPr>
                <w:sz w:val="20"/>
                <w:szCs w:val="20"/>
                <w:color w:val="auto"/>
              </w:rPr>
            </w:pPr>
            <w:r>
              <w:rPr>
                <w:rFonts w:ascii="Arial" w:cs="Arial" w:eastAsia="Arial" w:hAnsi="Arial"/>
                <w:sz w:val="13"/>
                <w:szCs w:val="13"/>
                <w:b w:val="1"/>
                <w:bCs w:val="1"/>
                <w:color w:val="FFFFFF"/>
              </w:rPr>
              <w:t>Board of Directors Backgrounds, Key Skills and Competencies</w:t>
            </w:r>
          </w:p>
        </w:tc>
        <w:tc>
          <w:tcPr>
            <w:tcW w:w="920" w:type="dxa"/>
            <w:vAlign w:val="bottom"/>
            <w:shd w:val="clear" w:color="auto" w:fill="0061AF"/>
          </w:tcPr>
          <w:p>
            <w:pPr>
              <w:spacing w:after="0"/>
              <w:rPr>
                <w:sz w:val="13"/>
                <w:szCs w:val="13"/>
                <w:color w:val="auto"/>
              </w:rPr>
            </w:pPr>
          </w:p>
        </w:tc>
      </w:tr>
      <w:tr>
        <w:trPr>
          <w:trHeight w:val="314"/>
        </w:trPr>
        <w:tc>
          <w:tcPr>
            <w:tcW w:w="7220" w:type="dxa"/>
            <w:vAlign w:val="bottom"/>
          </w:tcPr>
          <w:p>
            <w:pPr>
              <w:ind w:left="1260"/>
              <w:spacing w:after="0"/>
              <w:rPr>
                <w:sz w:val="20"/>
                <w:szCs w:val="20"/>
                <w:color w:val="auto"/>
              </w:rPr>
            </w:pPr>
            <w:r>
              <w:rPr>
                <w:rFonts w:ascii="Arial" w:cs="Arial" w:eastAsia="Arial" w:hAnsi="Arial"/>
                <w:sz w:val="16"/>
                <w:szCs w:val="16"/>
                <w:color w:val="auto"/>
              </w:rPr>
              <w:t>Regulated Electric / Natural Gas Distribution Utility Experience</w:t>
            </w:r>
          </w:p>
        </w:tc>
        <w:tc>
          <w:tcPr>
            <w:tcW w:w="920" w:type="dxa"/>
            <w:vAlign w:val="bottom"/>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03"/>
        </w:trPr>
        <w:tc>
          <w:tcPr>
            <w:tcW w:w="72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326"/>
        </w:trPr>
        <w:tc>
          <w:tcPr>
            <w:tcW w:w="7220" w:type="dxa"/>
            <w:vAlign w:val="bottom"/>
            <w:shd w:val="clear" w:color="auto" w:fill="D8E7F3"/>
          </w:tcPr>
          <w:p>
            <w:pPr>
              <w:ind w:left="1260"/>
              <w:spacing w:after="0"/>
              <w:rPr>
                <w:sz w:val="20"/>
                <w:szCs w:val="20"/>
                <w:color w:val="auto"/>
              </w:rPr>
            </w:pPr>
            <w:r>
              <w:rPr>
                <w:rFonts w:ascii="Arial" w:cs="Arial" w:eastAsia="Arial" w:hAnsi="Arial"/>
                <w:sz w:val="16"/>
                <w:szCs w:val="16"/>
                <w:color w:val="auto"/>
              </w:rPr>
              <w:t>Public Company Board Service</w:t>
            </w:r>
          </w:p>
        </w:tc>
        <w:tc>
          <w:tcPr>
            <w:tcW w:w="920" w:type="dxa"/>
            <w:vAlign w:val="bottom"/>
            <w:shd w:val="clear" w:color="auto" w:fill="D8E7F3"/>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15"/>
        </w:trPr>
        <w:tc>
          <w:tcPr>
            <w:tcW w:w="7220" w:type="dxa"/>
            <w:vAlign w:val="bottom"/>
            <w:shd w:val="clear" w:color="auto" w:fill="D8E7F3"/>
          </w:tcPr>
          <w:p>
            <w:pPr>
              <w:spacing w:after="0"/>
              <w:rPr>
                <w:sz w:val="9"/>
                <w:szCs w:val="9"/>
                <w:color w:val="auto"/>
              </w:rPr>
            </w:pPr>
          </w:p>
        </w:tc>
        <w:tc>
          <w:tcPr>
            <w:tcW w:w="920" w:type="dxa"/>
            <w:vAlign w:val="bottom"/>
            <w:shd w:val="clear" w:color="auto" w:fill="D8E7F3"/>
          </w:tcPr>
          <w:p>
            <w:pPr>
              <w:spacing w:after="0"/>
              <w:rPr>
                <w:sz w:val="9"/>
                <w:szCs w:val="9"/>
                <w:color w:val="auto"/>
              </w:rPr>
            </w:pPr>
          </w:p>
        </w:tc>
      </w:tr>
      <w:tr>
        <w:trPr>
          <w:trHeight w:val="326"/>
        </w:trPr>
        <w:tc>
          <w:tcPr>
            <w:tcW w:w="7220" w:type="dxa"/>
            <w:vAlign w:val="bottom"/>
          </w:tcPr>
          <w:p>
            <w:pPr>
              <w:ind w:left="1260"/>
              <w:spacing w:after="0"/>
              <w:rPr>
                <w:sz w:val="20"/>
                <w:szCs w:val="20"/>
                <w:color w:val="auto"/>
              </w:rPr>
            </w:pPr>
            <w:r>
              <w:rPr>
                <w:rFonts w:ascii="Arial" w:cs="Arial" w:eastAsia="Arial" w:hAnsi="Arial"/>
                <w:sz w:val="16"/>
                <w:szCs w:val="16"/>
                <w:color w:val="auto"/>
              </w:rPr>
              <w:t>Current or Recent Public Company Senior Executive Officer</w:t>
            </w:r>
          </w:p>
        </w:tc>
        <w:tc>
          <w:tcPr>
            <w:tcW w:w="920" w:type="dxa"/>
            <w:vAlign w:val="bottom"/>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15"/>
        </w:trPr>
        <w:tc>
          <w:tcPr>
            <w:tcW w:w="72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326"/>
        </w:trPr>
        <w:tc>
          <w:tcPr>
            <w:tcW w:w="7220" w:type="dxa"/>
            <w:vAlign w:val="bottom"/>
            <w:shd w:val="clear" w:color="auto" w:fill="D8E7F3"/>
          </w:tcPr>
          <w:p>
            <w:pPr>
              <w:ind w:left="1260"/>
              <w:spacing w:after="0"/>
              <w:rPr>
                <w:sz w:val="20"/>
                <w:szCs w:val="20"/>
                <w:color w:val="auto"/>
              </w:rPr>
            </w:pPr>
            <w:r>
              <w:rPr>
                <w:rFonts w:ascii="Arial" w:cs="Arial" w:eastAsia="Arial" w:hAnsi="Arial"/>
                <w:sz w:val="16"/>
                <w:szCs w:val="16"/>
                <w:color w:val="auto"/>
              </w:rPr>
              <w:t>Legal and Regulatory Experience</w:t>
            </w:r>
          </w:p>
        </w:tc>
        <w:tc>
          <w:tcPr>
            <w:tcW w:w="920" w:type="dxa"/>
            <w:vAlign w:val="bottom"/>
            <w:shd w:val="clear" w:color="auto" w:fill="D8E7F3"/>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15"/>
        </w:trPr>
        <w:tc>
          <w:tcPr>
            <w:tcW w:w="7220" w:type="dxa"/>
            <w:vAlign w:val="bottom"/>
            <w:shd w:val="clear" w:color="auto" w:fill="D8E7F3"/>
          </w:tcPr>
          <w:p>
            <w:pPr>
              <w:spacing w:after="0"/>
              <w:rPr>
                <w:sz w:val="9"/>
                <w:szCs w:val="9"/>
                <w:color w:val="auto"/>
              </w:rPr>
            </w:pPr>
          </w:p>
        </w:tc>
        <w:tc>
          <w:tcPr>
            <w:tcW w:w="920" w:type="dxa"/>
            <w:vAlign w:val="bottom"/>
            <w:shd w:val="clear" w:color="auto" w:fill="D8E7F3"/>
          </w:tcPr>
          <w:p>
            <w:pPr>
              <w:spacing w:after="0"/>
              <w:rPr>
                <w:sz w:val="9"/>
                <w:szCs w:val="9"/>
                <w:color w:val="auto"/>
              </w:rPr>
            </w:pPr>
          </w:p>
        </w:tc>
      </w:tr>
      <w:tr>
        <w:trPr>
          <w:trHeight w:val="302"/>
        </w:trPr>
        <w:tc>
          <w:tcPr>
            <w:tcW w:w="7220" w:type="dxa"/>
            <w:vAlign w:val="bottom"/>
          </w:tcPr>
          <w:p>
            <w:pPr>
              <w:ind w:left="1260"/>
              <w:spacing w:after="0"/>
              <w:rPr>
                <w:sz w:val="20"/>
                <w:szCs w:val="20"/>
                <w:color w:val="auto"/>
              </w:rPr>
            </w:pPr>
            <w:r>
              <w:rPr>
                <w:rFonts w:ascii="Arial" w:cs="Arial" w:eastAsia="Arial" w:hAnsi="Arial"/>
                <w:sz w:val="16"/>
                <w:szCs w:val="16"/>
                <w:color w:val="auto"/>
              </w:rPr>
              <w:t>Strategic Planning / Mergers and Acquisitions Experience</w:t>
            </w:r>
          </w:p>
        </w:tc>
        <w:tc>
          <w:tcPr>
            <w:tcW w:w="920" w:type="dxa"/>
            <w:vAlign w:val="bottom"/>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91"/>
        </w:trPr>
        <w:tc>
          <w:tcPr>
            <w:tcW w:w="722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302"/>
        </w:trPr>
        <w:tc>
          <w:tcPr>
            <w:tcW w:w="7220" w:type="dxa"/>
            <w:vAlign w:val="bottom"/>
            <w:shd w:val="clear" w:color="auto" w:fill="D8E7F3"/>
          </w:tcPr>
          <w:p>
            <w:pPr>
              <w:ind w:left="1260"/>
              <w:spacing w:after="0"/>
              <w:rPr>
                <w:sz w:val="20"/>
                <w:szCs w:val="20"/>
                <w:color w:val="auto"/>
              </w:rPr>
            </w:pPr>
            <w:r>
              <w:rPr>
                <w:rFonts w:ascii="Arial" w:cs="Arial" w:eastAsia="Arial" w:hAnsi="Arial"/>
                <w:sz w:val="16"/>
                <w:szCs w:val="16"/>
                <w:color w:val="auto"/>
              </w:rPr>
              <w:t>Corporate Governance Experience</w:t>
            </w:r>
          </w:p>
        </w:tc>
        <w:tc>
          <w:tcPr>
            <w:tcW w:w="920" w:type="dxa"/>
            <w:vAlign w:val="bottom"/>
            <w:shd w:val="clear" w:color="auto" w:fill="D8E7F3"/>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91"/>
        </w:trPr>
        <w:tc>
          <w:tcPr>
            <w:tcW w:w="7220" w:type="dxa"/>
            <w:vAlign w:val="bottom"/>
            <w:shd w:val="clear" w:color="auto" w:fill="D8E7F3"/>
          </w:tcPr>
          <w:p>
            <w:pPr>
              <w:spacing w:after="0"/>
              <w:rPr>
                <w:sz w:val="7"/>
                <w:szCs w:val="7"/>
                <w:color w:val="auto"/>
              </w:rPr>
            </w:pPr>
          </w:p>
        </w:tc>
        <w:tc>
          <w:tcPr>
            <w:tcW w:w="920" w:type="dxa"/>
            <w:vAlign w:val="bottom"/>
            <w:shd w:val="clear" w:color="auto" w:fill="D8E7F3"/>
          </w:tcPr>
          <w:p>
            <w:pPr>
              <w:spacing w:after="0"/>
              <w:rPr>
                <w:sz w:val="7"/>
                <w:szCs w:val="7"/>
                <w:color w:val="auto"/>
              </w:rPr>
            </w:pPr>
          </w:p>
        </w:tc>
      </w:tr>
      <w:tr>
        <w:trPr>
          <w:trHeight w:val="314"/>
        </w:trPr>
        <w:tc>
          <w:tcPr>
            <w:tcW w:w="7220" w:type="dxa"/>
            <w:vAlign w:val="bottom"/>
          </w:tcPr>
          <w:p>
            <w:pPr>
              <w:ind w:left="1260"/>
              <w:spacing w:after="0"/>
              <w:rPr>
                <w:sz w:val="20"/>
                <w:szCs w:val="20"/>
                <w:color w:val="auto"/>
              </w:rPr>
            </w:pPr>
            <w:r>
              <w:rPr>
                <w:rFonts w:ascii="Arial" w:cs="Arial" w:eastAsia="Arial" w:hAnsi="Arial"/>
                <w:sz w:val="16"/>
                <w:szCs w:val="16"/>
                <w:color w:val="auto"/>
              </w:rPr>
              <w:t>Accounting, Banking and Financial Literacy</w:t>
            </w:r>
          </w:p>
        </w:tc>
        <w:tc>
          <w:tcPr>
            <w:tcW w:w="920" w:type="dxa"/>
            <w:vAlign w:val="bottom"/>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03"/>
        </w:trPr>
        <w:tc>
          <w:tcPr>
            <w:tcW w:w="72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314"/>
        </w:trPr>
        <w:tc>
          <w:tcPr>
            <w:tcW w:w="7220" w:type="dxa"/>
            <w:vAlign w:val="bottom"/>
            <w:shd w:val="clear" w:color="auto" w:fill="D8E7F3"/>
          </w:tcPr>
          <w:p>
            <w:pPr>
              <w:ind w:left="1260"/>
              <w:spacing w:after="0"/>
              <w:rPr>
                <w:sz w:val="20"/>
                <w:szCs w:val="20"/>
                <w:color w:val="auto"/>
              </w:rPr>
            </w:pPr>
            <w:r>
              <w:rPr>
                <w:rFonts w:ascii="Arial" w:cs="Arial" w:eastAsia="Arial" w:hAnsi="Arial"/>
                <w:sz w:val="16"/>
                <w:szCs w:val="16"/>
                <w:color w:val="auto"/>
              </w:rPr>
              <w:t>Risk Management Experience</w:t>
            </w:r>
          </w:p>
        </w:tc>
        <w:tc>
          <w:tcPr>
            <w:tcW w:w="920" w:type="dxa"/>
            <w:vAlign w:val="bottom"/>
            <w:shd w:val="clear" w:color="auto" w:fill="D8E7F3"/>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03"/>
        </w:trPr>
        <w:tc>
          <w:tcPr>
            <w:tcW w:w="7220" w:type="dxa"/>
            <w:vAlign w:val="bottom"/>
            <w:shd w:val="clear" w:color="auto" w:fill="D8E7F3"/>
          </w:tcPr>
          <w:p>
            <w:pPr>
              <w:spacing w:after="0"/>
              <w:rPr>
                <w:sz w:val="8"/>
                <w:szCs w:val="8"/>
                <w:color w:val="auto"/>
              </w:rPr>
            </w:pPr>
          </w:p>
        </w:tc>
        <w:tc>
          <w:tcPr>
            <w:tcW w:w="920" w:type="dxa"/>
            <w:vAlign w:val="bottom"/>
            <w:shd w:val="clear" w:color="auto" w:fill="D8E7F3"/>
          </w:tcPr>
          <w:p>
            <w:pPr>
              <w:spacing w:after="0"/>
              <w:rPr>
                <w:sz w:val="8"/>
                <w:szCs w:val="8"/>
                <w:color w:val="auto"/>
              </w:rPr>
            </w:pPr>
          </w:p>
        </w:tc>
      </w:tr>
      <w:tr>
        <w:trPr>
          <w:trHeight w:val="338"/>
        </w:trPr>
        <w:tc>
          <w:tcPr>
            <w:tcW w:w="7220" w:type="dxa"/>
            <w:vAlign w:val="bottom"/>
          </w:tcPr>
          <w:p>
            <w:pPr>
              <w:ind w:left="1260"/>
              <w:spacing w:after="0"/>
              <w:rPr>
                <w:sz w:val="20"/>
                <w:szCs w:val="20"/>
                <w:color w:val="auto"/>
              </w:rPr>
            </w:pPr>
            <w:r>
              <w:rPr>
                <w:rFonts w:ascii="Arial" w:cs="Arial" w:eastAsia="Arial" w:hAnsi="Arial"/>
                <w:sz w:val="16"/>
                <w:szCs w:val="16"/>
                <w:color w:val="auto"/>
              </w:rPr>
              <w:t>Human Capital Management Experience</w:t>
            </w:r>
          </w:p>
        </w:tc>
        <w:tc>
          <w:tcPr>
            <w:tcW w:w="920" w:type="dxa"/>
            <w:vAlign w:val="bottom"/>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26"/>
        </w:trPr>
        <w:tc>
          <w:tcPr>
            <w:tcW w:w="72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326"/>
        </w:trPr>
        <w:tc>
          <w:tcPr>
            <w:tcW w:w="7220" w:type="dxa"/>
            <w:vAlign w:val="bottom"/>
            <w:shd w:val="clear" w:color="auto" w:fill="D8E7F3"/>
          </w:tcPr>
          <w:p>
            <w:pPr>
              <w:ind w:left="1260"/>
              <w:spacing w:after="0"/>
              <w:rPr>
                <w:sz w:val="20"/>
                <w:szCs w:val="20"/>
                <w:color w:val="auto"/>
              </w:rPr>
            </w:pPr>
            <w:r>
              <w:rPr>
                <w:rFonts w:ascii="Arial" w:cs="Arial" w:eastAsia="Arial" w:hAnsi="Arial"/>
                <w:sz w:val="16"/>
                <w:szCs w:val="16"/>
                <w:color w:val="auto"/>
              </w:rPr>
              <w:t>Business Operations Experience</w:t>
            </w:r>
          </w:p>
        </w:tc>
        <w:tc>
          <w:tcPr>
            <w:tcW w:w="920" w:type="dxa"/>
            <w:vAlign w:val="bottom"/>
            <w:shd w:val="clear" w:color="auto" w:fill="D8E7F3"/>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03"/>
        </w:trPr>
        <w:tc>
          <w:tcPr>
            <w:tcW w:w="7220" w:type="dxa"/>
            <w:vAlign w:val="bottom"/>
            <w:shd w:val="clear" w:color="auto" w:fill="D8E7F3"/>
          </w:tcPr>
          <w:p>
            <w:pPr>
              <w:spacing w:after="0"/>
              <w:rPr>
                <w:sz w:val="8"/>
                <w:szCs w:val="8"/>
                <w:color w:val="auto"/>
              </w:rPr>
            </w:pPr>
          </w:p>
        </w:tc>
        <w:tc>
          <w:tcPr>
            <w:tcW w:w="920" w:type="dxa"/>
            <w:vAlign w:val="bottom"/>
            <w:shd w:val="clear" w:color="auto" w:fill="D8E7F3"/>
          </w:tcPr>
          <w:p>
            <w:pPr>
              <w:spacing w:after="0"/>
              <w:rPr>
                <w:sz w:val="8"/>
                <w:szCs w:val="8"/>
                <w:color w:val="auto"/>
              </w:rPr>
            </w:pPr>
          </w:p>
        </w:tc>
      </w:tr>
      <w:tr>
        <w:trPr>
          <w:trHeight w:val="350"/>
        </w:trPr>
        <w:tc>
          <w:tcPr>
            <w:tcW w:w="7220" w:type="dxa"/>
            <w:vAlign w:val="bottom"/>
          </w:tcPr>
          <w:p>
            <w:pPr>
              <w:ind w:left="1260"/>
              <w:spacing w:after="0"/>
              <w:rPr>
                <w:sz w:val="20"/>
                <w:szCs w:val="20"/>
                <w:color w:val="auto"/>
              </w:rPr>
            </w:pPr>
            <w:r>
              <w:rPr>
                <w:rFonts w:ascii="Arial" w:cs="Arial" w:eastAsia="Arial" w:hAnsi="Arial"/>
                <w:sz w:val="16"/>
                <w:szCs w:val="16"/>
                <w:color w:val="auto"/>
              </w:rPr>
              <w:t>Natural Gas / Oil Midstream Experience</w:t>
            </w:r>
          </w:p>
        </w:tc>
        <w:tc>
          <w:tcPr>
            <w:tcW w:w="920" w:type="dxa"/>
            <w:vAlign w:val="bottom"/>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26"/>
        </w:trPr>
        <w:tc>
          <w:tcPr>
            <w:tcW w:w="72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314"/>
        </w:trPr>
        <w:tc>
          <w:tcPr>
            <w:tcW w:w="7220" w:type="dxa"/>
            <w:vAlign w:val="bottom"/>
            <w:shd w:val="clear" w:color="auto" w:fill="D8E7F3"/>
          </w:tcPr>
          <w:p>
            <w:pPr>
              <w:ind w:left="1260"/>
              <w:spacing w:after="0"/>
              <w:rPr>
                <w:sz w:val="20"/>
                <w:szCs w:val="20"/>
                <w:color w:val="auto"/>
              </w:rPr>
            </w:pPr>
            <w:r>
              <w:rPr>
                <w:rFonts w:ascii="Arial" w:cs="Arial" w:eastAsia="Arial" w:hAnsi="Arial"/>
                <w:sz w:val="16"/>
                <w:szCs w:val="16"/>
                <w:color w:val="auto"/>
              </w:rPr>
              <w:t>Executive Compensation Experience</w:t>
            </w:r>
          </w:p>
        </w:tc>
        <w:tc>
          <w:tcPr>
            <w:tcW w:w="920" w:type="dxa"/>
            <w:vAlign w:val="bottom"/>
            <w:shd w:val="clear" w:color="auto" w:fill="D8E7F3"/>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03"/>
        </w:trPr>
        <w:tc>
          <w:tcPr>
            <w:tcW w:w="7220" w:type="dxa"/>
            <w:vAlign w:val="bottom"/>
            <w:shd w:val="clear" w:color="auto" w:fill="D8E7F3"/>
          </w:tcPr>
          <w:p>
            <w:pPr>
              <w:spacing w:after="0"/>
              <w:rPr>
                <w:sz w:val="8"/>
                <w:szCs w:val="8"/>
                <w:color w:val="auto"/>
              </w:rPr>
            </w:pPr>
          </w:p>
        </w:tc>
        <w:tc>
          <w:tcPr>
            <w:tcW w:w="920" w:type="dxa"/>
            <w:vAlign w:val="bottom"/>
            <w:shd w:val="clear" w:color="auto" w:fill="D8E7F3"/>
          </w:tcPr>
          <w:p>
            <w:pPr>
              <w:spacing w:after="0"/>
              <w:rPr>
                <w:sz w:val="8"/>
                <w:szCs w:val="8"/>
                <w:color w:val="auto"/>
              </w:rPr>
            </w:pPr>
          </w:p>
        </w:tc>
      </w:tr>
      <w:tr>
        <w:trPr>
          <w:trHeight w:val="326"/>
        </w:trPr>
        <w:tc>
          <w:tcPr>
            <w:tcW w:w="7220" w:type="dxa"/>
            <w:vAlign w:val="bottom"/>
          </w:tcPr>
          <w:p>
            <w:pPr>
              <w:ind w:left="1260"/>
              <w:spacing w:after="0"/>
              <w:rPr>
                <w:sz w:val="20"/>
                <w:szCs w:val="20"/>
                <w:color w:val="auto"/>
              </w:rPr>
            </w:pPr>
            <w:r>
              <w:rPr>
                <w:rFonts w:ascii="Arial" w:cs="Arial" w:eastAsia="Arial" w:hAnsi="Arial"/>
                <w:sz w:val="16"/>
                <w:szCs w:val="16"/>
                <w:color w:val="auto"/>
              </w:rPr>
              <w:t>Technology Experience</w:t>
            </w:r>
          </w:p>
        </w:tc>
        <w:tc>
          <w:tcPr>
            <w:tcW w:w="920" w:type="dxa"/>
            <w:vAlign w:val="bottom"/>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03"/>
        </w:trPr>
        <w:tc>
          <w:tcPr>
            <w:tcW w:w="72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326"/>
        </w:trPr>
        <w:tc>
          <w:tcPr>
            <w:tcW w:w="7220" w:type="dxa"/>
            <w:vAlign w:val="bottom"/>
            <w:shd w:val="clear" w:color="auto" w:fill="D8E7F3"/>
          </w:tcPr>
          <w:p>
            <w:pPr>
              <w:ind w:left="1260"/>
              <w:spacing w:after="0"/>
              <w:rPr>
                <w:sz w:val="20"/>
                <w:szCs w:val="20"/>
                <w:color w:val="auto"/>
              </w:rPr>
            </w:pPr>
            <w:r>
              <w:rPr>
                <w:rFonts w:ascii="Arial" w:cs="Arial" w:eastAsia="Arial" w:hAnsi="Arial"/>
                <w:sz w:val="16"/>
                <w:szCs w:val="16"/>
                <w:color w:val="auto"/>
              </w:rPr>
              <w:t>Community Relationships / Non-Profit or Charitable Board Service</w:t>
            </w:r>
          </w:p>
        </w:tc>
        <w:tc>
          <w:tcPr>
            <w:tcW w:w="920" w:type="dxa"/>
            <w:vAlign w:val="bottom"/>
            <w:shd w:val="clear" w:color="auto" w:fill="D8E7F3"/>
          </w:tcPr>
          <w:p>
            <w:pPr>
              <w:ind w:left="660"/>
              <w:spacing w:after="0" w:line="161" w:lineRule="exact"/>
              <w:rPr>
                <w:sz w:val="20"/>
                <w:szCs w:val="20"/>
                <w:color w:val="auto"/>
              </w:rPr>
            </w:pPr>
            <w:r>
              <w:rPr>
                <w:rFonts w:ascii="MS PGothic" w:cs="MS PGothic" w:eastAsia="MS PGothic" w:hAnsi="MS PGothic"/>
                <w:sz w:val="16"/>
                <w:szCs w:val="16"/>
                <w:color w:val="0061AF"/>
              </w:rPr>
              <w:t>✓</w:t>
            </w:r>
          </w:p>
        </w:tc>
      </w:tr>
      <w:tr>
        <w:trPr>
          <w:trHeight w:val="103"/>
        </w:trPr>
        <w:tc>
          <w:tcPr>
            <w:tcW w:w="7220" w:type="dxa"/>
            <w:vAlign w:val="bottom"/>
            <w:shd w:val="clear" w:color="auto" w:fill="D8E7F3"/>
          </w:tcPr>
          <w:p>
            <w:pPr>
              <w:spacing w:after="0"/>
              <w:rPr>
                <w:sz w:val="8"/>
                <w:szCs w:val="8"/>
                <w:color w:val="auto"/>
              </w:rPr>
            </w:pPr>
          </w:p>
        </w:tc>
        <w:tc>
          <w:tcPr>
            <w:tcW w:w="920" w:type="dxa"/>
            <w:vAlign w:val="bottom"/>
            <w:shd w:val="clear" w:color="auto" w:fill="D8E7F3"/>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-3769995</wp:posOffset>
            </wp:positionV>
            <wp:extent cx="264795" cy="2190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4795" cy="21907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-3505835</wp:posOffset>
            </wp:positionV>
            <wp:extent cx="257175" cy="3498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175" cy="3498850"/>
                    </a:xfrm>
                    <a:prstGeom prst="rect">
                      <a:avLst/>
                    </a:prstGeom>
                    <a:noFill/>
                  </pic:spPr>
                </pic:pic>
              </a:graphicData>
            </a:graphic>
          </wp:anchor>
        </w:drawing>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Listed below are the biographies of each director nominee. The biographies include information regarding each individual’s service as a director of the Company, business experience, director positions at public companies held currently or at any time during the last five years, and the experiences, qualifications, attributes or skills that caused the Governance Committee and the Board to determine that the person should serve as a director for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nine nominees for election at the annual meeting are listed below.</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9"/>
          <w:szCs w:val="19"/>
          <w:b w:val="1"/>
          <w:bCs w:val="1"/>
          <w:color w:val="0061A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13" w:name="page14"/>
    <w:bookmarkEnd w:id="1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LESLIE D.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206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66485" cy="120650"/>
                    </a:xfrm>
                    <a:prstGeom prst="rect">
                      <a:avLst/>
                    </a:prstGeom>
                    <a:noFill/>
                  </pic:spPr>
                </pic:pic>
              </a:graphicData>
            </a:graphic>
          </wp:anchor>
        </w:drawing>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Leslie D. Biddle</w:t>
      </w:r>
      <w:r>
        <w:rPr>
          <w:rFonts w:ascii="Arial" w:cs="Arial" w:eastAsia="Arial" w:hAnsi="Arial"/>
          <w:sz w:val="14"/>
          <w:szCs w:val="14"/>
          <w:color w:val="auto"/>
        </w:rPr>
        <w:t>, age 54, has been a director since April 2018. Ms. Biddle has served as a Partner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President of Serengeti Asset Management since 2013 where she heads its risk committee and its energy research efforts. Before joining Serengeti, Ms. Biddle spent nearly ten years at Goldman Sachs, where she was most recently Global Head of Commodity Sales and the Chief Financial Officer of its investments in the metals and mining sector. Ms. Biddle was responsible for many of the structured transactions in the private equity and power spaces, including the Texas Genco acquisition and the TXU leveraged buyout, and was also a member of Goldman Sachs’ Finance Committee, Business Practices Committee, Firmwide New Activity Committee, Structured Investment Products Committee and European Audit and Compliance Committee. Prior to joining Goldman Sachs, Ms. Biddle served as a Vice President at the AES Corporation focusing on project finance and power plant development. Ms. Biddle has served on the Board of Directors of Empire State Realty Trust, Inc. since March 2017. She is also a member of the Council on Foreign Relations and serves on the advisory boards of NatureVest and the Hawthorn Club. Ms. Biddle previously served as the Vice Chair of the Board of Trustees of Colby College.</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0061AF"/>
        </w:rPr>
        <w:t>The Board determined that Ms. Biddle should be nominated for election as a director due to her extensive expertise in finance, complex structured transactions and project finance, particularly in the energy industry. The Board also values her service on the board of directors of another public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60"/>
        <w:spacing w:after="0" w:line="384" w:lineRule="auto"/>
        <w:rPr>
          <w:sz w:val="20"/>
          <w:szCs w:val="20"/>
          <w:color w:val="auto"/>
        </w:rPr>
      </w:pPr>
      <w:r>
        <w:rPr>
          <w:rFonts w:ascii="Arial" w:cs="Arial" w:eastAsia="Arial" w:hAnsi="Arial"/>
          <w:sz w:val="12"/>
          <w:szCs w:val="12"/>
          <w:b w:val="1"/>
          <w:bCs w:val="1"/>
          <w:color w:val="auto"/>
        </w:rPr>
        <w:t>Independent Director Nominee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-1683385</wp:posOffset>
            </wp:positionV>
            <wp:extent cx="1412875" cy="18440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2875" cy="18440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Audit, Finance</w:t>
      </w:r>
    </w:p>
    <w:p>
      <w:pPr>
        <w:spacing w:after="0" w:line="200" w:lineRule="exact"/>
        <w:rPr>
          <w:sz w:val="20"/>
          <w:szCs w:val="20"/>
          <w:color w:val="auto"/>
        </w:rPr>
      </w:pPr>
    </w:p>
    <w:p>
      <w:pPr>
        <w:sectPr>
          <w:pgSz w:w="11900" w:h="16838" w:orient="portrait"/>
          <w:cols w:equalWidth="0" w:num="2">
            <w:col w:w="7380" w:space="220"/>
            <w:col w:w="2000"/>
          </w:cols>
          <w:pgMar w:left="1080" w:top="305" w:right="1219" w:bottom="1440" w:gutter="0" w:footer="0" w:header="0"/>
        </w:sectPr>
      </w:pPr>
    </w:p>
    <w:p>
      <w:pPr>
        <w:spacing w:after="0" w:line="10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MILTON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390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66485" cy="1390650"/>
                    </a:xfrm>
                    <a:prstGeom prst="rect">
                      <a:avLst/>
                    </a:prstGeom>
                    <a:noFill/>
                  </pic:spPr>
                </pic:pic>
              </a:graphicData>
            </a:graphic>
          </wp:anchor>
        </w:drawing>
      </w:r>
    </w:p>
    <w:p>
      <w:pPr>
        <w:spacing w:after="0" w:line="2" w:lineRule="exact"/>
        <w:rPr>
          <w:sz w:val="20"/>
          <w:szCs w:val="20"/>
          <w:color w:val="auto"/>
        </w:rPr>
      </w:pPr>
    </w:p>
    <w:p>
      <w:pPr>
        <w:jc w:val="both"/>
        <w:ind w:right="2220"/>
        <w:spacing w:after="0" w:line="250" w:lineRule="auto"/>
        <w:rPr>
          <w:sz w:val="20"/>
          <w:szCs w:val="20"/>
          <w:color w:val="auto"/>
        </w:rPr>
      </w:pPr>
      <w:r>
        <w:rPr>
          <w:rFonts w:ascii="Arial" w:cs="Arial" w:eastAsia="Arial" w:hAnsi="Arial"/>
          <w:sz w:val="14"/>
          <w:szCs w:val="14"/>
          <w:b w:val="1"/>
          <w:bCs w:val="1"/>
          <w:color w:val="auto"/>
        </w:rPr>
        <w:t>Milton Carroll</w:t>
      </w:r>
      <w:r>
        <w:rPr>
          <w:rFonts w:ascii="Arial" w:cs="Arial" w:eastAsia="Arial" w:hAnsi="Arial"/>
          <w:sz w:val="14"/>
          <w:szCs w:val="14"/>
          <w:color w:val="auto"/>
        </w:rPr>
        <w:t>, age 70, has been a director since 1992. He has served as Executive Chairman since June 2013 and</w:t>
      </w:r>
      <w:r>
        <w:rPr>
          <w:rFonts w:ascii="Arial" w:cs="Arial" w:eastAsia="Arial" w:hAnsi="Arial"/>
          <w:sz w:val="14"/>
          <w:szCs w:val="14"/>
          <w:b w:val="1"/>
          <w:bCs w:val="1"/>
          <w:color w:val="auto"/>
        </w:rPr>
        <w:t xml:space="preserve"> </w:t>
      </w:r>
      <w:r>
        <w:rPr>
          <w:rFonts w:ascii="Arial" w:cs="Arial" w:eastAsia="Arial" w:hAnsi="Arial"/>
          <w:sz w:val="14"/>
          <w:szCs w:val="14"/>
          <w:color w:val="auto"/>
        </w:rPr>
        <w:t>previously served as Chairman from September 2002 until May 2013. Mr. Carroll has served as a director of Halliburton Company since 2006. He has served as a director of Health Care Service Corporation since 1998 and as its chairman since 2002. He previously served as a director of Western Midstream Holdings, LLC, the general partner of Western Midstream Partners, LP, from February 2019 to August 2019, Western Gas Holdings, LLC, the general partner of Western Gas Partners, LP, from 2008 to February 2019, LyondellBasell Industries N.V. from July 2010 to July 2016 and LRE GP, LLC, the general partner of LRR Energy, L.P., from November 2011 to January 2014.</w:t>
      </w:r>
    </w:p>
    <w:p>
      <w:pPr>
        <w:spacing w:after="0" w:line="252" w:lineRule="exact"/>
        <w:rPr>
          <w:sz w:val="20"/>
          <w:szCs w:val="20"/>
          <w:color w:val="auto"/>
        </w:rPr>
      </w:pPr>
    </w:p>
    <w:p>
      <w:pPr>
        <w:jc w:val="both"/>
        <w:ind w:right="2220"/>
        <w:spacing w:after="0" w:line="260" w:lineRule="auto"/>
        <w:rPr>
          <w:sz w:val="20"/>
          <w:szCs w:val="20"/>
          <w:color w:val="auto"/>
        </w:rPr>
      </w:pPr>
      <w:r>
        <w:rPr>
          <w:rFonts w:ascii="Arial" w:cs="Arial" w:eastAsia="Arial" w:hAnsi="Arial"/>
          <w:sz w:val="14"/>
          <w:szCs w:val="14"/>
          <w:i w:val="1"/>
          <w:iCs w:val="1"/>
          <w:color w:val="0061AF"/>
        </w:rPr>
        <w:t>The Board determined that Mr. Carroll should be nominated for election as a director due to his extensive knowledge of the Company and its operations gained in nearly 30 years of service as a director of the Company, its predecessors and affiliates. The Board values Mr. Carroll’s knowledge of the oil and natural gas industry, board leadership skills and corporate governance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-3810</wp:posOffset>
            </wp:positionV>
            <wp:extent cx="1412875" cy="649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12875" cy="649605"/>
                    </a:xfrm>
                    <a:prstGeom prst="rect">
                      <a:avLst/>
                    </a:prstGeom>
                    <a:noFill/>
                  </pic:spPr>
                </pic:pic>
              </a:graphicData>
            </a:graphic>
          </wp:anchor>
        </w:drawing>
      </w:r>
    </w:p>
    <w:p>
      <w:pPr>
        <w:spacing w:after="0" w:line="66" w:lineRule="exact"/>
        <w:rPr>
          <w:sz w:val="20"/>
          <w:szCs w:val="20"/>
          <w:color w:val="auto"/>
        </w:rPr>
      </w:pPr>
    </w:p>
    <w:p>
      <w:pPr>
        <w:ind w:left="7600"/>
        <w:spacing w:after="0"/>
        <w:rPr>
          <w:sz w:val="20"/>
          <w:szCs w:val="20"/>
          <w:color w:val="auto"/>
        </w:rPr>
      </w:pPr>
      <w:r>
        <w:rPr>
          <w:rFonts w:ascii="Arial" w:cs="Arial" w:eastAsia="Arial" w:hAnsi="Arial"/>
          <w:sz w:val="11"/>
          <w:szCs w:val="11"/>
          <w:b w:val="1"/>
          <w:bCs w:val="1"/>
          <w:color w:val="auto"/>
        </w:rPr>
        <w:t>Non-Independent Director Nominee</w:t>
      </w:r>
    </w:p>
    <w:p>
      <w:pPr>
        <w:spacing w:after="0" w:line="114" w:lineRule="exact"/>
        <w:rPr>
          <w:sz w:val="20"/>
          <w:szCs w:val="20"/>
          <w:color w:val="auto"/>
        </w:rPr>
      </w:pPr>
    </w:p>
    <w:p>
      <w:pPr>
        <w:ind w:left="7600"/>
        <w:spacing w:after="0"/>
        <w:rPr>
          <w:sz w:val="20"/>
          <w:szCs w:val="20"/>
          <w:color w:val="auto"/>
        </w:rPr>
      </w:pPr>
      <w:r>
        <w:rPr>
          <w:rFonts w:ascii="Arial" w:cs="Arial" w:eastAsia="Arial" w:hAnsi="Arial"/>
          <w:sz w:val="12"/>
          <w:szCs w:val="12"/>
          <w:i w:val="1"/>
          <w:iCs w:val="1"/>
          <w:color w:val="auto"/>
        </w:rPr>
        <w:t>Executive Chairman</w:t>
      </w:r>
    </w:p>
    <w:p>
      <w:pPr>
        <w:spacing w:after="0" w:line="98" w:lineRule="exact"/>
        <w:rPr>
          <w:sz w:val="20"/>
          <w:szCs w:val="20"/>
          <w:color w:val="auto"/>
        </w:rPr>
      </w:pPr>
    </w:p>
    <w:p>
      <w:pPr>
        <w:ind w:left="7600"/>
        <w:spacing w:after="0"/>
        <w:rPr>
          <w:sz w:val="20"/>
          <w:szCs w:val="20"/>
          <w:color w:val="auto"/>
        </w:rPr>
      </w:pPr>
      <w:r>
        <w:rPr>
          <w:rFonts w:ascii="Arial" w:cs="Arial" w:eastAsia="Arial" w:hAnsi="Arial"/>
          <w:sz w:val="12"/>
          <w:szCs w:val="12"/>
          <w:b w:val="1"/>
          <w:bCs w:val="1"/>
          <w:color w:val="auto"/>
        </w:rPr>
        <w:t>Committees:</w:t>
      </w:r>
    </w:p>
    <w:p>
      <w:pPr>
        <w:spacing w:after="0" w:line="66" w:lineRule="exact"/>
        <w:rPr>
          <w:sz w:val="20"/>
          <w:szCs w:val="20"/>
          <w:color w:val="auto"/>
        </w:rPr>
      </w:pPr>
    </w:p>
    <w:p>
      <w:pPr>
        <w:ind w:left="7600"/>
        <w:spacing w:after="0"/>
        <w:rPr>
          <w:sz w:val="20"/>
          <w:szCs w:val="20"/>
          <w:color w:val="auto"/>
        </w:rPr>
      </w:pPr>
      <w:r>
        <w:rPr>
          <w:rFonts w:ascii="Arial" w:cs="Arial" w:eastAsia="Arial" w:hAnsi="Arial"/>
          <w:sz w:val="12"/>
          <w:szCs w:val="12"/>
          <w:color w:val="auto"/>
        </w:rPr>
        <w:t>None</w:t>
      </w:r>
    </w:p>
    <w:p>
      <w:pPr>
        <w:spacing w:after="0" w:line="300" w:lineRule="exact"/>
        <w:rPr>
          <w:sz w:val="20"/>
          <w:szCs w:val="20"/>
          <w:color w:val="auto"/>
        </w:rPr>
      </w:pPr>
    </w:p>
    <w:p>
      <w:pPr>
        <w:ind w:left="220" w:hanging="211"/>
        <w:spacing w:after="0"/>
        <w:tabs>
          <w:tab w:leader="none" w:pos="220" w:val="left"/>
        </w:tabs>
        <w:numPr>
          <w:ilvl w:val="0"/>
          <w:numId w:val="12"/>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600"/>
          </w:cols>
          <w:pgMar w:left="1080" w:top="305" w:right="12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360680</wp:posOffset>
            </wp:positionV>
            <wp:extent cx="480631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WENDY MONTOYA CLOONAN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390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66485" cy="1390650"/>
                    </a:xfrm>
                    <a:prstGeom prst="rect">
                      <a:avLst/>
                    </a:prstGeom>
                    <a:noFill/>
                  </pic:spPr>
                </pic:pic>
              </a:graphicData>
            </a:graphic>
          </wp:anchor>
        </w:drawing>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Wendy Montoya Cloonan</w:t>
      </w:r>
      <w:r>
        <w:rPr>
          <w:rFonts w:ascii="Arial" w:cs="Arial" w:eastAsia="Arial" w:hAnsi="Arial"/>
          <w:sz w:val="14"/>
          <w:szCs w:val="14"/>
          <w:color w:val="auto"/>
        </w:rPr>
        <w:t>, age 41, has been a director since February 2021. Ms. Cloonan is sole shareholder of</w:t>
      </w:r>
      <w:r>
        <w:rPr>
          <w:rFonts w:ascii="Arial" w:cs="Arial" w:eastAsia="Arial" w:hAnsi="Arial"/>
          <w:sz w:val="14"/>
          <w:szCs w:val="14"/>
          <w:b w:val="1"/>
          <w:bCs w:val="1"/>
          <w:color w:val="auto"/>
        </w:rPr>
        <w:t xml:space="preserve"> </w:t>
      </w:r>
      <w:r>
        <w:rPr>
          <w:rFonts w:ascii="Arial" w:cs="Arial" w:eastAsia="Arial" w:hAnsi="Arial"/>
          <w:sz w:val="14"/>
          <w:szCs w:val="14"/>
          <w:color w:val="auto"/>
        </w:rPr>
        <w:t>The Law Office of Wendy Montoya Cloonan, PLLC, since August 2019, which specializes in the areas of public finance and public law. Before founding her own firm, Ms. Cloonan worked at the Houston Endowment, Inc., a private foundation that partners with other organizations in the non-profit, public and private sectors to improve quality of life for the residents of greater Houston, from February 2015 to July 2019 where she served as Senior Program Officer in Education, Assistant General Counsel and Director of Legal. Prior to joining Houston Endowment, Inc., Ms. Cloonan served as an attorney at Hunton Andrews Kurth LLP (formerly, Andrews Kurth LLP), Schwartz, Page &amp; Harding, L.L.P. and Vinson &amp; Elkins LLP. Ms. Cloonan has served as a commissioner of the Port of Houston Authority since 2019 and on the board of directors of the Houston Downtown Management District since 2015. She has previously served on the boards of directors of several non-profit organizations, which included leadership roles with the Hispanic Bar Association and United Way.</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0061AF"/>
        </w:rPr>
        <w:t>The Board determined that Ms. Cloonan should be nominated for election as a director due to her legal expertise and financial acumen, as well as her strong ties to the Houston community, including through her role as a commissioner of the Port of Houston Authority and by her significant non-profit involvement.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6"/>
          <w:szCs w:val="16"/>
          <w:color w:val="FFFFF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-138430</wp:posOffset>
            </wp:positionV>
            <wp:extent cx="1360170" cy="196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60170" cy="19621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1609725</wp:posOffset>
            </wp:positionV>
            <wp:extent cx="1412875" cy="4984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12875"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right="380"/>
        <w:spacing w:after="0" w:line="384" w:lineRule="auto"/>
        <w:rPr>
          <w:sz w:val="20"/>
          <w:szCs w:val="20"/>
          <w:color w:val="auto"/>
        </w:rPr>
      </w:pPr>
      <w:r>
        <w:rPr>
          <w:rFonts w:ascii="Arial" w:cs="Arial" w:eastAsia="Arial" w:hAnsi="Arial"/>
          <w:sz w:val="12"/>
          <w:szCs w:val="12"/>
          <w:b w:val="1"/>
          <w:bCs w:val="1"/>
          <w:color w:val="auto"/>
        </w:rPr>
        <w:t>Independent Director Nominee Committees: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Audit, Compensation</w:t>
      </w:r>
    </w:p>
    <w:p>
      <w:pPr>
        <w:spacing w:after="0" w:line="200" w:lineRule="exact"/>
        <w:rPr>
          <w:sz w:val="20"/>
          <w:szCs w:val="20"/>
          <w:color w:val="auto"/>
        </w:rPr>
      </w:pPr>
    </w:p>
    <w:p>
      <w:pPr>
        <w:sectPr>
          <w:pgSz w:w="11900" w:h="16838" w:orient="portrait"/>
          <w:cols w:equalWidth="0" w:num="2">
            <w:col w:w="7380" w:space="120"/>
            <w:col w:w="2220"/>
          </w:cols>
          <w:pgMar w:left="1080" w:top="305" w:right="1099" w:bottom="1440" w:gutter="0" w:footer="0" w:header="0"/>
        </w:sectPr>
      </w:pPr>
    </w:p>
    <w:p>
      <w:pPr>
        <w:spacing w:after="0" w:line="10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EARL M.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206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66485" cy="120650"/>
                    </a:xfrm>
                    <a:prstGeom prst="rect">
                      <a:avLst/>
                    </a:prstGeom>
                    <a:noFill/>
                  </pic:spPr>
                </pic:pic>
              </a:graphicData>
            </a:graphic>
          </wp:anchor>
        </w:drawing>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Earl M. Cummings</w:t>
      </w:r>
      <w:r>
        <w:rPr>
          <w:rFonts w:ascii="Arial" w:cs="Arial" w:eastAsia="Arial" w:hAnsi="Arial"/>
          <w:sz w:val="14"/>
          <w:szCs w:val="14"/>
          <w:color w:val="auto"/>
        </w:rPr>
        <w:t>, age 56, has been a director since July 2020. Since 2012, Mr. Cummings has served as</w:t>
      </w:r>
      <w:r>
        <w:rPr>
          <w:rFonts w:ascii="Arial" w:cs="Arial" w:eastAsia="Arial" w:hAnsi="Arial"/>
          <w:sz w:val="14"/>
          <w:szCs w:val="14"/>
          <w:b w:val="1"/>
          <w:bCs w:val="1"/>
          <w:color w:val="auto"/>
        </w:rPr>
        <w:t xml:space="preserve"> </w:t>
      </w:r>
      <w:r>
        <w:rPr>
          <w:rFonts w:ascii="Arial" w:cs="Arial" w:eastAsia="Arial" w:hAnsi="Arial"/>
          <w:sz w:val="14"/>
          <w:szCs w:val="14"/>
          <w:color w:val="auto"/>
        </w:rPr>
        <w:t>Managing Partner of MCM Houston Properties, LLC, a real estate fund that invests in single family residential properties in Houston, Texas. In his role as Managing Partner, he is responsible for overall capital raising, investment, acquisition, and business strategies of the fund and its assets. Mr. Cummings also serves as Chief Executive Officer of The BTS Team, which began as an information technology and staffing firm providing solutions and services across various regions and evolved into a company that also invested financial resources in various industries to create value for shareholders and other stakeholders, and he previously served as its Chief Information Officer and Chairman of its board. He also served as Chief Executive Officer of BestAssets, Inc., a private company providing real estate portfolio management and related services. Active across communities and in non-profit board service, Mr. Cummings has served on the boards of the University of Houston Board of Visitors, C-STEM Robotics (where he was founding Chairman of the Executive Board for C-STEM), Yellowstone Academy and has also served on the advisory boards for KIPP Academy and Texas Southern University School of Business.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0061AF"/>
        </w:rPr>
        <w:t>The Board determined that Mr. Cummings should be nominated for election as a director due to his executive management experience with various enterprises focusing on technology and real estate and his financial and business development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80"/>
        <w:spacing w:after="0" w:line="384" w:lineRule="auto"/>
        <w:rPr>
          <w:sz w:val="20"/>
          <w:szCs w:val="20"/>
          <w:color w:val="auto"/>
        </w:rPr>
      </w:pPr>
      <w:r>
        <w:rPr>
          <w:rFonts w:ascii="Arial" w:cs="Arial" w:eastAsia="Arial" w:hAnsi="Arial"/>
          <w:sz w:val="12"/>
          <w:szCs w:val="12"/>
          <w:b w:val="1"/>
          <w:bCs w:val="1"/>
          <w:color w:val="auto"/>
        </w:rPr>
        <w:t>Independent Director Nominee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-1683385</wp:posOffset>
            </wp:positionV>
            <wp:extent cx="1412875" cy="18440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12875" cy="18440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Audit, Compensation</w:t>
      </w:r>
    </w:p>
    <w:p>
      <w:pPr>
        <w:spacing w:after="0" w:line="200" w:lineRule="exact"/>
        <w:rPr>
          <w:sz w:val="20"/>
          <w:szCs w:val="20"/>
          <w:color w:val="auto"/>
        </w:rPr>
      </w:pPr>
    </w:p>
    <w:p>
      <w:pPr>
        <w:sectPr>
          <w:pgSz w:w="11900" w:h="16838" w:orient="portrait"/>
          <w:cols w:equalWidth="0" w:num="2">
            <w:col w:w="7380" w:space="220"/>
            <w:col w:w="2120"/>
          </w:cols>
          <w:pgMar w:left="1080" w:top="305" w:right="1099" w:bottom="1440" w:gutter="0" w:footer="0" w:header="0"/>
          <w:type w:val="continuous"/>
        </w:sectPr>
      </w:pPr>
    </w:p>
    <w:p>
      <w:pPr>
        <w:spacing w:after="0" w:line="133"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Always There</w:t>
      </w:r>
      <w:r>
        <w:rPr>
          <w:rFonts w:ascii="Arial" w:cs="Arial" w:eastAsia="Arial" w:hAnsi="Arial"/>
          <w:sz w:val="13"/>
          <w:szCs w:val="13"/>
          <w:color w:val="auto"/>
        </w:rPr>
        <w:t>®</w:t>
      </w:r>
      <w:r>
        <w:rPr>
          <w:rFonts w:ascii="Arial" w:cs="Arial" w:eastAsia="Arial" w:hAnsi="Arial"/>
          <w:sz w:val="16"/>
          <w:szCs w:val="16"/>
          <w:color w:val="auto"/>
        </w:rPr>
        <w:t xml:space="preserve">  </w:t>
      </w:r>
      <w:r>
        <w:rPr>
          <w:rFonts w:ascii="Arial" w:cs="Arial" w:eastAsia="Arial" w:hAnsi="Arial"/>
          <w:sz w:val="17"/>
          <w:szCs w:val="17"/>
          <w:b w:val="1"/>
          <w:bCs w:val="1"/>
          <w:color w:val="0061A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-112395</wp:posOffset>
            </wp:positionV>
            <wp:extent cx="616648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type w:val="continuous"/>
        </w:sectPr>
      </w:pPr>
    </w:p>
    <w:bookmarkStart w:id="15" w:name="page16"/>
    <w:bookmarkEnd w:id="15"/>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Item 1: Election of Directors (continued)</w:t>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3906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66485" cy="1390650"/>
                    </a:xfrm>
                    <a:prstGeom prst="rect">
                      <a:avLst/>
                    </a:prstGeom>
                    <a:noFill/>
                  </pic:spPr>
                </pic:pic>
              </a:graphicData>
            </a:graphic>
          </wp:anchor>
        </w:drawing>
      </w:r>
    </w:p>
    <w:p>
      <w:pPr>
        <w:sectPr>
          <w:pgSz w:w="11900" w:h="16838" w:orient="portrait"/>
          <w:cols w:equalWidth="0" w:num="1">
            <w:col w:w="9480"/>
          </w:cols>
          <w:pgMar w:left="1080" w:top="305" w:right="1339" w:bottom="1440" w:gutter="0" w:footer="0" w:header="0"/>
        </w:sectPr>
      </w:pP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David J. Lesar</w:t>
      </w:r>
      <w:r>
        <w:rPr>
          <w:rFonts w:ascii="Arial" w:cs="Arial" w:eastAsia="Arial" w:hAnsi="Arial"/>
          <w:sz w:val="14"/>
          <w:szCs w:val="14"/>
          <w:color w:val="auto"/>
        </w:rPr>
        <w:t>, age 67, has been a director since May 2020 and President and Chief Executive Officer of</w:t>
      </w:r>
      <w:r>
        <w:rPr>
          <w:rFonts w:ascii="Arial" w:cs="Arial" w:eastAsia="Arial" w:hAnsi="Arial"/>
          <w:sz w:val="14"/>
          <w:szCs w:val="14"/>
          <w:b w:val="1"/>
          <w:bCs w:val="1"/>
          <w:color w:val="auto"/>
        </w:rPr>
        <w:t xml:space="preserve"> </w:t>
      </w:r>
      <w:r>
        <w:rPr>
          <w:rFonts w:ascii="Arial" w:cs="Arial" w:eastAsia="Arial" w:hAnsi="Arial"/>
          <w:sz w:val="14"/>
          <w:szCs w:val="14"/>
          <w:color w:val="auto"/>
        </w:rPr>
        <w:t>CenterPoint Energy since July 2020. He served as interim Chief Executive Officer of Health Care Service Corporation, the largest privately held health insurer in the United States, from July 2019 through June 1, 2020 and a director from 2018 to July 2020. Prior to joining Health Care Service Corporation, Mr. Lesar served as the Chairman of the Board and Chief Executive Officer of Halliburton Company from 2000 to 2017 and as its Executive Chairman of the Board from June 2017 until December 2018. Mr. Lesar joined Halliburton in 1993 and served in a variety of other roles, including executive vice president of Finance and Administration for Halliburton Energy Services, a Halliburton business unit, Chief Financial Officer of Halliburton from 1995 through May 1997 and President and Chief Operating Officer from May 1997 through August 2000 and continued as President until August 2014. He has also served on the board of directors of several companies, most recently Agrium, Inc. as well as Lyondell Chemical Co., Southern Co., Cordant Technologies and Mirant Corp.</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0061AF"/>
        </w:rPr>
        <w:t>The Board determined that Mr. Lesar should be nominated for election as a director due to his extensive public company experience from his tenure as chief executive officer of several companies as well as his energy industry and financial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MARTIN H.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3906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66485" cy="1390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0"/>
        <w:spacing w:after="0" w:line="258" w:lineRule="auto"/>
        <w:rPr>
          <w:sz w:val="20"/>
          <w:szCs w:val="20"/>
          <w:color w:val="auto"/>
        </w:rPr>
      </w:pPr>
      <w:r>
        <w:rPr>
          <w:rFonts w:ascii="Arial" w:cs="Arial" w:eastAsia="Arial" w:hAnsi="Arial"/>
          <w:sz w:val="12"/>
          <w:szCs w:val="12"/>
          <w:b w:val="1"/>
          <w:bCs w:val="1"/>
          <w:color w:val="auto"/>
        </w:rPr>
        <w:t>Non-Independent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-246380</wp:posOffset>
            </wp:positionV>
            <wp:extent cx="1412875" cy="7327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12875" cy="732790"/>
                    </a:xfrm>
                    <a:prstGeom prst="rect">
                      <a:avLst/>
                    </a:prstGeom>
                    <a:noFill/>
                  </pic:spPr>
                </pic:pic>
              </a:graphicData>
            </a:graphic>
          </wp:anchor>
        </w:drawing>
      </w:r>
    </w:p>
    <w:p>
      <w:pPr>
        <w:spacing w:after="0" w:line="54" w:lineRule="exact"/>
        <w:rPr>
          <w:sz w:val="20"/>
          <w:szCs w:val="20"/>
          <w:color w:val="auto"/>
        </w:rPr>
      </w:pPr>
    </w:p>
    <w:p>
      <w:pPr>
        <w:ind w:right="660"/>
        <w:spacing w:after="0" w:line="382" w:lineRule="auto"/>
        <w:rPr>
          <w:sz w:val="20"/>
          <w:szCs w:val="20"/>
          <w:color w:val="auto"/>
        </w:rPr>
      </w:pPr>
      <w:r>
        <w:rPr>
          <w:rFonts w:ascii="Arial" w:cs="Arial" w:eastAsia="Arial" w:hAnsi="Arial"/>
          <w:sz w:val="12"/>
          <w:szCs w:val="12"/>
          <w:i w:val="1"/>
          <w:iCs w:val="1"/>
          <w:color w:val="auto"/>
        </w:rPr>
        <w:t xml:space="preserve">Chief Executive Officer </w:t>
      </w:r>
      <w:r>
        <w:rPr>
          <w:rFonts w:ascii="Arial" w:cs="Arial" w:eastAsia="Arial" w:hAnsi="Arial"/>
          <w:sz w:val="12"/>
          <w:szCs w:val="12"/>
          <w:b w:val="1"/>
          <w:bCs w:val="1"/>
          <w:color w:val="auto"/>
        </w:rPr>
        <w:t>Committees: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519" w:lineRule="exact"/>
        <w:rPr>
          <w:sz w:val="20"/>
          <w:szCs w:val="20"/>
          <w:color w:val="auto"/>
        </w:rPr>
      </w:pPr>
    </w:p>
    <w:p>
      <w:pPr>
        <w:sectPr>
          <w:pgSz w:w="11900" w:h="16838" w:orient="portrait"/>
          <w:cols w:equalWidth="0" w:num="2">
            <w:col w:w="7380" w:space="220"/>
            <w:col w:w="1880"/>
          </w:cols>
          <w:pgMar w:left="1080" w:top="305" w:right="1339" w:bottom="1440" w:gutter="0" w:footer="0" w:header="0"/>
          <w:type w:val="continuous"/>
        </w:sectPr>
      </w:pPr>
    </w:p>
    <w:p>
      <w:pPr>
        <w:jc w:val="both"/>
        <w:spacing w:after="0" w:line="250" w:lineRule="auto"/>
        <w:rPr>
          <w:sz w:val="20"/>
          <w:szCs w:val="20"/>
          <w:color w:val="auto"/>
        </w:rPr>
      </w:pPr>
      <w:r>
        <w:rPr>
          <w:rFonts w:ascii="Arial" w:cs="Arial" w:eastAsia="Arial" w:hAnsi="Arial"/>
          <w:sz w:val="14"/>
          <w:szCs w:val="14"/>
          <w:b w:val="1"/>
          <w:bCs w:val="1"/>
          <w:color w:val="auto"/>
        </w:rPr>
        <w:t>Martin H. Nesbitt</w:t>
      </w:r>
      <w:r>
        <w:rPr>
          <w:rFonts w:ascii="Arial" w:cs="Arial" w:eastAsia="Arial" w:hAnsi="Arial"/>
          <w:sz w:val="14"/>
          <w:szCs w:val="14"/>
          <w:color w:val="auto"/>
        </w:rPr>
        <w:t>, age 58, has been a director since April 2018. Since 2013, Mr. Nesbitt has served as Co-Chief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of The Vistria Group, LLC, a Chicago-based investment firm focused on the education, healthcare and financial services industries. Prior to co-founding Vistria, Mr. Nesbitt served as Chief Executive Officer of PRG Parking Management (known as The Parking Spot), an owner and operator of off-airport parking facilities, from 1996 to 2012. Prior to The Parking Spot, Mr. Nesbitt also served as officer of the Pritzker Realty Group, L.P. and as Vice President and Investment Manager at LaSalle Partners, with a variety of responsibilities including investment management for regional retail properties. Mr. Nesbitt has served on the Boards of Directors of Jones Lang LaSalle since 2011, American Airlines Group, Inc. since 2015 and Chewy, Inc. since 2020. He is a Trustee of Chicago’s Museum of Contemporary Art and serves as Chairman of the Barack Obama Foundation. He previously served as a director of Norfolk Southern Corporation from 2013 to May 2019.</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0061AF"/>
        </w:rPr>
        <w:t>The Board determined that Mr. Nesbitt should be nominated for election as a director due to his extensive financial, strategic and operational experience as chief executive officer and founder of various companies. The Board also values his expertise in executive leadership and his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hanging="391"/>
        <w:spacing w:after="0"/>
        <w:tabs>
          <w:tab w:leader="none" w:pos="400" w:val="left"/>
        </w:tabs>
        <w:numPr>
          <w:ilvl w:val="0"/>
          <w:numId w:val="13"/>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40"/>
        <w:spacing w:after="0" w:line="384" w:lineRule="auto"/>
        <w:rPr>
          <w:sz w:val="20"/>
          <w:szCs w:val="20"/>
          <w:color w:val="auto"/>
        </w:rPr>
      </w:pPr>
      <w:r>
        <w:rPr>
          <w:rFonts w:ascii="Arial" w:cs="Arial" w:eastAsia="Arial" w:hAnsi="Arial"/>
          <w:sz w:val="12"/>
          <w:szCs w:val="12"/>
          <w:b w:val="1"/>
          <w:bCs w:val="1"/>
          <w:color w:val="auto"/>
        </w:rPr>
        <w:t>Independent Director Nominee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-338455</wp:posOffset>
            </wp:positionV>
            <wp:extent cx="1412875" cy="4984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2875" cy="49847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Compensation, Governance (Chair)</w:t>
      </w:r>
    </w:p>
    <w:p>
      <w:pPr>
        <w:sectPr>
          <w:pgSz w:w="11900" w:h="16838" w:orient="portrait"/>
          <w:cols w:equalWidth="0" w:num="2">
            <w:col w:w="7380" w:space="220"/>
            <w:col w:w="1880"/>
          </w:cols>
          <w:pgMar w:left="1080" w:top="305" w:right="1339" w:bottom="1440" w:gutter="0" w:footer="0" w:header="0"/>
          <w:type w:val="continuous"/>
        </w:sectPr>
      </w:pPr>
    </w:p>
    <w:bookmarkStart w:id="16" w:name="page17"/>
    <w:bookmarkEnd w:id="16"/>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THEODORE F.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3906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66485" cy="1390650"/>
                    </a:xfrm>
                    <a:prstGeom prst="rect">
                      <a:avLst/>
                    </a:prstGeom>
                    <a:noFill/>
                  </pic:spPr>
                </pic:pic>
              </a:graphicData>
            </a:graphic>
          </wp:anchor>
        </w:drawing>
      </w:r>
    </w:p>
    <w:p>
      <w:pPr>
        <w:spacing w:after="0" w:line="2" w:lineRule="exact"/>
        <w:rPr>
          <w:sz w:val="20"/>
          <w:szCs w:val="20"/>
          <w:color w:val="auto"/>
        </w:rPr>
      </w:pPr>
    </w:p>
    <w:p>
      <w:pPr>
        <w:jc w:val="both"/>
        <w:ind w:right="2340"/>
        <w:spacing w:after="0" w:line="250" w:lineRule="auto"/>
        <w:rPr>
          <w:sz w:val="20"/>
          <w:szCs w:val="20"/>
          <w:color w:val="auto"/>
        </w:rPr>
      </w:pPr>
      <w:r>
        <w:rPr>
          <w:rFonts w:ascii="Arial" w:cs="Arial" w:eastAsia="Arial" w:hAnsi="Arial"/>
          <w:sz w:val="14"/>
          <w:szCs w:val="14"/>
          <w:b w:val="1"/>
          <w:bCs w:val="1"/>
          <w:color w:val="auto"/>
        </w:rPr>
        <w:t>Theodore F. Pound</w:t>
      </w:r>
      <w:r>
        <w:rPr>
          <w:rFonts w:ascii="Arial" w:cs="Arial" w:eastAsia="Arial" w:hAnsi="Arial"/>
          <w:sz w:val="14"/>
          <w:szCs w:val="14"/>
          <w:color w:val="auto"/>
        </w:rPr>
        <w:t>, age 66, has been a director since April 2015. Mr. Pound is a private investor and attorney. He</w:t>
      </w:r>
      <w:r>
        <w:rPr>
          <w:rFonts w:ascii="Arial" w:cs="Arial" w:eastAsia="Arial" w:hAnsi="Arial"/>
          <w:sz w:val="14"/>
          <w:szCs w:val="14"/>
          <w:b w:val="1"/>
          <w:bCs w:val="1"/>
          <w:color w:val="auto"/>
        </w:rPr>
        <w:t xml:space="preserve"> </w:t>
      </w:r>
      <w:r>
        <w:rPr>
          <w:rFonts w:ascii="Arial" w:cs="Arial" w:eastAsia="Arial" w:hAnsi="Arial"/>
          <w:sz w:val="14"/>
          <w:szCs w:val="14"/>
          <w:color w:val="auto"/>
        </w:rPr>
        <w:t>served as Vice President, General Counsel and Corporate Secretary of Select Energy Services, LLC, a private company providing water solutions and well-site services to energy producers, from January 2013 to January 2016. He previously served as Vice President, General Counsel and Secretary of Allis-Chalmers Energy, Inc., a publicly traded oilfield services company, from September 2004 to March 2011, when it was acquired by Seawall Limited. Mr. Pound has practiced law in Texas for nearly 40 years, primarily in the areas of mergers and acquisitions, corporate finance, securities, compliance and governance.</w:t>
      </w:r>
    </w:p>
    <w:p>
      <w:pPr>
        <w:spacing w:after="0" w:line="85" w:lineRule="exact"/>
        <w:rPr>
          <w:sz w:val="20"/>
          <w:szCs w:val="20"/>
          <w:color w:val="auto"/>
        </w:rPr>
      </w:pPr>
    </w:p>
    <w:p>
      <w:pPr>
        <w:jc w:val="both"/>
        <w:ind w:right="2340"/>
        <w:spacing w:after="0" w:line="266" w:lineRule="auto"/>
        <w:rPr>
          <w:sz w:val="20"/>
          <w:szCs w:val="20"/>
          <w:color w:val="auto"/>
        </w:rPr>
      </w:pPr>
      <w:r>
        <w:rPr>
          <w:rFonts w:ascii="Arial" w:cs="Arial" w:eastAsia="Arial" w:hAnsi="Arial"/>
          <w:sz w:val="14"/>
          <w:szCs w:val="14"/>
          <w:i w:val="1"/>
          <w:iCs w:val="1"/>
          <w:color w:val="0061AF"/>
        </w:rPr>
        <w:t>The Board determined that Mr. Pound should be nominated for election as a director due to his extensive legal, compliance and corporate governance expertise and his nearly 40 years of experience in advising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204470</wp:posOffset>
            </wp:positionV>
            <wp:extent cx="1412875" cy="4984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12875" cy="498475"/>
                    </a:xfrm>
                    <a:prstGeom prst="rect">
                      <a:avLst/>
                    </a:prstGeom>
                    <a:noFill/>
                  </pic:spPr>
                </pic:pic>
              </a:graphicData>
            </a:graphic>
          </wp:anchor>
        </w:drawing>
      </w:r>
    </w:p>
    <w:p>
      <w:pPr>
        <w:spacing w:after="0" w:line="394" w:lineRule="exact"/>
        <w:rPr>
          <w:sz w:val="20"/>
          <w:szCs w:val="20"/>
          <w:color w:val="auto"/>
        </w:rPr>
      </w:pPr>
    </w:p>
    <w:p>
      <w:pPr>
        <w:ind w:left="7600"/>
        <w:spacing w:after="0"/>
        <w:rPr>
          <w:sz w:val="20"/>
          <w:szCs w:val="20"/>
          <w:color w:val="auto"/>
        </w:rPr>
      </w:pPr>
      <w:r>
        <w:rPr>
          <w:rFonts w:ascii="Arial" w:cs="Arial" w:eastAsia="Arial" w:hAnsi="Arial"/>
          <w:sz w:val="12"/>
          <w:szCs w:val="12"/>
          <w:b w:val="1"/>
          <w:bCs w:val="1"/>
          <w:color w:val="auto"/>
        </w:rPr>
        <w:t>Independent Director Nominee</w:t>
      </w:r>
    </w:p>
    <w:p>
      <w:pPr>
        <w:spacing w:after="0" w:line="100" w:lineRule="exact"/>
        <w:rPr>
          <w:sz w:val="20"/>
          <w:szCs w:val="20"/>
          <w:color w:val="auto"/>
        </w:rPr>
      </w:pPr>
    </w:p>
    <w:p>
      <w:pPr>
        <w:ind w:left="7600"/>
        <w:spacing w:after="0"/>
        <w:rPr>
          <w:sz w:val="20"/>
          <w:szCs w:val="20"/>
          <w:color w:val="auto"/>
        </w:rPr>
      </w:pPr>
      <w:r>
        <w:rPr>
          <w:rFonts w:ascii="Arial" w:cs="Arial" w:eastAsia="Arial" w:hAnsi="Arial"/>
          <w:sz w:val="12"/>
          <w:szCs w:val="12"/>
          <w:b w:val="1"/>
          <w:bCs w:val="1"/>
          <w:color w:val="auto"/>
        </w:rPr>
        <w:t>Committees:</w:t>
      </w:r>
    </w:p>
    <w:p>
      <w:pPr>
        <w:spacing w:after="0" w:line="66" w:lineRule="exact"/>
        <w:rPr>
          <w:sz w:val="20"/>
          <w:szCs w:val="20"/>
          <w:color w:val="auto"/>
        </w:rPr>
      </w:pPr>
    </w:p>
    <w:p>
      <w:pPr>
        <w:ind w:left="7600"/>
        <w:spacing w:after="0"/>
        <w:rPr>
          <w:sz w:val="20"/>
          <w:szCs w:val="20"/>
          <w:color w:val="auto"/>
        </w:rPr>
      </w:pPr>
      <w:r>
        <w:rPr>
          <w:rFonts w:ascii="Arial" w:cs="Arial" w:eastAsia="Arial" w:hAnsi="Arial"/>
          <w:sz w:val="12"/>
          <w:szCs w:val="12"/>
          <w:color w:val="auto"/>
        </w:rPr>
        <w:t>Compensation (Chair), Audit</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PHILLIP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3906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66485" cy="1390650"/>
                    </a:xfrm>
                    <a:prstGeom prst="rect">
                      <a:avLst/>
                    </a:prstGeom>
                    <a:noFill/>
                  </pic:spPr>
                </pic:pic>
              </a:graphicData>
            </a:graphic>
          </wp:anchor>
        </w:drawing>
      </w:r>
    </w:p>
    <w:p>
      <w:pPr>
        <w:spacing w:after="0" w:line="2" w:lineRule="exact"/>
        <w:rPr>
          <w:sz w:val="20"/>
          <w:szCs w:val="20"/>
          <w:color w:val="auto"/>
        </w:rPr>
      </w:pPr>
    </w:p>
    <w:p>
      <w:pPr>
        <w:jc w:val="both"/>
        <w:ind w:right="2340"/>
        <w:spacing w:after="0" w:line="250" w:lineRule="auto"/>
        <w:rPr>
          <w:sz w:val="20"/>
          <w:szCs w:val="20"/>
          <w:color w:val="auto"/>
        </w:rPr>
      </w:pPr>
      <w:r>
        <w:rPr>
          <w:rFonts w:ascii="Arial" w:cs="Arial" w:eastAsia="Arial" w:hAnsi="Arial"/>
          <w:sz w:val="14"/>
          <w:szCs w:val="14"/>
          <w:b w:val="1"/>
          <w:bCs w:val="1"/>
          <w:color w:val="auto"/>
        </w:rPr>
        <w:t>Phillip R. Smith</w:t>
      </w:r>
      <w:r>
        <w:rPr>
          <w:rFonts w:ascii="Arial" w:cs="Arial" w:eastAsia="Arial" w:hAnsi="Arial"/>
          <w:sz w:val="14"/>
          <w:szCs w:val="14"/>
          <w:color w:val="auto"/>
        </w:rPr>
        <w:t>, age 69, has been a director since March 2014. Since December 2019, Mr. Smith has been</w:t>
      </w:r>
      <w:r>
        <w:rPr>
          <w:rFonts w:ascii="Arial" w:cs="Arial" w:eastAsia="Arial" w:hAnsi="Arial"/>
          <w:sz w:val="14"/>
          <w:szCs w:val="14"/>
          <w:b w:val="1"/>
          <w:bCs w:val="1"/>
          <w:color w:val="auto"/>
        </w:rPr>
        <w:t xml:space="preserve"> </w:t>
      </w:r>
      <w:r>
        <w:rPr>
          <w:rFonts w:ascii="Arial" w:cs="Arial" w:eastAsia="Arial" w:hAnsi="Arial"/>
          <w:sz w:val="14"/>
          <w:szCs w:val="14"/>
          <w:color w:val="auto"/>
        </w:rPr>
        <w:t>President and Chief Executive Officer of Marathon-Sparta Holdings, Inc., a private company involved in non-healthcare related employee benefits programs and affiliated through common ownership with Torch Energy Advisors, Inc., a private energy company with interests in oil, gas and renewable energy, where he served as President and Chief Executive Officer from January 2013 through December 2019. Prior to joining Torch, Mr. Smith was a partner with KPMG LLP from 2002 to 2012. Mr. Smith also served on the Board of Directors and as audit committee chair for Oilstone Energy Services, Inc., a position he held from October 2014 to June 2016.</w:t>
      </w:r>
    </w:p>
    <w:p>
      <w:pPr>
        <w:spacing w:after="0" w:line="85" w:lineRule="exact"/>
        <w:rPr>
          <w:sz w:val="20"/>
          <w:szCs w:val="20"/>
          <w:color w:val="auto"/>
        </w:rPr>
      </w:pPr>
    </w:p>
    <w:p>
      <w:pPr>
        <w:jc w:val="both"/>
        <w:ind w:right="2340"/>
        <w:spacing w:after="0" w:line="260" w:lineRule="auto"/>
        <w:rPr>
          <w:sz w:val="20"/>
          <w:szCs w:val="20"/>
          <w:color w:val="auto"/>
        </w:rPr>
      </w:pPr>
      <w:r>
        <w:rPr>
          <w:rFonts w:ascii="Arial" w:cs="Arial" w:eastAsia="Arial" w:hAnsi="Arial"/>
          <w:sz w:val="14"/>
          <w:szCs w:val="14"/>
          <w:i w:val="1"/>
          <w:iCs w:val="1"/>
          <w:color w:val="0061AF"/>
        </w:rPr>
        <w:t>The Board determined that Mr. Smith should be nominated for election as a director due to his over 40 years of business, financial and accounting experience, including a 25-year partner career with international accounting firms managing engagements of large and complex multi-national companies with extensive audit committee and board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101600</wp:posOffset>
            </wp:positionV>
            <wp:extent cx="1412875" cy="498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2875" cy="498475"/>
                    </a:xfrm>
                    <a:prstGeom prst="rect">
                      <a:avLst/>
                    </a:prstGeom>
                    <a:noFill/>
                  </pic:spPr>
                </pic:pic>
              </a:graphicData>
            </a:graphic>
          </wp:anchor>
        </w:drawing>
      </w:r>
    </w:p>
    <w:p>
      <w:pPr>
        <w:spacing w:after="0" w:line="232" w:lineRule="exact"/>
        <w:rPr>
          <w:sz w:val="20"/>
          <w:szCs w:val="20"/>
          <w:color w:val="auto"/>
        </w:rPr>
      </w:pPr>
    </w:p>
    <w:p>
      <w:pPr>
        <w:ind w:left="7600"/>
        <w:spacing w:after="0"/>
        <w:rPr>
          <w:sz w:val="20"/>
          <w:szCs w:val="20"/>
          <w:color w:val="auto"/>
        </w:rPr>
      </w:pPr>
      <w:r>
        <w:rPr>
          <w:rFonts w:ascii="Arial" w:cs="Arial" w:eastAsia="Arial" w:hAnsi="Arial"/>
          <w:sz w:val="12"/>
          <w:szCs w:val="12"/>
          <w:b w:val="1"/>
          <w:bCs w:val="1"/>
          <w:color w:val="auto"/>
        </w:rPr>
        <w:t>Independent Director Nominee</w:t>
      </w:r>
    </w:p>
    <w:p>
      <w:pPr>
        <w:spacing w:after="0" w:line="100" w:lineRule="exact"/>
        <w:rPr>
          <w:sz w:val="20"/>
          <w:szCs w:val="20"/>
          <w:color w:val="auto"/>
        </w:rPr>
      </w:pPr>
    </w:p>
    <w:p>
      <w:pPr>
        <w:ind w:left="7600"/>
        <w:spacing w:after="0"/>
        <w:rPr>
          <w:sz w:val="20"/>
          <w:szCs w:val="20"/>
          <w:color w:val="auto"/>
        </w:rPr>
      </w:pPr>
      <w:r>
        <w:rPr>
          <w:rFonts w:ascii="Arial" w:cs="Arial" w:eastAsia="Arial" w:hAnsi="Arial"/>
          <w:sz w:val="12"/>
          <w:szCs w:val="12"/>
          <w:b w:val="1"/>
          <w:bCs w:val="1"/>
          <w:color w:val="auto"/>
        </w:rPr>
        <w:t>Committees:</w:t>
      </w:r>
    </w:p>
    <w:p>
      <w:pPr>
        <w:spacing w:after="0" w:line="66" w:lineRule="exact"/>
        <w:rPr>
          <w:sz w:val="20"/>
          <w:szCs w:val="20"/>
          <w:color w:val="auto"/>
        </w:rPr>
      </w:pPr>
    </w:p>
    <w:p>
      <w:pPr>
        <w:ind w:left="7600"/>
        <w:spacing w:after="0"/>
        <w:rPr>
          <w:sz w:val="20"/>
          <w:szCs w:val="20"/>
          <w:color w:val="auto"/>
        </w:rPr>
      </w:pPr>
      <w:r>
        <w:rPr>
          <w:rFonts w:ascii="Arial" w:cs="Arial" w:eastAsia="Arial" w:hAnsi="Arial"/>
          <w:sz w:val="12"/>
          <w:szCs w:val="12"/>
          <w:color w:val="auto"/>
        </w:rPr>
        <w:t>Audit (Chair), Governance</w:t>
      </w:r>
    </w:p>
    <w:p>
      <w:pPr>
        <w:spacing w:after="0" w:line="333"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17" w:name="page18"/>
    <w:bookmarkEnd w:id="1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Item 1: Election of Directors (continued)</w:t>
      </w:r>
    </w:p>
    <w:p>
      <w:pPr>
        <w:sectPr>
          <w:pgSz w:w="11900" w:h="16838" w:orient="portrait"/>
          <w:cols w:equalWidth="0" w:num="1">
            <w:col w:w="9720"/>
          </w:cols>
          <w:pgMar w:left="1080" w:top="305" w:right="1099" w:bottom="1440" w:gutter="0" w:footer="0" w:header="0"/>
        </w:sectPr>
      </w:pPr>
    </w:p>
    <w:p>
      <w:pPr>
        <w:spacing w:after="0" w:line="11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61AF"/>
        </w:rPr>
        <w:t>BARRY T. SMITHERMAN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166485" cy="1206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66485" cy="120650"/>
                    </a:xfrm>
                    <a:prstGeom prst="rect">
                      <a:avLst/>
                    </a:prstGeom>
                    <a:noFill/>
                  </pic:spPr>
                </pic:pic>
              </a:graphicData>
            </a:graphic>
          </wp:anchor>
        </w:drawing>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Barry T. Smitherman</w:t>
      </w:r>
      <w:r>
        <w:rPr>
          <w:rFonts w:ascii="Arial" w:cs="Arial" w:eastAsia="Arial" w:hAnsi="Arial"/>
          <w:sz w:val="14"/>
          <w:szCs w:val="14"/>
          <w:color w:val="auto"/>
        </w:rPr>
        <w:t>, age 63, has been a director since May 2020. Since January 2017, Mr. Smitherman has</w:t>
      </w:r>
      <w:r>
        <w:rPr>
          <w:rFonts w:ascii="Arial" w:cs="Arial" w:eastAsia="Arial" w:hAnsi="Arial"/>
          <w:sz w:val="14"/>
          <w:szCs w:val="14"/>
          <w:b w:val="1"/>
          <w:bCs w:val="1"/>
          <w:color w:val="auto"/>
        </w:rPr>
        <w:t xml:space="preserve"> </w:t>
      </w:r>
      <w:r>
        <w:rPr>
          <w:rFonts w:ascii="Arial" w:cs="Arial" w:eastAsia="Arial" w:hAnsi="Arial"/>
          <w:sz w:val="14"/>
          <w:szCs w:val="14"/>
          <w:color w:val="auto"/>
        </w:rPr>
        <w:t>served as President and principal attorney of Barry Smitherman, P.C., a law firm specializing in water, electric and natural gas utilities, and as the managing partner of Smitherman + Associates, L.P., a firm providing consulting services to infrastructure related entities, since January 2017. Mr. Smitherman is also an adjunct professor at The University of Texas School of Law where he teaches courses in Texas energy law. He previously served as a partner in the energy regulatory practice at Vinson &amp; Elkins LLP, an international law firm, from March 2015 to January 2017. He previously served on the Railroad Commission of Texas, a state agency that oversees the oil, natural gas, pipeline and natural gas utility industries in Texas, from July 2011 through January 2015; he was its chairman from February 2012 to August 2014. Mr. Smitherman also served on the Public Utility Commission of Texas, a state agency that regulates the electric, water and landline telecommunications industries in Texas, from April 2004 through July 2011; he was its chairman from November 2007 through July 2011. Over this time period, Mr. Smitherman served two terms on the U.S. Department of Energy Electricity Advisory Committee, on the board of directors of the National Association of Regulatory Utility Commissioners (NARUC), including as Chairman of its gas committee, on the Electric Reliability Council of Texas (ERCOT) board of directors and on the regional state committee of the Southwest Power Pool (SPP). Prior to public service, Mr. Smitherman spent 16 years as an investment banker, holding leadership roles with First Boston, J.P. Morgan Securities and Banc One Capital Markets (as National Head of Public Finance). Mr. Smitherman currently serves as Chairman of the Brookwood in Georgetown board of directors, a non-profit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Independent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-1483360</wp:posOffset>
            </wp:positionV>
            <wp:extent cx="1412875" cy="18364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12875" cy="183642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Committees: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Finance, Governance</w:t>
      </w:r>
    </w:p>
    <w:p>
      <w:pPr>
        <w:spacing w:after="0" w:line="261" w:lineRule="exact"/>
        <w:rPr>
          <w:sz w:val="20"/>
          <w:szCs w:val="20"/>
          <w:color w:val="auto"/>
        </w:rPr>
      </w:pPr>
    </w:p>
    <w:p>
      <w:pPr>
        <w:sectPr>
          <w:pgSz w:w="11900" w:h="16838" w:orient="portrait"/>
          <w:cols w:equalWidth="0" w:num="2">
            <w:col w:w="7380" w:space="220"/>
            <w:col w:w="2120"/>
          </w:cols>
          <w:pgMar w:left="1080" w:top="305" w:right="1099" w:bottom="1440" w:gutter="0" w:footer="0" w:header="0"/>
          <w:type w:val="continuous"/>
        </w:sectPr>
      </w:pPr>
    </w:p>
    <w:p>
      <w:pPr>
        <w:spacing w:after="0" w:line="52" w:lineRule="exact"/>
        <w:rPr>
          <w:sz w:val="20"/>
          <w:szCs w:val="20"/>
          <w:color w:val="auto"/>
        </w:rPr>
      </w:pPr>
    </w:p>
    <w:p>
      <w:pPr>
        <w:jc w:val="both"/>
        <w:ind w:right="2340"/>
        <w:spacing w:after="0" w:line="226" w:lineRule="auto"/>
        <w:rPr>
          <w:sz w:val="20"/>
          <w:szCs w:val="20"/>
          <w:color w:val="auto"/>
        </w:rPr>
      </w:pPr>
      <w:r>
        <w:rPr>
          <w:rFonts w:ascii="Arial" w:cs="Arial" w:eastAsia="Arial" w:hAnsi="Arial"/>
          <w:sz w:val="14"/>
          <w:szCs w:val="14"/>
          <w:i w:val="1"/>
          <w:iCs w:val="1"/>
          <w:color w:val="0061AF"/>
        </w:rPr>
        <w:t>The Board determined that Mr. Smitherman should be nominated for election as a director due to his extensive expertise with public utilities and the regulatory process from his service with federal and state regulatory authorities, including as chairman of both the Public Utility Commission of Texas and the Texas Railroad Commission, as well as his extensive legal experience and financial acumen.</w:t>
      </w:r>
    </w:p>
    <w:p>
      <w:pPr>
        <w:ind w:left="1160"/>
        <w:spacing w:after="0"/>
        <w:rPr>
          <w:sz w:val="20"/>
          <w:szCs w:val="20"/>
          <w:color w:val="auto"/>
        </w:rPr>
      </w:pPr>
      <w:r>
        <w:rPr>
          <w:rFonts w:ascii="Arial" w:cs="Arial" w:eastAsia="Arial" w:hAnsi="Arial"/>
          <w:sz w:val="16"/>
          <w:szCs w:val="16"/>
          <w:b w:val="1"/>
          <w:bCs w:val="1"/>
          <w:color w:val="0061AF"/>
        </w:rPr>
        <w:t>The Board of Directors recommends a vote FOR the election of each of the nominees as directors.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616648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12"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assessing the qualifications of candidates for nomination as director in addition to qualifications set forth in our bylaws, the Governance Committee and the Board consider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6173470" cy="951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3470" cy="951865"/>
                    </a:xfrm>
                    <a:prstGeom prst="rect">
                      <a:avLst/>
                    </a:prstGeom>
                    <a:noFill/>
                  </pic:spPr>
                </pic:pic>
              </a:graphicData>
            </a:graphic>
          </wp:anchor>
        </w:drawing>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nominee’s personal and professional integrity, experience, reputation and skills;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nominee’s ability and willingness to devote the time and effort necessary to be an effective board member;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nominee’s commitment to act in the best interests of CenterPoint Energy and its shareholders;</w:t>
      </w:r>
    </w:p>
    <w:p>
      <w:pPr>
        <w:spacing w:after="0" w:line="42" w:lineRule="exact"/>
        <w:rPr>
          <w:sz w:val="20"/>
          <w:szCs w:val="20"/>
          <w:color w:val="auto"/>
        </w:rPr>
      </w:pPr>
    </w:p>
    <w:p>
      <w:pPr>
        <w:ind w:left="140" w:right="580"/>
        <w:spacing w:after="0"/>
        <w:rPr>
          <w:sz w:val="20"/>
          <w:szCs w:val="20"/>
          <w:color w:val="auto"/>
        </w:rPr>
      </w:pPr>
      <w:r>
        <w:rPr>
          <w:rFonts w:ascii="Arial" w:cs="Arial" w:eastAsia="Arial" w:hAnsi="Arial"/>
          <w:sz w:val="16"/>
          <w:szCs w:val="16"/>
          <w:color w:val="auto"/>
        </w:rPr>
        <w:t>The requirements under the listing standards of the New York Stock Exchange for a majority of independent directors, as well as qualifications applicable to membership on Board committees under the listing standards and various regulations; and</w:t>
      </w:r>
    </w:p>
    <w:p>
      <w:pPr>
        <w:spacing w:after="0" w:line="37" w:lineRule="exact"/>
        <w:rPr>
          <w:sz w:val="20"/>
          <w:szCs w:val="20"/>
          <w:color w:val="auto"/>
        </w:rPr>
      </w:pPr>
    </w:p>
    <w:p>
      <w:pPr>
        <w:ind w:left="140" w:right="840"/>
        <w:spacing w:after="0"/>
        <w:rPr>
          <w:sz w:val="20"/>
          <w:szCs w:val="20"/>
          <w:color w:val="auto"/>
        </w:rPr>
      </w:pPr>
      <w:r>
        <w:rPr>
          <w:rFonts w:ascii="Arial" w:cs="Arial" w:eastAsia="Arial" w:hAnsi="Arial"/>
          <w:sz w:val="16"/>
          <w:szCs w:val="16"/>
          <w:color w:val="auto"/>
        </w:rPr>
        <w:t>The Board’s desire that the directors possess a broad range of business experience, diversity, professional skills, geographic representation and other qualities it considers important in light of our business plan.</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At least annually, the Governance Committee reviews the overall composition of the Board, including the skills represented by incumbent directors, and the need for Board refreshment or expansion. The Board evaluates the makeup of its membership in the context of the Board as a whole, with the objective of recommending a group that (i) can effectively work together using its diversity of experience, skills, perspectives and backgrounds to see that the Company is well-managed with a focus of achieving the Company’s long-term business strategy and (ii) represents the interests of the Company and its shareholders. In seeking new director candidates, the Governance Committee and the Board consider the skills, expertise and qualities that will be required to effectively oversee management of the</w:t>
      </w:r>
    </w:p>
    <w:p>
      <w:pPr>
        <w:spacing w:after="0" w:line="168" w:lineRule="exact"/>
        <w:rPr>
          <w:sz w:val="20"/>
          <w:szCs w:val="20"/>
          <w:color w:val="auto"/>
        </w:rPr>
      </w:pPr>
    </w:p>
    <w:p>
      <w:pPr>
        <w:ind w:left="400" w:hanging="391"/>
        <w:spacing w:after="0"/>
        <w:tabs>
          <w:tab w:leader="none" w:pos="400" w:val="left"/>
        </w:tabs>
        <w:numPr>
          <w:ilvl w:val="0"/>
          <w:numId w:val="14"/>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type w:val="continuous"/>
        </w:sectPr>
      </w:pPr>
    </w:p>
    <w:bookmarkStart w:id="18" w:name="page19"/>
    <w:bookmarkEnd w:id="1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business and affairs of the Company. The Governance Committee and the Board also consider the diversity of the Board in terms of the geographic, gender, age and ethnic makeup of its members. The Board believes that a diverse membership enhances the Board’s deliberations and promotes inclusiveness.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Suggestions for potential nominees for director can come to the Governance Committee from a number of sources, including incumbent directors, officers, executive search firms and others. If an executive search firm is engaged for this purpose, the Governance Committee has sole authority with respect to the engagement. The Governance Committee will also consider director candidates recommended by shareholders. The extent to which the Governance Committee dedicates time and resources to the consideration and evaluation of any potential nominee brought to its attention depends on the information available to the Committee about the qualifications and suitability of the individual, viewed in light of the needs of the Board, and is at the Committee’s discretion. The Governance Committee and the Board evaluate the desirability for incumbent directors to continue on the Board following the expiration of their respective terms, taking into account their contributions as Board members, the benefit that results from increasing insight and experience developed over a period of time and the skills needed to achieve the Company’s long-term business strategy.</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On May 6, 2020, the Company entered into a governance arrangement agreement with Elliott International, L.P. and Elliott Associates, L.P., pursuant to which the Company agreed to appoint Messrs. Lesar and Smitherman as directors to further bolster the composition of the Board with their leadership experience and skillsets tailored for the Company’s opportunities, including service on the Business Review and Evaluation Committee. Messrs. Lesar and Smitherman were each elected to a vacant seat on the Board effective May 6, 2020. Additionally, in connection with the Board’s ongoing refreshment process, Mr. Cummings and Ms. Cloonan were identified as director candidates and recommended to the Board by Messrs. Lesar and Carroll, respectively. The Governance Committee evaluated and recommended their appointment to the Board. The Board elected Mr. Cummings and Ms. Cloonan to the Board effective July 1, 2020 and February 19, 2021, respectively. Following the Annual Meeting, the Board expects to reduce the size of the Board to nine directors.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Our bylaws provide that a shareholder may nominate a director for election if the shareholder sends a notice to our Corporate Secretary, which must be received at our principal executive offices between October 25, 2021 and January 23, 2022. The bylaws require that the notice must contain prescribed information, including, among other things, the name and address of the shareholder, the number of shares owned beneficially by the shareholder, the name and address of each of the persons with whom the shareholder is acting in concert, the number of shares of capital stock beneficially owned by each such person with whom the shareholder is acting in concert, and a description of all arrangements or understandings between the shareholder and each nominee and any other persons with whom the shareholder is acting in concert pursuant to which the nomination or nominations are made, as well as other procedural requirements. The shareholder must also provide the documentation and information about the nominee required by our bylaws, including information about the nominee that would be required to be disclosed in the proxy statement. If any of the foregoing information changes or requires supplementation, the proponent must update the information at the times provided in our bylaws. Except as required under the proxy access provisions of our bylaws, CenterPoint Energy is not required to include any shareholder proposed nominee in the proxy statement. You may obtain a copy of the bylaws describing the requirements for nomination of director candidates by shareholders on our website at </w:t>
      </w:r>
      <w:r>
        <w:rPr>
          <w:rFonts w:ascii="Arial" w:cs="Arial" w:eastAsia="Arial" w:hAnsi="Arial"/>
          <w:sz w:val="16"/>
          <w:szCs w:val="16"/>
          <w:i w:val="1"/>
          <w:iCs w:val="1"/>
          <w:color w:val="auto"/>
        </w:rPr>
        <w:t>https://investors.centerpointenergy.com/governance</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Proxy Access Requirements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February 2017, we proactively adopted amendments to our bylaws to implement proxy access for our shareholders. These proxy access amendments permit a nominating group of up to 20 shareholders owning three percent or more of our common stock continuously for at least three years to nominate and include in our proxy materials for an annual meeting of shareholders director candidates constituting up to the greater of (i) 20 percent (or if such amount is not a whole number, the closest whole number below 20 percent) of our Board or (ii) two, provided that the shareholder (or group) and each nominee satisfy the requirements specified in our bylaws. An eligible shareholder wishing to</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19" w:name="page20"/>
    <w:bookmarkEnd w:id="1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nominate a candidate for election to the Board at the 2022 annual meeting of our shareholders, in accordance with the proxy access provisions in our bylaws, must provide such notice no earlier than November 24, 2021 and no later than December 24, 2021. Any such notice and accompanying nomination materials must meet the requirements set forth in our bylaws, which are publicly available at </w:t>
      </w:r>
      <w:r>
        <w:rPr>
          <w:rFonts w:ascii="Arial" w:cs="Arial" w:eastAsia="Arial" w:hAnsi="Arial"/>
          <w:sz w:val="16"/>
          <w:szCs w:val="16"/>
          <w:i w:val="1"/>
          <w:iCs w:val="1"/>
          <w:color w:val="auto"/>
        </w:rPr>
        <w:t>http://investors.centerpointenergy.com/governance</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Annual Board Self-Assessment and Director Peer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Board of Directors conducts a self-assessment of its performance and effectiveness as well as that of the four standing committees on an annual basis. The purpose of the self-assessment is to track progress from year to year and to identify ways to enhance the Board’s and its Committees’ effectiveness. Further, the Board of Directors, as part of its self-assessment, evaluates management’s preparation for Board and Committee meetings and the content presented at such meetings. As part of the assessment, each director completes a written questionnaire developed by the Governance Committee to provide feedback on the effectiveness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191770</wp:posOffset>
            </wp:positionV>
            <wp:extent cx="6173470" cy="6045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3470"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Additionally, each director completes an individual evaluation for each of the other directors. The collective ratings and comments of the directors are compiled and presented by Mr. Nesbitt, the chairman of the Governance Committee, or by Mr. Carroll, with respect to Mr. Nesbitt’s evaluation, to the Governance Committee and the full Board for discussion and action in connection with the director nomination process.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616648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Board of Directors determined that Messrs. Cummings, McLean*, Nesbitt, Pound, Smith, Smitherman and Wareing** and Mses. Biddle, Cloonan and Rheney* are independent within the meaning of the listing standards for general independence of the New York Stock Exchange.</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Under the listing standards, a majority of our directors must be independent, and the Audit, Compensation and Governance Committees are each required to be composed solely of independent directors. The standards for audit committee and compensation committee membership include additional requirements under rules of the Securities and Exchange Commission. The Board has determined that all of the members of each of its standing committees meet the applicable independence requirements. The listing standards relating to general independence require an affirmative determination by the Board that the director has no material relationship with the listed company and contain a listing of several specific relationships that preclude independence.</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As contemplated by New York Stock Exchange rules then in effect, the Board adopted categorical standards in 2004 to assist in making determinations of independence. Under the rules then in effect, relationships falling within the categorical standards were not required to be disclosed or separately discussed in the proxy statement in connection with the Board’s independence determinations.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categorical standards cover two types of relationships. The first type involves relationships of the kind addressed in either:</w:t>
      </w:r>
    </w:p>
    <w:p>
      <w:pPr>
        <w:spacing w:after="0" w:line="102" w:lineRule="exact"/>
        <w:rPr>
          <w:sz w:val="20"/>
          <w:szCs w:val="20"/>
          <w:color w:val="auto"/>
        </w:rPr>
      </w:pPr>
    </w:p>
    <w:p>
      <w:pPr>
        <w:ind w:left="380" w:hanging="276"/>
        <w:spacing w:after="0"/>
        <w:tabs>
          <w:tab w:leader="none" w:pos="380" w:val="left"/>
        </w:tabs>
        <w:numPr>
          <w:ilvl w:val="0"/>
          <w:numId w:val="15"/>
        </w:numPr>
        <w:rPr>
          <w:rFonts w:ascii="Arial" w:cs="Arial" w:eastAsia="Arial" w:hAnsi="Arial"/>
          <w:sz w:val="16"/>
          <w:szCs w:val="16"/>
          <w:color w:val="0061AF"/>
        </w:rPr>
      </w:pPr>
      <w:r>
        <w:rPr>
          <w:rFonts w:ascii="Arial" w:cs="Arial" w:eastAsia="Arial" w:hAnsi="Arial"/>
          <w:sz w:val="16"/>
          <w:szCs w:val="16"/>
          <w:color w:val="auto"/>
        </w:rPr>
        <w:t>the rules of the Securities and Exchange Commission requiring proxy statement disclosure of relationships and transactions; or</w:t>
      </w:r>
    </w:p>
    <w:p>
      <w:pPr>
        <w:spacing w:after="0" w:line="101" w:lineRule="exact"/>
        <w:rPr>
          <w:rFonts w:ascii="Arial" w:cs="Arial" w:eastAsia="Arial" w:hAnsi="Arial"/>
          <w:sz w:val="16"/>
          <w:szCs w:val="16"/>
          <w:color w:val="0061AF"/>
        </w:rPr>
      </w:pPr>
    </w:p>
    <w:p>
      <w:pPr>
        <w:ind w:left="380" w:hanging="276"/>
        <w:spacing w:after="0"/>
        <w:tabs>
          <w:tab w:leader="none" w:pos="380" w:val="left"/>
        </w:tabs>
        <w:numPr>
          <w:ilvl w:val="0"/>
          <w:numId w:val="15"/>
        </w:numPr>
        <w:rPr>
          <w:rFonts w:ascii="Arial" w:cs="Arial" w:eastAsia="Arial" w:hAnsi="Arial"/>
          <w:sz w:val="16"/>
          <w:szCs w:val="16"/>
          <w:color w:val="0061AF"/>
        </w:rPr>
      </w:pPr>
      <w:r>
        <w:rPr>
          <w:rFonts w:ascii="Arial" w:cs="Arial" w:eastAsia="Arial" w:hAnsi="Arial"/>
          <w:sz w:val="16"/>
          <w:szCs w:val="16"/>
          <w:color w:val="auto"/>
        </w:rPr>
        <w:t>the New York Stock Exchange listing standards specifying relationships that preclude a determination of independence.</w:t>
      </w:r>
    </w:p>
    <w:p>
      <w:pPr>
        <w:spacing w:after="0" w:line="183" w:lineRule="exact"/>
        <w:rPr>
          <w:sz w:val="20"/>
          <w:szCs w:val="20"/>
          <w:color w:val="auto"/>
        </w:rPr>
      </w:pPr>
    </w:p>
    <w:p>
      <w:pPr>
        <w:ind w:left="400" w:hanging="391"/>
        <w:spacing w:after="0"/>
        <w:tabs>
          <w:tab w:leader="none" w:pos="400" w:val="left"/>
        </w:tabs>
        <w:numPr>
          <w:ilvl w:val="0"/>
          <w:numId w:val="16"/>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20" w:name="page21"/>
    <w:bookmarkEnd w:id="2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those relationships, the categorical standards are met if the relationship neither requires disclosure nor precludes a determination of independence under either set of rules.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second type of relationship is one involving charitable contributions by CenterPoint Energy to an organization in which a director is an executive officer. In that situation, the categorical standards are met if the contributions do not exceed the greater of $1 million or 2% of the organization’s gross revenue in any of the last three years.</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making its subjective determination regarding the independence of Messrs. Cummings, McLean*, Nesbitt, Pound, Smith, Smitherman and Wareing** and Mses. Biddle, Cloonan and Rheney*, the Board reviewed and discussed additional information provided by the directors and the Company with regard to each director’s business and personal activities as they related to the Company and Company management. The Board considered the transactions in the context of the New York Stock Exchange’s objective listing standards, the categorical standards noted above and the additional standards established for members of audit, compensation and governance committees.</w:t>
      </w:r>
    </w:p>
    <w:p>
      <w:pPr>
        <w:spacing w:after="0" w:line="209" w:lineRule="exact"/>
        <w:rPr>
          <w:sz w:val="20"/>
          <w:szCs w:val="20"/>
          <w:color w:val="auto"/>
        </w:rPr>
      </w:pPr>
    </w:p>
    <w:p>
      <w:pPr>
        <w:ind w:right="4080" w:firstLine="9"/>
        <w:spacing w:after="0" w:line="237" w:lineRule="auto"/>
        <w:tabs>
          <w:tab w:leader="none" w:pos="286" w:val="left"/>
        </w:tabs>
        <w:numPr>
          <w:ilvl w:val="0"/>
          <w:numId w:val="17"/>
        </w:numPr>
        <w:rPr>
          <w:rFonts w:ascii="Arial" w:cs="Arial" w:eastAsia="Arial" w:hAnsi="Arial"/>
          <w:sz w:val="13"/>
          <w:szCs w:val="13"/>
          <w:color w:val="auto"/>
        </w:rPr>
      </w:pPr>
      <w:r>
        <w:rPr>
          <w:rFonts w:ascii="Arial" w:cs="Arial" w:eastAsia="Arial" w:hAnsi="Arial"/>
          <w:sz w:val="13"/>
          <w:szCs w:val="13"/>
          <w:color w:val="auto"/>
        </w:rPr>
        <w:t>Mr. McLean and Ms. Rheney will continue to serve on the Board until the 2021 Annual Meeting. ** Mr. Wareing served on the Board until the 2020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Code of Ethics and Ethics and Compliance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have a Code of Ethics for our Chief Executive Officer and Senior Financial Officers, which group consists of our Chief Financial Officer, Chief Accounting Officer, Treasurer and Assistant Controller. We will post information regarding any amendments to, or waivers of, the provisions of this code applicable to these officers at the website location referred to below under “Website Availability of Documents.”</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also have an Ethics and Compliance Code applicable to all directors, officers and employees. This code addresses, among other things, issues required to be addressed by a code of business conduct and ethics under New York Stock Exchange listing standards. Any waivers of this code for executive officers or directors may be made only by the Board of Directors or a committee of the Board and must be promptly disclosed to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2020, no waivers of our Code of Ethics or our Ethics and Compliance Code were granted.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Conflicts of Interest and Related-Party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616648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Governance Committee will address and resolve any issues with respect to related-party transactions and conflicts of interest involving our executive officers, directors or other “related persons” under the applicable disclosure rules of the Securities and Exchange Commission.</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Our Ethics and Compliance Code provides that all directors, executive officers and other employees should avoid actual conflicts of interest as well as the appearance of a conflict of interest, and our Code of Ethics for our Chief Executive Officer and Senior Financial Officers similarly obligates the employees covered by that Code of Ethics (our Chief Executive Officer, Chief Financial Officer, Chief Accounting Officer, Treasurer and Assistant Controller) to handle actual or apparent conflicts of interest between personal and professional relationships in an ethical manner. Under our Ethics and Compliance Code, prior approval is required for any significant financial interest with suppliers, partners, subcontractors or competitors. Any questionable situation is required to be disclosed to the Legal Department or an employee’s direct manager.</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Pursuant to our Corporate Governance Guidelines, the Governance Committee Charter and our Related-Party Transaction Approval Policy, the Board has delegated to the Governance Committee the responsibility for reviewing and resolving any issues with respect to related-party transactions and conflicts of interests involving executive officers or directors of the Company or other related persons under the applicable rules of the Securities and Exchange Commission. The Company’s Corporate Governance Guidelines require that (i) each director shall promptly</w:t>
      </w:r>
    </w:p>
    <w:p>
      <w:pPr>
        <w:spacing w:after="0" w:line="213"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21" w:name="page22"/>
    <w:bookmarkEnd w:id="2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disclose to the Chairman of the Board and the Chairman of the Governance Committee any potential conflicts of interest he or she may have with respect to any matter involving the Company and, if appropriate, recuse himself or herself from any discussions or decisions on any of these matters, and (ii) the Chairman of the Board shall promptly advise the Governance Committee of any potential conflicts of interest he or she may have with respect to any matter involving the Company and, if appropriate, recuse himself or herself from any discussions or decisions on any of these matters.</w:t>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Office of the Corporate Secretary periodically gathers information from directors and executive officers regarding matters involving potential conflicts of interest or related-party transactions and provides that information to the Governance Committee for review. Directors and executive officers are also required to inform the Company immediately of any changes in the information provided concerning related-party transactions in which the director or executive officer or other related person was, or is proposed to be, a participant. In accordance with our Related-Party Transaction Approval Policy, the standard applied in approving the transaction is whether the transaction is in the best interests of the Company and its shareholders.</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There were no related-party transactions in 2020 that were required to be reported pursuant to the applicable disclosure rules of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Majority Voting in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Our bylaws include a majority voting standard in uncontested director elections. This standard applies to the election of directors at this meeting. To be elected, a nominee must receive more votes cast “for” that nominee’s election than votes cast “against” that nominee’s election. In contested elections, the voting standard will be a plurality of votes cast. Under our bylaws, contested elections occur where, as of a date that is 14 days in advance of the date we file our definitive proxy statement with the Securities and Exchange Commission (regardless of whether or not thereafter revised or supplemented), the number of nominees exceeds the number of directors to be elected.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Corporate Governance Guidelines include director resignation procedures. In brief, these procedures provide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132715</wp:posOffset>
            </wp:positionV>
            <wp:extent cx="6173470" cy="1405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3470" cy="1405255"/>
                    </a:xfrm>
                    <a:prstGeom prst="rect">
                      <a:avLst/>
                    </a:prstGeom>
                    <a:noFill/>
                  </pic:spPr>
                </pic:pic>
              </a:graphicData>
            </a:graphic>
          </wp:anchor>
        </w:drawing>
      </w:r>
    </w:p>
    <w:p>
      <w:pPr>
        <w:spacing w:after="0" w:line="236" w:lineRule="exact"/>
        <w:rPr>
          <w:sz w:val="20"/>
          <w:szCs w:val="20"/>
          <w:color w:val="auto"/>
        </w:rPr>
      </w:pPr>
    </w:p>
    <w:p>
      <w:pPr>
        <w:ind w:left="140" w:right="240"/>
        <w:spacing w:after="0" w:line="237" w:lineRule="auto"/>
        <w:rPr>
          <w:sz w:val="20"/>
          <w:szCs w:val="20"/>
          <w:color w:val="auto"/>
        </w:rPr>
      </w:pPr>
      <w:r>
        <w:rPr>
          <w:rFonts w:ascii="Arial" w:cs="Arial" w:eastAsia="Arial" w:hAnsi="Arial"/>
          <w:sz w:val="16"/>
          <w:szCs w:val="16"/>
          <w:color w:val="auto"/>
        </w:rPr>
        <w:t>Incumbent director nominees must submit irrevocable resignations that become effective upon and only in the event that (1) the nominee fails to receive the required vote for election to the Board at the next annual meeting of shareholders at which such nominee faces re-election and (2) the Board accepts such resignation;</w:t>
      </w:r>
    </w:p>
    <w:p>
      <w:pPr>
        <w:spacing w:after="0" w:line="38" w:lineRule="exact"/>
        <w:rPr>
          <w:sz w:val="20"/>
          <w:szCs w:val="20"/>
          <w:color w:val="auto"/>
        </w:rPr>
      </w:pPr>
    </w:p>
    <w:p>
      <w:pPr>
        <w:ind w:left="140" w:right="100"/>
        <w:spacing w:after="0"/>
        <w:rPr>
          <w:sz w:val="20"/>
          <w:szCs w:val="20"/>
          <w:color w:val="auto"/>
        </w:rPr>
      </w:pPr>
      <w:r>
        <w:rPr>
          <w:rFonts w:ascii="Arial" w:cs="Arial" w:eastAsia="Arial" w:hAnsi="Arial"/>
          <w:sz w:val="16"/>
          <w:szCs w:val="16"/>
          <w:color w:val="auto"/>
        </w:rPr>
        <w:t>Each director candidate who is not an incumbent director must agree to submit an irrevocable resignation upon election or appointment as a director;</w:t>
      </w:r>
    </w:p>
    <w:p>
      <w:pPr>
        <w:spacing w:after="0" w:line="37" w:lineRule="exact"/>
        <w:rPr>
          <w:sz w:val="20"/>
          <w:szCs w:val="20"/>
          <w:color w:val="auto"/>
        </w:rPr>
      </w:pPr>
    </w:p>
    <w:p>
      <w:pPr>
        <w:ind w:left="140" w:right="340"/>
        <w:spacing w:after="0"/>
        <w:rPr>
          <w:sz w:val="20"/>
          <w:szCs w:val="20"/>
          <w:color w:val="auto"/>
        </w:rPr>
      </w:pPr>
      <w:r>
        <w:rPr>
          <w:rFonts w:ascii="Arial" w:cs="Arial" w:eastAsia="Arial" w:hAnsi="Arial"/>
          <w:sz w:val="16"/>
          <w:szCs w:val="16"/>
          <w:color w:val="auto"/>
        </w:rPr>
        <w:t>Upon the failure of any nominee to receive the required vote, the Governance Committee makes a recommendation to the Board on whether to accept or reject the resignation;</w:t>
      </w:r>
    </w:p>
    <w:p>
      <w:pPr>
        <w:spacing w:after="0" w:line="37" w:lineRule="exact"/>
        <w:rPr>
          <w:sz w:val="20"/>
          <w:szCs w:val="20"/>
          <w:color w:val="auto"/>
        </w:rPr>
      </w:pPr>
    </w:p>
    <w:p>
      <w:pPr>
        <w:ind w:left="140" w:right="200"/>
        <w:spacing w:after="0"/>
        <w:rPr>
          <w:sz w:val="20"/>
          <w:szCs w:val="20"/>
          <w:color w:val="auto"/>
        </w:rPr>
      </w:pPr>
      <w:r>
        <w:rPr>
          <w:rFonts w:ascii="Arial" w:cs="Arial" w:eastAsia="Arial" w:hAnsi="Arial"/>
          <w:sz w:val="16"/>
          <w:szCs w:val="16"/>
          <w:color w:val="auto"/>
        </w:rPr>
        <w:t>The Board takes action with respect to the resignation and publicly discloses its decision and the reasons therefor within 90 days from the date of the certification of the election results; and</w:t>
      </w:r>
    </w:p>
    <w:p>
      <w:pPr>
        <w:spacing w:after="0" w:line="37" w:lineRule="exact"/>
        <w:rPr>
          <w:sz w:val="20"/>
          <w:szCs w:val="20"/>
          <w:color w:val="auto"/>
        </w:rPr>
      </w:pPr>
    </w:p>
    <w:p>
      <w:pPr>
        <w:ind w:left="140" w:right="420"/>
        <w:spacing w:after="0"/>
        <w:rPr>
          <w:sz w:val="20"/>
          <w:szCs w:val="20"/>
          <w:color w:val="auto"/>
        </w:rPr>
      </w:pPr>
      <w:r>
        <w:rPr>
          <w:rFonts w:ascii="Arial" w:cs="Arial" w:eastAsia="Arial" w:hAnsi="Arial"/>
          <w:sz w:val="16"/>
          <w:szCs w:val="16"/>
          <w:color w:val="auto"/>
        </w:rPr>
        <w:t>The resignation, if accepted, will be effective at the time specified by the Board when it determines to accept the resignation, which effective time may be deferred until a replacement director is identified and appointed to the Board.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bylaws and our Corporate Governance Guidelines can be found on our website at </w:t>
      </w:r>
      <w:r>
        <w:rPr>
          <w:rFonts w:ascii="Arial" w:cs="Arial" w:eastAsia="Arial" w:hAnsi="Arial"/>
          <w:sz w:val="16"/>
          <w:szCs w:val="16"/>
          <w:i w:val="1"/>
          <w:iCs w:val="1"/>
          <w:color w:val="auto"/>
        </w:rPr>
        <w:t>https://investors.centerpointenergy.com/governance.</w:t>
      </w:r>
    </w:p>
    <w:p>
      <w:pPr>
        <w:spacing w:after="0" w:line="177" w:lineRule="exact"/>
        <w:rPr>
          <w:sz w:val="20"/>
          <w:szCs w:val="20"/>
          <w:color w:val="auto"/>
        </w:rPr>
      </w:pPr>
    </w:p>
    <w:p>
      <w:pPr>
        <w:ind w:left="400" w:hanging="391"/>
        <w:spacing w:after="0"/>
        <w:tabs>
          <w:tab w:leader="none" w:pos="400" w:val="left"/>
        </w:tabs>
        <w:numPr>
          <w:ilvl w:val="0"/>
          <w:numId w:val="18"/>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22" w:name="page23"/>
    <w:bookmarkEnd w:id="2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offices of Chairman of the Board and Chief Executive Officer are currently separate and have been separate since the formation of the Company as a new holding company in 2002. The Board believes that the separation of the two roles continues to provide, at present, the best balance of these important responsibilities with the Chairman directing board operations and leading oversight of the Chief Executive Officer and management, and the Chief Executive Officer focusing on developing and implementing the Company’s board-approved strategic vision and managing its day-to-day business. The Board believes that separating the offices of Chairman of the Board and Chief Executive Officer, coupled with regular executive sessions with only independent directors present, helps strengthen the Board’s independent oversight of management and provides an opportunity for the Board members to have more direct input to management in shaping the organization and strategy of the Company. A presiding independent director (typically the chairman of the Governance Committee) leads the executive sessions. The presiding director provides the independent directors with a key means for communication and collaboration.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616648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CenterPoint Energy is a public utility holding company that, through its subsidiaries, owns and operates electric transmission, distribution and generation facilities and natural gas distribution facilities, provides energy performance contracting and sustainable infrastructure services and holds interests in a midstream master limited partnership. Risks are inherent in these businesses and investments, including, among other risks, regulatory and compliance risks, safety and operational risks, financial risks, environmental and climate risks and cybersecurity risks. The Board of Directors has responsibility for and is actively involved in the oversight of risks that could impact the Company. Our Corporate Governance Guidelines specify that the Board has ultimate oversight responsibility for the Company’s system of enterprise risk management.</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Management is responsible for developing and implementing the Company’s program of enterprise risk management. A risk oversight committee, which is composed of senior executives from across the Company, monitors and oversees risks facing the Company. The Company’s General Counsel facilitates risk oversight committee meetings. The Committee provides risk assessment and control oversight for certain business activities, among other things. The Company’s enterprise risk management function further supports executive management’s, operational management’s and functional management’s execution of the Company’s strategic business objectives by conducting ongoing risk assessments and assisting with risk mitigation planning.</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Throughout the year, the Board participates in reviews with management of the Company’s risk management process, the major risks facing the Company and steps taken to mitigate those risks. Board reviews include the following areas,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129540</wp:posOffset>
            </wp:positionV>
            <wp:extent cx="203835" cy="2038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3835" cy="20383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129540</wp:posOffset>
            </wp:positionV>
            <wp:extent cx="211455" cy="2114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1455" cy="2114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ind w:left="600"/>
              <w:spacing w:after="0"/>
              <w:rPr>
                <w:sz w:val="20"/>
                <w:szCs w:val="20"/>
                <w:color w:val="auto"/>
              </w:rPr>
            </w:pPr>
            <w:r>
              <w:rPr>
                <w:rFonts w:ascii="Arial" w:cs="Arial" w:eastAsia="Arial" w:hAnsi="Arial"/>
                <w:sz w:val="16"/>
                <w:szCs w:val="16"/>
                <w:color w:val="auto"/>
              </w:rPr>
              <w:t>Safety, including COVID-19</w:t>
            </w:r>
          </w:p>
        </w:tc>
        <w:tc>
          <w:tcPr>
            <w:tcW w:w="4820" w:type="dxa"/>
            <w:vAlign w:val="bottom"/>
          </w:tcPr>
          <w:p>
            <w:pPr>
              <w:ind w:left="700"/>
              <w:spacing w:after="0"/>
              <w:rPr>
                <w:sz w:val="20"/>
                <w:szCs w:val="20"/>
                <w:color w:val="auto"/>
              </w:rPr>
            </w:pPr>
            <w:r>
              <w:rPr>
                <w:rFonts w:ascii="Arial" w:cs="Arial" w:eastAsia="Arial" w:hAnsi="Arial"/>
                <w:sz w:val="16"/>
                <w:szCs w:val="16"/>
                <w:color w:val="auto"/>
              </w:rPr>
              <w:t>Regulatory and legislative developments</w:t>
            </w:r>
          </w:p>
        </w:tc>
      </w:tr>
      <w:tr>
        <w:trPr>
          <w:trHeight w:val="417"/>
        </w:trPr>
        <w:tc>
          <w:tcPr>
            <w:tcW w:w="4900" w:type="dxa"/>
            <w:vAlign w:val="bottom"/>
          </w:tcPr>
          <w:p>
            <w:pPr>
              <w:ind w:left="600"/>
              <w:spacing w:after="0"/>
              <w:rPr>
                <w:sz w:val="20"/>
                <w:szCs w:val="20"/>
                <w:color w:val="auto"/>
              </w:rPr>
            </w:pPr>
            <w:r>
              <w:rPr>
                <w:rFonts w:ascii="Arial" w:cs="Arial" w:eastAsia="Arial" w:hAnsi="Arial"/>
                <w:sz w:val="16"/>
                <w:szCs w:val="16"/>
                <w:color w:val="auto"/>
              </w:rPr>
              <w:t>Environmental, social and governance matters</w:t>
            </w:r>
          </w:p>
        </w:tc>
        <w:tc>
          <w:tcPr>
            <w:tcW w:w="4820" w:type="dxa"/>
            <w:vAlign w:val="bottom"/>
          </w:tcPr>
          <w:p>
            <w:pPr>
              <w:ind w:left="700"/>
              <w:spacing w:after="0"/>
              <w:rPr>
                <w:sz w:val="20"/>
                <w:szCs w:val="20"/>
                <w:color w:val="auto"/>
              </w:rPr>
            </w:pPr>
            <w:r>
              <w:rPr>
                <w:rFonts w:ascii="Arial" w:cs="Arial" w:eastAsia="Arial" w:hAnsi="Arial"/>
                <w:sz w:val="16"/>
                <w:szCs w:val="16"/>
                <w:color w:val="auto"/>
              </w:rPr>
              <w:t>Cybersecurity and data privacy</w:t>
            </w:r>
          </w:p>
        </w:tc>
      </w:tr>
      <w:tr>
        <w:trPr>
          <w:trHeight w:val="358"/>
        </w:trPr>
        <w:tc>
          <w:tcPr>
            <w:tcW w:w="4900" w:type="dxa"/>
            <w:vAlign w:val="bottom"/>
          </w:tcPr>
          <w:p>
            <w:pPr>
              <w:ind w:left="600"/>
              <w:spacing w:after="0"/>
              <w:rPr>
                <w:sz w:val="20"/>
                <w:szCs w:val="20"/>
                <w:color w:val="auto"/>
              </w:rPr>
            </w:pPr>
            <w:r>
              <w:rPr>
                <w:rFonts w:ascii="Arial" w:cs="Arial" w:eastAsia="Arial" w:hAnsi="Arial"/>
                <w:sz w:val="16"/>
                <w:szCs w:val="16"/>
                <w:color w:val="auto"/>
              </w:rPr>
              <w:t>Business strategy and policy, including industry and</w:t>
            </w:r>
          </w:p>
        </w:tc>
        <w:tc>
          <w:tcPr>
            <w:tcW w:w="4820" w:type="dxa"/>
            <w:vAlign w:val="bottom"/>
          </w:tcPr>
          <w:p>
            <w:pPr>
              <w:spacing w:after="0"/>
              <w:rPr>
                <w:sz w:val="24"/>
                <w:szCs w:val="24"/>
                <w:color w:val="auto"/>
              </w:rPr>
            </w:pPr>
          </w:p>
        </w:tc>
      </w:tr>
      <w:tr>
        <w:trPr>
          <w:trHeight w:val="190"/>
        </w:trPr>
        <w:tc>
          <w:tcPr>
            <w:tcW w:w="4900" w:type="dxa"/>
            <w:vAlign w:val="bottom"/>
          </w:tcPr>
          <w:p>
            <w:pPr>
              <w:ind w:left="600"/>
              <w:spacing w:after="0"/>
              <w:rPr>
                <w:sz w:val="20"/>
                <w:szCs w:val="20"/>
                <w:color w:val="auto"/>
              </w:rPr>
            </w:pPr>
            <w:r>
              <w:rPr>
                <w:rFonts w:ascii="Arial" w:cs="Arial" w:eastAsia="Arial" w:hAnsi="Arial"/>
                <w:sz w:val="16"/>
                <w:szCs w:val="16"/>
                <w:color w:val="auto"/>
              </w:rPr>
              <w:t>economic developments</w:t>
            </w:r>
          </w:p>
        </w:tc>
        <w:tc>
          <w:tcPr>
            <w:tcW w:w="4820" w:type="dxa"/>
            <w:vAlign w:val="bottom"/>
          </w:tcPr>
          <w:p>
            <w:pPr>
              <w:ind w:left="700"/>
              <w:spacing w:after="0"/>
              <w:rPr>
                <w:sz w:val="20"/>
                <w:szCs w:val="20"/>
                <w:color w:val="auto"/>
              </w:rPr>
            </w:pPr>
            <w:r>
              <w:rPr>
                <w:rFonts w:ascii="Arial" w:cs="Arial" w:eastAsia="Arial" w:hAnsi="Arial"/>
                <w:sz w:val="16"/>
                <w:szCs w:val="16"/>
                <w:color w:val="auto"/>
              </w:rPr>
              <w:t>Human capital management and diversity and inclusion</w:t>
            </w:r>
          </w:p>
        </w:tc>
      </w:tr>
      <w:tr>
        <w:trPr>
          <w:trHeight w:val="512"/>
        </w:trPr>
        <w:tc>
          <w:tcPr>
            <w:tcW w:w="4900" w:type="dxa"/>
            <w:vAlign w:val="bottom"/>
          </w:tcPr>
          <w:p>
            <w:pPr>
              <w:ind w:left="600"/>
              <w:spacing w:after="0"/>
              <w:rPr>
                <w:sz w:val="20"/>
                <w:szCs w:val="20"/>
                <w:color w:val="auto"/>
              </w:rPr>
            </w:pPr>
            <w:r>
              <w:rPr>
                <w:rFonts w:ascii="Arial" w:cs="Arial" w:eastAsia="Arial" w:hAnsi="Arial"/>
                <w:sz w:val="16"/>
                <w:szCs w:val="16"/>
                <w:color w:val="auto"/>
              </w:rPr>
              <w:t>Operations and system integrity</w:t>
            </w:r>
          </w:p>
        </w:tc>
        <w:tc>
          <w:tcPr>
            <w:tcW w:w="4820" w:type="dxa"/>
            <w:vAlign w:val="bottom"/>
          </w:tcPr>
          <w:p>
            <w:pPr>
              <w:ind w:left="700"/>
              <w:spacing w:after="0"/>
              <w:rPr>
                <w:sz w:val="20"/>
                <w:szCs w:val="20"/>
                <w:color w:val="auto"/>
              </w:rPr>
            </w:pPr>
            <w:r>
              <w:rPr>
                <w:rFonts w:ascii="Arial" w:cs="Arial" w:eastAsia="Arial" w:hAnsi="Arial"/>
                <w:sz w:val="16"/>
                <w:szCs w:val="16"/>
                <w:color w:val="auto"/>
              </w:rPr>
              <w:t>Annual budget, including capital investment plan</w:t>
            </w:r>
          </w:p>
        </w:tc>
      </w:tr>
      <w:tr>
        <w:trPr>
          <w:trHeight w:val="440"/>
        </w:trPr>
        <w:tc>
          <w:tcPr>
            <w:tcW w:w="4900" w:type="dxa"/>
            <w:vAlign w:val="bottom"/>
          </w:tcPr>
          <w:p>
            <w:pPr>
              <w:ind w:left="600"/>
              <w:spacing w:after="0"/>
              <w:rPr>
                <w:sz w:val="20"/>
                <w:szCs w:val="20"/>
                <w:color w:val="auto"/>
              </w:rPr>
            </w:pPr>
            <w:r>
              <w:rPr>
                <w:rFonts w:ascii="Arial" w:cs="Arial" w:eastAsia="Arial" w:hAnsi="Arial"/>
                <w:sz w:val="16"/>
                <w:szCs w:val="16"/>
                <w:color w:val="auto"/>
              </w:rPr>
              <w:t>Litigation and other legal matters</w:t>
            </w:r>
          </w:p>
        </w:tc>
        <w:tc>
          <w:tcPr>
            <w:tcW w:w="4820" w:type="dxa"/>
            <w:vAlign w:val="bottom"/>
          </w:tcPr>
          <w:p>
            <w:pPr>
              <w:ind w:left="700"/>
              <w:spacing w:after="0"/>
              <w:rPr>
                <w:sz w:val="20"/>
                <w:szCs w:val="20"/>
                <w:color w:val="auto"/>
              </w:rPr>
            </w:pPr>
            <w:r>
              <w:rPr>
                <w:rFonts w:ascii="Arial" w:cs="Arial" w:eastAsia="Arial" w:hAnsi="Arial"/>
                <w:sz w:val="16"/>
                <w:szCs w:val="16"/>
                <w:color w:val="auto"/>
              </w:rPr>
              <w:t>Integration</w:t>
            </w:r>
          </w:p>
        </w:tc>
      </w:tr>
      <w:tr>
        <w:trPr>
          <w:trHeight w:val="228"/>
        </w:trPr>
        <w:tc>
          <w:tcPr>
            <w:tcW w:w="4900" w:type="dxa"/>
            <w:vAlign w:val="bottom"/>
            <w:tcBorders>
              <w:bottom w:val="single" w:sz="8" w:color="0061AF"/>
            </w:tcBorders>
          </w:tcPr>
          <w:p>
            <w:pPr>
              <w:spacing w:after="0"/>
              <w:rPr>
                <w:sz w:val="19"/>
                <w:szCs w:val="19"/>
                <w:color w:val="auto"/>
              </w:rPr>
            </w:pPr>
          </w:p>
        </w:tc>
        <w:tc>
          <w:tcPr>
            <w:tcW w:w="4820" w:type="dxa"/>
            <w:vAlign w:val="bottom"/>
            <w:tcBorders>
              <w:bottom w:val="single" w:sz="8" w:color="0061AF"/>
            </w:tcBorders>
          </w:tcPr>
          <w:p>
            <w:pPr>
              <w:spacing w:after="0"/>
              <w:rPr>
                <w:sz w:val="19"/>
                <w:szCs w:val="19"/>
                <w:color w:val="auto"/>
              </w:rPr>
            </w:pPr>
          </w:p>
        </w:tc>
      </w:tr>
      <w:tr>
        <w:trPr>
          <w:trHeight w:val="244"/>
        </w:trPr>
        <w:tc>
          <w:tcPr>
            <w:tcW w:w="4900" w:type="dxa"/>
            <w:vAlign w:val="bottom"/>
          </w:tcPr>
          <w:p>
            <w:pPr>
              <w:spacing w:after="0"/>
              <w:rPr>
                <w:sz w:val="21"/>
                <w:szCs w:val="21"/>
                <w:color w:val="auto"/>
              </w:rPr>
            </w:pPr>
          </w:p>
        </w:tc>
        <w:tc>
          <w:tcPr>
            <w:tcW w:w="4820" w:type="dxa"/>
            <w:vAlign w:val="bottom"/>
          </w:tcPr>
          <w:p>
            <w:pPr>
              <w:ind w:left="3340"/>
              <w:spacing w:after="0"/>
              <w:rPr>
                <w:sz w:val="20"/>
                <w:szCs w:val="20"/>
                <w:color w:val="auto"/>
              </w:rPr>
            </w:pPr>
            <w:r>
              <w:rPr>
                <w:rFonts w:ascii="Arial" w:cs="Arial" w:eastAsia="Arial" w:hAnsi="Arial"/>
                <w:sz w:val="17"/>
                <w:szCs w:val="17"/>
                <w:color w:val="auto"/>
                <w:w w:val="98"/>
              </w:rPr>
              <w:t>Always There</w:t>
            </w:r>
            <w:r>
              <w:rPr>
                <w:rFonts w:ascii="Arial" w:cs="Arial" w:eastAsia="Arial" w:hAnsi="Arial"/>
                <w:sz w:val="14"/>
                <w:szCs w:val="14"/>
                <w:color w:val="auto"/>
                <w:w w:val="98"/>
              </w:rPr>
              <w:t>®</w:t>
            </w:r>
            <w:r>
              <w:rPr>
                <w:rFonts w:ascii="Arial" w:cs="Arial" w:eastAsia="Arial" w:hAnsi="Arial"/>
                <w:sz w:val="17"/>
                <w:szCs w:val="17"/>
                <w:color w:val="auto"/>
                <w:w w:val="98"/>
              </w:rPr>
              <w:t xml:space="preserve">   </w:t>
            </w:r>
            <w:r>
              <w:rPr>
                <w:rFonts w:ascii="Arial" w:cs="Arial" w:eastAsia="Arial" w:hAnsi="Arial"/>
                <w:sz w:val="19"/>
                <w:szCs w:val="19"/>
                <w:b w:val="1"/>
                <w:bCs w:val="1"/>
                <w:color w:val="0061AF"/>
                <w:w w:val="98"/>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-1474470</wp:posOffset>
            </wp:positionV>
            <wp:extent cx="181610" cy="203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1610" cy="20383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-1474470</wp:posOffset>
            </wp:positionV>
            <wp:extent cx="158750" cy="1962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8750" cy="1962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-1187450</wp:posOffset>
            </wp:positionV>
            <wp:extent cx="219075" cy="2419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9075" cy="24193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-1209675</wp:posOffset>
            </wp:positionV>
            <wp:extent cx="249555" cy="287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9555" cy="2870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-862330</wp:posOffset>
            </wp:positionV>
            <wp:extent cx="189230" cy="2647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9230" cy="26479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-831850</wp:posOffset>
            </wp:positionV>
            <wp:extent cx="264795" cy="2038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4795" cy="2038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-537210</wp:posOffset>
            </wp:positionV>
            <wp:extent cx="219075" cy="2190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9075" cy="21907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-537210</wp:posOffset>
            </wp:positionV>
            <wp:extent cx="173990" cy="2114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3990" cy="211455"/>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23" w:name="page24"/>
    <w:bookmarkEnd w:id="2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addition to these reviews, in 2020, for example, management’s corporate response planning team provided the Board with periodic updates on the Company’s COVID-19 response efforts, including, among other things, precautions and protocols developed to mitigate such risks in an effort to protect the Company’s employees and customers and maintain business continuity as a provider of an essential service.</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To help the Board carry out its responsibility for risk oversight, the Board’s standing committees focus on the following specific key areas of risk:</w:t>
      </w:r>
    </w:p>
    <w:p>
      <w:pPr>
        <w:spacing w:after="0" w:line="204" w:lineRule="exact"/>
        <w:rPr>
          <w:sz w:val="20"/>
          <w:szCs w:val="20"/>
          <w:color w:val="auto"/>
        </w:rPr>
      </w:pPr>
    </w:p>
    <w:tbl>
      <w:tblPr>
        <w:tblLayout w:type="fixed"/>
        <w:tblInd w:w="810" w:type="dxa"/>
        <w:tblCellMar>
          <w:top w:w="0" w:type="dxa"/>
          <w:left w:w="0" w:type="dxa"/>
          <w:bottom w:w="0" w:type="dxa"/>
          <w:right w:w="0" w:type="dxa"/>
        </w:tblCellMar>
      </w:tblPr>
      <w:tr>
        <w:trPr>
          <w:trHeight w:val="190"/>
        </w:trPr>
        <w:tc>
          <w:tcPr>
            <w:tcW w:w="1400" w:type="dxa"/>
            <w:vAlign w:val="bottom"/>
            <w:tcBorders>
              <w:left w:val="single" w:sz="8" w:color="0061AF"/>
              <w:right w:val="single" w:sz="8" w:color="0061AF"/>
            </w:tcBorders>
            <w:shd w:val="clear" w:color="auto" w:fill="0061AF"/>
          </w:tcPr>
          <w:p>
            <w:pPr>
              <w:ind w:left="340"/>
              <w:spacing w:after="0"/>
              <w:rPr>
                <w:sz w:val="20"/>
                <w:szCs w:val="20"/>
                <w:color w:val="auto"/>
              </w:rPr>
            </w:pPr>
            <w:r>
              <w:rPr>
                <w:rFonts w:ascii="Arial" w:cs="Arial" w:eastAsia="Arial" w:hAnsi="Arial"/>
                <w:sz w:val="16"/>
                <w:szCs w:val="16"/>
                <w:b w:val="1"/>
                <w:bCs w:val="1"/>
                <w:color w:val="FFFFFF"/>
              </w:rPr>
              <w:t>Committee</w:t>
            </w:r>
          </w:p>
        </w:tc>
        <w:tc>
          <w:tcPr>
            <w:tcW w:w="6760" w:type="dxa"/>
            <w:vAlign w:val="bottom"/>
            <w:tcBorders>
              <w:right w:val="single" w:sz="8" w:color="0061AF"/>
            </w:tcBorders>
            <w:shd w:val="clear" w:color="auto" w:fill="0061AF"/>
          </w:tcPr>
          <w:p>
            <w:pPr>
              <w:ind w:left="2300"/>
              <w:spacing w:after="0"/>
              <w:rPr>
                <w:sz w:val="20"/>
                <w:szCs w:val="20"/>
                <w:color w:val="auto"/>
              </w:rPr>
            </w:pPr>
            <w:r>
              <w:rPr>
                <w:rFonts w:ascii="Arial" w:cs="Arial" w:eastAsia="Arial" w:hAnsi="Arial"/>
                <w:sz w:val="16"/>
                <w:szCs w:val="16"/>
                <w:b w:val="1"/>
                <w:bCs w:val="1"/>
                <w:color w:val="FFFFFF"/>
              </w:rPr>
              <w:t>Risk Oversight Responsibilities</w:t>
            </w:r>
          </w:p>
        </w:tc>
        <w:tc>
          <w:tcPr>
            <w:tcW w:w="0" w:type="dxa"/>
            <w:vAlign w:val="bottom"/>
          </w:tcPr>
          <w:p>
            <w:pPr>
              <w:spacing w:after="0"/>
              <w:rPr>
                <w:sz w:val="1"/>
                <w:szCs w:val="1"/>
                <w:color w:val="auto"/>
              </w:rPr>
            </w:pPr>
          </w:p>
        </w:tc>
      </w:tr>
      <w:tr>
        <w:trPr>
          <w:trHeight w:val="178"/>
        </w:trPr>
        <w:tc>
          <w:tcPr>
            <w:tcW w:w="1400" w:type="dxa"/>
            <w:vAlign w:val="bottom"/>
            <w:tcBorders>
              <w:left w:val="single" w:sz="8" w:color="0061AF"/>
              <w:right w:val="single" w:sz="8" w:color="0061AF"/>
            </w:tcBorders>
            <w:vMerge w:val="restart"/>
          </w:tcPr>
          <w:p>
            <w:pPr>
              <w:jc w:val="center"/>
              <w:spacing w:after="0"/>
              <w:rPr>
                <w:sz w:val="20"/>
                <w:szCs w:val="20"/>
                <w:color w:val="auto"/>
              </w:rPr>
            </w:pPr>
            <w:r>
              <w:rPr>
                <w:rFonts w:ascii="Arial" w:cs="Arial" w:eastAsia="Arial" w:hAnsi="Arial"/>
                <w:sz w:val="16"/>
                <w:szCs w:val="16"/>
                <w:b w:val="1"/>
                <w:bCs w:val="1"/>
                <w:color w:val="auto"/>
                <w:w w:val="97"/>
              </w:rPr>
              <w:t>Audit</w:t>
            </w:r>
          </w:p>
        </w:tc>
        <w:tc>
          <w:tcPr>
            <w:tcW w:w="6760" w:type="dxa"/>
            <w:vAlign w:val="bottom"/>
            <w:tcBorders>
              <w:right w:val="single" w:sz="8" w:color="0061AF"/>
            </w:tcBorders>
          </w:tcPr>
          <w:p>
            <w:pPr>
              <w:ind w:left="280"/>
              <w:spacing w:after="0" w:line="178" w:lineRule="exact"/>
              <w:rPr>
                <w:sz w:val="20"/>
                <w:szCs w:val="20"/>
                <w:color w:val="auto"/>
              </w:rPr>
            </w:pPr>
            <w:r>
              <w:rPr>
                <w:rFonts w:ascii="Arial" w:cs="Arial" w:eastAsia="Arial" w:hAnsi="Arial"/>
                <w:sz w:val="16"/>
                <w:szCs w:val="16"/>
                <w:color w:val="auto"/>
              </w:rPr>
              <w:t>Accounting and financial matters, including compliance with legal and regulatory</w:t>
            </w:r>
          </w:p>
        </w:tc>
        <w:tc>
          <w:tcPr>
            <w:tcW w:w="0" w:type="dxa"/>
            <w:vAlign w:val="bottom"/>
          </w:tcPr>
          <w:p>
            <w:pPr>
              <w:spacing w:after="0"/>
              <w:rPr>
                <w:sz w:val="1"/>
                <w:szCs w:val="1"/>
                <w:color w:val="auto"/>
              </w:rPr>
            </w:pPr>
          </w:p>
        </w:tc>
      </w:tr>
      <w:tr>
        <w:trPr>
          <w:trHeight w:val="118"/>
        </w:trPr>
        <w:tc>
          <w:tcPr>
            <w:tcW w:w="1400" w:type="dxa"/>
            <w:vAlign w:val="bottom"/>
            <w:tcBorders>
              <w:left w:val="single" w:sz="8" w:color="0061AF"/>
              <w:right w:val="single" w:sz="8" w:color="0061AF"/>
            </w:tcBorders>
            <w:vMerge w:val="continue"/>
          </w:tcPr>
          <w:p>
            <w:pPr>
              <w:spacing w:after="0"/>
              <w:rPr>
                <w:sz w:val="10"/>
                <w:szCs w:val="10"/>
                <w:color w:val="auto"/>
              </w:rPr>
            </w:pPr>
          </w:p>
        </w:tc>
        <w:tc>
          <w:tcPr>
            <w:tcW w:w="6760" w:type="dxa"/>
            <w:vAlign w:val="bottom"/>
            <w:tcBorders>
              <w:right w:val="single" w:sz="8" w:color="0061AF"/>
            </w:tcBorders>
            <w:vMerge w:val="restart"/>
          </w:tcPr>
          <w:p>
            <w:pPr>
              <w:ind w:left="280"/>
              <w:spacing w:after="0"/>
              <w:rPr>
                <w:sz w:val="20"/>
                <w:szCs w:val="20"/>
                <w:color w:val="auto"/>
              </w:rPr>
            </w:pPr>
            <w:r>
              <w:rPr>
                <w:rFonts w:ascii="Arial" w:cs="Arial" w:eastAsia="Arial" w:hAnsi="Arial"/>
                <w:sz w:val="16"/>
                <w:szCs w:val="16"/>
                <w:color w:val="auto"/>
              </w:rPr>
              <w:t>requirements, and financial reporting and internal controls systems</w:t>
            </w:r>
          </w:p>
        </w:tc>
        <w:tc>
          <w:tcPr>
            <w:tcW w:w="0" w:type="dxa"/>
            <w:vAlign w:val="bottom"/>
          </w:tcPr>
          <w:p>
            <w:pPr>
              <w:spacing w:after="0"/>
              <w:rPr>
                <w:sz w:val="1"/>
                <w:szCs w:val="1"/>
                <w:color w:val="auto"/>
              </w:rPr>
            </w:pPr>
          </w:p>
        </w:tc>
      </w:tr>
      <w:tr>
        <w:trPr>
          <w:trHeight w:val="71"/>
        </w:trPr>
        <w:tc>
          <w:tcPr>
            <w:tcW w:w="1400" w:type="dxa"/>
            <w:vAlign w:val="bottom"/>
            <w:tcBorders>
              <w:left w:val="single" w:sz="8" w:color="0061AF"/>
              <w:right w:val="single" w:sz="8" w:color="0061AF"/>
            </w:tcBorders>
          </w:tcPr>
          <w:p>
            <w:pPr>
              <w:spacing w:after="0"/>
              <w:rPr>
                <w:sz w:val="6"/>
                <w:szCs w:val="6"/>
                <w:color w:val="auto"/>
              </w:rPr>
            </w:pPr>
          </w:p>
        </w:tc>
        <w:tc>
          <w:tcPr>
            <w:tcW w:w="6760" w:type="dxa"/>
            <w:vAlign w:val="bottom"/>
            <w:tcBorders>
              <w:right w:val="single" w:sz="8" w:color="0061A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0061AF"/>
              <w:bottom w:val="single" w:sz="8" w:color="0061AF"/>
              <w:right w:val="single" w:sz="8" w:color="0061AF"/>
            </w:tcBorders>
          </w:tcPr>
          <w:p>
            <w:pPr>
              <w:spacing w:after="0"/>
              <w:rPr>
                <w:sz w:val="3"/>
                <w:szCs w:val="3"/>
                <w:color w:val="auto"/>
              </w:rPr>
            </w:pPr>
          </w:p>
        </w:tc>
        <w:tc>
          <w:tcPr>
            <w:tcW w:w="6760" w:type="dxa"/>
            <w:vAlign w:val="bottom"/>
            <w:tcBorders>
              <w:bottom w:val="single" w:sz="8" w:color="0061AF"/>
              <w:right w:val="single" w:sz="8" w:color="0061AF"/>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400" w:type="dxa"/>
            <w:vAlign w:val="bottom"/>
            <w:tcBorders>
              <w:left w:val="single" w:sz="8" w:color="0061AF"/>
              <w:right w:val="single" w:sz="8" w:color="0061AF"/>
            </w:tcBorders>
            <w:vMerge w:val="restart"/>
            <w:shd w:val="clear" w:color="auto" w:fill="D8E7F3"/>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6760" w:type="dxa"/>
            <w:vAlign w:val="bottom"/>
            <w:tcBorders>
              <w:right w:val="single" w:sz="8" w:color="0061AF"/>
            </w:tcBorders>
            <w:shd w:val="clear" w:color="auto" w:fill="D8E7F3"/>
          </w:tcPr>
          <w:p>
            <w:pPr>
              <w:ind w:left="280"/>
              <w:spacing w:after="0"/>
              <w:rPr>
                <w:sz w:val="20"/>
                <w:szCs w:val="20"/>
                <w:color w:val="auto"/>
              </w:rPr>
            </w:pPr>
            <w:r>
              <w:rPr>
                <w:rFonts w:ascii="Arial" w:cs="Arial" w:eastAsia="Arial" w:hAnsi="Arial"/>
                <w:sz w:val="16"/>
                <w:szCs w:val="16"/>
                <w:color w:val="auto"/>
              </w:rPr>
              <w:t>Compensation policies and practices, diversity and inclusion initiatives and succession</w:t>
            </w:r>
          </w:p>
        </w:tc>
        <w:tc>
          <w:tcPr>
            <w:tcW w:w="0" w:type="dxa"/>
            <w:vAlign w:val="bottom"/>
          </w:tcPr>
          <w:p>
            <w:pPr>
              <w:spacing w:after="0"/>
              <w:rPr>
                <w:sz w:val="1"/>
                <w:szCs w:val="1"/>
                <w:color w:val="auto"/>
              </w:rPr>
            </w:pPr>
          </w:p>
        </w:tc>
      </w:tr>
      <w:tr>
        <w:trPr>
          <w:trHeight w:val="94"/>
        </w:trPr>
        <w:tc>
          <w:tcPr>
            <w:tcW w:w="1400" w:type="dxa"/>
            <w:vAlign w:val="bottom"/>
            <w:tcBorders>
              <w:left w:val="single" w:sz="8" w:color="0061AF"/>
              <w:right w:val="single" w:sz="8" w:color="0061AF"/>
            </w:tcBorders>
            <w:vMerge w:val="continue"/>
            <w:shd w:val="clear" w:color="auto" w:fill="D8E7F3"/>
          </w:tcPr>
          <w:p>
            <w:pPr>
              <w:spacing w:after="0"/>
              <w:rPr>
                <w:sz w:val="8"/>
                <w:szCs w:val="8"/>
                <w:color w:val="auto"/>
              </w:rPr>
            </w:pPr>
          </w:p>
        </w:tc>
        <w:tc>
          <w:tcPr>
            <w:tcW w:w="6760" w:type="dxa"/>
            <w:vAlign w:val="bottom"/>
            <w:tcBorders>
              <w:right w:val="single" w:sz="8" w:color="0061AF"/>
            </w:tcBorders>
            <w:vMerge w:val="restart"/>
            <w:shd w:val="clear" w:color="auto" w:fill="D8E7F3"/>
          </w:tcPr>
          <w:p>
            <w:pPr>
              <w:ind w:left="280"/>
              <w:spacing w:after="0"/>
              <w:rPr>
                <w:sz w:val="20"/>
                <w:szCs w:val="20"/>
                <w:color w:val="auto"/>
              </w:rPr>
            </w:pPr>
            <w:r>
              <w:rPr>
                <w:rFonts w:ascii="Arial" w:cs="Arial" w:eastAsia="Arial" w:hAnsi="Arial"/>
                <w:sz w:val="16"/>
                <w:szCs w:val="16"/>
                <w:color w:val="auto"/>
              </w:rPr>
              <w:t>planning</w:t>
            </w:r>
          </w:p>
        </w:tc>
        <w:tc>
          <w:tcPr>
            <w:tcW w:w="0" w:type="dxa"/>
            <w:vAlign w:val="bottom"/>
          </w:tcPr>
          <w:p>
            <w:pPr>
              <w:spacing w:after="0"/>
              <w:rPr>
                <w:sz w:val="1"/>
                <w:szCs w:val="1"/>
                <w:color w:val="auto"/>
              </w:rPr>
            </w:pPr>
          </w:p>
        </w:tc>
      </w:tr>
      <w:tr>
        <w:trPr>
          <w:trHeight w:val="102"/>
        </w:trPr>
        <w:tc>
          <w:tcPr>
            <w:tcW w:w="1400" w:type="dxa"/>
            <w:vAlign w:val="bottom"/>
            <w:tcBorders>
              <w:left w:val="single" w:sz="8" w:color="0061AF"/>
              <w:bottom w:val="single" w:sz="8" w:color="0061AF"/>
              <w:right w:val="single" w:sz="8" w:color="0061AF"/>
            </w:tcBorders>
            <w:shd w:val="clear" w:color="auto" w:fill="D8E7F3"/>
          </w:tcPr>
          <w:p>
            <w:pPr>
              <w:spacing w:after="0"/>
              <w:rPr>
                <w:sz w:val="8"/>
                <w:szCs w:val="8"/>
                <w:color w:val="auto"/>
              </w:rPr>
            </w:pPr>
          </w:p>
        </w:tc>
        <w:tc>
          <w:tcPr>
            <w:tcW w:w="6760" w:type="dxa"/>
            <w:vAlign w:val="bottom"/>
            <w:tcBorders>
              <w:bottom w:val="single" w:sz="8" w:color="0061AF"/>
              <w:right w:val="single" w:sz="8" w:color="0061AF"/>
            </w:tcBorders>
            <w:vMerge w:val="continue"/>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0061AF"/>
              <w:right w:val="single" w:sz="8" w:color="0061AF"/>
            </w:tcBorders>
            <w:vMerge w:val="restart"/>
          </w:tcPr>
          <w:p>
            <w:pPr>
              <w:jc w:val="center"/>
              <w:spacing w:after="0"/>
              <w:rPr>
                <w:sz w:val="20"/>
                <w:szCs w:val="20"/>
                <w:color w:val="auto"/>
              </w:rPr>
            </w:pPr>
            <w:r>
              <w:rPr>
                <w:rFonts w:ascii="Arial" w:cs="Arial" w:eastAsia="Arial" w:hAnsi="Arial"/>
                <w:sz w:val="16"/>
                <w:szCs w:val="16"/>
                <w:b w:val="1"/>
                <w:bCs w:val="1"/>
                <w:color w:val="auto"/>
                <w:w w:val="99"/>
              </w:rPr>
              <w:t>Finance</w:t>
            </w:r>
          </w:p>
        </w:tc>
        <w:tc>
          <w:tcPr>
            <w:tcW w:w="6760" w:type="dxa"/>
            <w:vAlign w:val="bottom"/>
            <w:tcBorders>
              <w:right w:val="single" w:sz="8" w:color="0061AF"/>
            </w:tcBorders>
          </w:tcPr>
          <w:p>
            <w:pPr>
              <w:ind w:left="280"/>
              <w:spacing w:after="0"/>
              <w:rPr>
                <w:sz w:val="20"/>
                <w:szCs w:val="20"/>
                <w:color w:val="auto"/>
              </w:rPr>
            </w:pPr>
            <w:r>
              <w:rPr>
                <w:rFonts w:ascii="Arial" w:cs="Arial" w:eastAsia="Arial" w:hAnsi="Arial"/>
                <w:sz w:val="16"/>
                <w:szCs w:val="16"/>
                <w:color w:val="auto"/>
              </w:rPr>
              <w:t>Financial affairs of the Company and its subsidiaries, including the Company’s capital</w:t>
            </w:r>
          </w:p>
        </w:tc>
        <w:tc>
          <w:tcPr>
            <w:tcW w:w="0" w:type="dxa"/>
            <w:vAlign w:val="bottom"/>
          </w:tcPr>
          <w:p>
            <w:pPr>
              <w:spacing w:after="0"/>
              <w:rPr>
                <w:sz w:val="1"/>
                <w:szCs w:val="1"/>
                <w:color w:val="auto"/>
              </w:rPr>
            </w:pPr>
          </w:p>
        </w:tc>
      </w:tr>
      <w:tr>
        <w:trPr>
          <w:trHeight w:val="82"/>
        </w:trPr>
        <w:tc>
          <w:tcPr>
            <w:tcW w:w="1400" w:type="dxa"/>
            <w:vAlign w:val="bottom"/>
            <w:tcBorders>
              <w:left w:val="single" w:sz="8" w:color="0061AF"/>
              <w:right w:val="single" w:sz="8" w:color="0061AF"/>
            </w:tcBorders>
            <w:vMerge w:val="continue"/>
          </w:tcPr>
          <w:p>
            <w:pPr>
              <w:spacing w:after="0"/>
              <w:rPr>
                <w:sz w:val="7"/>
                <w:szCs w:val="7"/>
                <w:color w:val="auto"/>
              </w:rPr>
            </w:pPr>
          </w:p>
        </w:tc>
        <w:tc>
          <w:tcPr>
            <w:tcW w:w="6760" w:type="dxa"/>
            <w:vAlign w:val="bottom"/>
            <w:tcBorders>
              <w:right w:val="single" w:sz="8" w:color="0061AF"/>
            </w:tcBorders>
            <w:vMerge w:val="restart"/>
          </w:tcPr>
          <w:p>
            <w:pPr>
              <w:ind w:left="280"/>
              <w:spacing w:after="0"/>
              <w:rPr>
                <w:sz w:val="20"/>
                <w:szCs w:val="20"/>
                <w:color w:val="auto"/>
              </w:rPr>
            </w:pPr>
            <w:r>
              <w:rPr>
                <w:rFonts w:ascii="Arial" w:cs="Arial" w:eastAsia="Arial" w:hAnsi="Arial"/>
                <w:sz w:val="16"/>
                <w:szCs w:val="16"/>
                <w:color w:val="auto"/>
              </w:rPr>
              <w:t>structure</w:t>
            </w:r>
          </w:p>
        </w:tc>
        <w:tc>
          <w:tcPr>
            <w:tcW w:w="0" w:type="dxa"/>
            <w:vAlign w:val="bottom"/>
          </w:tcPr>
          <w:p>
            <w:pPr>
              <w:spacing w:after="0"/>
              <w:rPr>
                <w:sz w:val="1"/>
                <w:szCs w:val="1"/>
                <w:color w:val="auto"/>
              </w:rPr>
            </w:pPr>
          </w:p>
        </w:tc>
      </w:tr>
      <w:tr>
        <w:trPr>
          <w:trHeight w:val="108"/>
        </w:trPr>
        <w:tc>
          <w:tcPr>
            <w:tcW w:w="1400" w:type="dxa"/>
            <w:vAlign w:val="bottom"/>
            <w:tcBorders>
              <w:left w:val="single" w:sz="8" w:color="0061AF"/>
              <w:bottom w:val="single" w:sz="8" w:color="0061AF"/>
              <w:right w:val="single" w:sz="8" w:color="0061AF"/>
            </w:tcBorders>
          </w:tcPr>
          <w:p>
            <w:pPr>
              <w:spacing w:after="0"/>
              <w:rPr>
                <w:sz w:val="9"/>
                <w:szCs w:val="9"/>
                <w:color w:val="auto"/>
              </w:rPr>
            </w:pPr>
          </w:p>
        </w:tc>
        <w:tc>
          <w:tcPr>
            <w:tcW w:w="6760" w:type="dxa"/>
            <w:vAlign w:val="bottom"/>
            <w:tcBorders>
              <w:bottom w:val="single" w:sz="8" w:color="0061AF"/>
              <w:right w:val="single" w:sz="8" w:color="0061A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0061AF"/>
              <w:right w:val="single" w:sz="8" w:color="0061AF"/>
            </w:tcBorders>
            <w:shd w:val="clear" w:color="auto" w:fill="D8E7F3"/>
          </w:tcPr>
          <w:p>
            <w:pPr>
              <w:jc w:val="center"/>
              <w:spacing w:after="0"/>
              <w:rPr>
                <w:sz w:val="20"/>
                <w:szCs w:val="20"/>
                <w:color w:val="auto"/>
              </w:rPr>
            </w:pPr>
            <w:r>
              <w:rPr>
                <w:rFonts w:ascii="Arial" w:cs="Arial" w:eastAsia="Arial" w:hAnsi="Arial"/>
                <w:sz w:val="16"/>
                <w:szCs w:val="16"/>
                <w:b w:val="1"/>
                <w:bCs w:val="1"/>
                <w:color w:val="auto"/>
                <w:w w:val="99"/>
              </w:rPr>
              <w:t>Governance</w:t>
            </w:r>
          </w:p>
        </w:tc>
        <w:tc>
          <w:tcPr>
            <w:tcW w:w="6760" w:type="dxa"/>
            <w:vAlign w:val="bottom"/>
            <w:tcBorders>
              <w:right w:val="single" w:sz="8" w:color="0061AF"/>
            </w:tcBorders>
            <w:shd w:val="clear" w:color="auto" w:fill="D8E7F3"/>
          </w:tcPr>
          <w:p>
            <w:pPr>
              <w:ind w:left="280"/>
              <w:spacing w:after="0"/>
              <w:rPr>
                <w:sz w:val="20"/>
                <w:szCs w:val="20"/>
                <w:color w:val="auto"/>
              </w:rPr>
            </w:pPr>
            <w:r>
              <w:rPr>
                <w:rFonts w:ascii="Arial" w:cs="Arial" w:eastAsia="Arial" w:hAnsi="Arial"/>
                <w:sz w:val="16"/>
                <w:szCs w:val="16"/>
                <w:color w:val="auto"/>
                <w:w w:val="99"/>
              </w:rPr>
              <w:t>Corporate governance, including Board structure, cybersecurity, environmental matters and</w:t>
            </w:r>
          </w:p>
        </w:tc>
        <w:tc>
          <w:tcPr>
            <w:tcW w:w="0" w:type="dxa"/>
            <w:vAlign w:val="bottom"/>
          </w:tcPr>
          <w:p>
            <w:pPr>
              <w:spacing w:after="0"/>
              <w:rPr>
                <w:sz w:val="1"/>
                <w:szCs w:val="1"/>
                <w:color w:val="auto"/>
              </w:rPr>
            </w:pPr>
          </w:p>
        </w:tc>
      </w:tr>
      <w:tr>
        <w:trPr>
          <w:trHeight w:val="190"/>
        </w:trPr>
        <w:tc>
          <w:tcPr>
            <w:tcW w:w="1400" w:type="dxa"/>
            <w:vAlign w:val="bottom"/>
            <w:tcBorders>
              <w:left w:val="single" w:sz="8" w:color="0061AF"/>
              <w:right w:val="single" w:sz="8" w:color="0061AF"/>
            </w:tcBorders>
            <w:shd w:val="clear" w:color="auto" w:fill="D8E7F3"/>
          </w:tcPr>
          <w:p>
            <w:pPr>
              <w:spacing w:after="0"/>
              <w:rPr>
                <w:sz w:val="16"/>
                <w:szCs w:val="16"/>
                <w:color w:val="auto"/>
              </w:rPr>
            </w:pPr>
          </w:p>
        </w:tc>
        <w:tc>
          <w:tcPr>
            <w:tcW w:w="6760" w:type="dxa"/>
            <w:vAlign w:val="bottom"/>
            <w:tcBorders>
              <w:right w:val="single" w:sz="8" w:color="0061AF"/>
            </w:tcBorders>
            <w:shd w:val="clear" w:color="auto" w:fill="D8E7F3"/>
          </w:tcPr>
          <w:p>
            <w:pPr>
              <w:ind w:left="280"/>
              <w:spacing w:after="0"/>
              <w:rPr>
                <w:sz w:val="20"/>
                <w:szCs w:val="20"/>
                <w:color w:val="auto"/>
              </w:rPr>
            </w:pPr>
            <w:r>
              <w:rPr>
                <w:rFonts w:ascii="Arial" w:cs="Arial" w:eastAsia="Arial" w:hAnsi="Arial"/>
                <w:sz w:val="16"/>
                <w:szCs w:val="16"/>
                <w:color w:val="auto"/>
              </w:rPr>
              <w:t>sustainability</w:t>
            </w:r>
          </w:p>
        </w:tc>
        <w:tc>
          <w:tcPr>
            <w:tcW w:w="0" w:type="dxa"/>
            <w:vAlign w:val="bottom"/>
          </w:tcPr>
          <w:p>
            <w:pPr>
              <w:spacing w:after="0"/>
              <w:rPr>
                <w:sz w:val="1"/>
                <w:szCs w:val="1"/>
                <w:color w:val="auto"/>
              </w:rPr>
            </w:pPr>
          </w:p>
        </w:tc>
      </w:tr>
      <w:tr>
        <w:trPr>
          <w:trHeight w:val="72"/>
        </w:trPr>
        <w:tc>
          <w:tcPr>
            <w:tcW w:w="1400" w:type="dxa"/>
            <w:vAlign w:val="bottom"/>
            <w:tcBorders>
              <w:left w:val="single" w:sz="8" w:color="0061AF"/>
              <w:bottom w:val="single" w:sz="8" w:color="0061AF"/>
              <w:right w:val="single" w:sz="8" w:color="0061AF"/>
            </w:tcBorders>
            <w:shd w:val="clear" w:color="auto" w:fill="D8E7F3"/>
          </w:tcPr>
          <w:p>
            <w:pPr>
              <w:spacing w:after="0"/>
              <w:rPr>
                <w:sz w:val="6"/>
                <w:szCs w:val="6"/>
                <w:color w:val="auto"/>
              </w:rPr>
            </w:pPr>
          </w:p>
        </w:tc>
        <w:tc>
          <w:tcPr>
            <w:tcW w:w="6760" w:type="dxa"/>
            <w:vAlign w:val="bottom"/>
            <w:tcBorders>
              <w:bottom w:val="single" w:sz="8" w:color="0061AF"/>
              <w:right w:val="single" w:sz="8" w:color="0061AF"/>
            </w:tcBorders>
            <w:shd w:val="clear" w:color="auto" w:fill="D8E7F3"/>
          </w:tcPr>
          <w:p>
            <w:pPr>
              <w:spacing w:after="0"/>
              <w:rPr>
                <w:sz w:val="6"/>
                <w:szCs w:val="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Board believes that the administration of its risk oversight function has not affected its leadership structure. In reviewing the Company’s compensation program, the Compensation Committee has made an assessment of whether compensation policies and practices create risks that are reasonably likely to have a material adverse effect on the Company and has concluded that they do not create such risks as presently constituted.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Social and Governance Oversight</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noted in the table above, the Board has charged the Governance Committee with oversight responsibility of the Company’s environmental matters as well as assessing its sustainability strategy and initiatives. The Governance Committee receives regular reports from management on the Company’s environmental and sustainability activities and risks, including risks related to climate change, among others. The Governance Committee provides periodic updates to the Board on the Company’s sustainability strategy and initiatives. The Compensation Committee assists the Board in discharging its oversight responsibility for the Company’s human capital management matters, including its diversity and inclusion initiatives and supplier diversity program, among other programs. Management provides regular updates to the Compensation Committee on human capital management strategy and programs, and the Board is kept apprised of any developments in these areas. Additionally, management periodically provides updates directly to the Board on the Company’s environmental and sustainability activities as well as its diversity and inclusion initiatives.</w:t>
      </w:r>
    </w:p>
    <w:p>
      <w:pPr>
        <w:spacing w:after="0" w:line="18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Company voluntarily discloses key environmental, social and governance (“ESG”) matters and metrics in its Corporate Responsibility Report that follows the Global Reporting Initiative (“GRI”) framework and has been prepared in accordance with GRI Standards: Core Option. The Company has also disclosed information using the Sustainability Accounting Standards Board (“SASB”) standards and incorporated both the Edison Electric Institute (“EEI”) and American Gas Association (“AGA”) Version 2 Templates into its annual sustainability reporting activities. This Corporate Responsibility Report reaffirmed the Company’s carbon policy, including its carbon emissions reduction goals, detailed the Company’s diversity and inclusion initiatives and provided an overview of the Company’s response to COVID-19, among other key ESG disclosures. The Company’s most recent Corporate Responsibility Report, published in November 2020, is available on its website at </w:t>
      </w:r>
      <w:r>
        <w:rPr>
          <w:rFonts w:ascii="Arial" w:cs="Arial" w:eastAsia="Arial" w:hAnsi="Arial"/>
          <w:sz w:val="16"/>
          <w:szCs w:val="16"/>
          <w:i w:val="1"/>
          <w:iCs w:val="1"/>
          <w:color w:val="auto"/>
        </w:rPr>
        <w:t>www.centerpointenergy.com/responsibility</w:t>
      </w:r>
      <w:r>
        <w:rPr>
          <w:rFonts w:ascii="Arial" w:cs="Arial" w:eastAsia="Arial" w:hAnsi="Arial"/>
          <w:sz w:val="16"/>
          <w:szCs w:val="16"/>
          <w:color w:val="auto"/>
        </w:rPr>
        <w:t>, in addition to the GRI Index, SASB Index and EEI and AGA Version 2 Templates. Unless specifically stated herein, documents and information on CenterPoint Energy’s website are not incorporated by reference in this proxy statement.</w:t>
      </w:r>
    </w:p>
    <w:p>
      <w:pPr>
        <w:spacing w:after="0" w:line="179" w:lineRule="exact"/>
        <w:rPr>
          <w:sz w:val="20"/>
          <w:szCs w:val="20"/>
          <w:color w:val="auto"/>
        </w:rPr>
      </w:pPr>
    </w:p>
    <w:p>
      <w:pPr>
        <w:ind w:left="400" w:hanging="391"/>
        <w:spacing w:after="0"/>
        <w:tabs>
          <w:tab w:leader="none" w:pos="400" w:val="left"/>
        </w:tabs>
        <w:numPr>
          <w:ilvl w:val="0"/>
          <w:numId w:val="19"/>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24" w:name="page25"/>
    <w:bookmarkEnd w:id="24"/>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Executive Succession Planning and 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part of the Company’s leadership transition, our former President and Chief Executive Officer Scott Prochazka departed the organization in February 2020. Upon such departure, the Board conducted a search process to select a permanent Chief Executive Officer. During the Board’s search process, Mr. John W. Somerhalder II served as the Company’s Interim President and Chief Executive Officer. Effective July 1, 2020, the Board appointed Mr. David J. Lesar to serve as the Company’s permanent President and Chief Executive Officer, and Mr. Somerhalder resigned from his interim officer position and his director position effective June 30, 2020. For further information, see “Chief Executive Officer Search Committee” below.</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connection with the appointment of Mr. Lesar as the Company’s President and Chief Executive Officer, the Board, in conjunction with management, is refreshing its current executive succession plan for the Company, which, among other things, is intended to identify senior executive talent and provide development opportunities. As part of this refresh process, the Company has taken into account feedback from shareholders received during its shareholder engagement program. For further information on the Company’s outreach efforts in 2020, see “Shareholder Engagement” below.</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616648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6"/>
          <w:szCs w:val="16"/>
          <w:color w:val="auto"/>
        </w:rPr>
        <w:t>Last year, the Board met 20 times, and the standing committees met a total of 24 times. Each incumbent director attended more than 75% of the meetings of the Board of Directors and each of the committees on which he or she served.</w:t>
      </w:r>
    </w:p>
    <w:p>
      <w:pPr>
        <w:spacing w:after="0" w:line="179"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Directors are expected to attend annual meetings of shareholders. All then-current directors attended the 2020 annual meeting of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Board Organization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Board oversees the management of the Company’s business and affairs. The Board appoints committees to help carry out its duties. Messrs. Carroll and Lesar do not serve on any standing committees. The following table sets forth the standing committees of the Board and their members as of the date of this proxy statement, as well as the number of meetings each committee held during 2020:</w:t>
      </w:r>
    </w:p>
    <w:p>
      <w:pPr>
        <w:spacing w:after="0" w:line="199" w:lineRule="exact"/>
        <w:rPr>
          <w:sz w:val="20"/>
          <w:szCs w:val="20"/>
          <w:color w:val="auto"/>
        </w:rPr>
      </w:pPr>
    </w:p>
    <w:tbl>
      <w:tblPr>
        <w:tblLayout w:type="fixed"/>
        <w:tblInd w:w="810" w:type="dxa"/>
        <w:tblCellMar>
          <w:top w:w="0" w:type="dxa"/>
          <w:left w:w="0" w:type="dxa"/>
          <w:bottom w:w="0" w:type="dxa"/>
          <w:right w:w="0" w:type="dxa"/>
        </w:tblCellMar>
      </w:tblPr>
      <w:tr>
        <w:trPr>
          <w:trHeight w:val="149"/>
        </w:trPr>
        <w:tc>
          <w:tcPr>
            <w:tcW w:w="2760" w:type="dxa"/>
            <w:vAlign w:val="bottom"/>
            <w:tcBorders>
              <w:left w:val="single" w:sz="8" w:color="0061AF"/>
            </w:tcBorders>
            <w:shd w:val="clear" w:color="auto" w:fill="0061AF"/>
          </w:tcPr>
          <w:p>
            <w:pPr>
              <w:spacing w:after="0"/>
              <w:rPr>
                <w:sz w:val="13"/>
                <w:szCs w:val="13"/>
                <w:color w:val="auto"/>
              </w:rPr>
            </w:pPr>
          </w:p>
        </w:tc>
        <w:tc>
          <w:tcPr>
            <w:tcW w:w="1920" w:type="dxa"/>
            <w:vAlign w:val="bottom"/>
            <w:shd w:val="clear" w:color="auto" w:fill="0061AF"/>
          </w:tcPr>
          <w:p>
            <w:pPr>
              <w:jc w:val="center"/>
              <w:ind w:left="97"/>
              <w:spacing w:after="0"/>
              <w:rPr>
                <w:sz w:val="20"/>
                <w:szCs w:val="20"/>
                <w:color w:val="auto"/>
              </w:rPr>
            </w:pPr>
            <w:r>
              <w:rPr>
                <w:rFonts w:ascii="Arial" w:cs="Arial" w:eastAsia="Arial" w:hAnsi="Arial"/>
                <w:sz w:val="13"/>
                <w:szCs w:val="13"/>
                <w:b w:val="1"/>
                <w:bCs w:val="1"/>
                <w:color w:val="FFFFFF"/>
                <w:w w:val="96"/>
              </w:rPr>
              <w:t>Audit</w:t>
            </w:r>
          </w:p>
        </w:tc>
        <w:tc>
          <w:tcPr>
            <w:tcW w:w="13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1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7"/>
              </w:rPr>
              <w:t>Finance</w:t>
            </w:r>
          </w:p>
        </w:tc>
        <w:tc>
          <w:tcPr>
            <w:tcW w:w="1060" w:type="dxa"/>
            <w:vAlign w:val="bottom"/>
            <w:tcBorders>
              <w:right w:val="single" w:sz="8" w:color="0061AF"/>
            </w:tcBorders>
            <w:shd w:val="clear" w:color="auto" w:fill="0061AF"/>
          </w:tcPr>
          <w:p>
            <w:pPr>
              <w:jc w:val="center"/>
              <w:ind w:left="37"/>
              <w:spacing w:after="0"/>
              <w:rPr>
                <w:sz w:val="20"/>
                <w:szCs w:val="20"/>
                <w:color w:val="auto"/>
              </w:rPr>
            </w:pPr>
            <w:r>
              <w:rPr>
                <w:rFonts w:ascii="Arial" w:cs="Arial" w:eastAsia="Arial" w:hAnsi="Arial"/>
                <w:sz w:val="13"/>
                <w:szCs w:val="13"/>
                <w:b w:val="1"/>
                <w:bCs w:val="1"/>
                <w:color w:val="FFFFFF"/>
                <w:w w:val="95"/>
              </w:rPr>
              <w:t>Governance</w:t>
            </w:r>
          </w:p>
        </w:tc>
      </w:tr>
      <w:tr>
        <w:trPr>
          <w:trHeight w:val="167"/>
        </w:trPr>
        <w:tc>
          <w:tcPr>
            <w:tcW w:w="2760" w:type="dxa"/>
            <w:vAlign w:val="bottom"/>
            <w:tcBorders>
              <w:left w:val="single" w:sz="8" w:color="0061AF"/>
            </w:tcBorders>
            <w:shd w:val="clear" w:color="auto" w:fill="0061AF"/>
          </w:tcPr>
          <w:p>
            <w:pPr>
              <w:ind w:left="120"/>
              <w:spacing w:after="0"/>
              <w:rPr>
                <w:sz w:val="20"/>
                <w:szCs w:val="20"/>
                <w:color w:val="auto"/>
              </w:rPr>
            </w:pPr>
            <w:r>
              <w:rPr>
                <w:rFonts w:ascii="Arial" w:cs="Arial" w:eastAsia="Arial" w:hAnsi="Arial"/>
                <w:sz w:val="13"/>
                <w:szCs w:val="13"/>
                <w:b w:val="1"/>
                <w:bCs w:val="1"/>
                <w:color w:val="FFFFFF"/>
              </w:rPr>
              <w:t>Director</w:t>
            </w:r>
          </w:p>
        </w:tc>
        <w:tc>
          <w:tcPr>
            <w:tcW w:w="1920" w:type="dxa"/>
            <w:vAlign w:val="bottom"/>
            <w:shd w:val="clear" w:color="auto" w:fill="0061AF"/>
          </w:tcPr>
          <w:p>
            <w:pPr>
              <w:jc w:val="center"/>
              <w:ind w:left="77"/>
              <w:spacing w:after="0"/>
              <w:rPr>
                <w:sz w:val="20"/>
                <w:szCs w:val="20"/>
                <w:color w:val="auto"/>
              </w:rPr>
            </w:pPr>
            <w:r>
              <w:rPr>
                <w:rFonts w:ascii="Arial" w:cs="Arial" w:eastAsia="Arial" w:hAnsi="Arial"/>
                <w:sz w:val="13"/>
                <w:szCs w:val="13"/>
                <w:b w:val="1"/>
                <w:bCs w:val="1"/>
                <w:color w:val="FFFFFF"/>
                <w:w w:val="98"/>
              </w:rPr>
              <w:t>Committee</w:t>
            </w:r>
          </w:p>
        </w:tc>
        <w:tc>
          <w:tcPr>
            <w:tcW w:w="13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1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8"/>
              </w:rPr>
              <w:t>Committee</w:t>
            </w:r>
          </w:p>
        </w:tc>
        <w:tc>
          <w:tcPr>
            <w:tcW w:w="1060" w:type="dxa"/>
            <w:vAlign w:val="bottom"/>
            <w:tcBorders>
              <w:right w:val="single" w:sz="8" w:color="0061AF"/>
            </w:tcBorders>
            <w:shd w:val="clear" w:color="auto" w:fill="0061AF"/>
          </w:tcPr>
          <w:p>
            <w:pPr>
              <w:jc w:val="center"/>
              <w:ind w:left="37"/>
              <w:spacing w:after="0"/>
              <w:rPr>
                <w:sz w:val="20"/>
                <w:szCs w:val="20"/>
                <w:color w:val="auto"/>
              </w:rPr>
            </w:pPr>
            <w:r>
              <w:rPr>
                <w:rFonts w:ascii="Arial" w:cs="Arial" w:eastAsia="Arial" w:hAnsi="Arial"/>
                <w:sz w:val="13"/>
                <w:szCs w:val="13"/>
                <w:b w:val="1"/>
                <w:bCs w:val="1"/>
                <w:color w:val="FFFFFF"/>
                <w:w w:val="95"/>
              </w:rPr>
              <w:t>Committee</w:t>
            </w:r>
          </w:p>
        </w:tc>
      </w:tr>
      <w:tr>
        <w:trPr>
          <w:trHeight w:val="155"/>
        </w:trPr>
        <w:tc>
          <w:tcPr>
            <w:tcW w:w="2760" w:type="dxa"/>
            <w:vAlign w:val="bottom"/>
            <w:tcBorders>
              <w:left w:val="single" w:sz="8" w:color="0061AF"/>
            </w:tcBorders>
          </w:tcPr>
          <w:p>
            <w:pPr>
              <w:ind w:left="120"/>
              <w:spacing w:after="0"/>
              <w:rPr>
                <w:sz w:val="20"/>
                <w:szCs w:val="20"/>
                <w:color w:val="auto"/>
              </w:rPr>
            </w:pPr>
            <w:r>
              <w:rPr>
                <w:rFonts w:ascii="Arial" w:cs="Arial" w:eastAsia="Arial" w:hAnsi="Arial"/>
                <w:sz w:val="13"/>
                <w:szCs w:val="13"/>
                <w:color w:val="auto"/>
              </w:rPr>
              <w:t>Leslie D. Biddle</w:t>
            </w:r>
          </w:p>
        </w:tc>
        <w:tc>
          <w:tcPr>
            <w:tcW w:w="1920" w:type="dxa"/>
            <w:vAlign w:val="bottom"/>
          </w:tcPr>
          <w:p>
            <w:pPr>
              <w:jc w:val="center"/>
              <w:ind w:left="77"/>
              <w:spacing w:after="0" w:line="131" w:lineRule="exact"/>
              <w:rPr>
                <w:sz w:val="20"/>
                <w:szCs w:val="20"/>
                <w:color w:val="auto"/>
              </w:rPr>
            </w:pPr>
            <w:r>
              <w:rPr>
                <w:rFonts w:ascii="MS PGothic" w:cs="MS PGothic" w:eastAsia="MS PGothic" w:hAnsi="MS PGothic"/>
                <w:sz w:val="13"/>
                <w:szCs w:val="13"/>
                <w:color w:val="auto"/>
                <w:w w:val="76"/>
              </w:rPr>
              <w:t>✓</w:t>
            </w:r>
          </w:p>
        </w:tc>
        <w:tc>
          <w:tcPr>
            <w:tcW w:w="1320" w:type="dxa"/>
            <w:vAlign w:val="bottom"/>
          </w:tcPr>
          <w:p>
            <w:pPr>
              <w:spacing w:after="0"/>
              <w:rPr>
                <w:sz w:val="13"/>
                <w:szCs w:val="13"/>
                <w:color w:val="auto"/>
              </w:rPr>
            </w:pPr>
          </w:p>
        </w:tc>
        <w:tc>
          <w:tcPr>
            <w:tcW w:w="11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060" w:type="dxa"/>
            <w:vAlign w:val="bottom"/>
            <w:tcBorders>
              <w:right w:val="single" w:sz="8" w:color="0061AF"/>
            </w:tcBorders>
          </w:tcPr>
          <w:p>
            <w:pPr>
              <w:spacing w:after="0"/>
              <w:rPr>
                <w:sz w:val="13"/>
                <w:szCs w:val="13"/>
                <w:color w:val="auto"/>
              </w:rPr>
            </w:pPr>
          </w:p>
        </w:tc>
      </w:tr>
      <w:tr>
        <w:trPr>
          <w:trHeight w:val="155"/>
        </w:trPr>
        <w:tc>
          <w:tcPr>
            <w:tcW w:w="2760" w:type="dxa"/>
            <w:vAlign w:val="bottom"/>
            <w:tcBorders>
              <w:left w:val="single" w:sz="8" w:color="0061AF"/>
            </w:tcBorders>
            <w:shd w:val="clear" w:color="auto" w:fill="D8E7F3"/>
          </w:tcPr>
          <w:p>
            <w:pPr>
              <w:ind w:left="120"/>
              <w:spacing w:after="0"/>
              <w:rPr>
                <w:sz w:val="20"/>
                <w:szCs w:val="20"/>
                <w:color w:val="auto"/>
              </w:rPr>
            </w:pPr>
            <w:r>
              <w:rPr>
                <w:rFonts w:ascii="Arial" w:cs="Arial" w:eastAsia="Arial" w:hAnsi="Arial"/>
                <w:sz w:val="13"/>
                <w:szCs w:val="13"/>
                <w:color w:val="auto"/>
              </w:rPr>
              <w:t>Wendy Montoya Cloonan*</w:t>
            </w:r>
          </w:p>
        </w:tc>
        <w:tc>
          <w:tcPr>
            <w:tcW w:w="1920" w:type="dxa"/>
            <w:vAlign w:val="bottom"/>
            <w:shd w:val="clear" w:color="auto" w:fill="D8E7F3"/>
          </w:tcPr>
          <w:p>
            <w:pPr>
              <w:jc w:val="center"/>
              <w:ind w:left="77"/>
              <w:spacing w:after="0" w:line="131" w:lineRule="exact"/>
              <w:rPr>
                <w:sz w:val="20"/>
                <w:szCs w:val="20"/>
                <w:color w:val="auto"/>
              </w:rPr>
            </w:pPr>
            <w:r>
              <w:rPr>
                <w:rFonts w:ascii="MS PGothic" w:cs="MS PGothic" w:eastAsia="MS PGothic" w:hAnsi="MS PGothic"/>
                <w:sz w:val="13"/>
                <w:szCs w:val="13"/>
                <w:color w:val="auto"/>
                <w:w w:val="76"/>
              </w:rPr>
              <w:t>✓</w:t>
            </w:r>
          </w:p>
        </w:tc>
        <w:tc>
          <w:tcPr>
            <w:tcW w:w="1320" w:type="dxa"/>
            <w:vAlign w:val="bottom"/>
            <w:shd w:val="clear" w:color="auto" w:fill="D8E7F3"/>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100" w:type="dxa"/>
            <w:vAlign w:val="bottom"/>
            <w:shd w:val="clear" w:color="auto" w:fill="D8E7F3"/>
          </w:tcPr>
          <w:p>
            <w:pPr>
              <w:spacing w:after="0"/>
              <w:rPr>
                <w:sz w:val="13"/>
                <w:szCs w:val="13"/>
                <w:color w:val="auto"/>
              </w:rPr>
            </w:pPr>
          </w:p>
        </w:tc>
        <w:tc>
          <w:tcPr>
            <w:tcW w:w="1060" w:type="dxa"/>
            <w:vAlign w:val="bottom"/>
            <w:tcBorders>
              <w:right w:val="single" w:sz="8" w:color="0061AF"/>
            </w:tcBorders>
            <w:shd w:val="clear" w:color="auto" w:fill="D8E7F3"/>
          </w:tcPr>
          <w:p>
            <w:pPr>
              <w:spacing w:after="0"/>
              <w:rPr>
                <w:sz w:val="13"/>
                <w:szCs w:val="13"/>
                <w:color w:val="auto"/>
              </w:rPr>
            </w:pPr>
          </w:p>
        </w:tc>
      </w:tr>
      <w:tr>
        <w:trPr>
          <w:trHeight w:val="155"/>
        </w:trPr>
        <w:tc>
          <w:tcPr>
            <w:tcW w:w="2760" w:type="dxa"/>
            <w:vAlign w:val="bottom"/>
            <w:tcBorders>
              <w:left w:val="single" w:sz="8" w:color="0061AF"/>
            </w:tcBorders>
          </w:tcPr>
          <w:p>
            <w:pPr>
              <w:ind w:left="120"/>
              <w:spacing w:after="0"/>
              <w:rPr>
                <w:sz w:val="20"/>
                <w:szCs w:val="20"/>
                <w:color w:val="auto"/>
              </w:rPr>
            </w:pPr>
            <w:r>
              <w:rPr>
                <w:rFonts w:ascii="Arial" w:cs="Arial" w:eastAsia="Arial" w:hAnsi="Arial"/>
                <w:sz w:val="13"/>
                <w:szCs w:val="13"/>
                <w:color w:val="auto"/>
              </w:rPr>
              <w:t>Earl M. Cummings</w:t>
            </w:r>
          </w:p>
        </w:tc>
        <w:tc>
          <w:tcPr>
            <w:tcW w:w="1920" w:type="dxa"/>
            <w:vAlign w:val="bottom"/>
          </w:tcPr>
          <w:p>
            <w:pPr>
              <w:jc w:val="center"/>
              <w:ind w:left="77"/>
              <w:spacing w:after="0" w:line="131" w:lineRule="exact"/>
              <w:rPr>
                <w:sz w:val="20"/>
                <w:szCs w:val="20"/>
                <w:color w:val="auto"/>
              </w:rPr>
            </w:pPr>
            <w:r>
              <w:rPr>
                <w:rFonts w:ascii="MS PGothic" w:cs="MS PGothic" w:eastAsia="MS PGothic" w:hAnsi="MS PGothic"/>
                <w:sz w:val="13"/>
                <w:szCs w:val="13"/>
                <w:color w:val="auto"/>
                <w:w w:val="76"/>
              </w:rPr>
              <w:t>✓</w:t>
            </w:r>
          </w:p>
        </w:tc>
        <w:tc>
          <w:tcPr>
            <w:tcW w:w="13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100" w:type="dxa"/>
            <w:vAlign w:val="bottom"/>
          </w:tcPr>
          <w:p>
            <w:pPr>
              <w:spacing w:after="0"/>
              <w:rPr>
                <w:sz w:val="13"/>
                <w:szCs w:val="13"/>
                <w:color w:val="auto"/>
              </w:rPr>
            </w:pPr>
          </w:p>
        </w:tc>
        <w:tc>
          <w:tcPr>
            <w:tcW w:w="1060" w:type="dxa"/>
            <w:vAlign w:val="bottom"/>
            <w:tcBorders>
              <w:right w:val="single" w:sz="8" w:color="0061AF"/>
            </w:tcBorders>
          </w:tcPr>
          <w:p>
            <w:pPr>
              <w:spacing w:after="0"/>
              <w:rPr>
                <w:sz w:val="13"/>
                <w:szCs w:val="13"/>
                <w:color w:val="auto"/>
              </w:rPr>
            </w:pPr>
          </w:p>
        </w:tc>
      </w:tr>
      <w:tr>
        <w:trPr>
          <w:trHeight w:val="155"/>
        </w:trPr>
        <w:tc>
          <w:tcPr>
            <w:tcW w:w="2760" w:type="dxa"/>
            <w:vAlign w:val="bottom"/>
            <w:tcBorders>
              <w:left w:val="single" w:sz="8" w:color="0061AF"/>
            </w:tcBorders>
            <w:shd w:val="clear" w:color="auto" w:fill="D8E7F3"/>
          </w:tcPr>
          <w:p>
            <w:pPr>
              <w:ind w:left="120"/>
              <w:spacing w:after="0"/>
              <w:rPr>
                <w:sz w:val="20"/>
                <w:szCs w:val="20"/>
                <w:color w:val="auto"/>
              </w:rPr>
            </w:pPr>
            <w:r>
              <w:rPr>
                <w:rFonts w:ascii="Arial" w:cs="Arial" w:eastAsia="Arial" w:hAnsi="Arial"/>
                <w:sz w:val="13"/>
                <w:szCs w:val="13"/>
                <w:color w:val="auto"/>
              </w:rPr>
              <w:t>Scott J. McLean</w:t>
            </w:r>
          </w:p>
        </w:tc>
        <w:tc>
          <w:tcPr>
            <w:tcW w:w="1920" w:type="dxa"/>
            <w:vAlign w:val="bottom"/>
            <w:shd w:val="clear" w:color="auto" w:fill="D8E7F3"/>
          </w:tcPr>
          <w:p>
            <w:pPr>
              <w:spacing w:after="0"/>
              <w:rPr>
                <w:sz w:val="13"/>
                <w:szCs w:val="13"/>
                <w:color w:val="auto"/>
              </w:rPr>
            </w:pPr>
          </w:p>
        </w:tc>
        <w:tc>
          <w:tcPr>
            <w:tcW w:w="1320" w:type="dxa"/>
            <w:vAlign w:val="bottom"/>
            <w:shd w:val="clear" w:color="auto" w:fill="D8E7F3"/>
          </w:tcPr>
          <w:p>
            <w:pPr>
              <w:spacing w:after="0"/>
              <w:rPr>
                <w:sz w:val="13"/>
                <w:szCs w:val="13"/>
                <w:color w:val="auto"/>
              </w:rPr>
            </w:pPr>
          </w:p>
        </w:tc>
        <w:tc>
          <w:tcPr>
            <w:tcW w:w="1100" w:type="dxa"/>
            <w:vAlign w:val="bottom"/>
            <w:shd w:val="clear" w:color="auto" w:fill="D8E7F3"/>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060" w:type="dxa"/>
            <w:vAlign w:val="bottom"/>
            <w:tcBorders>
              <w:right w:val="single" w:sz="8" w:color="0061AF"/>
            </w:tcBorders>
            <w:shd w:val="clear" w:color="auto" w:fill="D8E7F3"/>
          </w:tcPr>
          <w:p>
            <w:pPr>
              <w:jc w:val="center"/>
              <w:ind w:left="5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5"/>
        </w:trPr>
        <w:tc>
          <w:tcPr>
            <w:tcW w:w="2760" w:type="dxa"/>
            <w:vAlign w:val="bottom"/>
            <w:tcBorders>
              <w:left w:val="single" w:sz="8" w:color="0061AF"/>
            </w:tcBorders>
          </w:tcPr>
          <w:p>
            <w:pPr>
              <w:ind w:left="120"/>
              <w:spacing w:after="0"/>
              <w:rPr>
                <w:sz w:val="20"/>
                <w:szCs w:val="20"/>
                <w:color w:val="auto"/>
              </w:rPr>
            </w:pPr>
            <w:r>
              <w:rPr>
                <w:rFonts w:ascii="Arial" w:cs="Arial" w:eastAsia="Arial" w:hAnsi="Arial"/>
                <w:sz w:val="13"/>
                <w:szCs w:val="13"/>
                <w:color w:val="auto"/>
              </w:rPr>
              <w:t>Martin H. Nesbitt</w:t>
            </w:r>
          </w:p>
        </w:tc>
        <w:tc>
          <w:tcPr>
            <w:tcW w:w="1920" w:type="dxa"/>
            <w:vAlign w:val="bottom"/>
          </w:tcPr>
          <w:p>
            <w:pPr>
              <w:spacing w:after="0"/>
              <w:rPr>
                <w:sz w:val="13"/>
                <w:szCs w:val="13"/>
                <w:color w:val="auto"/>
              </w:rPr>
            </w:pPr>
          </w:p>
        </w:tc>
        <w:tc>
          <w:tcPr>
            <w:tcW w:w="13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100" w:type="dxa"/>
            <w:vAlign w:val="bottom"/>
          </w:tcPr>
          <w:p>
            <w:pPr>
              <w:spacing w:after="0"/>
              <w:rPr>
                <w:sz w:val="13"/>
                <w:szCs w:val="13"/>
                <w:color w:val="auto"/>
              </w:rPr>
            </w:pPr>
          </w:p>
        </w:tc>
        <w:tc>
          <w:tcPr>
            <w:tcW w:w="1060" w:type="dxa"/>
            <w:vAlign w:val="bottom"/>
            <w:tcBorders>
              <w:right w:val="single" w:sz="8" w:color="0061AF"/>
            </w:tcBorders>
          </w:tcPr>
          <w:p>
            <w:pPr>
              <w:jc w:val="center"/>
              <w:ind w:left="57"/>
              <w:spacing w:after="0"/>
              <w:rPr>
                <w:sz w:val="20"/>
                <w:szCs w:val="20"/>
                <w:color w:val="auto"/>
              </w:rPr>
            </w:pPr>
            <w:r>
              <w:rPr>
                <w:rFonts w:ascii="Arial" w:cs="Arial" w:eastAsia="Arial" w:hAnsi="Arial"/>
                <w:sz w:val="13"/>
                <w:szCs w:val="13"/>
                <w:color w:val="auto"/>
                <w:w w:val="96"/>
              </w:rPr>
              <w:t>Chair</w:t>
            </w:r>
          </w:p>
        </w:tc>
      </w:tr>
      <w:tr>
        <w:trPr>
          <w:trHeight w:val="155"/>
        </w:trPr>
        <w:tc>
          <w:tcPr>
            <w:tcW w:w="2760" w:type="dxa"/>
            <w:vAlign w:val="bottom"/>
            <w:tcBorders>
              <w:left w:val="single" w:sz="8" w:color="0061AF"/>
            </w:tcBorders>
            <w:shd w:val="clear" w:color="auto" w:fill="D8E7F3"/>
          </w:tcPr>
          <w:p>
            <w:pPr>
              <w:ind w:left="120"/>
              <w:spacing w:after="0"/>
              <w:rPr>
                <w:sz w:val="20"/>
                <w:szCs w:val="20"/>
                <w:color w:val="auto"/>
              </w:rPr>
            </w:pPr>
            <w:r>
              <w:rPr>
                <w:rFonts w:ascii="Arial" w:cs="Arial" w:eastAsia="Arial" w:hAnsi="Arial"/>
                <w:sz w:val="13"/>
                <w:szCs w:val="13"/>
                <w:color w:val="auto"/>
              </w:rPr>
              <w:t>Theodore F. Pound</w:t>
            </w:r>
          </w:p>
        </w:tc>
        <w:tc>
          <w:tcPr>
            <w:tcW w:w="1920" w:type="dxa"/>
            <w:vAlign w:val="bottom"/>
            <w:shd w:val="clear" w:color="auto" w:fill="D8E7F3"/>
          </w:tcPr>
          <w:p>
            <w:pPr>
              <w:jc w:val="center"/>
              <w:ind w:left="77"/>
              <w:spacing w:after="0" w:line="131" w:lineRule="exact"/>
              <w:rPr>
                <w:sz w:val="20"/>
                <w:szCs w:val="20"/>
                <w:color w:val="auto"/>
              </w:rPr>
            </w:pPr>
            <w:r>
              <w:rPr>
                <w:rFonts w:ascii="MS PGothic" w:cs="MS PGothic" w:eastAsia="MS PGothic" w:hAnsi="MS PGothic"/>
                <w:sz w:val="13"/>
                <w:szCs w:val="13"/>
                <w:color w:val="auto"/>
                <w:w w:val="76"/>
              </w:rPr>
              <w:t>✓</w:t>
            </w:r>
          </w:p>
        </w:tc>
        <w:tc>
          <w:tcPr>
            <w:tcW w:w="1320" w:type="dxa"/>
            <w:vAlign w:val="bottom"/>
            <w:shd w:val="clear" w:color="auto" w:fill="D8E7F3"/>
          </w:tcPr>
          <w:p>
            <w:pPr>
              <w:jc w:val="center"/>
              <w:spacing w:after="0"/>
              <w:rPr>
                <w:sz w:val="20"/>
                <w:szCs w:val="20"/>
                <w:color w:val="auto"/>
              </w:rPr>
            </w:pPr>
            <w:r>
              <w:rPr>
                <w:rFonts w:ascii="Arial" w:cs="Arial" w:eastAsia="Arial" w:hAnsi="Arial"/>
                <w:sz w:val="13"/>
                <w:szCs w:val="13"/>
                <w:color w:val="auto"/>
                <w:w w:val="96"/>
              </w:rPr>
              <w:t>Chair</w:t>
            </w:r>
          </w:p>
        </w:tc>
        <w:tc>
          <w:tcPr>
            <w:tcW w:w="1100" w:type="dxa"/>
            <w:vAlign w:val="bottom"/>
            <w:shd w:val="clear" w:color="auto" w:fill="D8E7F3"/>
          </w:tcPr>
          <w:p>
            <w:pPr>
              <w:spacing w:after="0"/>
              <w:rPr>
                <w:sz w:val="13"/>
                <w:szCs w:val="13"/>
                <w:color w:val="auto"/>
              </w:rPr>
            </w:pPr>
          </w:p>
        </w:tc>
        <w:tc>
          <w:tcPr>
            <w:tcW w:w="1060" w:type="dxa"/>
            <w:vAlign w:val="bottom"/>
            <w:tcBorders>
              <w:right w:val="single" w:sz="8" w:color="0061AF"/>
            </w:tcBorders>
            <w:shd w:val="clear" w:color="auto" w:fill="D8E7F3"/>
          </w:tcPr>
          <w:p>
            <w:pPr>
              <w:spacing w:after="0"/>
              <w:rPr>
                <w:sz w:val="13"/>
                <w:szCs w:val="13"/>
                <w:color w:val="auto"/>
              </w:rPr>
            </w:pPr>
          </w:p>
        </w:tc>
      </w:tr>
      <w:tr>
        <w:trPr>
          <w:trHeight w:val="155"/>
        </w:trPr>
        <w:tc>
          <w:tcPr>
            <w:tcW w:w="2760" w:type="dxa"/>
            <w:vAlign w:val="bottom"/>
            <w:tcBorders>
              <w:left w:val="single" w:sz="8" w:color="0061AF"/>
            </w:tcBorders>
          </w:tcPr>
          <w:p>
            <w:pPr>
              <w:ind w:left="120"/>
              <w:spacing w:after="0"/>
              <w:rPr>
                <w:sz w:val="20"/>
                <w:szCs w:val="20"/>
                <w:color w:val="auto"/>
              </w:rPr>
            </w:pPr>
            <w:r>
              <w:rPr>
                <w:rFonts w:ascii="Arial" w:cs="Arial" w:eastAsia="Arial" w:hAnsi="Arial"/>
                <w:sz w:val="13"/>
                <w:szCs w:val="13"/>
                <w:color w:val="auto"/>
              </w:rPr>
              <w:t>Susan O. Rheney</w:t>
            </w:r>
          </w:p>
        </w:tc>
        <w:tc>
          <w:tcPr>
            <w:tcW w:w="1920" w:type="dxa"/>
            <w:vAlign w:val="bottom"/>
          </w:tcPr>
          <w:p>
            <w:pPr>
              <w:spacing w:after="0"/>
              <w:rPr>
                <w:sz w:val="13"/>
                <w:szCs w:val="13"/>
                <w:color w:val="auto"/>
              </w:rPr>
            </w:pPr>
          </w:p>
        </w:tc>
        <w:tc>
          <w:tcPr>
            <w:tcW w:w="13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Chair</w:t>
            </w:r>
          </w:p>
        </w:tc>
        <w:tc>
          <w:tcPr>
            <w:tcW w:w="1060" w:type="dxa"/>
            <w:vAlign w:val="bottom"/>
            <w:tcBorders>
              <w:right w:val="single" w:sz="8" w:color="0061AF"/>
            </w:tcBorders>
          </w:tcPr>
          <w:p>
            <w:pPr>
              <w:spacing w:after="0"/>
              <w:rPr>
                <w:sz w:val="13"/>
                <w:szCs w:val="13"/>
                <w:color w:val="auto"/>
              </w:rPr>
            </w:pPr>
          </w:p>
        </w:tc>
      </w:tr>
      <w:tr>
        <w:trPr>
          <w:trHeight w:val="155"/>
        </w:trPr>
        <w:tc>
          <w:tcPr>
            <w:tcW w:w="2760" w:type="dxa"/>
            <w:vAlign w:val="bottom"/>
            <w:tcBorders>
              <w:left w:val="single" w:sz="8" w:color="0061AF"/>
            </w:tcBorders>
            <w:shd w:val="clear" w:color="auto" w:fill="D8E7F3"/>
          </w:tcPr>
          <w:p>
            <w:pPr>
              <w:ind w:left="120"/>
              <w:spacing w:after="0"/>
              <w:rPr>
                <w:sz w:val="20"/>
                <w:szCs w:val="20"/>
                <w:color w:val="auto"/>
              </w:rPr>
            </w:pPr>
            <w:r>
              <w:rPr>
                <w:rFonts w:ascii="Arial" w:cs="Arial" w:eastAsia="Arial" w:hAnsi="Arial"/>
                <w:sz w:val="13"/>
                <w:szCs w:val="13"/>
                <w:color w:val="auto"/>
              </w:rPr>
              <w:t>Phillip R. Smith</w:t>
            </w:r>
          </w:p>
        </w:tc>
        <w:tc>
          <w:tcPr>
            <w:tcW w:w="1920" w:type="dxa"/>
            <w:vAlign w:val="bottom"/>
            <w:shd w:val="clear" w:color="auto" w:fill="D8E7F3"/>
          </w:tcPr>
          <w:p>
            <w:pPr>
              <w:jc w:val="center"/>
              <w:ind w:left="97"/>
              <w:spacing w:after="0"/>
              <w:rPr>
                <w:sz w:val="20"/>
                <w:szCs w:val="20"/>
                <w:color w:val="auto"/>
              </w:rPr>
            </w:pPr>
            <w:r>
              <w:rPr>
                <w:rFonts w:ascii="Arial" w:cs="Arial" w:eastAsia="Arial" w:hAnsi="Arial"/>
                <w:sz w:val="13"/>
                <w:szCs w:val="13"/>
                <w:color w:val="auto"/>
                <w:w w:val="97"/>
              </w:rPr>
              <w:t>Chair; Financial Expert</w:t>
            </w:r>
          </w:p>
        </w:tc>
        <w:tc>
          <w:tcPr>
            <w:tcW w:w="1320" w:type="dxa"/>
            <w:vAlign w:val="bottom"/>
            <w:shd w:val="clear" w:color="auto" w:fill="D8E7F3"/>
          </w:tcPr>
          <w:p>
            <w:pPr>
              <w:spacing w:after="0"/>
              <w:rPr>
                <w:sz w:val="13"/>
                <w:szCs w:val="13"/>
                <w:color w:val="auto"/>
              </w:rPr>
            </w:pPr>
          </w:p>
        </w:tc>
        <w:tc>
          <w:tcPr>
            <w:tcW w:w="1100" w:type="dxa"/>
            <w:vAlign w:val="bottom"/>
            <w:shd w:val="clear" w:color="auto" w:fill="D8E7F3"/>
          </w:tcPr>
          <w:p>
            <w:pPr>
              <w:spacing w:after="0"/>
              <w:rPr>
                <w:sz w:val="13"/>
                <w:szCs w:val="13"/>
                <w:color w:val="auto"/>
              </w:rPr>
            </w:pPr>
          </w:p>
        </w:tc>
        <w:tc>
          <w:tcPr>
            <w:tcW w:w="1060" w:type="dxa"/>
            <w:vAlign w:val="bottom"/>
            <w:tcBorders>
              <w:right w:val="single" w:sz="8" w:color="0061AF"/>
            </w:tcBorders>
            <w:shd w:val="clear" w:color="auto" w:fill="D8E7F3"/>
          </w:tcPr>
          <w:p>
            <w:pPr>
              <w:jc w:val="center"/>
              <w:ind w:left="5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5"/>
        </w:trPr>
        <w:tc>
          <w:tcPr>
            <w:tcW w:w="2760" w:type="dxa"/>
            <w:vAlign w:val="bottom"/>
            <w:tcBorders>
              <w:left w:val="single" w:sz="8" w:color="0061AF"/>
            </w:tcBorders>
          </w:tcPr>
          <w:p>
            <w:pPr>
              <w:ind w:left="120"/>
              <w:spacing w:after="0"/>
              <w:rPr>
                <w:sz w:val="20"/>
                <w:szCs w:val="20"/>
                <w:color w:val="auto"/>
              </w:rPr>
            </w:pPr>
            <w:r>
              <w:rPr>
                <w:rFonts w:ascii="Arial" w:cs="Arial" w:eastAsia="Arial" w:hAnsi="Arial"/>
                <w:sz w:val="13"/>
                <w:szCs w:val="13"/>
                <w:color w:val="auto"/>
              </w:rPr>
              <w:t>Barry T. Smitherman</w:t>
            </w:r>
          </w:p>
        </w:tc>
        <w:tc>
          <w:tcPr>
            <w:tcW w:w="1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1060" w:type="dxa"/>
            <w:vAlign w:val="bottom"/>
            <w:tcBorders>
              <w:right w:val="single" w:sz="8" w:color="0061AF"/>
            </w:tcBorders>
          </w:tcPr>
          <w:p>
            <w:pPr>
              <w:jc w:val="center"/>
              <w:ind w:left="5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3"/>
        </w:trPr>
        <w:tc>
          <w:tcPr>
            <w:tcW w:w="2760" w:type="dxa"/>
            <w:vAlign w:val="bottom"/>
            <w:tcBorders>
              <w:left w:val="single" w:sz="8" w:color="0061AF"/>
              <w:bottom w:val="single" w:sz="8" w:color="0061AF"/>
            </w:tcBorders>
            <w:shd w:val="clear" w:color="auto" w:fill="D8E7F3"/>
          </w:tcPr>
          <w:p>
            <w:pPr>
              <w:ind w:left="120"/>
              <w:spacing w:after="0" w:line="143" w:lineRule="exact"/>
              <w:rPr>
                <w:sz w:val="20"/>
                <w:szCs w:val="20"/>
                <w:color w:val="auto"/>
              </w:rPr>
            </w:pPr>
            <w:r>
              <w:rPr>
                <w:rFonts w:ascii="Arial" w:cs="Arial" w:eastAsia="Arial" w:hAnsi="Arial"/>
                <w:sz w:val="13"/>
                <w:szCs w:val="13"/>
                <w:b w:val="1"/>
                <w:bCs w:val="1"/>
                <w:color w:val="auto"/>
              </w:rPr>
              <w:t>Number of Meetings Held in 2020</w:t>
            </w:r>
          </w:p>
        </w:tc>
        <w:tc>
          <w:tcPr>
            <w:tcW w:w="1920" w:type="dxa"/>
            <w:vAlign w:val="bottom"/>
            <w:tcBorders>
              <w:bottom w:val="single" w:sz="8" w:color="0061AF"/>
            </w:tcBorders>
            <w:shd w:val="clear" w:color="auto" w:fill="D8E7F3"/>
          </w:tcPr>
          <w:p>
            <w:pPr>
              <w:jc w:val="center"/>
              <w:ind w:left="97"/>
              <w:spacing w:after="0" w:line="143" w:lineRule="exact"/>
              <w:rPr>
                <w:sz w:val="20"/>
                <w:szCs w:val="20"/>
                <w:color w:val="auto"/>
              </w:rPr>
            </w:pPr>
            <w:r>
              <w:rPr>
                <w:rFonts w:ascii="Arial" w:cs="Arial" w:eastAsia="Arial" w:hAnsi="Arial"/>
                <w:sz w:val="13"/>
                <w:szCs w:val="13"/>
                <w:color w:val="auto"/>
              </w:rPr>
              <w:t>5</w:t>
            </w:r>
          </w:p>
        </w:tc>
        <w:tc>
          <w:tcPr>
            <w:tcW w:w="1320" w:type="dxa"/>
            <w:vAlign w:val="bottom"/>
            <w:tcBorders>
              <w:bottom w:val="single" w:sz="8" w:color="0061AF"/>
            </w:tcBorders>
            <w:shd w:val="clear" w:color="auto" w:fill="D8E7F3"/>
          </w:tcPr>
          <w:p>
            <w:pPr>
              <w:jc w:val="center"/>
              <w:spacing w:after="0" w:line="143" w:lineRule="exact"/>
              <w:rPr>
                <w:sz w:val="20"/>
                <w:szCs w:val="20"/>
                <w:color w:val="auto"/>
              </w:rPr>
            </w:pPr>
            <w:r>
              <w:rPr>
                <w:rFonts w:ascii="Arial" w:cs="Arial" w:eastAsia="Arial" w:hAnsi="Arial"/>
                <w:sz w:val="13"/>
                <w:szCs w:val="13"/>
                <w:color w:val="auto"/>
                <w:w w:val="82"/>
              </w:rPr>
              <w:t>7</w:t>
            </w:r>
          </w:p>
        </w:tc>
        <w:tc>
          <w:tcPr>
            <w:tcW w:w="1100" w:type="dxa"/>
            <w:vAlign w:val="bottom"/>
            <w:tcBorders>
              <w:bottom w:val="single" w:sz="8" w:color="0061AF"/>
            </w:tcBorders>
            <w:shd w:val="clear" w:color="auto" w:fill="D8E7F3"/>
          </w:tcPr>
          <w:p>
            <w:pPr>
              <w:jc w:val="center"/>
              <w:spacing w:after="0" w:line="143" w:lineRule="exact"/>
              <w:rPr>
                <w:sz w:val="20"/>
                <w:szCs w:val="20"/>
                <w:color w:val="auto"/>
              </w:rPr>
            </w:pPr>
            <w:r>
              <w:rPr>
                <w:rFonts w:ascii="Arial" w:cs="Arial" w:eastAsia="Arial" w:hAnsi="Arial"/>
                <w:sz w:val="13"/>
                <w:szCs w:val="13"/>
                <w:color w:val="auto"/>
                <w:w w:val="82"/>
              </w:rPr>
              <w:t>7</w:t>
            </w:r>
          </w:p>
        </w:tc>
        <w:tc>
          <w:tcPr>
            <w:tcW w:w="1060" w:type="dxa"/>
            <w:vAlign w:val="bottom"/>
            <w:tcBorders>
              <w:bottom w:val="single" w:sz="8" w:color="0061AF"/>
              <w:right w:val="single" w:sz="8" w:color="0061AF"/>
            </w:tcBorders>
            <w:shd w:val="clear" w:color="auto" w:fill="D8E7F3"/>
          </w:tcPr>
          <w:p>
            <w:pPr>
              <w:jc w:val="center"/>
              <w:ind w:left="57"/>
              <w:spacing w:after="0" w:line="143" w:lineRule="exact"/>
              <w:rPr>
                <w:sz w:val="20"/>
                <w:szCs w:val="20"/>
                <w:color w:val="auto"/>
              </w:rPr>
            </w:pPr>
            <w:r>
              <w:rPr>
                <w:rFonts w:ascii="Arial" w:cs="Arial" w:eastAsia="Arial" w:hAnsi="Arial"/>
                <w:sz w:val="13"/>
                <w:szCs w:val="13"/>
                <w:color w:val="auto"/>
                <w:w w:val="82"/>
              </w:rPr>
              <w:t>5</w:t>
            </w:r>
          </w:p>
        </w:tc>
      </w:tr>
    </w:tbl>
    <w:p>
      <w:pPr>
        <w:spacing w:after="0" w:line="218" w:lineRule="exact"/>
        <w:rPr>
          <w:sz w:val="20"/>
          <w:szCs w:val="20"/>
          <w:color w:val="auto"/>
        </w:rPr>
      </w:pPr>
    </w:p>
    <w:p>
      <w:pPr>
        <w:ind w:left="1060" w:hanging="278"/>
        <w:spacing w:after="0"/>
        <w:tabs>
          <w:tab w:leader="none" w:pos="10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Ms. Cloonan was elected to the Board effective February 19, 2021.</w:t>
      </w:r>
    </w:p>
    <w:p>
      <w:pPr>
        <w:spacing w:after="0" w:line="209"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25" w:name="page26"/>
    <w:bookmarkEnd w:id="25"/>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83820</wp:posOffset>
            </wp:positionV>
            <wp:extent cx="6166485" cy="18440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66485" cy="1844040"/>
                    </a:xfrm>
                    <a:prstGeom prst="rect">
                      <a:avLst/>
                    </a:prstGeom>
                    <a:noFill/>
                  </pic:spPr>
                </pic:pic>
              </a:graphicData>
            </a:graphic>
          </wp:anchor>
        </w:drawing>
      </w:r>
    </w:p>
    <w:p>
      <w:pPr>
        <w:spacing w:after="0" w:line="183" w:lineRule="exact"/>
        <w:rPr>
          <w:sz w:val="20"/>
          <w:szCs w:val="20"/>
          <w:color w:val="auto"/>
        </w:rPr>
      </w:pPr>
    </w:p>
    <w:p>
      <w:pPr>
        <w:ind w:left="2340" w:right="180"/>
        <w:spacing w:after="0"/>
        <w:rPr>
          <w:sz w:val="20"/>
          <w:szCs w:val="20"/>
          <w:color w:val="auto"/>
        </w:rPr>
      </w:pPr>
      <w:r>
        <w:rPr>
          <w:rFonts w:ascii="Arial" w:cs="Arial" w:eastAsia="Arial" w:hAnsi="Arial"/>
          <w:sz w:val="16"/>
          <w:szCs w:val="16"/>
          <w:color w:val="auto"/>
        </w:rPr>
        <w:t>The primary responsibilities of the Audit Committee are to assist the Board in fulfilling its oversight responsibility for: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7480" w:type="dxa"/>
            <w:vAlign w:val="bottom"/>
            <w:gridSpan w:val="2"/>
          </w:tcPr>
          <w:p>
            <w:pPr>
              <w:ind w:left="180"/>
              <w:spacing w:after="0"/>
              <w:rPr>
                <w:sz w:val="20"/>
                <w:szCs w:val="20"/>
                <w:color w:val="auto"/>
              </w:rPr>
            </w:pPr>
            <w:r>
              <w:rPr>
                <w:rFonts w:ascii="Arial" w:cs="Arial" w:eastAsia="Arial" w:hAnsi="Arial"/>
                <w:sz w:val="16"/>
                <w:szCs w:val="16"/>
                <w:color w:val="0061AF"/>
              </w:rPr>
              <w:t xml:space="preserve">•  </w:t>
            </w:r>
            <w:r>
              <w:rPr>
                <w:rFonts w:ascii="Arial" w:cs="Arial" w:eastAsia="Arial" w:hAnsi="Arial"/>
                <w:sz w:val="16"/>
                <w:szCs w:val="16"/>
                <w:color w:val="000000"/>
              </w:rPr>
              <w:t>the integrity of our financial statements;</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7480" w:type="dxa"/>
            <w:vAlign w:val="bottom"/>
            <w:gridSpan w:val="2"/>
          </w:tcPr>
          <w:p>
            <w:pPr>
              <w:ind w:left="180"/>
              <w:spacing w:after="0" w:line="178" w:lineRule="exact"/>
              <w:rPr>
                <w:sz w:val="20"/>
                <w:szCs w:val="20"/>
                <w:color w:val="auto"/>
              </w:rPr>
            </w:pPr>
            <w:r>
              <w:rPr>
                <w:rFonts w:ascii="Arial" w:cs="Arial" w:eastAsia="Arial" w:hAnsi="Arial"/>
                <w:sz w:val="16"/>
                <w:szCs w:val="16"/>
                <w:color w:val="0061AF"/>
              </w:rPr>
              <w:t xml:space="preserve">•   </w:t>
            </w:r>
            <w:r>
              <w:rPr>
                <w:rFonts w:ascii="Arial" w:cs="Arial" w:eastAsia="Arial" w:hAnsi="Arial"/>
                <w:sz w:val="16"/>
                <w:szCs w:val="16"/>
                <w:color w:val="000000"/>
              </w:rPr>
              <w:t>the qualifications, independence and performance of our independent registered public accounting</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160" w:type="dxa"/>
            <w:vAlign w:val="bottom"/>
          </w:tcPr>
          <w:p>
            <w:pPr>
              <w:ind w:left="100"/>
              <w:spacing w:after="0" w:line="178" w:lineRule="exact"/>
              <w:rPr>
                <w:sz w:val="20"/>
                <w:szCs w:val="20"/>
                <w:color w:val="auto"/>
              </w:rPr>
            </w:pPr>
            <w:r>
              <w:rPr>
                <w:rFonts w:ascii="Arial" w:cs="Arial" w:eastAsia="Arial" w:hAnsi="Arial"/>
                <w:sz w:val="16"/>
                <w:szCs w:val="16"/>
                <w:color w:val="auto"/>
              </w:rPr>
              <w:t>firm;</w:t>
            </w:r>
          </w:p>
        </w:tc>
        <w:tc>
          <w:tcPr>
            <w:tcW w:w="0" w:type="dxa"/>
            <w:vAlign w:val="bottom"/>
          </w:tcPr>
          <w:p>
            <w:pPr>
              <w:spacing w:after="0"/>
              <w:rPr>
                <w:sz w:val="1"/>
                <w:szCs w:val="1"/>
                <w:color w:val="auto"/>
              </w:rPr>
            </w:pPr>
          </w:p>
        </w:tc>
      </w:tr>
      <w:tr>
        <w:trPr>
          <w:trHeight w:val="179"/>
        </w:trPr>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8"/>
              </w:rPr>
              <w:t>AUDIT</w:t>
            </w:r>
          </w:p>
        </w:tc>
        <w:tc>
          <w:tcPr>
            <w:tcW w:w="7480" w:type="dxa"/>
            <w:vAlign w:val="bottom"/>
            <w:gridSpan w:val="2"/>
          </w:tcPr>
          <w:p>
            <w:pPr>
              <w:ind w:left="180"/>
              <w:spacing w:after="0" w:line="178" w:lineRule="exact"/>
              <w:rPr>
                <w:sz w:val="20"/>
                <w:szCs w:val="20"/>
                <w:color w:val="auto"/>
              </w:rPr>
            </w:pPr>
            <w:r>
              <w:rPr>
                <w:rFonts w:ascii="Arial" w:cs="Arial" w:eastAsia="Arial" w:hAnsi="Arial"/>
                <w:sz w:val="16"/>
                <w:szCs w:val="16"/>
                <w:color w:val="0061AF"/>
              </w:rPr>
              <w:t xml:space="preserve">•  </w:t>
            </w:r>
            <w:r>
              <w:rPr>
                <w:rFonts w:ascii="Arial" w:cs="Arial" w:eastAsia="Arial" w:hAnsi="Arial"/>
                <w:sz w:val="16"/>
                <w:szCs w:val="16"/>
                <w:color w:val="000000"/>
              </w:rPr>
              <w:t>the performance of our internal audit function; and</w:t>
            </w:r>
          </w:p>
        </w:tc>
        <w:tc>
          <w:tcPr>
            <w:tcW w:w="0" w:type="dxa"/>
            <w:vAlign w:val="bottom"/>
          </w:tcPr>
          <w:p>
            <w:pPr>
              <w:spacing w:after="0"/>
              <w:rPr>
                <w:sz w:val="1"/>
                <w:szCs w:val="1"/>
                <w:color w:val="auto"/>
              </w:rPr>
            </w:pPr>
          </w:p>
        </w:tc>
      </w:tr>
      <w:tr>
        <w:trPr>
          <w:trHeight w:val="170"/>
        </w:trPr>
        <w:tc>
          <w:tcPr>
            <w:tcW w:w="2240" w:type="dxa"/>
            <w:vAlign w:val="bottom"/>
            <w:vMerge w:val="continue"/>
          </w:tcPr>
          <w:p>
            <w:pPr>
              <w:spacing w:after="0"/>
              <w:rPr>
                <w:sz w:val="14"/>
                <w:szCs w:val="14"/>
                <w:color w:val="auto"/>
              </w:rPr>
            </w:pPr>
          </w:p>
        </w:tc>
        <w:tc>
          <w:tcPr>
            <w:tcW w:w="320" w:type="dxa"/>
            <w:vAlign w:val="bottom"/>
          </w:tcPr>
          <w:p>
            <w:pPr>
              <w:ind w:left="180"/>
              <w:spacing w:after="0" w:line="171" w:lineRule="exact"/>
              <w:rPr>
                <w:sz w:val="20"/>
                <w:szCs w:val="20"/>
                <w:color w:val="auto"/>
              </w:rPr>
            </w:pPr>
            <w:r>
              <w:rPr>
                <w:rFonts w:ascii="Arial" w:cs="Arial" w:eastAsia="Arial" w:hAnsi="Arial"/>
                <w:sz w:val="16"/>
                <w:szCs w:val="16"/>
                <w:color w:val="0061AF"/>
              </w:rPr>
              <w:t>•</w:t>
            </w:r>
          </w:p>
        </w:tc>
        <w:tc>
          <w:tcPr>
            <w:tcW w:w="7160" w:type="dxa"/>
            <w:vAlign w:val="bottom"/>
          </w:tcPr>
          <w:p>
            <w:pPr>
              <w:jc w:val="right"/>
              <w:ind w:right="21"/>
              <w:spacing w:after="0" w:line="171" w:lineRule="exact"/>
              <w:rPr>
                <w:sz w:val="20"/>
                <w:szCs w:val="20"/>
                <w:color w:val="auto"/>
              </w:rPr>
            </w:pPr>
            <w:r>
              <w:rPr>
                <w:rFonts w:ascii="Arial" w:cs="Arial" w:eastAsia="Arial" w:hAnsi="Arial"/>
                <w:sz w:val="16"/>
                <w:szCs w:val="16"/>
                <w:color w:val="auto"/>
              </w:rPr>
              <w:t>compliance with legal and regulatory requirements and our systems of disclosure controls and</w:t>
            </w:r>
          </w:p>
        </w:tc>
        <w:tc>
          <w:tcPr>
            <w:tcW w:w="0" w:type="dxa"/>
            <w:vAlign w:val="bottom"/>
          </w:tcPr>
          <w:p>
            <w:pPr>
              <w:spacing w:after="0"/>
              <w:rPr>
                <w:sz w:val="1"/>
                <w:szCs w:val="1"/>
                <w:color w:val="auto"/>
              </w:rPr>
            </w:pPr>
          </w:p>
        </w:tc>
      </w:tr>
      <w:tr>
        <w:trPr>
          <w:trHeight w:val="210"/>
        </w:trPr>
        <w:tc>
          <w:tcPr>
            <w:tcW w:w="2240" w:type="dxa"/>
            <w:vAlign w:val="bottom"/>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320" w:type="dxa"/>
            <w:vAlign w:val="bottom"/>
          </w:tcPr>
          <w:p>
            <w:pPr>
              <w:spacing w:after="0"/>
              <w:rPr>
                <w:sz w:val="18"/>
                <w:szCs w:val="18"/>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internal controls.</w:t>
            </w: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2"/>
                <w:szCs w:val="22"/>
                <w:color w:val="auto"/>
              </w:rPr>
            </w:pPr>
          </w:p>
        </w:tc>
        <w:tc>
          <w:tcPr>
            <w:tcW w:w="7480" w:type="dxa"/>
            <w:vAlign w:val="bottom"/>
            <w:gridSpan w:val="2"/>
          </w:tcPr>
          <w:p>
            <w:pPr>
              <w:ind w:left="100"/>
              <w:spacing w:after="0"/>
              <w:rPr>
                <w:sz w:val="20"/>
                <w:szCs w:val="20"/>
                <w:color w:val="auto"/>
              </w:rPr>
            </w:pPr>
            <w:r>
              <w:rPr>
                <w:rFonts w:ascii="Arial" w:cs="Arial" w:eastAsia="Arial" w:hAnsi="Arial"/>
                <w:sz w:val="16"/>
                <w:szCs w:val="16"/>
                <w:color w:val="auto"/>
              </w:rPr>
              <w:t>The  Audit  Committee  has  sole  responsibility  to  appoint  and,  where  appropriate,  replace  our</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7480" w:type="dxa"/>
            <w:vAlign w:val="bottom"/>
            <w:gridSpan w:val="2"/>
          </w:tcPr>
          <w:p>
            <w:pPr>
              <w:ind w:left="100"/>
              <w:spacing w:after="0" w:line="178" w:lineRule="exact"/>
              <w:rPr>
                <w:sz w:val="20"/>
                <w:szCs w:val="20"/>
                <w:color w:val="auto"/>
              </w:rPr>
            </w:pPr>
            <w:r>
              <w:rPr>
                <w:rFonts w:ascii="Arial" w:cs="Arial" w:eastAsia="Arial" w:hAnsi="Arial"/>
                <w:sz w:val="16"/>
                <w:szCs w:val="16"/>
                <w:color w:val="auto"/>
              </w:rPr>
              <w:t>independent registered public accounting firm and to approve all audit engagement fees and terms.</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7480" w:type="dxa"/>
            <w:vAlign w:val="bottom"/>
            <w:gridSpan w:val="2"/>
          </w:tcPr>
          <w:p>
            <w:pPr>
              <w:ind w:left="100"/>
              <w:spacing w:after="0"/>
              <w:rPr>
                <w:sz w:val="20"/>
                <w:szCs w:val="20"/>
                <w:color w:val="auto"/>
              </w:rPr>
            </w:pPr>
            <w:r>
              <w:rPr>
                <w:rFonts w:ascii="Arial" w:cs="Arial" w:eastAsia="Arial" w:hAnsi="Arial"/>
                <w:sz w:val="16"/>
                <w:szCs w:val="16"/>
                <w:color w:val="auto"/>
              </w:rPr>
              <w:t>Please refer to “Report of the Audit Committee” for further details.</w:t>
            </w:r>
          </w:p>
        </w:tc>
        <w:tc>
          <w:tcPr>
            <w:tcW w:w="0" w:type="dxa"/>
            <w:vAlign w:val="bottom"/>
          </w:tcPr>
          <w:p>
            <w:pPr>
              <w:spacing w:after="0"/>
              <w:rPr>
                <w:sz w:val="1"/>
                <w:szCs w:val="1"/>
                <w:color w:val="auto"/>
              </w:rPr>
            </w:pPr>
          </w:p>
        </w:tc>
      </w:tr>
      <w:tr>
        <w:trPr>
          <w:trHeight w:val="275"/>
        </w:trPr>
        <w:tc>
          <w:tcPr>
            <w:tcW w:w="2240" w:type="dxa"/>
            <w:vAlign w:val="bottom"/>
          </w:tcPr>
          <w:p>
            <w:pPr>
              <w:spacing w:after="0"/>
              <w:rPr>
                <w:sz w:val="23"/>
                <w:szCs w:val="23"/>
                <w:color w:val="auto"/>
              </w:rPr>
            </w:pPr>
          </w:p>
        </w:tc>
        <w:tc>
          <w:tcPr>
            <w:tcW w:w="7480" w:type="dxa"/>
            <w:vAlign w:val="bottom"/>
            <w:gridSpan w:val="2"/>
          </w:tcPr>
          <w:p>
            <w:pPr>
              <w:ind w:left="100"/>
              <w:spacing w:after="0"/>
              <w:rPr>
                <w:sz w:val="20"/>
                <w:szCs w:val="20"/>
                <w:color w:val="auto"/>
              </w:rPr>
            </w:pPr>
            <w:r>
              <w:rPr>
                <w:rFonts w:ascii="Arial" w:cs="Arial" w:eastAsia="Arial" w:hAnsi="Arial"/>
                <w:sz w:val="16"/>
                <w:szCs w:val="16"/>
                <w:color w:val="auto"/>
              </w:rPr>
              <w:t>The Board of Directors has determined that Mr. Smith, the Chairman of our Audit Committee, is an audit</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7480" w:type="dxa"/>
            <w:vAlign w:val="bottom"/>
            <w:gridSpan w:val="2"/>
          </w:tcPr>
          <w:p>
            <w:pPr>
              <w:ind w:left="100"/>
              <w:spacing w:after="0" w:line="178" w:lineRule="exact"/>
              <w:rPr>
                <w:sz w:val="20"/>
                <w:szCs w:val="20"/>
                <w:color w:val="auto"/>
              </w:rPr>
            </w:pPr>
            <w:r>
              <w:rPr>
                <w:rFonts w:ascii="Arial" w:cs="Arial" w:eastAsia="Arial" w:hAnsi="Arial"/>
                <w:sz w:val="16"/>
                <w:szCs w:val="16"/>
                <w:color w:val="auto"/>
              </w:rPr>
              <w:t>committee financial expert within the meaning of the regulations of the Securities and Exchange</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7480" w:type="dxa"/>
            <w:vAlign w:val="bottom"/>
            <w:gridSpan w:val="2"/>
          </w:tcPr>
          <w:p>
            <w:pPr>
              <w:ind w:left="100"/>
              <w:spacing w:after="0"/>
              <w:rPr>
                <w:sz w:val="20"/>
                <w:szCs w:val="20"/>
                <w:color w:val="auto"/>
              </w:rPr>
            </w:pPr>
            <w:r>
              <w:rPr>
                <w:rFonts w:ascii="Arial" w:cs="Arial" w:eastAsia="Arial" w:hAnsi="Arial"/>
                <w:sz w:val="16"/>
                <w:szCs w:val="16"/>
                <w:color w:val="auto"/>
              </w:rPr>
              <w:t>Commission.</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7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240" w:type="dxa"/>
            <w:vAlign w:val="bottom"/>
            <w:shd w:val="clear" w:color="auto" w:fill="0061AF"/>
          </w:tcPr>
          <w:p>
            <w:pPr>
              <w:spacing w:after="0"/>
              <w:rPr>
                <w:sz w:val="22"/>
                <w:szCs w:val="22"/>
                <w:color w:val="auto"/>
              </w:rPr>
            </w:pPr>
          </w:p>
        </w:tc>
        <w:tc>
          <w:tcPr>
            <w:tcW w:w="7480" w:type="dxa"/>
            <w:vAlign w:val="bottom"/>
            <w:gridSpan w:val="2"/>
            <w:shd w:val="clear" w:color="auto" w:fill="D8E7F3"/>
          </w:tcPr>
          <w:p>
            <w:pPr>
              <w:ind w:left="100"/>
              <w:spacing w:after="0"/>
              <w:rPr>
                <w:sz w:val="20"/>
                <w:szCs w:val="20"/>
                <w:color w:val="auto"/>
              </w:rPr>
            </w:pPr>
            <w:r>
              <w:rPr>
                <w:rFonts w:ascii="Arial" w:cs="Arial" w:eastAsia="Arial" w:hAnsi="Arial"/>
                <w:sz w:val="16"/>
                <w:szCs w:val="16"/>
                <w:color w:val="auto"/>
              </w:rPr>
              <w:t>The primary responsibilities of the Compensation Committee are to:</w:t>
            </w:r>
          </w:p>
        </w:tc>
        <w:tc>
          <w:tcPr>
            <w:tcW w:w="0" w:type="dxa"/>
            <w:vAlign w:val="bottom"/>
          </w:tcPr>
          <w:p>
            <w:pPr>
              <w:spacing w:after="0"/>
              <w:rPr>
                <w:sz w:val="1"/>
                <w:szCs w:val="1"/>
                <w:color w:val="auto"/>
              </w:rPr>
            </w:pPr>
          </w:p>
        </w:tc>
      </w:tr>
      <w:tr>
        <w:trPr>
          <w:trHeight w:val="275"/>
        </w:trPr>
        <w:tc>
          <w:tcPr>
            <w:tcW w:w="2240" w:type="dxa"/>
            <w:vAlign w:val="bottom"/>
            <w:shd w:val="clear" w:color="auto" w:fill="0061AF"/>
          </w:tcPr>
          <w:p>
            <w:pPr>
              <w:spacing w:after="0"/>
              <w:rPr>
                <w:sz w:val="23"/>
                <w:szCs w:val="23"/>
                <w:color w:val="auto"/>
              </w:rPr>
            </w:pPr>
          </w:p>
        </w:tc>
        <w:tc>
          <w:tcPr>
            <w:tcW w:w="7480" w:type="dxa"/>
            <w:vAlign w:val="bottom"/>
            <w:gridSpan w:val="2"/>
            <w:shd w:val="clear" w:color="auto" w:fill="D8E7F3"/>
          </w:tcPr>
          <w:p>
            <w:pPr>
              <w:ind w:left="180"/>
              <w:spacing w:after="0"/>
              <w:rPr>
                <w:sz w:val="20"/>
                <w:szCs w:val="20"/>
                <w:color w:val="auto"/>
              </w:rPr>
            </w:pPr>
            <w:r>
              <w:rPr>
                <w:rFonts w:ascii="Arial" w:cs="Arial" w:eastAsia="Arial" w:hAnsi="Arial"/>
                <w:sz w:val="16"/>
                <w:szCs w:val="16"/>
                <w:color w:val="0061AF"/>
              </w:rPr>
              <w:t xml:space="preserve">•   </w:t>
            </w:r>
            <w:r>
              <w:rPr>
                <w:rFonts w:ascii="Arial" w:cs="Arial" w:eastAsia="Arial" w:hAnsi="Arial"/>
                <w:sz w:val="16"/>
                <w:szCs w:val="16"/>
                <w:color w:val="000000"/>
              </w:rPr>
              <w:t>oversee compensation for our senior executive officers, including salary and short-term and long-</w:t>
            </w:r>
          </w:p>
        </w:tc>
        <w:tc>
          <w:tcPr>
            <w:tcW w:w="0" w:type="dxa"/>
            <w:vAlign w:val="bottom"/>
          </w:tcPr>
          <w:p>
            <w:pPr>
              <w:spacing w:after="0"/>
              <w:rPr>
                <w:sz w:val="1"/>
                <w:szCs w:val="1"/>
                <w:color w:val="auto"/>
              </w:rPr>
            </w:pPr>
          </w:p>
        </w:tc>
      </w:tr>
      <w:tr>
        <w:trPr>
          <w:trHeight w:val="179"/>
        </w:trPr>
        <w:tc>
          <w:tcPr>
            <w:tcW w:w="2240" w:type="dxa"/>
            <w:vAlign w:val="bottom"/>
            <w:shd w:val="clear" w:color="auto" w:fill="0061AF"/>
          </w:tcPr>
          <w:p>
            <w:pPr>
              <w:spacing w:after="0"/>
              <w:rPr>
                <w:sz w:val="15"/>
                <w:szCs w:val="15"/>
                <w:color w:val="auto"/>
              </w:rPr>
            </w:pPr>
          </w:p>
        </w:tc>
        <w:tc>
          <w:tcPr>
            <w:tcW w:w="320" w:type="dxa"/>
            <w:vAlign w:val="bottom"/>
            <w:shd w:val="clear" w:color="auto" w:fill="D8E7F3"/>
          </w:tcPr>
          <w:p>
            <w:pPr>
              <w:spacing w:after="0"/>
              <w:rPr>
                <w:sz w:val="15"/>
                <w:szCs w:val="15"/>
                <w:color w:val="auto"/>
              </w:rPr>
            </w:pPr>
          </w:p>
        </w:tc>
        <w:tc>
          <w:tcPr>
            <w:tcW w:w="7160" w:type="dxa"/>
            <w:vAlign w:val="bottom"/>
            <w:shd w:val="clear" w:color="auto" w:fill="D8E7F3"/>
          </w:tcPr>
          <w:p>
            <w:pPr>
              <w:ind w:left="100"/>
              <w:spacing w:after="0" w:line="178" w:lineRule="exact"/>
              <w:rPr>
                <w:sz w:val="20"/>
                <w:szCs w:val="20"/>
                <w:color w:val="auto"/>
              </w:rPr>
            </w:pPr>
            <w:r>
              <w:rPr>
                <w:rFonts w:ascii="Arial" w:cs="Arial" w:eastAsia="Arial" w:hAnsi="Arial"/>
                <w:sz w:val="16"/>
                <w:szCs w:val="16"/>
                <w:color w:val="auto"/>
              </w:rPr>
              <w:t>term incentive awards;</w:t>
            </w:r>
          </w:p>
        </w:tc>
        <w:tc>
          <w:tcPr>
            <w:tcW w:w="0" w:type="dxa"/>
            <w:vAlign w:val="bottom"/>
          </w:tcPr>
          <w:p>
            <w:pPr>
              <w:spacing w:after="0"/>
              <w:rPr>
                <w:sz w:val="1"/>
                <w:szCs w:val="1"/>
                <w:color w:val="auto"/>
              </w:rPr>
            </w:pPr>
          </w:p>
        </w:tc>
      </w:tr>
      <w:tr>
        <w:trPr>
          <w:trHeight w:val="179"/>
        </w:trPr>
        <w:tc>
          <w:tcPr>
            <w:tcW w:w="2240" w:type="dxa"/>
            <w:vAlign w:val="bottom"/>
            <w:shd w:val="clear" w:color="auto" w:fill="0061AF"/>
          </w:tcPr>
          <w:p>
            <w:pPr>
              <w:spacing w:after="0"/>
              <w:rPr>
                <w:sz w:val="15"/>
                <w:szCs w:val="15"/>
                <w:color w:val="auto"/>
              </w:rPr>
            </w:pPr>
          </w:p>
        </w:tc>
        <w:tc>
          <w:tcPr>
            <w:tcW w:w="7480" w:type="dxa"/>
            <w:vAlign w:val="bottom"/>
            <w:gridSpan w:val="2"/>
            <w:shd w:val="clear" w:color="auto" w:fill="D8E7F3"/>
          </w:tcPr>
          <w:p>
            <w:pPr>
              <w:ind w:left="180"/>
              <w:spacing w:after="0" w:line="178" w:lineRule="exact"/>
              <w:rPr>
                <w:sz w:val="20"/>
                <w:szCs w:val="20"/>
                <w:color w:val="auto"/>
              </w:rPr>
            </w:pPr>
            <w:r>
              <w:rPr>
                <w:rFonts w:ascii="Arial" w:cs="Arial" w:eastAsia="Arial" w:hAnsi="Arial"/>
                <w:sz w:val="16"/>
                <w:szCs w:val="16"/>
                <w:color w:val="0061AF"/>
              </w:rPr>
              <w:t xml:space="preserve">•  </w:t>
            </w:r>
            <w:r>
              <w:rPr>
                <w:rFonts w:ascii="Arial" w:cs="Arial" w:eastAsia="Arial" w:hAnsi="Arial"/>
                <w:sz w:val="16"/>
                <w:szCs w:val="16"/>
                <w:color w:val="000000"/>
              </w:rPr>
              <w:t>administer incentive compensation plans;</w:t>
            </w:r>
          </w:p>
        </w:tc>
        <w:tc>
          <w:tcPr>
            <w:tcW w:w="0" w:type="dxa"/>
            <w:vAlign w:val="bottom"/>
          </w:tcPr>
          <w:p>
            <w:pPr>
              <w:spacing w:after="0"/>
              <w:rPr>
                <w:sz w:val="1"/>
                <w:szCs w:val="1"/>
                <w:color w:val="auto"/>
              </w:rPr>
            </w:pPr>
          </w:p>
        </w:tc>
      </w:tr>
      <w:tr>
        <w:trPr>
          <w:trHeight w:val="179"/>
        </w:trPr>
        <w:tc>
          <w:tcPr>
            <w:tcW w:w="2240" w:type="dxa"/>
            <w:vAlign w:val="bottom"/>
            <w:vMerge w:val="restart"/>
            <w:shd w:val="clear" w:color="auto" w:fill="0061AF"/>
          </w:tcPr>
          <w:p>
            <w:pPr>
              <w:jc w:val="center"/>
              <w:spacing w:after="0"/>
              <w:rPr>
                <w:sz w:val="20"/>
                <w:szCs w:val="20"/>
                <w:color w:val="auto"/>
              </w:rPr>
            </w:pPr>
            <w:r>
              <w:rPr>
                <w:rFonts w:ascii="Arial" w:cs="Arial" w:eastAsia="Arial" w:hAnsi="Arial"/>
                <w:sz w:val="16"/>
                <w:szCs w:val="16"/>
                <w:b w:val="1"/>
                <w:bCs w:val="1"/>
                <w:color w:val="FFFFFF"/>
                <w:w w:val="97"/>
              </w:rPr>
              <w:t>COMPENSATION</w:t>
            </w:r>
          </w:p>
        </w:tc>
        <w:tc>
          <w:tcPr>
            <w:tcW w:w="7480" w:type="dxa"/>
            <w:vAlign w:val="bottom"/>
            <w:gridSpan w:val="2"/>
            <w:shd w:val="clear" w:color="auto" w:fill="D8E7F3"/>
          </w:tcPr>
          <w:p>
            <w:pPr>
              <w:ind w:left="180"/>
              <w:spacing w:after="0" w:line="178" w:lineRule="exact"/>
              <w:rPr>
                <w:sz w:val="20"/>
                <w:szCs w:val="20"/>
                <w:color w:val="auto"/>
              </w:rPr>
            </w:pPr>
            <w:r>
              <w:rPr>
                <w:rFonts w:ascii="Arial" w:cs="Arial" w:eastAsia="Arial" w:hAnsi="Arial"/>
                <w:sz w:val="16"/>
                <w:szCs w:val="16"/>
                <w:color w:val="0061AF"/>
              </w:rPr>
              <w:t xml:space="preserve">•  </w:t>
            </w:r>
            <w:r>
              <w:rPr>
                <w:rFonts w:ascii="Arial" w:cs="Arial" w:eastAsia="Arial" w:hAnsi="Arial"/>
                <w:sz w:val="16"/>
                <w:szCs w:val="16"/>
                <w:color w:val="000000"/>
              </w:rPr>
              <w:t>evaluate our Chief Executive Officer’s performance;</w:t>
            </w:r>
          </w:p>
        </w:tc>
        <w:tc>
          <w:tcPr>
            <w:tcW w:w="0" w:type="dxa"/>
            <w:vAlign w:val="bottom"/>
          </w:tcPr>
          <w:p>
            <w:pPr>
              <w:spacing w:after="0"/>
              <w:rPr>
                <w:sz w:val="1"/>
                <w:szCs w:val="1"/>
                <w:color w:val="auto"/>
              </w:rPr>
            </w:pPr>
          </w:p>
        </w:tc>
      </w:tr>
      <w:tr>
        <w:trPr>
          <w:trHeight w:val="144"/>
        </w:trPr>
        <w:tc>
          <w:tcPr>
            <w:tcW w:w="2240" w:type="dxa"/>
            <w:vAlign w:val="bottom"/>
            <w:vMerge w:val="continue"/>
            <w:shd w:val="clear" w:color="auto" w:fill="0061AF"/>
          </w:tcPr>
          <w:p>
            <w:pPr>
              <w:spacing w:after="0"/>
              <w:rPr>
                <w:sz w:val="12"/>
                <w:szCs w:val="12"/>
                <w:color w:val="auto"/>
              </w:rPr>
            </w:pPr>
          </w:p>
        </w:tc>
        <w:tc>
          <w:tcPr>
            <w:tcW w:w="320" w:type="dxa"/>
            <w:vAlign w:val="bottom"/>
            <w:shd w:val="clear" w:color="auto" w:fill="D8E7F3"/>
          </w:tcPr>
          <w:p>
            <w:pPr>
              <w:ind w:left="180"/>
              <w:spacing w:after="0" w:line="144" w:lineRule="exact"/>
              <w:rPr>
                <w:sz w:val="20"/>
                <w:szCs w:val="20"/>
                <w:color w:val="auto"/>
              </w:rPr>
            </w:pPr>
            <w:r>
              <w:rPr>
                <w:rFonts w:ascii="Arial" w:cs="Arial" w:eastAsia="Arial" w:hAnsi="Arial"/>
                <w:sz w:val="16"/>
                <w:szCs w:val="16"/>
                <w:color w:val="0061AF"/>
              </w:rPr>
              <w:t>•</w:t>
            </w:r>
          </w:p>
        </w:tc>
        <w:tc>
          <w:tcPr>
            <w:tcW w:w="7160" w:type="dxa"/>
            <w:vAlign w:val="bottom"/>
            <w:shd w:val="clear" w:color="auto" w:fill="D8E7F3"/>
          </w:tcPr>
          <w:p>
            <w:pPr>
              <w:ind w:left="100"/>
              <w:spacing w:after="0" w:line="144" w:lineRule="exact"/>
              <w:rPr>
                <w:sz w:val="20"/>
                <w:szCs w:val="20"/>
                <w:color w:val="auto"/>
              </w:rPr>
            </w:pPr>
            <w:r>
              <w:rPr>
                <w:rFonts w:ascii="Arial" w:cs="Arial" w:eastAsia="Arial" w:hAnsi="Arial"/>
                <w:sz w:val="16"/>
                <w:szCs w:val="16"/>
                <w:color w:val="auto"/>
              </w:rPr>
              <w:t>review management succession planning and development;</w:t>
            </w:r>
          </w:p>
        </w:tc>
        <w:tc>
          <w:tcPr>
            <w:tcW w:w="0" w:type="dxa"/>
            <w:vAlign w:val="bottom"/>
          </w:tcPr>
          <w:p>
            <w:pPr>
              <w:spacing w:after="0"/>
              <w:rPr>
                <w:sz w:val="1"/>
                <w:szCs w:val="1"/>
                <w:color w:val="auto"/>
              </w:rPr>
            </w:pPr>
          </w:p>
        </w:tc>
      </w:tr>
      <w:tr>
        <w:trPr>
          <w:trHeight w:val="213"/>
        </w:trPr>
        <w:tc>
          <w:tcPr>
            <w:tcW w:w="2240" w:type="dxa"/>
            <w:vAlign w:val="bottom"/>
            <w:shd w:val="clear" w:color="auto" w:fill="0061AF"/>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320" w:type="dxa"/>
            <w:vAlign w:val="bottom"/>
            <w:shd w:val="clear" w:color="auto" w:fill="D8E7F3"/>
          </w:tcPr>
          <w:p>
            <w:pPr>
              <w:ind w:left="180"/>
              <w:spacing w:after="0"/>
              <w:rPr>
                <w:sz w:val="20"/>
                <w:szCs w:val="20"/>
                <w:color w:val="auto"/>
              </w:rPr>
            </w:pPr>
            <w:r>
              <w:rPr>
                <w:rFonts w:ascii="Arial" w:cs="Arial" w:eastAsia="Arial" w:hAnsi="Arial"/>
                <w:sz w:val="16"/>
                <w:szCs w:val="16"/>
                <w:color w:val="0061AF"/>
              </w:rPr>
              <w:t>•</w:t>
            </w:r>
          </w:p>
        </w:tc>
        <w:tc>
          <w:tcPr>
            <w:tcW w:w="7160" w:type="dxa"/>
            <w:vAlign w:val="bottom"/>
            <w:shd w:val="clear" w:color="auto" w:fill="D8E7F3"/>
          </w:tcPr>
          <w:p>
            <w:pPr>
              <w:ind w:left="100"/>
              <w:spacing w:after="0"/>
              <w:rPr>
                <w:sz w:val="20"/>
                <w:szCs w:val="20"/>
                <w:color w:val="auto"/>
              </w:rPr>
            </w:pPr>
            <w:r>
              <w:rPr>
                <w:rFonts w:ascii="Arial" w:cs="Arial" w:eastAsia="Arial" w:hAnsi="Arial"/>
                <w:sz w:val="16"/>
                <w:szCs w:val="16"/>
                <w:color w:val="auto"/>
              </w:rPr>
              <w:t>review and monitor the Company’s diversity and inclusion practices; and</w:t>
            </w:r>
          </w:p>
        </w:tc>
        <w:tc>
          <w:tcPr>
            <w:tcW w:w="0" w:type="dxa"/>
            <w:vAlign w:val="bottom"/>
          </w:tcPr>
          <w:p>
            <w:pPr>
              <w:spacing w:after="0"/>
              <w:rPr>
                <w:sz w:val="1"/>
                <w:szCs w:val="1"/>
                <w:color w:val="auto"/>
              </w:rPr>
            </w:pPr>
          </w:p>
        </w:tc>
      </w:tr>
      <w:tr>
        <w:trPr>
          <w:trHeight w:val="190"/>
        </w:trPr>
        <w:tc>
          <w:tcPr>
            <w:tcW w:w="2240" w:type="dxa"/>
            <w:vAlign w:val="bottom"/>
            <w:shd w:val="clear" w:color="auto" w:fill="0061AF"/>
          </w:tcPr>
          <w:p>
            <w:pPr>
              <w:spacing w:after="0"/>
              <w:rPr>
                <w:sz w:val="16"/>
                <w:szCs w:val="16"/>
                <w:color w:val="auto"/>
              </w:rPr>
            </w:pPr>
          </w:p>
        </w:tc>
        <w:tc>
          <w:tcPr>
            <w:tcW w:w="7480" w:type="dxa"/>
            <w:vAlign w:val="bottom"/>
            <w:gridSpan w:val="2"/>
            <w:shd w:val="clear" w:color="auto" w:fill="D8E7F3"/>
          </w:tcPr>
          <w:p>
            <w:pPr>
              <w:ind w:left="180"/>
              <w:spacing w:after="0"/>
              <w:rPr>
                <w:sz w:val="20"/>
                <w:szCs w:val="20"/>
                <w:color w:val="auto"/>
              </w:rPr>
            </w:pPr>
            <w:r>
              <w:rPr>
                <w:rFonts w:ascii="Arial" w:cs="Arial" w:eastAsia="Arial" w:hAnsi="Arial"/>
                <w:sz w:val="16"/>
                <w:szCs w:val="16"/>
                <w:color w:val="0061AF"/>
              </w:rPr>
              <w:t xml:space="preserve">•  </w:t>
            </w:r>
            <w:r>
              <w:rPr>
                <w:rFonts w:ascii="Arial" w:cs="Arial" w:eastAsia="Arial" w:hAnsi="Arial"/>
                <w:sz w:val="16"/>
                <w:szCs w:val="16"/>
                <w:color w:val="000000"/>
              </w:rPr>
              <w:t>select, retain and oversee the Company’s compensation consultant.</w:t>
            </w:r>
          </w:p>
        </w:tc>
        <w:tc>
          <w:tcPr>
            <w:tcW w:w="0" w:type="dxa"/>
            <w:vAlign w:val="bottom"/>
          </w:tcPr>
          <w:p>
            <w:pPr>
              <w:spacing w:after="0"/>
              <w:rPr>
                <w:sz w:val="1"/>
                <w:szCs w:val="1"/>
                <w:color w:val="auto"/>
              </w:rPr>
            </w:pPr>
          </w:p>
        </w:tc>
      </w:tr>
      <w:tr>
        <w:trPr>
          <w:trHeight w:val="275"/>
        </w:trPr>
        <w:tc>
          <w:tcPr>
            <w:tcW w:w="2240" w:type="dxa"/>
            <w:vAlign w:val="bottom"/>
            <w:shd w:val="clear" w:color="auto" w:fill="0061AF"/>
          </w:tcPr>
          <w:p>
            <w:pPr>
              <w:spacing w:after="0"/>
              <w:rPr>
                <w:sz w:val="23"/>
                <w:szCs w:val="23"/>
                <w:color w:val="auto"/>
              </w:rPr>
            </w:pPr>
          </w:p>
        </w:tc>
        <w:tc>
          <w:tcPr>
            <w:tcW w:w="7480" w:type="dxa"/>
            <w:vAlign w:val="bottom"/>
            <w:gridSpan w:val="2"/>
            <w:shd w:val="clear" w:color="auto" w:fill="D8E7F3"/>
          </w:tcPr>
          <w:p>
            <w:pPr>
              <w:ind w:left="100"/>
              <w:spacing w:after="0"/>
              <w:rPr>
                <w:sz w:val="20"/>
                <w:szCs w:val="20"/>
                <w:color w:val="auto"/>
              </w:rPr>
            </w:pPr>
            <w:r>
              <w:rPr>
                <w:rFonts w:ascii="Arial" w:cs="Arial" w:eastAsia="Arial" w:hAnsi="Arial"/>
                <w:sz w:val="16"/>
                <w:szCs w:val="16"/>
                <w:color w:val="auto"/>
              </w:rPr>
              <w:t>For information concerning policies and procedures relating to the consideration and determination of</w:t>
            </w:r>
          </w:p>
        </w:tc>
        <w:tc>
          <w:tcPr>
            <w:tcW w:w="0" w:type="dxa"/>
            <w:vAlign w:val="bottom"/>
          </w:tcPr>
          <w:p>
            <w:pPr>
              <w:spacing w:after="0"/>
              <w:rPr>
                <w:sz w:val="1"/>
                <w:szCs w:val="1"/>
                <w:color w:val="auto"/>
              </w:rPr>
            </w:pPr>
          </w:p>
        </w:tc>
      </w:tr>
      <w:tr>
        <w:trPr>
          <w:trHeight w:val="179"/>
        </w:trPr>
        <w:tc>
          <w:tcPr>
            <w:tcW w:w="2240" w:type="dxa"/>
            <w:vAlign w:val="bottom"/>
            <w:shd w:val="clear" w:color="auto" w:fill="0061AF"/>
          </w:tcPr>
          <w:p>
            <w:pPr>
              <w:spacing w:after="0"/>
              <w:rPr>
                <w:sz w:val="15"/>
                <w:szCs w:val="15"/>
                <w:color w:val="auto"/>
              </w:rPr>
            </w:pPr>
          </w:p>
        </w:tc>
        <w:tc>
          <w:tcPr>
            <w:tcW w:w="7480" w:type="dxa"/>
            <w:vAlign w:val="bottom"/>
            <w:gridSpan w:val="2"/>
            <w:shd w:val="clear" w:color="auto" w:fill="D8E7F3"/>
          </w:tcPr>
          <w:p>
            <w:pPr>
              <w:ind w:left="100"/>
              <w:spacing w:after="0" w:line="178" w:lineRule="exact"/>
              <w:rPr>
                <w:sz w:val="20"/>
                <w:szCs w:val="20"/>
                <w:color w:val="auto"/>
              </w:rPr>
            </w:pPr>
            <w:r>
              <w:rPr>
                <w:rFonts w:ascii="Arial" w:cs="Arial" w:eastAsia="Arial" w:hAnsi="Arial"/>
                <w:sz w:val="16"/>
                <w:szCs w:val="16"/>
                <w:color w:val="auto"/>
              </w:rPr>
              <w:t>executive compensation, including the role of the Compensation Committee and its report concerning</w:t>
            </w:r>
          </w:p>
        </w:tc>
        <w:tc>
          <w:tcPr>
            <w:tcW w:w="0" w:type="dxa"/>
            <w:vAlign w:val="bottom"/>
          </w:tcPr>
          <w:p>
            <w:pPr>
              <w:spacing w:after="0"/>
              <w:rPr>
                <w:sz w:val="1"/>
                <w:szCs w:val="1"/>
                <w:color w:val="auto"/>
              </w:rPr>
            </w:pPr>
          </w:p>
        </w:tc>
      </w:tr>
      <w:tr>
        <w:trPr>
          <w:trHeight w:val="179"/>
        </w:trPr>
        <w:tc>
          <w:tcPr>
            <w:tcW w:w="2240" w:type="dxa"/>
            <w:vAlign w:val="bottom"/>
            <w:shd w:val="clear" w:color="auto" w:fill="0061AF"/>
          </w:tcPr>
          <w:p>
            <w:pPr>
              <w:spacing w:after="0"/>
              <w:rPr>
                <w:sz w:val="15"/>
                <w:szCs w:val="15"/>
                <w:color w:val="auto"/>
              </w:rPr>
            </w:pPr>
          </w:p>
        </w:tc>
        <w:tc>
          <w:tcPr>
            <w:tcW w:w="7480" w:type="dxa"/>
            <w:vAlign w:val="bottom"/>
            <w:gridSpan w:val="2"/>
            <w:shd w:val="clear" w:color="auto" w:fill="D8E7F3"/>
          </w:tcPr>
          <w:p>
            <w:pPr>
              <w:ind w:left="100"/>
              <w:spacing w:after="0" w:line="178" w:lineRule="exact"/>
              <w:rPr>
                <w:sz w:val="20"/>
                <w:szCs w:val="20"/>
                <w:color w:val="auto"/>
              </w:rPr>
            </w:pPr>
            <w:r>
              <w:rPr>
                <w:rFonts w:ascii="Arial" w:cs="Arial" w:eastAsia="Arial" w:hAnsi="Arial"/>
                <w:sz w:val="16"/>
                <w:szCs w:val="16"/>
                <w:color w:val="auto"/>
              </w:rPr>
              <w:t>Compensation Discussion and Analysis, see “Compensation Discussion and Analysis” and “Report of</w:t>
            </w:r>
          </w:p>
        </w:tc>
        <w:tc>
          <w:tcPr>
            <w:tcW w:w="0" w:type="dxa"/>
            <w:vAlign w:val="bottom"/>
          </w:tcPr>
          <w:p>
            <w:pPr>
              <w:spacing w:after="0"/>
              <w:rPr>
                <w:sz w:val="1"/>
                <w:szCs w:val="1"/>
                <w:color w:val="auto"/>
              </w:rPr>
            </w:pPr>
          </w:p>
        </w:tc>
      </w:tr>
      <w:tr>
        <w:trPr>
          <w:trHeight w:val="191"/>
        </w:trPr>
        <w:tc>
          <w:tcPr>
            <w:tcW w:w="2240" w:type="dxa"/>
            <w:vAlign w:val="bottom"/>
            <w:shd w:val="clear" w:color="auto" w:fill="0061AF"/>
          </w:tcPr>
          <w:p>
            <w:pPr>
              <w:spacing w:after="0"/>
              <w:rPr>
                <w:sz w:val="16"/>
                <w:szCs w:val="16"/>
                <w:color w:val="auto"/>
              </w:rPr>
            </w:pPr>
          </w:p>
        </w:tc>
        <w:tc>
          <w:tcPr>
            <w:tcW w:w="7480" w:type="dxa"/>
            <w:vAlign w:val="bottom"/>
            <w:gridSpan w:val="2"/>
            <w:shd w:val="clear" w:color="auto" w:fill="D8E7F3"/>
          </w:tcPr>
          <w:p>
            <w:pPr>
              <w:ind w:left="100"/>
              <w:spacing w:after="0"/>
              <w:rPr>
                <w:sz w:val="20"/>
                <w:szCs w:val="20"/>
                <w:color w:val="auto"/>
              </w:rPr>
            </w:pPr>
            <w:r>
              <w:rPr>
                <w:rFonts w:ascii="Arial" w:cs="Arial" w:eastAsia="Arial" w:hAnsi="Arial"/>
                <w:sz w:val="16"/>
                <w:szCs w:val="16"/>
                <w:color w:val="auto"/>
              </w:rPr>
              <w:t>the Compensation Committee,” respectively.</w:t>
            </w:r>
          </w:p>
        </w:tc>
        <w:tc>
          <w:tcPr>
            <w:tcW w:w="0" w:type="dxa"/>
            <w:vAlign w:val="bottom"/>
          </w:tcPr>
          <w:p>
            <w:pPr>
              <w:spacing w:after="0"/>
              <w:rPr>
                <w:sz w:val="1"/>
                <w:szCs w:val="1"/>
                <w:color w:val="auto"/>
              </w:rPr>
            </w:pPr>
          </w:p>
        </w:tc>
      </w:tr>
      <w:tr>
        <w:trPr>
          <w:trHeight w:val="428"/>
        </w:trPr>
        <w:tc>
          <w:tcPr>
            <w:tcW w:w="224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Arial" w:cs="Arial" w:eastAsia="Arial" w:hAnsi="Arial"/>
                <w:sz w:val="16"/>
                <w:szCs w:val="16"/>
                <w:color w:val="auto"/>
              </w:rPr>
              <w:t>The primary responsibilities of the Finance Committee are to assist the Board in fulfilling its oversight</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7480" w:type="dxa"/>
            <w:vAlign w:val="bottom"/>
            <w:gridSpan w:val="2"/>
          </w:tcPr>
          <w:p>
            <w:pPr>
              <w:ind w:left="100"/>
              <w:spacing w:after="0"/>
              <w:rPr>
                <w:sz w:val="20"/>
                <w:szCs w:val="20"/>
                <w:color w:val="auto"/>
              </w:rPr>
            </w:pPr>
            <w:r>
              <w:rPr>
                <w:rFonts w:ascii="Arial" w:cs="Arial" w:eastAsia="Arial" w:hAnsi="Arial"/>
                <w:sz w:val="16"/>
                <w:szCs w:val="16"/>
                <w:color w:val="auto"/>
              </w:rPr>
              <w:t>responsibility for:</w:t>
            </w:r>
          </w:p>
        </w:tc>
        <w:tc>
          <w:tcPr>
            <w:tcW w:w="0" w:type="dxa"/>
            <w:vAlign w:val="bottom"/>
          </w:tcPr>
          <w:p>
            <w:pPr>
              <w:spacing w:after="0"/>
              <w:rPr>
                <w:sz w:val="1"/>
                <w:szCs w:val="1"/>
                <w:color w:val="auto"/>
              </w:rPr>
            </w:pPr>
          </w:p>
        </w:tc>
      </w:tr>
      <w:tr>
        <w:trPr>
          <w:trHeight w:val="275"/>
        </w:trPr>
        <w:tc>
          <w:tcPr>
            <w:tcW w:w="2240" w:type="dxa"/>
            <w:vAlign w:val="bottom"/>
          </w:tcPr>
          <w:p>
            <w:pPr>
              <w:spacing w:after="0"/>
              <w:rPr>
                <w:sz w:val="23"/>
                <w:szCs w:val="23"/>
                <w:color w:val="auto"/>
              </w:rPr>
            </w:pPr>
          </w:p>
        </w:tc>
        <w:tc>
          <w:tcPr>
            <w:tcW w:w="7480" w:type="dxa"/>
            <w:vAlign w:val="bottom"/>
            <w:gridSpan w:val="2"/>
          </w:tcPr>
          <w:p>
            <w:pPr>
              <w:ind w:left="180"/>
              <w:spacing w:after="0"/>
              <w:rPr>
                <w:sz w:val="20"/>
                <w:szCs w:val="20"/>
                <w:color w:val="auto"/>
              </w:rPr>
            </w:pPr>
            <w:r>
              <w:rPr>
                <w:rFonts w:ascii="Arial" w:cs="Arial" w:eastAsia="Arial" w:hAnsi="Arial"/>
                <w:sz w:val="16"/>
                <w:szCs w:val="16"/>
                <w:color w:val="0061AF"/>
              </w:rPr>
              <w:t xml:space="preserve">•   </w:t>
            </w:r>
            <w:r>
              <w:rPr>
                <w:rFonts w:ascii="Arial" w:cs="Arial" w:eastAsia="Arial" w:hAnsi="Arial"/>
                <w:sz w:val="16"/>
                <w:szCs w:val="16"/>
                <w:color w:val="000000"/>
              </w:rPr>
              <w:t>reviewing management’s recommendations regarding capital structure objectives, parameters and</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160" w:type="dxa"/>
            <w:vAlign w:val="bottom"/>
          </w:tcPr>
          <w:p>
            <w:pPr>
              <w:ind w:left="100"/>
              <w:spacing w:after="0" w:line="178" w:lineRule="exact"/>
              <w:rPr>
                <w:sz w:val="20"/>
                <w:szCs w:val="20"/>
                <w:color w:val="auto"/>
              </w:rPr>
            </w:pPr>
            <w:r>
              <w:rPr>
                <w:rFonts w:ascii="Arial" w:cs="Arial" w:eastAsia="Arial" w:hAnsi="Arial"/>
                <w:sz w:val="16"/>
                <w:szCs w:val="16"/>
                <w:color w:val="auto"/>
              </w:rPr>
              <w:t>forecasts, including liquidity, short-term and long-term financial requirements, credit exposures,</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160" w:type="dxa"/>
            <w:vAlign w:val="bottom"/>
          </w:tcPr>
          <w:p>
            <w:pPr>
              <w:ind w:left="100"/>
              <w:spacing w:after="0" w:line="178" w:lineRule="exact"/>
              <w:rPr>
                <w:sz w:val="20"/>
                <w:szCs w:val="20"/>
                <w:color w:val="auto"/>
              </w:rPr>
            </w:pPr>
            <w:r>
              <w:rPr>
                <w:rFonts w:ascii="Arial" w:cs="Arial" w:eastAsia="Arial" w:hAnsi="Arial"/>
                <w:sz w:val="16"/>
                <w:szCs w:val="16"/>
                <w:color w:val="auto"/>
              </w:rPr>
              <w:t>target credit ratings and related financial risk;</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320" w:type="dxa"/>
            <w:vAlign w:val="bottom"/>
          </w:tcPr>
          <w:p>
            <w:pPr>
              <w:ind w:left="180"/>
              <w:spacing w:after="0" w:line="178" w:lineRule="exact"/>
              <w:rPr>
                <w:sz w:val="20"/>
                <w:szCs w:val="20"/>
                <w:color w:val="auto"/>
              </w:rPr>
            </w:pPr>
            <w:r>
              <w:rPr>
                <w:rFonts w:ascii="Arial" w:cs="Arial" w:eastAsia="Arial" w:hAnsi="Arial"/>
                <w:sz w:val="16"/>
                <w:szCs w:val="16"/>
                <w:color w:val="0061AF"/>
              </w:rPr>
              <w:t>•</w:t>
            </w:r>
          </w:p>
        </w:tc>
        <w:tc>
          <w:tcPr>
            <w:tcW w:w="7160" w:type="dxa"/>
            <w:vAlign w:val="bottom"/>
          </w:tcPr>
          <w:p>
            <w:pPr>
              <w:jc w:val="right"/>
              <w:ind w:right="21"/>
              <w:spacing w:after="0" w:line="178" w:lineRule="exact"/>
              <w:rPr>
                <w:sz w:val="20"/>
                <w:szCs w:val="20"/>
                <w:color w:val="auto"/>
              </w:rPr>
            </w:pPr>
            <w:r>
              <w:rPr>
                <w:rFonts w:ascii="Arial" w:cs="Arial" w:eastAsia="Arial" w:hAnsi="Arial"/>
                <w:sz w:val="16"/>
                <w:szCs w:val="16"/>
                <w:color w:val="auto"/>
              </w:rPr>
              <w:t>reviewing management’s recommendations regarding the financing plan, proposed financing</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160" w:type="dxa"/>
            <w:vAlign w:val="bottom"/>
          </w:tcPr>
          <w:p>
            <w:pPr>
              <w:ind w:left="100"/>
              <w:spacing w:after="0" w:line="178" w:lineRule="exact"/>
              <w:rPr>
                <w:sz w:val="20"/>
                <w:szCs w:val="20"/>
                <w:color w:val="auto"/>
              </w:rPr>
            </w:pPr>
            <w:r>
              <w:rPr>
                <w:rFonts w:ascii="Arial" w:cs="Arial" w:eastAsia="Arial" w:hAnsi="Arial"/>
                <w:sz w:val="16"/>
                <w:szCs w:val="16"/>
                <w:color w:val="auto"/>
              </w:rPr>
              <w:t>transactions and use of derivatives and, following such review, making recommendations to the</w:t>
            </w:r>
          </w:p>
        </w:tc>
        <w:tc>
          <w:tcPr>
            <w:tcW w:w="0" w:type="dxa"/>
            <w:vAlign w:val="bottom"/>
          </w:tcPr>
          <w:p>
            <w:pPr>
              <w:spacing w:after="0"/>
              <w:rPr>
                <w:sz w:val="1"/>
                <w:szCs w:val="1"/>
                <w:color w:val="auto"/>
              </w:rPr>
            </w:pPr>
          </w:p>
        </w:tc>
      </w:tr>
      <w:tr>
        <w:trPr>
          <w:trHeight w:val="191"/>
        </w:trPr>
        <w:tc>
          <w:tcPr>
            <w:tcW w:w="2240" w:type="dxa"/>
            <w:vAlign w:val="bottom"/>
          </w:tcPr>
          <w:p>
            <w:pPr>
              <w:jc w:val="center"/>
              <w:spacing w:after="0"/>
              <w:rPr>
                <w:sz w:val="20"/>
                <w:szCs w:val="20"/>
                <w:color w:val="auto"/>
              </w:rPr>
            </w:pPr>
            <w:r>
              <w:rPr>
                <w:rFonts w:ascii="Arial" w:cs="Arial" w:eastAsia="Arial" w:hAnsi="Arial"/>
                <w:sz w:val="16"/>
                <w:szCs w:val="16"/>
                <w:b w:val="1"/>
                <w:bCs w:val="1"/>
                <w:color w:val="FFFFFF"/>
              </w:rPr>
              <w:t>FINANCE</w:t>
            </w:r>
          </w:p>
        </w:tc>
        <w:tc>
          <w:tcPr>
            <w:tcW w:w="320" w:type="dxa"/>
            <w:vAlign w:val="bottom"/>
          </w:tcPr>
          <w:p>
            <w:pPr>
              <w:spacing w:after="0"/>
              <w:rPr>
                <w:sz w:val="16"/>
                <w:szCs w:val="16"/>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Board, as appropriate;</w:t>
            </w:r>
          </w:p>
        </w:tc>
        <w:tc>
          <w:tcPr>
            <w:tcW w:w="0" w:type="dxa"/>
            <w:vAlign w:val="bottom"/>
          </w:tcPr>
          <w:p>
            <w:pPr>
              <w:spacing w:after="0"/>
              <w:rPr>
                <w:sz w:val="1"/>
                <w:szCs w:val="1"/>
                <w:color w:val="auto"/>
              </w:rPr>
            </w:pPr>
          </w:p>
        </w:tc>
      </w:tr>
      <w:tr>
        <w:trPr>
          <w:trHeight w:val="166"/>
        </w:trPr>
        <w:tc>
          <w:tcPr>
            <w:tcW w:w="2240" w:type="dxa"/>
            <w:vAlign w:val="bottom"/>
          </w:tcPr>
          <w:p>
            <w:pPr>
              <w:jc w:val="center"/>
              <w:spacing w:after="0" w:line="166" w:lineRule="exact"/>
              <w:rPr>
                <w:sz w:val="20"/>
                <w:szCs w:val="20"/>
                <w:color w:val="auto"/>
              </w:rPr>
            </w:pPr>
            <w:r>
              <w:rPr>
                <w:rFonts w:ascii="Arial" w:cs="Arial" w:eastAsia="Arial" w:hAnsi="Arial"/>
                <w:sz w:val="16"/>
                <w:szCs w:val="16"/>
                <w:b w:val="1"/>
                <w:bCs w:val="1"/>
                <w:color w:val="FFFFFF"/>
                <w:w w:val="99"/>
              </w:rPr>
              <w:t>COMMITTEE</w:t>
            </w:r>
          </w:p>
        </w:tc>
        <w:tc>
          <w:tcPr>
            <w:tcW w:w="320" w:type="dxa"/>
            <w:vAlign w:val="bottom"/>
          </w:tcPr>
          <w:p>
            <w:pPr>
              <w:ind w:left="180"/>
              <w:spacing w:after="0" w:line="166" w:lineRule="exact"/>
              <w:rPr>
                <w:sz w:val="20"/>
                <w:szCs w:val="20"/>
                <w:color w:val="auto"/>
              </w:rPr>
            </w:pPr>
            <w:r>
              <w:rPr>
                <w:rFonts w:ascii="Arial" w:cs="Arial" w:eastAsia="Arial" w:hAnsi="Arial"/>
                <w:sz w:val="16"/>
                <w:szCs w:val="16"/>
                <w:color w:val="0061AF"/>
              </w:rPr>
              <w:t>•</w:t>
            </w:r>
          </w:p>
        </w:tc>
        <w:tc>
          <w:tcPr>
            <w:tcW w:w="7160" w:type="dxa"/>
            <w:vAlign w:val="bottom"/>
          </w:tcPr>
          <w:p>
            <w:pPr>
              <w:jc w:val="right"/>
              <w:ind w:right="21"/>
              <w:spacing w:after="0" w:line="166" w:lineRule="exact"/>
              <w:rPr>
                <w:sz w:val="20"/>
                <w:szCs w:val="20"/>
                <w:color w:val="auto"/>
              </w:rPr>
            </w:pPr>
            <w:r>
              <w:rPr>
                <w:rFonts w:ascii="Arial" w:cs="Arial" w:eastAsia="Arial" w:hAnsi="Arial"/>
                <w:sz w:val="16"/>
                <w:szCs w:val="16"/>
                <w:color w:val="auto"/>
              </w:rPr>
              <w:t>approving pricing and other terms and conditions relevant to specific transactions in the 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-1132205</wp:posOffset>
            </wp:positionV>
            <wp:extent cx="6166485" cy="21158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66485" cy="2115820"/>
                    </a:xfrm>
                    <a:prstGeom prst="rect">
                      <a:avLst/>
                    </a:prstGeom>
                    <a:noFill/>
                  </pic:spPr>
                </pic:pic>
              </a:graphicData>
            </a:graphic>
          </wp:anchor>
        </w:drawing>
      </w:r>
    </w:p>
    <w:p>
      <w:pPr>
        <w:ind w:left="2660" w:right="100"/>
        <w:spacing w:after="0" w:line="232" w:lineRule="auto"/>
        <w:rPr>
          <w:sz w:val="20"/>
          <w:szCs w:val="20"/>
          <w:color w:val="auto"/>
        </w:rPr>
      </w:pPr>
      <w:r>
        <w:rPr>
          <w:rFonts w:ascii="Arial" w:cs="Arial" w:eastAsia="Arial" w:hAnsi="Arial"/>
          <w:sz w:val="16"/>
          <w:szCs w:val="16"/>
          <w:color w:val="auto"/>
        </w:rPr>
        <w:t>markets and other financing transactions, if authorized by the Board, or recommend that the Board authorize management to determine such terms and conditions;</w:t>
      </w:r>
    </w:p>
    <w:p>
      <w:pPr>
        <w:spacing w:after="0" w:line="1" w:lineRule="exact"/>
        <w:rPr>
          <w:sz w:val="20"/>
          <w:szCs w:val="20"/>
          <w:color w:val="auto"/>
        </w:rPr>
      </w:pPr>
    </w:p>
    <w:p>
      <w:pPr>
        <w:ind w:left="2660" w:right="100" w:hanging="237"/>
        <w:spacing w:after="0" w:line="232" w:lineRule="auto"/>
        <w:tabs>
          <w:tab w:leader="none" w:pos="2640" w:val="left"/>
        </w:tabs>
        <w:rPr>
          <w:sz w:val="20"/>
          <w:szCs w:val="20"/>
          <w:color w:val="auto"/>
        </w:rPr>
      </w:pPr>
      <w:r>
        <w:rPr>
          <w:rFonts w:ascii="Arial" w:cs="Arial" w:eastAsia="Arial" w:hAnsi="Arial"/>
          <w:sz w:val="16"/>
          <w:szCs w:val="16"/>
          <w:color w:val="0061AF"/>
        </w:rPr>
        <w:t>•</w:t>
      </w:r>
      <w:r>
        <w:rPr>
          <w:rFonts w:ascii="Arial" w:cs="Arial" w:eastAsia="Arial" w:hAnsi="Arial"/>
          <w:sz w:val="16"/>
          <w:szCs w:val="16"/>
          <w:color w:val="auto"/>
        </w:rPr>
        <w:tab/>
        <w:t>authorizing share repurchases, new series of preferred or preference stock and exchange offers, if authorized by the Board;</w:t>
      </w:r>
    </w:p>
    <w:p>
      <w:pPr>
        <w:spacing w:after="0" w:line="1" w:lineRule="exact"/>
        <w:rPr>
          <w:sz w:val="20"/>
          <w:szCs w:val="20"/>
          <w:color w:val="auto"/>
        </w:rPr>
      </w:pPr>
    </w:p>
    <w:p>
      <w:pPr>
        <w:ind w:left="2660" w:right="100" w:hanging="237"/>
        <w:spacing w:after="0" w:line="232" w:lineRule="auto"/>
        <w:tabs>
          <w:tab w:leader="none" w:pos="2640" w:val="left"/>
        </w:tabs>
        <w:rPr>
          <w:sz w:val="20"/>
          <w:szCs w:val="20"/>
          <w:color w:val="auto"/>
        </w:rPr>
      </w:pPr>
      <w:r>
        <w:rPr>
          <w:rFonts w:ascii="Arial" w:cs="Arial" w:eastAsia="Arial" w:hAnsi="Arial"/>
          <w:sz w:val="16"/>
          <w:szCs w:val="16"/>
          <w:color w:val="0061AF"/>
        </w:rPr>
        <w:t>•</w:t>
      </w:r>
      <w:r>
        <w:rPr>
          <w:rFonts w:ascii="Arial" w:cs="Arial" w:eastAsia="Arial" w:hAnsi="Arial"/>
          <w:sz w:val="16"/>
          <w:szCs w:val="16"/>
          <w:color w:val="auto"/>
        </w:rPr>
        <w:tab/>
        <w:t>reviewing and recommending for approval by the Board the declaration of dividends, including the amount and record date of dividends;</w:t>
      </w:r>
    </w:p>
    <w:p>
      <w:pPr>
        <w:ind w:left="2420"/>
        <w:spacing w:after="0" w:line="234" w:lineRule="auto"/>
        <w:tabs>
          <w:tab w:leader="none" w:pos="2640" w:val="left"/>
        </w:tabs>
        <w:rPr>
          <w:sz w:val="20"/>
          <w:szCs w:val="20"/>
          <w:color w:val="auto"/>
        </w:rPr>
      </w:pPr>
      <w:r>
        <w:rPr>
          <w:rFonts w:ascii="Arial" w:cs="Arial" w:eastAsia="Arial" w:hAnsi="Arial"/>
          <w:sz w:val="16"/>
          <w:szCs w:val="16"/>
          <w:color w:val="0061AF"/>
        </w:rPr>
        <w:t>•</w:t>
      </w:r>
      <w:r>
        <w:rPr>
          <w:rFonts w:ascii="Arial" w:cs="Arial" w:eastAsia="Arial" w:hAnsi="Arial"/>
          <w:sz w:val="16"/>
          <w:szCs w:val="16"/>
          <w:color w:val="auto"/>
        </w:rPr>
        <w:tab/>
        <w:t>reviewing the Company’s risk transfer strategies; and</w:t>
      </w:r>
    </w:p>
    <w:p>
      <w:pPr>
        <w:ind w:left="2420"/>
        <w:spacing w:after="0"/>
        <w:tabs>
          <w:tab w:leader="none" w:pos="2640" w:val="left"/>
        </w:tabs>
        <w:rPr>
          <w:sz w:val="20"/>
          <w:szCs w:val="20"/>
          <w:color w:val="auto"/>
        </w:rPr>
      </w:pPr>
      <w:r>
        <w:rPr>
          <w:rFonts w:ascii="Arial" w:cs="Arial" w:eastAsia="Arial" w:hAnsi="Arial"/>
          <w:sz w:val="16"/>
          <w:szCs w:val="16"/>
          <w:color w:val="0061AF"/>
        </w:rPr>
        <w:t>•</w:t>
      </w:r>
      <w:r>
        <w:rPr>
          <w:rFonts w:ascii="Arial" w:cs="Arial" w:eastAsia="Arial" w:hAnsi="Arial"/>
          <w:sz w:val="16"/>
          <w:szCs w:val="16"/>
          <w:color w:val="auto"/>
        </w:rPr>
        <w:tab/>
        <w:t>reviewing and approving the Company’s short-term investment policy.</w:t>
      </w:r>
    </w:p>
    <w:p>
      <w:pPr>
        <w:spacing w:after="0" w:line="302" w:lineRule="exact"/>
        <w:rPr>
          <w:sz w:val="20"/>
          <w:szCs w:val="20"/>
          <w:color w:val="auto"/>
        </w:rPr>
      </w:pPr>
    </w:p>
    <w:p>
      <w:pPr>
        <w:ind w:left="400" w:hanging="391"/>
        <w:spacing w:after="0"/>
        <w:tabs>
          <w:tab w:leader="none" w:pos="400" w:val="left"/>
        </w:tabs>
        <w:numPr>
          <w:ilvl w:val="0"/>
          <w:numId w:val="21"/>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691515</wp:posOffset>
            </wp:positionH>
            <wp:positionV relativeFrom="page">
              <wp:posOffset>594995</wp:posOffset>
            </wp:positionV>
            <wp:extent cx="1412875" cy="27508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12875" cy="275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560"/>
        <w:spacing w:after="0"/>
        <w:rPr>
          <w:sz w:val="20"/>
          <w:szCs w:val="20"/>
          <w:color w:val="auto"/>
        </w:rPr>
      </w:pPr>
      <w:r>
        <w:rPr>
          <w:rFonts w:ascii="Arial" w:cs="Arial" w:eastAsia="Arial" w:hAnsi="Arial"/>
          <w:sz w:val="15"/>
          <w:szCs w:val="15"/>
          <w:b w:val="1"/>
          <w:bCs w:val="1"/>
          <w:color w:val="FFFFFF"/>
        </w:rPr>
        <w:t>GOVERNANCE</w:t>
      </w: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color w:val="FFFFFF"/>
        </w:rPr>
        <w:t>COMMITTEE</w:t>
      </w:r>
    </w:p>
    <w:p>
      <w:pPr>
        <w:spacing w:after="0" w:line="20" w:lineRule="exact"/>
        <w:rPr>
          <w:sz w:val="20"/>
          <w:szCs w:val="20"/>
          <w:color w:val="auto"/>
        </w:rPr>
      </w:pPr>
      <w:r>
        <w:rPr>
          <w:sz w:val="20"/>
          <w:szCs w:val="20"/>
          <w:color w:val="auto"/>
        </w:rPr>
        <w:br w:type="column"/>
      </w:r>
    </w:p>
    <w:p>
      <w:pPr>
        <w:ind w:left="5660"/>
        <w:spacing w:after="0"/>
        <w:rPr>
          <w:sz w:val="20"/>
          <w:szCs w:val="20"/>
          <w:color w:val="auto"/>
        </w:rPr>
      </w:pPr>
      <w:r>
        <w:rPr>
          <w:rFonts w:ascii="Arial" w:cs="Arial" w:eastAsia="Arial" w:hAnsi="Arial"/>
          <w:sz w:val="16"/>
          <w:szCs w:val="16"/>
          <w:color w:val="FFFFF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-221615</wp:posOffset>
            </wp:positionV>
            <wp:extent cx="7163435" cy="22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-138430</wp:posOffset>
            </wp:positionV>
            <wp:extent cx="6166485" cy="1962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66485" cy="196215"/>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136525</wp:posOffset>
            </wp:positionV>
            <wp:extent cx="4752975" cy="27508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52975" cy="275082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primary responsibilities of the Governance Committee are to:</w:t>
      </w:r>
    </w:p>
    <w:p>
      <w:pPr>
        <w:spacing w:after="0" w:line="102" w:lineRule="exact"/>
        <w:rPr>
          <w:sz w:val="20"/>
          <w:szCs w:val="20"/>
          <w:color w:val="auto"/>
        </w:rPr>
      </w:pPr>
    </w:p>
    <w:p>
      <w:pPr>
        <w:ind w:left="320" w:right="100" w:hanging="240"/>
        <w:spacing w:after="0" w:line="232" w:lineRule="auto"/>
        <w:tabs>
          <w:tab w:leader="none" w:pos="434"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identify, evaluate and recommend, for the approval of the entire Board of Directors, potential nominees for election to the Board;</w:t>
      </w:r>
    </w:p>
    <w:p>
      <w:pPr>
        <w:spacing w:after="0" w:line="1" w:lineRule="exact"/>
        <w:rPr>
          <w:rFonts w:ascii="Arial" w:cs="Arial" w:eastAsia="Arial" w:hAnsi="Arial"/>
          <w:sz w:val="16"/>
          <w:szCs w:val="16"/>
          <w:color w:val="0061AF"/>
        </w:rPr>
      </w:pPr>
    </w:p>
    <w:p>
      <w:pPr>
        <w:ind w:left="320" w:hanging="240"/>
        <w:spacing w:after="0" w:line="232" w:lineRule="auto"/>
        <w:tabs>
          <w:tab w:leader="none" w:pos="320"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recommend membership on standing committees of the Board;</w:t>
      </w:r>
    </w:p>
    <w:p>
      <w:pPr>
        <w:ind w:left="320" w:right="100" w:hanging="240"/>
        <w:spacing w:after="0" w:line="232" w:lineRule="auto"/>
        <w:tabs>
          <w:tab w:leader="none" w:pos="356"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address and resolve any issues with respect to related-party transactions and conflicts of interest involving our executive officers, directors or other “related persons”;</w:t>
      </w:r>
    </w:p>
    <w:p>
      <w:pPr>
        <w:spacing w:after="0" w:line="1" w:lineRule="exact"/>
        <w:rPr>
          <w:rFonts w:ascii="Arial" w:cs="Arial" w:eastAsia="Arial" w:hAnsi="Arial"/>
          <w:sz w:val="16"/>
          <w:szCs w:val="16"/>
          <w:color w:val="0061AF"/>
        </w:rPr>
      </w:pPr>
    </w:p>
    <w:p>
      <w:pPr>
        <w:ind w:left="320" w:right="100" w:hanging="240"/>
        <w:spacing w:after="0" w:line="232" w:lineRule="auto"/>
        <w:tabs>
          <w:tab w:leader="none" w:pos="462"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review the independence of each Board member and make recommendations to the Board regarding director independence;</w:t>
      </w:r>
    </w:p>
    <w:p>
      <w:pPr>
        <w:spacing w:after="0" w:line="1" w:lineRule="exact"/>
        <w:rPr>
          <w:rFonts w:ascii="Arial" w:cs="Arial" w:eastAsia="Arial" w:hAnsi="Arial"/>
          <w:sz w:val="16"/>
          <w:szCs w:val="16"/>
          <w:color w:val="0061AF"/>
        </w:rPr>
      </w:pPr>
    </w:p>
    <w:p>
      <w:pPr>
        <w:ind w:left="320" w:right="100" w:hanging="240"/>
        <w:spacing w:after="0" w:line="232" w:lineRule="auto"/>
        <w:tabs>
          <w:tab w:leader="none" w:pos="343"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oversee annual evaluations of the Board and its standing committees, including individual director evaluations;</w:t>
      </w:r>
    </w:p>
    <w:p>
      <w:pPr>
        <w:spacing w:after="0" w:line="1" w:lineRule="exact"/>
        <w:rPr>
          <w:rFonts w:ascii="Arial" w:cs="Arial" w:eastAsia="Arial" w:hAnsi="Arial"/>
          <w:sz w:val="16"/>
          <w:szCs w:val="16"/>
          <w:color w:val="0061AF"/>
        </w:rPr>
      </w:pPr>
    </w:p>
    <w:p>
      <w:pPr>
        <w:ind w:left="320" w:right="100" w:hanging="240"/>
        <w:spacing w:after="0" w:line="232" w:lineRule="auto"/>
        <w:tabs>
          <w:tab w:leader="none" w:pos="468"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review any shareholder proposals submitted for inclusion in our proxy statement and make recommendations to the Board regarding the Company’s response;</w:t>
      </w:r>
    </w:p>
    <w:p>
      <w:pPr>
        <w:spacing w:after="0" w:line="1" w:lineRule="exact"/>
        <w:rPr>
          <w:rFonts w:ascii="Arial" w:cs="Arial" w:eastAsia="Arial" w:hAnsi="Arial"/>
          <w:sz w:val="16"/>
          <w:szCs w:val="16"/>
          <w:color w:val="0061AF"/>
        </w:rPr>
      </w:pPr>
    </w:p>
    <w:p>
      <w:pPr>
        <w:ind w:left="320" w:hanging="240"/>
        <w:spacing w:after="0" w:line="232" w:lineRule="auto"/>
        <w:tabs>
          <w:tab w:leader="none" w:pos="320"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review and recommend fee levels and other elements of compensation for non-employee directors;</w:t>
      </w:r>
    </w:p>
    <w:p>
      <w:pPr>
        <w:ind w:left="320" w:right="100" w:hanging="240"/>
        <w:spacing w:after="0" w:line="232" w:lineRule="auto"/>
        <w:tabs>
          <w:tab w:leader="none" w:pos="319"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evaluate whether to accept a conditional resignation of an incumbent director who does not receive a majority vote in favor of election in an uncontested election;</w:t>
      </w:r>
    </w:p>
    <w:p>
      <w:pPr>
        <w:spacing w:after="0" w:line="1" w:lineRule="exact"/>
        <w:rPr>
          <w:rFonts w:ascii="Arial" w:cs="Arial" w:eastAsia="Arial" w:hAnsi="Arial"/>
          <w:sz w:val="16"/>
          <w:szCs w:val="16"/>
          <w:color w:val="0061AF"/>
        </w:rPr>
      </w:pPr>
    </w:p>
    <w:p>
      <w:pPr>
        <w:ind w:left="320" w:right="100" w:hanging="240"/>
        <w:spacing w:after="0" w:line="232" w:lineRule="auto"/>
        <w:tabs>
          <w:tab w:leader="none" w:pos="490"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periodically review the Company’s programs, practices, initiatives and strategies relating to environmental and sustainability matters and cybersecurity; and</w:t>
      </w:r>
    </w:p>
    <w:p>
      <w:pPr>
        <w:spacing w:after="0" w:line="1" w:lineRule="exact"/>
        <w:rPr>
          <w:rFonts w:ascii="Arial" w:cs="Arial" w:eastAsia="Arial" w:hAnsi="Arial"/>
          <w:sz w:val="16"/>
          <w:szCs w:val="16"/>
          <w:color w:val="0061AF"/>
        </w:rPr>
      </w:pPr>
    </w:p>
    <w:p>
      <w:pPr>
        <w:ind w:left="320" w:right="100" w:hanging="240"/>
        <w:spacing w:after="0"/>
        <w:tabs>
          <w:tab w:leader="none" w:pos="492" w:val="left"/>
        </w:tabs>
        <w:numPr>
          <w:ilvl w:val="0"/>
          <w:numId w:val="22"/>
        </w:numPr>
        <w:rPr>
          <w:rFonts w:ascii="Arial" w:cs="Arial" w:eastAsia="Arial" w:hAnsi="Arial"/>
          <w:sz w:val="16"/>
          <w:szCs w:val="16"/>
          <w:color w:val="0061AF"/>
        </w:rPr>
      </w:pPr>
      <w:r>
        <w:rPr>
          <w:rFonts w:ascii="Arial" w:cs="Arial" w:eastAsia="Arial" w:hAnsi="Arial"/>
          <w:sz w:val="16"/>
          <w:szCs w:val="16"/>
          <w:color w:val="auto"/>
        </w:rPr>
        <w:t>establish, periodically review and recommend to the Board any changes to our Corporate Governance Guidelines.</w:t>
      </w:r>
    </w:p>
    <w:p>
      <w:pPr>
        <w:spacing w:after="0" w:line="96" w:lineRule="exact"/>
        <w:rPr>
          <w:sz w:val="20"/>
          <w:szCs w:val="20"/>
          <w:color w:val="auto"/>
        </w:rPr>
      </w:pPr>
    </w:p>
    <w:p>
      <w:pPr>
        <w:jc w:val="both"/>
        <w:ind w:right="100"/>
        <w:spacing w:after="0" w:line="237" w:lineRule="auto"/>
        <w:rPr>
          <w:sz w:val="20"/>
          <w:szCs w:val="20"/>
          <w:color w:val="auto"/>
        </w:rPr>
      </w:pPr>
      <w:r>
        <w:rPr>
          <w:rFonts w:ascii="Arial" w:cs="Arial" w:eastAsia="Arial" w:hAnsi="Arial"/>
          <w:sz w:val="16"/>
          <w:szCs w:val="16"/>
          <w:color w:val="auto"/>
        </w:rPr>
        <w:t>For information concerning policies and procedures relating to the consideration and determination of compensation of our directors, including the role of the Governance Committee, see “Compensation of Directors.”</w:t>
      </w:r>
    </w:p>
    <w:p>
      <w:pPr>
        <w:spacing w:after="0" w:line="200" w:lineRule="exact"/>
        <w:rPr>
          <w:sz w:val="20"/>
          <w:szCs w:val="20"/>
          <w:color w:val="auto"/>
        </w:rPr>
      </w:pPr>
    </w:p>
    <w:p>
      <w:pPr>
        <w:sectPr>
          <w:pgSz w:w="11900" w:h="16838" w:orient="portrait"/>
          <w:cols w:equalWidth="0" w:num="2">
            <w:col w:w="1680" w:space="660"/>
            <w:col w:w="7380"/>
          </w:cols>
          <w:pgMar w:left="1080" w:top="305" w:right="109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Review and Evaluation Committee</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May 2020, the Board established the Business Review and Evaluation Committee as a non-standing committee of the Board to provide advice and recommendations to the Board to evaluate and execute on a comprehensive range of potential value-maximizing strategic business actions and alternatives related to the Company’s current configuration and alignment of businesses, assets and other ownership interests. In October 2020, the Business Review and Evaluation Committee completed its review and made final recommendations to the full Board for its consideration. CenterPoint Energy’s business strategy incorporated certain recommendations of the Business Review and Evaluation Committee, which the Company announced during its Investor Day in December 2020. The Business Review and Evaluation Committee was comprised of four members, including Mr. Lesar as its chairman and Messrs. Nesbitt, Smith and Smitherman.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Chief Executive Officer Search Committee</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Upon the departure of the Company’s President and Chief Executive Officer in February 2020, the Board established a non-standing Chief Executive Officer Search Committee to oversee the search process to identify potential candidates to serve as the Company’s permanent Chief Executive Officer. The Chief Executive Officer Search Committee conducted a comprehensive and robust search, supported by a leading executive recruiting firm. This search ultimately resulted in the appointment of Mr. Lesar as the President and Chief Executive Officer in July 2020. Mr. Smith chaired the Chief Executive Officer Search Committee, and Mses. Biddle and Rheney and Messrs. Nesbitt and Pound also served on the committee.</w:t>
      </w:r>
    </w:p>
    <w:p>
      <w:pPr>
        <w:spacing w:after="0" w:line="21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type w:val="continuous"/>
        </w:sectPr>
      </w:pPr>
    </w:p>
    <w:bookmarkStart w:id="27" w:name="page28"/>
    <w:bookmarkEnd w:id="2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Sessions of the Board</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Our Corporate Governance Guidelines provide that the members of the Board of Directors who are not officers of CenterPoint Energy will hold regular executive sessions without management participation. If at any time the non-management directors include one or more directors who do not meet the listing standards of the New York Stock Exchange for general independence, the Board must hold an executive session at least once each year including only the non-management directors who are also independent. An executive session of independent directors is currently scheduled in conjunction with each regular meeting of the Board of Directors. Currently, the Governance Committee Chairman (Mr. Nesbitt) presides at these sessions.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25317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66485" cy="2531745"/>
                    </a:xfrm>
                    <a:prstGeom prst="rect">
                      <a:avLst/>
                    </a:prstGeom>
                    <a:noFill/>
                  </pic:spPr>
                </pic:pic>
              </a:graphicData>
            </a:graphic>
          </wp:anchor>
        </w:drawing>
      </w:r>
    </w:p>
    <w:p>
      <w:pPr>
        <w:spacing w:after="0" w:line="338" w:lineRule="exact"/>
        <w:rPr>
          <w:sz w:val="20"/>
          <w:szCs w:val="20"/>
          <w:color w:val="auto"/>
        </w:rPr>
      </w:pPr>
    </w:p>
    <w:p>
      <w:pPr>
        <w:jc w:val="both"/>
        <w:ind w:right="3420"/>
        <w:spacing w:after="0" w:line="233" w:lineRule="auto"/>
        <w:rPr>
          <w:sz w:val="20"/>
          <w:szCs w:val="20"/>
          <w:color w:val="auto"/>
        </w:rPr>
      </w:pPr>
      <w:r>
        <w:rPr>
          <w:rFonts w:ascii="Arial" w:cs="Arial" w:eastAsia="Arial" w:hAnsi="Arial"/>
          <w:sz w:val="16"/>
          <w:szCs w:val="16"/>
          <w:color w:val="auto"/>
        </w:rPr>
        <w:t>The Company believes that good governance practices include maintaining a consistent and transparent dialogue throughout the year with our shareholders, which helps contribute to the Company’s long-term success. Each year, we engage in shareholder outreach through various engagement channels including direct meetings, analyst conferences and road shows, among others, and proactively solicit feedback. We also reach out to the proxy governance teams of certain of our large institutional investors to solicit feedback on a range of topics, including, among other topics, our executive compensation program, including short-term and long-term incentive plan design and executive succession planning, ESG matters, including our corporate governance practices such as board composition and refreshment, environmental and sustainability matters, such as climate change and our carbon emissions reduction targets, human capital management, including our diversity and inclusion initiatives and COVID-19 response, and proxy statement disclosure.</w:t>
      </w:r>
    </w:p>
    <w:p>
      <w:pPr>
        <w:spacing w:after="0" w:line="189" w:lineRule="exact"/>
        <w:rPr>
          <w:sz w:val="20"/>
          <w:szCs w:val="20"/>
          <w:color w:val="auto"/>
        </w:rPr>
      </w:pPr>
    </w:p>
    <w:p>
      <w:pPr>
        <w:jc w:val="both"/>
        <w:ind w:right="3420"/>
        <w:spacing w:after="0" w:line="232" w:lineRule="auto"/>
        <w:rPr>
          <w:sz w:val="20"/>
          <w:szCs w:val="20"/>
          <w:color w:val="auto"/>
        </w:rPr>
      </w:pPr>
      <w:r>
        <w:rPr>
          <w:rFonts w:ascii="Arial" w:cs="Arial" w:eastAsia="Arial" w:hAnsi="Arial"/>
          <w:sz w:val="16"/>
          <w:szCs w:val="16"/>
          <w:color w:val="auto"/>
        </w:rPr>
        <w:t>In response to the outcome of the 2020 advisory vote on the compensation of our named executive officers, commonly known as a “say-on-pay” vote, CenterPoint Energy solicited feedback and perspectives from our shareholders, particularly with respect to our executive compensation program. As part of this process, we contacted shareholders representing 64% of our outstanding shares of common stock during 2020, and shareholders representing 42% of our outstanding shares agreed to engage with us. Key members of our executive leadership representing Human Resources, Investor</w:t>
      </w:r>
    </w:p>
    <w:p>
      <w:pPr>
        <w:spacing w:after="0" w:line="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Relations, Environmental and Corporate Governance, along with our Compensation Committee Chair in certain instances, participated in our shareholder engagement. For further information on the results of our 2020 “say-on-pay” vote, the shareholder feedback we received and our responses thereto, please refer to “Compensation Discussion and Analysis—Executive Summary—Shareholder Outreach and Say-On-Pay.”</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At this year’s meeting, our shareholders will again have the opportunity to cast an advisory vote on the compensation of our named executive officers. This vote provides our shareholders the opportunity to express their views regarding the compensation program for our named executive officers as disclosed in this proxy statement. As an advisory vote, the say-on-pay vote at the meeting will not be binding upon CenterPoint Energy or the Board of Directors. However, the Board of Directors values the opinions expressed by our shareholders, and the Compensation Committee will consider the outcome of the vote when making future compensation decisions for our named executive officers. For additional information, please refer to “Advisory Vote on Executive Compensation (Item 3).”</w:t>
      </w:r>
    </w:p>
    <w:p>
      <w:pPr>
        <w:spacing w:after="0" w:line="178" w:lineRule="exact"/>
        <w:rPr>
          <w:sz w:val="20"/>
          <w:szCs w:val="20"/>
          <w:color w:val="auto"/>
        </w:rPr>
      </w:pPr>
    </w:p>
    <w:p>
      <w:pPr>
        <w:ind w:left="400" w:hanging="391"/>
        <w:spacing w:after="0"/>
        <w:tabs>
          <w:tab w:leader="none" w:pos="400" w:val="left"/>
        </w:tabs>
        <w:numPr>
          <w:ilvl w:val="0"/>
          <w:numId w:val="23"/>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28" w:name="page29"/>
    <w:bookmarkEnd w:id="2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15"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At our 2017 annual meeting of shareholders, we conducted an advisory vote on the frequency of future shareholder advisory votes on executive compensation, at which the Board of Directors recommended that our shareholders vote in favor of holding annual say-on-pay votes instead of the other options presented. At our 2017 annual meeting of shareholders, the shares of our common stock that voted in favor of one of the three available frequency recommendations (excluding abstentions and broker non-votes)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173470" cy="3251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3470" cy="325120"/>
                    </a:xfrm>
                    <a:prstGeom prst="rect">
                      <a:avLst/>
                    </a:prstGeom>
                    <a:noFill/>
                  </pic:spPr>
                </pic:pic>
              </a:graphicData>
            </a:graphic>
          </wp:anchor>
        </w:drawing>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FFFFFF"/>
        </w:rPr>
        <w:t>2017 Annual Meeting Results on the Frequency of Future Shareholder Advisory Votes on Executive Compensation</w:t>
      </w:r>
    </w:p>
    <w:tbl>
      <w:tblPr>
        <w:tblLayout w:type="fixed"/>
        <w:tblInd w:w="0" w:type="dxa"/>
        <w:tblCellMar>
          <w:top w:w="0" w:type="dxa"/>
          <w:left w:w="0" w:type="dxa"/>
          <w:bottom w:w="0" w:type="dxa"/>
          <w:right w:w="0" w:type="dxa"/>
        </w:tblCellMar>
      </w:tblPr>
      <w:tr>
        <w:trPr>
          <w:trHeight w:val="172"/>
        </w:trPr>
        <w:tc>
          <w:tcPr>
            <w:tcW w:w="3320" w:type="dxa"/>
            <w:vAlign w:val="bottom"/>
            <w:tcBorders>
              <w:bottom w:val="single" w:sz="8" w:color="0061AF"/>
              <w:right w:val="single" w:sz="8" w:color="0061AF"/>
            </w:tcBorders>
          </w:tcPr>
          <w:p>
            <w:pPr>
              <w:jc w:val="center"/>
              <w:ind w:left="45"/>
              <w:spacing w:after="0"/>
              <w:rPr>
                <w:sz w:val="20"/>
                <w:szCs w:val="20"/>
                <w:color w:val="auto"/>
              </w:rPr>
            </w:pPr>
            <w:r>
              <w:rPr>
                <w:rFonts w:ascii="Arial" w:cs="Arial" w:eastAsia="Arial" w:hAnsi="Arial"/>
                <w:sz w:val="15"/>
                <w:szCs w:val="15"/>
                <w:b w:val="1"/>
                <w:bCs w:val="1"/>
                <w:color w:val="auto"/>
              </w:rPr>
              <w:t>Annually</w:t>
            </w:r>
          </w:p>
        </w:tc>
        <w:tc>
          <w:tcPr>
            <w:tcW w:w="3220" w:type="dxa"/>
            <w:vAlign w:val="bottom"/>
            <w:tcBorders>
              <w:bottom w:val="single" w:sz="8" w:color="0061AF"/>
              <w:right w:val="single" w:sz="8" w:color="0061AF"/>
            </w:tcBorders>
          </w:tcPr>
          <w:p>
            <w:pPr>
              <w:jc w:val="center"/>
              <w:ind w:left="5"/>
              <w:spacing w:after="0"/>
              <w:rPr>
                <w:sz w:val="20"/>
                <w:szCs w:val="20"/>
                <w:color w:val="auto"/>
              </w:rPr>
            </w:pPr>
            <w:r>
              <w:rPr>
                <w:rFonts w:ascii="Arial" w:cs="Arial" w:eastAsia="Arial" w:hAnsi="Arial"/>
                <w:sz w:val="15"/>
                <w:szCs w:val="15"/>
                <w:b w:val="1"/>
                <w:bCs w:val="1"/>
                <w:color w:val="auto"/>
                <w:w w:val="98"/>
              </w:rPr>
              <w:t>Every Two Years</w:t>
            </w:r>
          </w:p>
        </w:tc>
        <w:tc>
          <w:tcPr>
            <w:tcW w:w="3180" w:type="dxa"/>
            <w:vAlign w:val="bottom"/>
            <w:tcBorders>
              <w:bottom w:val="single" w:sz="8" w:color="0061AF"/>
            </w:tcBorders>
          </w:tcPr>
          <w:p>
            <w:pPr>
              <w:jc w:val="center"/>
              <w:spacing w:after="0"/>
              <w:rPr>
                <w:sz w:val="20"/>
                <w:szCs w:val="20"/>
                <w:color w:val="auto"/>
              </w:rPr>
            </w:pPr>
            <w:r>
              <w:rPr>
                <w:rFonts w:ascii="Arial" w:cs="Arial" w:eastAsia="Arial" w:hAnsi="Arial"/>
                <w:sz w:val="15"/>
                <w:szCs w:val="15"/>
                <w:b w:val="1"/>
                <w:bCs w:val="1"/>
                <w:color w:val="auto"/>
                <w:w w:val="99"/>
              </w:rPr>
              <w:t>Every Three Years</w:t>
            </w:r>
          </w:p>
        </w:tc>
        <w:tc>
          <w:tcPr>
            <w:tcW w:w="20" w:type="dxa"/>
            <w:vAlign w:val="bottom"/>
            <w:tcBorders>
              <w:bottom w:val="single" w:sz="8" w:color="0061AF"/>
            </w:tcBorders>
          </w:tcPr>
          <w:p>
            <w:pPr>
              <w:spacing w:after="0"/>
              <w:rPr>
                <w:sz w:val="14"/>
                <w:szCs w:val="14"/>
                <w:color w:val="auto"/>
              </w:rPr>
            </w:pPr>
          </w:p>
        </w:tc>
      </w:tr>
      <w:tr>
        <w:trPr>
          <w:trHeight w:val="159"/>
        </w:trPr>
        <w:tc>
          <w:tcPr>
            <w:tcW w:w="3320" w:type="dxa"/>
            <w:vAlign w:val="bottom"/>
            <w:tcBorders>
              <w:bottom w:val="single" w:sz="8" w:color="0061AF"/>
              <w:right w:val="single" w:sz="8" w:color="0061AF"/>
            </w:tcBorders>
            <w:shd w:val="clear" w:color="auto" w:fill="D8E7F3"/>
          </w:tcPr>
          <w:p>
            <w:pPr>
              <w:jc w:val="right"/>
              <w:ind w:right="1305"/>
              <w:spacing w:after="0" w:line="159" w:lineRule="exact"/>
              <w:rPr>
                <w:sz w:val="20"/>
                <w:szCs w:val="20"/>
                <w:color w:val="auto"/>
              </w:rPr>
            </w:pPr>
            <w:r>
              <w:rPr>
                <w:rFonts w:ascii="Arial" w:cs="Arial" w:eastAsia="Arial" w:hAnsi="Arial"/>
                <w:sz w:val="15"/>
                <w:szCs w:val="15"/>
                <w:b w:val="1"/>
                <w:bCs w:val="1"/>
                <w:color w:val="auto"/>
              </w:rPr>
              <w:t>86.8%</w:t>
            </w:r>
          </w:p>
        </w:tc>
        <w:tc>
          <w:tcPr>
            <w:tcW w:w="3220" w:type="dxa"/>
            <w:vAlign w:val="bottom"/>
            <w:tcBorders>
              <w:bottom w:val="single" w:sz="8" w:color="0061AF"/>
              <w:right w:val="single" w:sz="8" w:color="0061AF"/>
            </w:tcBorders>
            <w:shd w:val="clear" w:color="auto" w:fill="D8E7F3"/>
          </w:tcPr>
          <w:p>
            <w:pPr>
              <w:jc w:val="right"/>
              <w:ind w:right="1325"/>
              <w:spacing w:after="0" w:line="159" w:lineRule="exact"/>
              <w:rPr>
                <w:sz w:val="20"/>
                <w:szCs w:val="20"/>
                <w:color w:val="auto"/>
              </w:rPr>
            </w:pPr>
            <w:r>
              <w:rPr>
                <w:rFonts w:ascii="Arial" w:cs="Arial" w:eastAsia="Arial" w:hAnsi="Arial"/>
                <w:sz w:val="15"/>
                <w:szCs w:val="15"/>
                <w:b w:val="1"/>
                <w:bCs w:val="1"/>
                <w:color w:val="auto"/>
              </w:rPr>
              <w:t>0.5%</w:t>
            </w:r>
          </w:p>
        </w:tc>
        <w:tc>
          <w:tcPr>
            <w:tcW w:w="3180" w:type="dxa"/>
            <w:vAlign w:val="bottom"/>
            <w:tcBorders>
              <w:bottom w:val="single" w:sz="8" w:color="0061AF"/>
            </w:tcBorders>
            <w:shd w:val="clear" w:color="auto" w:fill="D8E7F3"/>
          </w:tcPr>
          <w:p>
            <w:pPr>
              <w:jc w:val="right"/>
              <w:ind w:right="1285"/>
              <w:spacing w:after="0" w:line="159" w:lineRule="exact"/>
              <w:rPr>
                <w:sz w:val="20"/>
                <w:szCs w:val="20"/>
                <w:color w:val="auto"/>
              </w:rPr>
            </w:pPr>
            <w:r>
              <w:rPr>
                <w:rFonts w:ascii="Arial" w:cs="Arial" w:eastAsia="Arial" w:hAnsi="Arial"/>
                <w:sz w:val="15"/>
                <w:szCs w:val="15"/>
                <w:b w:val="1"/>
                <w:bCs w:val="1"/>
                <w:color w:val="auto"/>
              </w:rPr>
              <w:t>12.7%</w:t>
            </w:r>
          </w:p>
        </w:tc>
        <w:tc>
          <w:tcPr>
            <w:tcW w:w="20" w:type="dxa"/>
            <w:vAlign w:val="bottom"/>
            <w:tcBorders>
              <w:bottom w:val="single" w:sz="8" w:color="0061AF"/>
            </w:tcBorders>
          </w:tcPr>
          <w:p>
            <w:pPr>
              <w:spacing w:after="0"/>
              <w:rPr>
                <w:sz w:val="13"/>
                <w:szCs w:val="13"/>
                <w:color w:val="auto"/>
              </w:rPr>
            </w:pPr>
          </w:p>
        </w:tc>
      </w:tr>
    </w:tbl>
    <w:p>
      <w:pPr>
        <w:spacing w:after="0" w:line="19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Consistent with the results of both the 2011 and 2017 advisory votes, we will continue to hold future say-on-pay votes annually until we next hold an advisory vote on the frequency of say-on-pay votes in 2023 as required under Securities and Exchange Commission rules.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Interested parties who wish to make concerns known to the non-management directors may communicate directly with the non-management directors by making a submission in writing to “Board of Directors (independent members)” in care of our Corporate Secretary at the address indicated on the first page of this proxy statement. Aside from this procedure for communications with the non-management directors, the entire Board of Directors will receive communications in writing from shareholders. Any such communications should be addressed to the Board of Directors in care of the Corporate Secretary at the same address.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Website Availability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616648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7"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 xml:space="preserve">CenterPoint Energy’s Annual Report on Form 10-K, Corporate Governance Guidelines, the charters of the Audit Committee, Compensation Committee, Finance Committee and Governance Committee, the Code of Ethics and the Ethics and Compliance Code can be found on its website at </w:t>
      </w:r>
      <w:r>
        <w:rPr>
          <w:rFonts w:ascii="Arial" w:cs="Arial" w:eastAsia="Arial" w:hAnsi="Arial"/>
          <w:sz w:val="16"/>
          <w:szCs w:val="16"/>
          <w:i w:val="1"/>
          <w:iCs w:val="1"/>
          <w:color w:val="auto"/>
        </w:rPr>
        <w:t>https://investors.centerpointenergy.com/governance</w:t>
      </w:r>
      <w:r>
        <w:rPr>
          <w:rFonts w:ascii="Arial" w:cs="Arial" w:eastAsia="Arial" w:hAnsi="Arial"/>
          <w:sz w:val="16"/>
          <w:szCs w:val="16"/>
          <w:color w:val="auto"/>
        </w:rPr>
        <w:t xml:space="preserve">. Additionally, CenterPoint Energy’s Corporate Responsibility Report and related disclosure can be found on its website at </w:t>
      </w:r>
      <w:r>
        <w:rPr>
          <w:rFonts w:ascii="Arial" w:cs="Arial" w:eastAsia="Arial" w:hAnsi="Arial"/>
          <w:sz w:val="16"/>
          <w:szCs w:val="16"/>
          <w:i w:val="1"/>
          <w:iCs w:val="1"/>
          <w:color w:val="auto"/>
        </w:rPr>
        <w:t>www.centerpointenergy.com/responsibility.</w:t>
      </w:r>
      <w:r>
        <w:rPr>
          <w:rFonts w:ascii="Arial" w:cs="Arial" w:eastAsia="Arial" w:hAnsi="Arial"/>
          <w:sz w:val="16"/>
          <w:szCs w:val="16"/>
          <w:color w:val="auto"/>
        </w:rPr>
        <w:t xml:space="preserve"> Unless specifically stated herein, documents and information on CenterPoint Energy’s website are not incorporated by reference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Governance Committee of the Board oversees fee levels and other elements of compensation for CenterPoint Energy’s non-employee directors. The Governance Committee evaluates on an annual basis the non-employee director compensation program with a view to approximate CenterPoint Energy’s peer group median and align non-employee director compensation with our shareholders’ interests. This evaluation considers the significant time expended and background, experience and skill levels required to fulfill the duties of a non-employee director. The Governance Committee’s independent compensation consultant annually benchmarks and evaluates the competitiveness of CenterPoint Energy’s non-employee directors’ compensation program, including a comparison of the compensation components to that of peer companies. Based on the Governance Committee’s recommendations, the Board of Directors then determines the final compensation for all non-employee directors each year.</w:t>
      </w:r>
    </w:p>
    <w:p>
      <w:pPr>
        <w:spacing w:after="0" w:line="183"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Directors receive a cash retainer and are eligible to receive annual grants of our common stock under the CenterPoint Energy, Inc. Stock Plan for Outside Directors, as amended. Directors no longer receive meeting fees, and participation in a plan providing split-dollar life insurance coverage has been discontinued for directors commencing service after 2000.</w:t>
      </w:r>
    </w:p>
    <w:p>
      <w:pPr>
        <w:spacing w:after="0" w:line="181"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Stock ownership guidelines for non-employee directors were originally adopted in February 2011. Under the current guidelines, each non-employee director is required to own shares of CenterPoint Energy common stock with a value equal to at least five times the director’s regular annual cash retainer. New directors are required to attain the specified level of ownership within five years of joining the Board.</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40"/>
          </w:cols>
          <w:pgMar w:left="1080" w:top="305" w:right="1079" w:bottom="1440" w:gutter="0" w:footer="0" w:header="0"/>
        </w:sectPr>
      </w:pPr>
    </w:p>
    <w:bookmarkStart w:id="29" w:name="page30"/>
    <w:bookmarkEnd w:id="2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Retainer Fees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Retainers are paid to our non-employee directors on a quarterly basis in arrears. Our non-employee directors receive an annual retainer of $110,000. The Chairs of the Audit, Compensation, Finance and Governance Committees each receive a supplemental annual retainer for service as committee chair. In addition to the annual retainer and standing committee chair supplemental retainers, non-employee directors serving on the Business Review and Evaluation Committee and the Chief Executive Officer Search Committee also receive supplemental retainers for their service on such committees. Our current non-employee annual and supplemental retainer fees are as follows:</w:t>
      </w:r>
    </w:p>
    <w:p>
      <w:pPr>
        <w:spacing w:after="0" w:line="205" w:lineRule="exact"/>
        <w:rPr>
          <w:sz w:val="20"/>
          <w:szCs w:val="20"/>
          <w:color w:val="auto"/>
        </w:rPr>
      </w:pPr>
    </w:p>
    <w:tbl>
      <w:tblPr>
        <w:tblLayout w:type="fixed"/>
        <w:tblInd w:w="410" w:type="dxa"/>
        <w:tblCellMar>
          <w:top w:w="0" w:type="dxa"/>
          <w:left w:w="0" w:type="dxa"/>
          <w:bottom w:w="0" w:type="dxa"/>
          <w:right w:w="0" w:type="dxa"/>
        </w:tblCellMar>
      </w:tblPr>
      <w:tr>
        <w:trPr>
          <w:trHeight w:val="155"/>
        </w:trPr>
        <w:tc>
          <w:tcPr>
            <w:tcW w:w="6740" w:type="dxa"/>
            <w:vAlign w:val="bottom"/>
            <w:tcBorders>
              <w:left w:val="single" w:sz="8" w:color="0061AF"/>
            </w:tcBorders>
            <w:shd w:val="clear" w:color="auto" w:fill="0061AF"/>
          </w:tcPr>
          <w:p>
            <w:pPr>
              <w:ind w:left="2820"/>
              <w:spacing w:after="0"/>
              <w:rPr>
                <w:sz w:val="20"/>
                <w:szCs w:val="20"/>
                <w:color w:val="auto"/>
              </w:rPr>
            </w:pPr>
            <w:r>
              <w:rPr>
                <w:rFonts w:ascii="Arial" w:cs="Arial" w:eastAsia="Arial" w:hAnsi="Arial"/>
                <w:sz w:val="13"/>
                <w:szCs w:val="13"/>
                <w:b w:val="1"/>
                <w:bCs w:val="1"/>
                <w:color w:val="FFFFFF"/>
              </w:rPr>
              <w:t>Type of Retainer Fee</w:t>
            </w:r>
          </w:p>
        </w:tc>
        <w:tc>
          <w:tcPr>
            <w:tcW w:w="2200" w:type="dxa"/>
            <w:vAlign w:val="bottom"/>
            <w:tcBorders>
              <w:right w:val="single" w:sz="8" w:color="0061AF"/>
            </w:tcBorders>
            <w:shd w:val="clear" w:color="auto" w:fill="0061AF"/>
          </w:tcPr>
          <w:p>
            <w:pPr>
              <w:jc w:val="right"/>
              <w:ind w:right="277"/>
              <w:spacing w:after="0"/>
              <w:rPr>
                <w:sz w:val="20"/>
                <w:szCs w:val="20"/>
                <w:color w:val="auto"/>
              </w:rPr>
            </w:pPr>
            <w:r>
              <w:rPr>
                <w:rFonts w:ascii="Arial" w:cs="Arial" w:eastAsia="Arial" w:hAnsi="Arial"/>
                <w:sz w:val="13"/>
                <w:szCs w:val="13"/>
                <w:b w:val="1"/>
                <w:bCs w:val="1"/>
                <w:color w:val="FFFFFF"/>
              </w:rPr>
              <w:t>Current Retainer Fee</w:t>
            </w:r>
          </w:p>
        </w:tc>
      </w:tr>
      <w:tr>
        <w:trPr>
          <w:trHeight w:val="143"/>
        </w:trPr>
        <w:tc>
          <w:tcPr>
            <w:tcW w:w="6740" w:type="dxa"/>
            <w:vAlign w:val="bottom"/>
            <w:tcBorders>
              <w:left w:val="single" w:sz="8" w:color="0061AF"/>
              <w:bottom w:val="single" w:sz="8" w:color="0061AF"/>
            </w:tcBorders>
          </w:tcPr>
          <w:p>
            <w:pPr>
              <w:ind w:left="140"/>
              <w:spacing w:after="0" w:line="143" w:lineRule="exact"/>
              <w:rPr>
                <w:sz w:val="20"/>
                <w:szCs w:val="20"/>
                <w:color w:val="auto"/>
              </w:rPr>
            </w:pPr>
            <w:r>
              <w:rPr>
                <w:rFonts w:ascii="Arial" w:cs="Arial" w:eastAsia="Arial" w:hAnsi="Arial"/>
                <w:sz w:val="13"/>
                <w:szCs w:val="13"/>
                <w:b w:val="1"/>
                <w:bCs w:val="1"/>
                <w:color w:val="auto"/>
              </w:rPr>
              <w:t>Annual Cash Retainer for Non-Employee Directors</w:t>
            </w:r>
          </w:p>
        </w:tc>
        <w:tc>
          <w:tcPr>
            <w:tcW w:w="2200" w:type="dxa"/>
            <w:vAlign w:val="bottom"/>
            <w:tcBorders>
              <w:bottom w:val="single" w:sz="8" w:color="0061AF"/>
              <w:right w:val="single" w:sz="8" w:color="0061AF"/>
            </w:tcBorders>
          </w:tcPr>
          <w:p>
            <w:pPr>
              <w:jc w:val="right"/>
              <w:ind w:right="217"/>
              <w:spacing w:after="0" w:line="143" w:lineRule="exact"/>
              <w:rPr>
                <w:sz w:val="20"/>
                <w:szCs w:val="20"/>
                <w:color w:val="auto"/>
              </w:rPr>
            </w:pPr>
            <w:r>
              <w:rPr>
                <w:rFonts w:ascii="Arial" w:cs="Arial" w:eastAsia="Arial" w:hAnsi="Arial"/>
                <w:sz w:val="13"/>
                <w:szCs w:val="13"/>
                <w:color w:val="auto"/>
              </w:rPr>
              <w:t>$110,000</w:t>
            </w:r>
          </w:p>
        </w:tc>
      </w:tr>
      <w:tr>
        <w:trPr>
          <w:trHeight w:val="135"/>
        </w:trPr>
        <w:tc>
          <w:tcPr>
            <w:tcW w:w="6740" w:type="dxa"/>
            <w:vAlign w:val="bottom"/>
            <w:tcBorders>
              <w:left w:val="single" w:sz="8" w:color="0061AF"/>
              <w:bottom w:val="single" w:sz="8" w:color="0061AF"/>
            </w:tcBorders>
            <w:shd w:val="clear" w:color="auto" w:fill="D8E7F3"/>
          </w:tcPr>
          <w:p>
            <w:pPr>
              <w:ind w:left="140"/>
              <w:spacing w:after="0" w:line="135" w:lineRule="exact"/>
              <w:rPr>
                <w:sz w:val="20"/>
                <w:szCs w:val="20"/>
                <w:color w:val="auto"/>
              </w:rPr>
            </w:pPr>
            <w:r>
              <w:rPr>
                <w:rFonts w:ascii="Arial" w:cs="Arial" w:eastAsia="Arial" w:hAnsi="Arial"/>
                <w:sz w:val="13"/>
                <w:szCs w:val="13"/>
                <w:b w:val="1"/>
                <w:bCs w:val="1"/>
                <w:color w:val="auto"/>
              </w:rPr>
              <w:t>Annual Standing Committee Chair Supplemental Retainers</w:t>
            </w:r>
          </w:p>
        </w:tc>
        <w:tc>
          <w:tcPr>
            <w:tcW w:w="2200" w:type="dxa"/>
            <w:vAlign w:val="bottom"/>
            <w:tcBorders>
              <w:bottom w:val="single" w:sz="8" w:color="0061AF"/>
              <w:right w:val="single" w:sz="8" w:color="0061AF"/>
            </w:tcBorders>
            <w:shd w:val="clear" w:color="auto" w:fill="D8E7F3"/>
          </w:tcPr>
          <w:p>
            <w:pPr>
              <w:spacing w:after="0"/>
              <w:rPr>
                <w:sz w:val="11"/>
                <w:szCs w:val="11"/>
                <w:color w:val="auto"/>
              </w:rPr>
            </w:pPr>
          </w:p>
        </w:tc>
      </w:tr>
      <w:tr>
        <w:trPr>
          <w:trHeight w:val="135"/>
        </w:trPr>
        <w:tc>
          <w:tcPr>
            <w:tcW w:w="6740" w:type="dxa"/>
            <w:vAlign w:val="bottom"/>
            <w:tcBorders>
              <w:left w:val="single" w:sz="8" w:color="0061AF"/>
              <w:bottom w:val="single" w:sz="8" w:color="0061AF"/>
            </w:tcBorders>
          </w:tcPr>
          <w:p>
            <w:pPr>
              <w:ind w:left="260"/>
              <w:spacing w:after="0" w:line="135" w:lineRule="exact"/>
              <w:rPr>
                <w:sz w:val="20"/>
                <w:szCs w:val="20"/>
                <w:color w:val="auto"/>
              </w:rPr>
            </w:pPr>
            <w:r>
              <w:rPr>
                <w:rFonts w:ascii="Arial" w:cs="Arial" w:eastAsia="Arial" w:hAnsi="Arial"/>
                <w:sz w:val="13"/>
                <w:szCs w:val="13"/>
                <w:i w:val="1"/>
                <w:iCs w:val="1"/>
                <w:color w:val="auto"/>
              </w:rPr>
              <w:t>Audit Committee Chair</w:t>
            </w:r>
          </w:p>
        </w:tc>
        <w:tc>
          <w:tcPr>
            <w:tcW w:w="2200" w:type="dxa"/>
            <w:vAlign w:val="bottom"/>
            <w:tcBorders>
              <w:bottom w:val="single" w:sz="8" w:color="0061AF"/>
              <w:right w:val="single" w:sz="8" w:color="0061AF"/>
            </w:tcBorders>
          </w:tcPr>
          <w:p>
            <w:pPr>
              <w:jc w:val="right"/>
              <w:ind w:right="217"/>
              <w:spacing w:after="0" w:line="135" w:lineRule="exact"/>
              <w:rPr>
                <w:sz w:val="20"/>
                <w:szCs w:val="20"/>
                <w:color w:val="auto"/>
              </w:rPr>
            </w:pPr>
            <w:r>
              <w:rPr>
                <w:rFonts w:ascii="Arial" w:cs="Arial" w:eastAsia="Arial" w:hAnsi="Arial"/>
                <w:sz w:val="13"/>
                <w:szCs w:val="13"/>
                <w:color w:val="auto"/>
              </w:rPr>
              <w:t>$20,000</w:t>
            </w:r>
          </w:p>
        </w:tc>
      </w:tr>
      <w:tr>
        <w:trPr>
          <w:trHeight w:val="135"/>
        </w:trPr>
        <w:tc>
          <w:tcPr>
            <w:tcW w:w="6740" w:type="dxa"/>
            <w:vAlign w:val="bottom"/>
            <w:tcBorders>
              <w:left w:val="single" w:sz="8" w:color="0061AF"/>
              <w:bottom w:val="single" w:sz="8" w:color="0061AF"/>
            </w:tcBorders>
            <w:shd w:val="clear" w:color="auto" w:fill="D8E7F3"/>
          </w:tcPr>
          <w:p>
            <w:pPr>
              <w:ind w:left="260"/>
              <w:spacing w:after="0" w:line="135" w:lineRule="exact"/>
              <w:rPr>
                <w:sz w:val="20"/>
                <w:szCs w:val="20"/>
                <w:color w:val="auto"/>
              </w:rPr>
            </w:pPr>
            <w:r>
              <w:rPr>
                <w:rFonts w:ascii="Arial" w:cs="Arial" w:eastAsia="Arial" w:hAnsi="Arial"/>
                <w:sz w:val="13"/>
                <w:szCs w:val="13"/>
                <w:i w:val="1"/>
                <w:iCs w:val="1"/>
                <w:color w:val="auto"/>
              </w:rPr>
              <w:t>Compensation Committee Chair</w:t>
            </w:r>
          </w:p>
        </w:tc>
        <w:tc>
          <w:tcPr>
            <w:tcW w:w="2200" w:type="dxa"/>
            <w:vAlign w:val="bottom"/>
            <w:tcBorders>
              <w:bottom w:val="single" w:sz="8" w:color="0061AF"/>
              <w:right w:val="single" w:sz="8" w:color="0061AF"/>
            </w:tcBorders>
            <w:shd w:val="clear" w:color="auto" w:fill="D8E7F3"/>
          </w:tcPr>
          <w:p>
            <w:pPr>
              <w:jc w:val="right"/>
              <w:ind w:right="217"/>
              <w:spacing w:after="0" w:line="135" w:lineRule="exact"/>
              <w:rPr>
                <w:sz w:val="20"/>
                <w:szCs w:val="20"/>
                <w:color w:val="auto"/>
              </w:rPr>
            </w:pPr>
            <w:r>
              <w:rPr>
                <w:rFonts w:ascii="Arial" w:cs="Arial" w:eastAsia="Arial" w:hAnsi="Arial"/>
                <w:sz w:val="13"/>
                <w:szCs w:val="13"/>
                <w:color w:val="auto"/>
              </w:rPr>
              <w:t>$20,000</w:t>
            </w:r>
          </w:p>
        </w:tc>
      </w:tr>
      <w:tr>
        <w:trPr>
          <w:trHeight w:val="135"/>
        </w:trPr>
        <w:tc>
          <w:tcPr>
            <w:tcW w:w="6740" w:type="dxa"/>
            <w:vAlign w:val="bottom"/>
            <w:tcBorders>
              <w:left w:val="single" w:sz="8" w:color="0061AF"/>
              <w:bottom w:val="single" w:sz="8" w:color="0061AF"/>
            </w:tcBorders>
          </w:tcPr>
          <w:p>
            <w:pPr>
              <w:ind w:left="260"/>
              <w:spacing w:after="0" w:line="135" w:lineRule="exact"/>
              <w:rPr>
                <w:sz w:val="20"/>
                <w:szCs w:val="20"/>
                <w:color w:val="auto"/>
              </w:rPr>
            </w:pPr>
            <w:r>
              <w:rPr>
                <w:rFonts w:ascii="Arial" w:cs="Arial" w:eastAsia="Arial" w:hAnsi="Arial"/>
                <w:sz w:val="13"/>
                <w:szCs w:val="13"/>
                <w:i w:val="1"/>
                <w:iCs w:val="1"/>
                <w:color w:val="auto"/>
              </w:rPr>
              <w:t>Finance Committee Chair</w:t>
            </w:r>
          </w:p>
        </w:tc>
        <w:tc>
          <w:tcPr>
            <w:tcW w:w="2200" w:type="dxa"/>
            <w:vAlign w:val="bottom"/>
            <w:tcBorders>
              <w:bottom w:val="single" w:sz="8" w:color="0061AF"/>
              <w:right w:val="single" w:sz="8" w:color="0061AF"/>
            </w:tcBorders>
          </w:tcPr>
          <w:p>
            <w:pPr>
              <w:jc w:val="right"/>
              <w:ind w:right="217"/>
              <w:spacing w:after="0" w:line="135" w:lineRule="exact"/>
              <w:rPr>
                <w:sz w:val="20"/>
                <w:szCs w:val="20"/>
                <w:color w:val="auto"/>
              </w:rPr>
            </w:pPr>
            <w:r>
              <w:rPr>
                <w:rFonts w:ascii="Arial" w:cs="Arial" w:eastAsia="Arial" w:hAnsi="Arial"/>
                <w:sz w:val="13"/>
                <w:szCs w:val="13"/>
                <w:color w:val="auto"/>
              </w:rPr>
              <w:t>$15,000</w:t>
            </w:r>
          </w:p>
        </w:tc>
      </w:tr>
      <w:tr>
        <w:trPr>
          <w:trHeight w:val="135"/>
        </w:trPr>
        <w:tc>
          <w:tcPr>
            <w:tcW w:w="6740" w:type="dxa"/>
            <w:vAlign w:val="bottom"/>
            <w:tcBorders>
              <w:left w:val="single" w:sz="8" w:color="0061AF"/>
              <w:bottom w:val="single" w:sz="8" w:color="0061AF"/>
            </w:tcBorders>
            <w:shd w:val="clear" w:color="auto" w:fill="D8E7F3"/>
          </w:tcPr>
          <w:p>
            <w:pPr>
              <w:ind w:left="260"/>
              <w:spacing w:after="0" w:line="135" w:lineRule="exact"/>
              <w:rPr>
                <w:sz w:val="20"/>
                <w:szCs w:val="20"/>
                <w:color w:val="auto"/>
              </w:rPr>
            </w:pPr>
            <w:r>
              <w:rPr>
                <w:rFonts w:ascii="Arial" w:cs="Arial" w:eastAsia="Arial" w:hAnsi="Arial"/>
                <w:sz w:val="13"/>
                <w:szCs w:val="13"/>
                <w:i w:val="1"/>
                <w:iCs w:val="1"/>
                <w:color w:val="auto"/>
              </w:rPr>
              <w:t>Governance Committee Chair</w:t>
            </w:r>
          </w:p>
        </w:tc>
        <w:tc>
          <w:tcPr>
            <w:tcW w:w="2200" w:type="dxa"/>
            <w:vAlign w:val="bottom"/>
            <w:tcBorders>
              <w:bottom w:val="single" w:sz="8" w:color="0061AF"/>
              <w:right w:val="single" w:sz="8" w:color="0061AF"/>
            </w:tcBorders>
            <w:shd w:val="clear" w:color="auto" w:fill="D8E7F3"/>
          </w:tcPr>
          <w:p>
            <w:pPr>
              <w:jc w:val="right"/>
              <w:ind w:right="217"/>
              <w:spacing w:after="0" w:line="135" w:lineRule="exact"/>
              <w:rPr>
                <w:sz w:val="20"/>
                <w:szCs w:val="20"/>
                <w:color w:val="auto"/>
              </w:rPr>
            </w:pPr>
            <w:r>
              <w:rPr>
                <w:rFonts w:ascii="Arial" w:cs="Arial" w:eastAsia="Arial" w:hAnsi="Arial"/>
                <w:sz w:val="13"/>
                <w:szCs w:val="13"/>
                <w:color w:val="auto"/>
              </w:rPr>
              <w:t>$15,000</w:t>
            </w:r>
          </w:p>
        </w:tc>
      </w:tr>
      <w:tr>
        <w:trPr>
          <w:trHeight w:val="135"/>
        </w:trPr>
        <w:tc>
          <w:tcPr>
            <w:tcW w:w="6740" w:type="dxa"/>
            <w:vAlign w:val="bottom"/>
            <w:tcBorders>
              <w:left w:val="single" w:sz="8" w:color="0061AF"/>
              <w:bottom w:val="single" w:sz="8" w:color="0061AF"/>
            </w:tcBorders>
          </w:tcPr>
          <w:p>
            <w:pPr>
              <w:ind w:left="140"/>
              <w:spacing w:after="0" w:line="135" w:lineRule="exact"/>
              <w:rPr>
                <w:sz w:val="20"/>
                <w:szCs w:val="20"/>
                <w:color w:val="auto"/>
              </w:rPr>
            </w:pPr>
            <w:r>
              <w:rPr>
                <w:rFonts w:ascii="Arial" w:cs="Arial" w:eastAsia="Arial" w:hAnsi="Arial"/>
                <w:sz w:val="13"/>
                <w:szCs w:val="13"/>
                <w:b w:val="1"/>
                <w:bCs w:val="1"/>
                <w:color w:val="auto"/>
              </w:rPr>
              <w:t>Special Committee Chair and Member Supplemental Retainers</w:t>
            </w:r>
          </w:p>
        </w:tc>
        <w:tc>
          <w:tcPr>
            <w:tcW w:w="2200" w:type="dxa"/>
            <w:vAlign w:val="bottom"/>
            <w:tcBorders>
              <w:bottom w:val="single" w:sz="8" w:color="0061AF"/>
              <w:right w:val="single" w:sz="8" w:color="0061AF"/>
            </w:tcBorders>
          </w:tcPr>
          <w:p>
            <w:pPr>
              <w:spacing w:after="0"/>
              <w:rPr>
                <w:sz w:val="11"/>
                <w:szCs w:val="11"/>
                <w:color w:val="auto"/>
              </w:rPr>
            </w:pPr>
          </w:p>
        </w:tc>
      </w:tr>
      <w:tr>
        <w:trPr>
          <w:trHeight w:val="135"/>
        </w:trPr>
        <w:tc>
          <w:tcPr>
            <w:tcW w:w="6740" w:type="dxa"/>
            <w:vAlign w:val="bottom"/>
            <w:tcBorders>
              <w:left w:val="single" w:sz="8" w:color="0061AF"/>
              <w:bottom w:val="single" w:sz="8" w:color="0061AF"/>
            </w:tcBorders>
            <w:shd w:val="clear" w:color="auto" w:fill="D8E7F3"/>
          </w:tcPr>
          <w:p>
            <w:pPr>
              <w:ind w:left="260"/>
              <w:spacing w:after="0" w:line="135" w:lineRule="exact"/>
              <w:rPr>
                <w:sz w:val="20"/>
                <w:szCs w:val="20"/>
                <w:color w:val="auto"/>
              </w:rPr>
            </w:pPr>
            <w:r>
              <w:rPr>
                <w:rFonts w:ascii="Arial" w:cs="Arial" w:eastAsia="Arial" w:hAnsi="Arial"/>
                <w:sz w:val="13"/>
                <w:szCs w:val="13"/>
                <w:i w:val="1"/>
                <w:iCs w:val="1"/>
                <w:color w:val="auto"/>
              </w:rPr>
              <w:t>Business Review and Evaluation Committee Chair</w:t>
            </w:r>
          </w:p>
        </w:tc>
        <w:tc>
          <w:tcPr>
            <w:tcW w:w="2200" w:type="dxa"/>
            <w:vAlign w:val="bottom"/>
            <w:tcBorders>
              <w:bottom w:val="single" w:sz="8" w:color="0061AF"/>
              <w:right w:val="single" w:sz="8" w:color="0061AF"/>
            </w:tcBorders>
            <w:shd w:val="clear" w:color="auto" w:fill="D8E7F3"/>
          </w:tcPr>
          <w:p>
            <w:pPr>
              <w:jc w:val="right"/>
              <w:ind w:right="217"/>
              <w:spacing w:after="0" w:line="135" w:lineRule="exact"/>
              <w:rPr>
                <w:sz w:val="20"/>
                <w:szCs w:val="20"/>
                <w:color w:val="auto"/>
              </w:rPr>
            </w:pPr>
            <w:r>
              <w:rPr>
                <w:rFonts w:ascii="Arial" w:cs="Arial" w:eastAsia="Arial" w:hAnsi="Arial"/>
                <w:sz w:val="13"/>
                <w:szCs w:val="13"/>
                <w:color w:val="auto"/>
              </w:rPr>
              <w:t>Not Applicable</w:t>
            </w:r>
          </w:p>
        </w:tc>
      </w:tr>
      <w:tr>
        <w:trPr>
          <w:trHeight w:val="135"/>
        </w:trPr>
        <w:tc>
          <w:tcPr>
            <w:tcW w:w="6740" w:type="dxa"/>
            <w:vAlign w:val="bottom"/>
            <w:tcBorders>
              <w:left w:val="single" w:sz="8" w:color="0061AF"/>
              <w:bottom w:val="single" w:sz="8" w:color="0061AF"/>
            </w:tcBorders>
          </w:tcPr>
          <w:p>
            <w:pPr>
              <w:ind w:left="260"/>
              <w:spacing w:after="0" w:line="135" w:lineRule="exact"/>
              <w:rPr>
                <w:sz w:val="20"/>
                <w:szCs w:val="20"/>
                <w:color w:val="auto"/>
              </w:rPr>
            </w:pPr>
            <w:r>
              <w:rPr>
                <w:rFonts w:ascii="Arial" w:cs="Arial" w:eastAsia="Arial" w:hAnsi="Arial"/>
                <w:sz w:val="13"/>
                <w:szCs w:val="13"/>
                <w:i w:val="1"/>
                <w:iCs w:val="1"/>
                <w:color w:val="auto"/>
              </w:rPr>
              <w:t>Business Review and Evaluation Committee Member</w:t>
            </w:r>
          </w:p>
        </w:tc>
        <w:tc>
          <w:tcPr>
            <w:tcW w:w="2200" w:type="dxa"/>
            <w:vAlign w:val="bottom"/>
            <w:tcBorders>
              <w:bottom w:val="single" w:sz="8" w:color="0061AF"/>
              <w:right w:val="single" w:sz="8" w:color="0061AF"/>
            </w:tcBorders>
          </w:tcPr>
          <w:p>
            <w:pPr>
              <w:jc w:val="right"/>
              <w:ind w:right="217"/>
              <w:spacing w:after="0" w:line="135" w:lineRule="exact"/>
              <w:rPr>
                <w:sz w:val="20"/>
                <w:szCs w:val="20"/>
                <w:color w:val="auto"/>
              </w:rPr>
            </w:pPr>
            <w:r>
              <w:rPr>
                <w:rFonts w:ascii="Arial" w:cs="Arial" w:eastAsia="Arial" w:hAnsi="Arial"/>
                <w:sz w:val="13"/>
                <w:szCs w:val="13"/>
                <w:color w:val="auto"/>
              </w:rPr>
              <w:t>$20,000</w:t>
            </w:r>
          </w:p>
        </w:tc>
      </w:tr>
      <w:tr>
        <w:trPr>
          <w:trHeight w:val="135"/>
        </w:trPr>
        <w:tc>
          <w:tcPr>
            <w:tcW w:w="6740" w:type="dxa"/>
            <w:vAlign w:val="bottom"/>
            <w:tcBorders>
              <w:left w:val="single" w:sz="8" w:color="0061AF"/>
              <w:bottom w:val="single" w:sz="8" w:color="0061AF"/>
            </w:tcBorders>
            <w:shd w:val="clear" w:color="auto" w:fill="D8E7F3"/>
          </w:tcPr>
          <w:p>
            <w:pPr>
              <w:ind w:left="260"/>
              <w:spacing w:after="0" w:line="135" w:lineRule="exact"/>
              <w:rPr>
                <w:sz w:val="20"/>
                <w:szCs w:val="20"/>
                <w:color w:val="auto"/>
              </w:rPr>
            </w:pPr>
            <w:r>
              <w:rPr>
                <w:rFonts w:ascii="Arial" w:cs="Arial" w:eastAsia="Arial" w:hAnsi="Arial"/>
                <w:sz w:val="13"/>
                <w:szCs w:val="13"/>
                <w:i w:val="1"/>
                <w:iCs w:val="1"/>
                <w:color w:val="auto"/>
              </w:rPr>
              <w:t>Chief Executive Officer Search Committee Chair</w:t>
            </w:r>
          </w:p>
        </w:tc>
        <w:tc>
          <w:tcPr>
            <w:tcW w:w="2200" w:type="dxa"/>
            <w:vAlign w:val="bottom"/>
            <w:tcBorders>
              <w:bottom w:val="single" w:sz="8" w:color="0061AF"/>
              <w:right w:val="single" w:sz="8" w:color="0061AF"/>
            </w:tcBorders>
            <w:shd w:val="clear" w:color="auto" w:fill="D8E7F3"/>
          </w:tcPr>
          <w:p>
            <w:pPr>
              <w:jc w:val="right"/>
              <w:ind w:right="217"/>
              <w:spacing w:after="0" w:line="135" w:lineRule="exact"/>
              <w:rPr>
                <w:sz w:val="20"/>
                <w:szCs w:val="20"/>
                <w:color w:val="auto"/>
              </w:rPr>
            </w:pPr>
            <w:r>
              <w:rPr>
                <w:rFonts w:ascii="Arial" w:cs="Arial" w:eastAsia="Arial" w:hAnsi="Arial"/>
                <w:sz w:val="13"/>
                <w:szCs w:val="13"/>
                <w:color w:val="auto"/>
              </w:rPr>
              <w:t>$25,000</w:t>
            </w:r>
          </w:p>
        </w:tc>
      </w:tr>
      <w:tr>
        <w:trPr>
          <w:trHeight w:val="135"/>
        </w:trPr>
        <w:tc>
          <w:tcPr>
            <w:tcW w:w="6740" w:type="dxa"/>
            <w:vAlign w:val="bottom"/>
            <w:tcBorders>
              <w:left w:val="single" w:sz="8" w:color="0061AF"/>
              <w:bottom w:val="single" w:sz="8" w:color="0061AF"/>
            </w:tcBorders>
          </w:tcPr>
          <w:p>
            <w:pPr>
              <w:ind w:left="260"/>
              <w:spacing w:after="0" w:line="135" w:lineRule="exact"/>
              <w:rPr>
                <w:sz w:val="20"/>
                <w:szCs w:val="20"/>
                <w:color w:val="auto"/>
              </w:rPr>
            </w:pPr>
            <w:r>
              <w:rPr>
                <w:rFonts w:ascii="Arial" w:cs="Arial" w:eastAsia="Arial" w:hAnsi="Arial"/>
                <w:sz w:val="13"/>
                <w:szCs w:val="13"/>
                <w:i w:val="1"/>
                <w:iCs w:val="1"/>
                <w:color w:val="auto"/>
              </w:rPr>
              <w:t>Chief Executive Officer Search Committee Member</w:t>
            </w:r>
          </w:p>
        </w:tc>
        <w:tc>
          <w:tcPr>
            <w:tcW w:w="2200" w:type="dxa"/>
            <w:vAlign w:val="bottom"/>
            <w:tcBorders>
              <w:bottom w:val="single" w:sz="8" w:color="0061AF"/>
              <w:right w:val="single" w:sz="8" w:color="0061AF"/>
            </w:tcBorders>
          </w:tcPr>
          <w:p>
            <w:pPr>
              <w:jc w:val="right"/>
              <w:ind w:right="217"/>
              <w:spacing w:after="0" w:line="135" w:lineRule="exact"/>
              <w:rPr>
                <w:sz w:val="20"/>
                <w:szCs w:val="20"/>
                <w:color w:val="auto"/>
              </w:rPr>
            </w:pPr>
            <w:r>
              <w:rPr>
                <w:rFonts w:ascii="Arial" w:cs="Arial" w:eastAsia="Arial" w:hAnsi="Arial"/>
                <w:sz w:val="13"/>
                <w:szCs w:val="13"/>
                <w:color w:val="auto"/>
              </w:rPr>
              <w:t>$15,000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Fees earned or paid in 2020 are set forth in the Fees Earned or Paid in Cash column of the Director Compensation Table.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Plan for Outside Directors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Each non-employee director serving as of May 1, 2020 was granted an annual stock award under our Stock Plan for Outside Directors in 2020. The cash value of these awards, as of the grant date, is set annually by the Board. The number of shares awarded is then determined by dividing the cash value by the fair market value of the common stock on the grant date. In 2020, for each non-employee director serving as of May 1, 2020, the Board determined a cash value for the stock award, as of the grant date, of $150,000, resulting in a stock award to each non-employee director of 9,113 shares of common stock. The annual stock awards granted under our Stock Plan for Outside Directors are immediately fully vested upon grant.</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addition to the annual grant, our Stock Plan for Outside Directors provides that a non-employee director may receive a one-time, initial grant of shares of common stock upon first commencing service as a director, based on a cash value, as of the date of the grant, set by the Board. Any such awards granted are immediately fully vested. The Board made one-time initial grants under this provision of the Stock Plan for Outside Directors to Messrs. Lesar* and Smitherman on June 4, 2020 with a cash value for such award, as of the grant date, of $150,000, resulting in a stock award to each of Messrs. Lesar and Smitherman of 8,310 shares of common stock, and to Mr. Cummings on July 1, 2020 with a cash value for such award, as of the grant date, of $125,000, resulting in a stock award to Mr. Cummings of 6,487 shares of common stock.</w:t>
      </w:r>
    </w:p>
    <w:p>
      <w:pPr>
        <w:spacing w:after="0" w:line="213" w:lineRule="exact"/>
        <w:rPr>
          <w:sz w:val="20"/>
          <w:szCs w:val="20"/>
          <w:color w:val="auto"/>
        </w:rPr>
      </w:pPr>
    </w:p>
    <w:p>
      <w:pPr>
        <w:ind w:left="300" w:hanging="291"/>
        <w:spacing w:after="0"/>
        <w:tabs>
          <w:tab w:leader="none" w:pos="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 Lesar was serving as a non-employee director at the time of this grant.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Compensation Plan</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We maintain a deferred compensation plan that permits directors to elect each year to defer all or part of their annual retainer and supplemental annual retainer for committee chairmanship. Interest accrues on deferrals at a</w:t>
      </w:r>
    </w:p>
    <w:p>
      <w:pPr>
        <w:spacing w:after="0" w:line="177" w:lineRule="exact"/>
        <w:rPr>
          <w:sz w:val="20"/>
          <w:szCs w:val="20"/>
          <w:color w:val="auto"/>
        </w:rPr>
      </w:pPr>
    </w:p>
    <w:p>
      <w:pPr>
        <w:ind w:left="400" w:hanging="391"/>
        <w:spacing w:after="0"/>
        <w:tabs>
          <w:tab w:leader="none" w:pos="400" w:val="left"/>
        </w:tabs>
        <w:numPr>
          <w:ilvl w:val="0"/>
          <w:numId w:val="25"/>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30" w:name="page31"/>
    <w:bookmarkEnd w:id="3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rate, adjusted annually, equal to the average yield during the year of the Moody’s Long-Term Corporate Bond Index plus two percent. Directors participating in this plan may elect at the time of deferral to receive distributions of their deferred compensation and interest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173470" cy="8915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3470" cy="891540"/>
                    </a:xfrm>
                    <a:prstGeom prst="rect">
                      <a:avLst/>
                    </a:prstGeom>
                    <a:noFill/>
                  </pic:spPr>
                </pic:pic>
              </a:graphicData>
            </a:graphic>
          </wp:anchor>
        </w:drawing>
      </w:r>
    </w:p>
    <w:p>
      <w:pPr>
        <w:spacing w:after="0" w:line="232" w:lineRule="exact"/>
        <w:rPr>
          <w:sz w:val="20"/>
          <w:szCs w:val="20"/>
          <w:color w:val="auto"/>
        </w:rPr>
      </w:pPr>
    </w:p>
    <w:p>
      <w:pPr>
        <w:jc w:val="both"/>
        <w:ind w:left="140" w:right="200"/>
        <w:spacing w:after="0" w:line="237" w:lineRule="auto"/>
        <w:rPr>
          <w:sz w:val="20"/>
          <w:szCs w:val="20"/>
          <w:color w:val="auto"/>
        </w:rPr>
      </w:pPr>
      <w:r>
        <w:rPr>
          <w:rFonts w:ascii="Arial" w:cs="Arial" w:eastAsia="Arial" w:hAnsi="Arial"/>
          <w:sz w:val="16"/>
          <w:szCs w:val="16"/>
          <w:color w:val="auto"/>
        </w:rPr>
        <w:t>An early distribution of either 50% or 100% of their deferrals for the year in any year that is at least four years from the year of deferral or, if earlier, the year in which they attain their normal retirement date under the plan (the first day of the month coincident with or next following attainment of age 70);</w:t>
      </w:r>
    </w:p>
    <w:p>
      <w:pPr>
        <w:spacing w:after="0" w:line="38" w:lineRule="exact"/>
        <w:rPr>
          <w:sz w:val="20"/>
          <w:szCs w:val="20"/>
          <w:color w:val="auto"/>
        </w:rPr>
      </w:pPr>
    </w:p>
    <w:p>
      <w:pPr>
        <w:ind w:left="140" w:right="660"/>
        <w:spacing w:after="0"/>
        <w:rPr>
          <w:sz w:val="20"/>
          <w:szCs w:val="20"/>
          <w:color w:val="auto"/>
        </w:rPr>
      </w:pPr>
      <w:r>
        <w:rPr>
          <w:rFonts w:ascii="Arial" w:cs="Arial" w:eastAsia="Arial" w:hAnsi="Arial"/>
          <w:sz w:val="16"/>
          <w:szCs w:val="16"/>
          <w:color w:val="auto"/>
        </w:rPr>
        <w:t>A lump sum distribution payable in the year after the year in which they reach their normal retirement date or leave the Board of Directors, whichever is later; or</w:t>
      </w:r>
    </w:p>
    <w:p>
      <w:pPr>
        <w:spacing w:after="0" w:line="37" w:lineRule="exact"/>
        <w:rPr>
          <w:sz w:val="20"/>
          <w:szCs w:val="20"/>
          <w:color w:val="auto"/>
        </w:rPr>
      </w:pPr>
    </w:p>
    <w:p>
      <w:pPr>
        <w:ind w:left="140" w:right="520"/>
        <w:spacing w:after="0"/>
        <w:rPr>
          <w:sz w:val="20"/>
          <w:szCs w:val="20"/>
          <w:color w:val="auto"/>
        </w:rPr>
      </w:pPr>
      <w:r>
        <w:rPr>
          <w:rFonts w:ascii="Arial" w:cs="Arial" w:eastAsia="Arial" w:hAnsi="Arial"/>
          <w:sz w:val="16"/>
          <w:szCs w:val="16"/>
          <w:color w:val="auto"/>
        </w:rPr>
        <w:t>In 15 annual installments beginning on the first of the month coincident with or next following their normal retirement date or upon leaving the Board of Directors, whichever is later.</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deferred compensation plan is a nonqualified, unfunded plan, and the directors are general, unsecured creditors of CenterPoint Energy with respect to their plan benefits. No fund or other assets of CenterPoint Energy have been set aside or segregated to pay benefits under the plan. Refer to “Rabbi Trust” under “Executive Compensation Tables—Potential Payments upon Change in Control or Termination” for funding of the deferred compensation plan upon a change in control.</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amounts deferred by directors in 2020 are described in footnote (1) to the Director Compensation Table. The above market earnings are reported in the Change in Pension Value and Nonqualified Deferred Compensation Earnings column of the Director Compensation Table.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table below and the narrative in the footnotes provide compensation amounts for our non-employee directors for 2020, as well as additional material information in connection with such amounts. For summary information on the provision of the plans and programs, refer to the “Compensation of Directors” discussion immediately preceding this table. For further information regarding the compensation received by Messrs. Lesar and Somerhalder for their respective service as non-employee directors during a portion of 2020, refer to “Compensation Discussion and Analysis—Executive Compensation Tables—Summary Compensation Table for Fiscal Year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shd w:val="clear" w:color="auto" w:fill="0061AF"/>
          </w:tcPr>
          <w:p>
            <w:pPr>
              <w:spacing w:after="0"/>
              <w:rPr>
                <w:sz w:val="13"/>
                <w:szCs w:val="13"/>
                <w:color w:val="auto"/>
              </w:rPr>
            </w:pPr>
          </w:p>
        </w:tc>
        <w:tc>
          <w:tcPr>
            <w:tcW w:w="2420" w:type="dxa"/>
            <w:vAlign w:val="bottom"/>
            <w:shd w:val="clear" w:color="auto" w:fill="0061AF"/>
          </w:tcPr>
          <w:p>
            <w:pPr>
              <w:spacing w:after="0"/>
              <w:rPr>
                <w:sz w:val="13"/>
                <w:szCs w:val="13"/>
                <w:color w:val="auto"/>
              </w:rPr>
            </w:pPr>
          </w:p>
        </w:tc>
        <w:tc>
          <w:tcPr>
            <w:tcW w:w="1740" w:type="dxa"/>
            <w:vAlign w:val="bottom"/>
            <w:shd w:val="clear" w:color="auto" w:fill="0061AF"/>
          </w:tcPr>
          <w:p>
            <w:pPr>
              <w:spacing w:after="0"/>
              <w:rPr>
                <w:sz w:val="13"/>
                <w:szCs w:val="13"/>
                <w:color w:val="auto"/>
              </w:rPr>
            </w:pPr>
          </w:p>
        </w:tc>
        <w:tc>
          <w:tcPr>
            <w:tcW w:w="20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8"/>
              </w:rPr>
              <w:t>Change in</w:t>
            </w:r>
          </w:p>
        </w:tc>
        <w:tc>
          <w:tcPr>
            <w:tcW w:w="1040" w:type="dxa"/>
            <w:vAlign w:val="bottom"/>
            <w:shd w:val="clear" w:color="auto" w:fill="0061AF"/>
          </w:tcPr>
          <w:p>
            <w:pPr>
              <w:spacing w:after="0"/>
              <w:rPr>
                <w:sz w:val="13"/>
                <w:szCs w:val="13"/>
                <w:color w:val="auto"/>
              </w:rPr>
            </w:pPr>
          </w:p>
        </w:tc>
      </w:tr>
      <w:tr>
        <w:trPr>
          <w:trHeight w:val="143"/>
        </w:trPr>
        <w:tc>
          <w:tcPr>
            <w:tcW w:w="2440" w:type="dxa"/>
            <w:vAlign w:val="bottom"/>
            <w:shd w:val="clear" w:color="auto" w:fill="0061AF"/>
          </w:tcPr>
          <w:p>
            <w:pPr>
              <w:spacing w:after="0"/>
              <w:rPr>
                <w:sz w:val="12"/>
                <w:szCs w:val="12"/>
                <w:color w:val="auto"/>
              </w:rPr>
            </w:pPr>
          </w:p>
        </w:tc>
        <w:tc>
          <w:tcPr>
            <w:tcW w:w="2420" w:type="dxa"/>
            <w:vAlign w:val="bottom"/>
            <w:shd w:val="clear" w:color="auto" w:fill="0061AF"/>
          </w:tcPr>
          <w:p>
            <w:pPr>
              <w:spacing w:after="0"/>
              <w:rPr>
                <w:sz w:val="12"/>
                <w:szCs w:val="12"/>
                <w:color w:val="auto"/>
              </w:rPr>
            </w:pPr>
          </w:p>
        </w:tc>
        <w:tc>
          <w:tcPr>
            <w:tcW w:w="1740" w:type="dxa"/>
            <w:vAlign w:val="bottom"/>
            <w:shd w:val="clear" w:color="auto" w:fill="0061AF"/>
          </w:tcPr>
          <w:p>
            <w:pPr>
              <w:spacing w:after="0"/>
              <w:rPr>
                <w:sz w:val="12"/>
                <w:szCs w:val="12"/>
                <w:color w:val="auto"/>
              </w:rPr>
            </w:pPr>
          </w:p>
        </w:tc>
        <w:tc>
          <w:tcPr>
            <w:tcW w:w="20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Pension Value</w:t>
            </w:r>
          </w:p>
        </w:tc>
        <w:tc>
          <w:tcPr>
            <w:tcW w:w="1040" w:type="dxa"/>
            <w:vAlign w:val="bottom"/>
            <w:shd w:val="clear" w:color="auto" w:fill="0061AF"/>
          </w:tcPr>
          <w:p>
            <w:pPr>
              <w:spacing w:after="0"/>
              <w:rPr>
                <w:sz w:val="12"/>
                <w:szCs w:val="12"/>
                <w:color w:val="auto"/>
              </w:rPr>
            </w:pPr>
          </w:p>
        </w:tc>
      </w:tr>
      <w:tr>
        <w:trPr>
          <w:trHeight w:val="143"/>
        </w:trPr>
        <w:tc>
          <w:tcPr>
            <w:tcW w:w="2440" w:type="dxa"/>
            <w:vAlign w:val="bottom"/>
            <w:shd w:val="clear" w:color="auto" w:fill="0061AF"/>
          </w:tcPr>
          <w:p>
            <w:pPr>
              <w:spacing w:after="0"/>
              <w:rPr>
                <w:sz w:val="12"/>
                <w:szCs w:val="12"/>
                <w:color w:val="auto"/>
              </w:rPr>
            </w:pPr>
          </w:p>
        </w:tc>
        <w:tc>
          <w:tcPr>
            <w:tcW w:w="2420" w:type="dxa"/>
            <w:vAlign w:val="bottom"/>
            <w:shd w:val="clear" w:color="auto" w:fill="0061AF"/>
          </w:tcPr>
          <w:p>
            <w:pPr>
              <w:spacing w:after="0"/>
              <w:rPr>
                <w:sz w:val="12"/>
                <w:szCs w:val="12"/>
                <w:color w:val="auto"/>
              </w:rPr>
            </w:pPr>
          </w:p>
        </w:tc>
        <w:tc>
          <w:tcPr>
            <w:tcW w:w="1740" w:type="dxa"/>
            <w:vAlign w:val="bottom"/>
            <w:shd w:val="clear" w:color="auto" w:fill="0061AF"/>
          </w:tcPr>
          <w:p>
            <w:pPr>
              <w:spacing w:after="0"/>
              <w:rPr>
                <w:sz w:val="12"/>
                <w:szCs w:val="12"/>
                <w:color w:val="auto"/>
              </w:rPr>
            </w:pPr>
          </w:p>
        </w:tc>
        <w:tc>
          <w:tcPr>
            <w:tcW w:w="20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and Nonqualified</w:t>
            </w:r>
          </w:p>
        </w:tc>
        <w:tc>
          <w:tcPr>
            <w:tcW w:w="1040" w:type="dxa"/>
            <w:vAlign w:val="bottom"/>
            <w:shd w:val="clear" w:color="auto" w:fill="0061AF"/>
          </w:tcPr>
          <w:p>
            <w:pPr>
              <w:spacing w:after="0"/>
              <w:rPr>
                <w:sz w:val="12"/>
                <w:szCs w:val="12"/>
                <w:color w:val="auto"/>
              </w:rPr>
            </w:pPr>
          </w:p>
        </w:tc>
      </w:tr>
      <w:tr>
        <w:trPr>
          <w:trHeight w:val="143"/>
        </w:trPr>
        <w:tc>
          <w:tcPr>
            <w:tcW w:w="2440" w:type="dxa"/>
            <w:vAlign w:val="bottom"/>
            <w:shd w:val="clear" w:color="auto" w:fill="0061AF"/>
          </w:tcPr>
          <w:p>
            <w:pPr>
              <w:spacing w:after="0"/>
              <w:rPr>
                <w:sz w:val="12"/>
                <w:szCs w:val="12"/>
                <w:color w:val="auto"/>
              </w:rPr>
            </w:pPr>
          </w:p>
        </w:tc>
        <w:tc>
          <w:tcPr>
            <w:tcW w:w="2420" w:type="dxa"/>
            <w:vAlign w:val="bottom"/>
            <w:shd w:val="clear" w:color="auto" w:fill="0061AF"/>
          </w:tcPr>
          <w:p>
            <w:pPr>
              <w:jc w:val="center"/>
              <w:ind w:left="457"/>
              <w:spacing w:after="0" w:line="143" w:lineRule="exact"/>
              <w:rPr>
                <w:sz w:val="20"/>
                <w:szCs w:val="20"/>
                <w:color w:val="auto"/>
              </w:rPr>
            </w:pPr>
            <w:r>
              <w:rPr>
                <w:rFonts w:ascii="Arial" w:cs="Arial" w:eastAsia="Arial" w:hAnsi="Arial"/>
                <w:sz w:val="13"/>
                <w:szCs w:val="13"/>
                <w:b w:val="1"/>
                <w:bCs w:val="1"/>
                <w:color w:val="FFFFFF"/>
                <w:w w:val="95"/>
              </w:rPr>
              <w:t>Fees Earned</w:t>
            </w:r>
          </w:p>
        </w:tc>
        <w:tc>
          <w:tcPr>
            <w:tcW w:w="1740" w:type="dxa"/>
            <w:vAlign w:val="bottom"/>
            <w:shd w:val="clear" w:color="auto" w:fill="0061AF"/>
          </w:tcPr>
          <w:p>
            <w:pPr>
              <w:spacing w:after="0"/>
              <w:rPr>
                <w:sz w:val="12"/>
                <w:szCs w:val="12"/>
                <w:color w:val="auto"/>
              </w:rPr>
            </w:pPr>
          </w:p>
        </w:tc>
        <w:tc>
          <w:tcPr>
            <w:tcW w:w="2080" w:type="dxa"/>
            <w:vAlign w:val="bottom"/>
            <w:shd w:val="clear" w:color="auto" w:fill="0061AF"/>
          </w:tcPr>
          <w:p>
            <w:pPr>
              <w:jc w:val="center"/>
              <w:ind w:left="17"/>
              <w:spacing w:after="0" w:line="143" w:lineRule="exact"/>
              <w:rPr>
                <w:sz w:val="20"/>
                <w:szCs w:val="20"/>
                <w:color w:val="auto"/>
              </w:rPr>
            </w:pPr>
            <w:r>
              <w:rPr>
                <w:rFonts w:ascii="Arial" w:cs="Arial" w:eastAsia="Arial" w:hAnsi="Arial"/>
                <w:sz w:val="13"/>
                <w:szCs w:val="13"/>
                <w:b w:val="1"/>
                <w:bCs w:val="1"/>
                <w:color w:val="FFFFFF"/>
                <w:w w:val="97"/>
              </w:rPr>
              <w:t>Deferred</w:t>
            </w:r>
          </w:p>
        </w:tc>
        <w:tc>
          <w:tcPr>
            <w:tcW w:w="1040" w:type="dxa"/>
            <w:vAlign w:val="bottom"/>
            <w:shd w:val="clear" w:color="auto" w:fill="0061AF"/>
          </w:tcPr>
          <w:p>
            <w:pPr>
              <w:spacing w:after="0"/>
              <w:rPr>
                <w:sz w:val="12"/>
                <w:szCs w:val="12"/>
                <w:color w:val="auto"/>
              </w:rPr>
            </w:pPr>
          </w:p>
        </w:tc>
      </w:tr>
      <w:tr>
        <w:trPr>
          <w:trHeight w:val="140"/>
        </w:trPr>
        <w:tc>
          <w:tcPr>
            <w:tcW w:w="2440" w:type="dxa"/>
            <w:vAlign w:val="bottom"/>
            <w:shd w:val="clear" w:color="auto" w:fill="0061AF"/>
          </w:tcPr>
          <w:p>
            <w:pPr>
              <w:spacing w:after="0"/>
              <w:rPr>
                <w:sz w:val="12"/>
                <w:szCs w:val="12"/>
                <w:color w:val="auto"/>
              </w:rPr>
            </w:pPr>
          </w:p>
        </w:tc>
        <w:tc>
          <w:tcPr>
            <w:tcW w:w="2420" w:type="dxa"/>
            <w:vAlign w:val="bottom"/>
            <w:shd w:val="clear" w:color="auto" w:fill="0061AF"/>
          </w:tcPr>
          <w:p>
            <w:pPr>
              <w:jc w:val="center"/>
              <w:ind w:left="457"/>
              <w:spacing w:after="0" w:line="141" w:lineRule="exact"/>
              <w:rPr>
                <w:sz w:val="20"/>
                <w:szCs w:val="20"/>
                <w:color w:val="auto"/>
              </w:rPr>
            </w:pPr>
            <w:r>
              <w:rPr>
                <w:rFonts w:ascii="Arial" w:cs="Arial" w:eastAsia="Arial" w:hAnsi="Arial"/>
                <w:sz w:val="13"/>
                <w:szCs w:val="13"/>
                <w:b w:val="1"/>
                <w:bCs w:val="1"/>
                <w:color w:val="FFFFFF"/>
                <w:w w:val="95"/>
              </w:rPr>
              <w:t>or Paid</w:t>
            </w:r>
          </w:p>
        </w:tc>
        <w:tc>
          <w:tcPr>
            <w:tcW w:w="174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5"/>
              </w:rPr>
              <w:t>Stock</w:t>
            </w:r>
          </w:p>
        </w:tc>
        <w:tc>
          <w:tcPr>
            <w:tcW w:w="2080" w:type="dxa"/>
            <w:vAlign w:val="bottom"/>
            <w:shd w:val="clear" w:color="auto" w:fill="0061AF"/>
          </w:tcPr>
          <w:p>
            <w:pPr>
              <w:jc w:val="center"/>
              <w:ind w:left="17"/>
              <w:spacing w:after="0" w:line="141" w:lineRule="exact"/>
              <w:rPr>
                <w:sz w:val="20"/>
                <w:szCs w:val="20"/>
                <w:color w:val="auto"/>
              </w:rPr>
            </w:pPr>
            <w:r>
              <w:rPr>
                <w:rFonts w:ascii="Arial" w:cs="Arial" w:eastAsia="Arial" w:hAnsi="Arial"/>
                <w:sz w:val="13"/>
                <w:szCs w:val="13"/>
                <w:b w:val="1"/>
                <w:bCs w:val="1"/>
                <w:color w:val="FFFFFF"/>
                <w:w w:val="97"/>
              </w:rPr>
              <w:t>Compensation</w:t>
            </w:r>
          </w:p>
        </w:tc>
        <w:tc>
          <w:tcPr>
            <w:tcW w:w="1040" w:type="dxa"/>
            <w:vAlign w:val="bottom"/>
            <w:shd w:val="clear" w:color="auto" w:fill="0061AF"/>
          </w:tcPr>
          <w:p>
            <w:pPr>
              <w:spacing w:after="0"/>
              <w:rPr>
                <w:sz w:val="12"/>
                <w:szCs w:val="12"/>
                <w:color w:val="auto"/>
              </w:rPr>
            </w:pPr>
          </w:p>
        </w:tc>
      </w:tr>
      <w:tr>
        <w:trPr>
          <w:trHeight w:val="145"/>
        </w:trPr>
        <w:tc>
          <w:tcPr>
            <w:tcW w:w="2440" w:type="dxa"/>
            <w:vAlign w:val="bottom"/>
            <w:shd w:val="clear" w:color="auto" w:fill="0061AF"/>
          </w:tcPr>
          <w:p>
            <w:pPr>
              <w:spacing w:after="0"/>
              <w:rPr>
                <w:sz w:val="12"/>
                <w:szCs w:val="12"/>
                <w:color w:val="auto"/>
              </w:rPr>
            </w:pPr>
          </w:p>
        </w:tc>
        <w:tc>
          <w:tcPr>
            <w:tcW w:w="2420" w:type="dxa"/>
            <w:vAlign w:val="bottom"/>
            <w:shd w:val="clear" w:color="auto" w:fill="0061AF"/>
          </w:tcPr>
          <w:p>
            <w:pPr>
              <w:jc w:val="center"/>
              <w:ind w:left="457"/>
              <w:spacing w:after="0" w:line="145" w:lineRule="exact"/>
              <w:rPr>
                <w:sz w:val="20"/>
                <w:szCs w:val="20"/>
                <w:color w:val="auto"/>
              </w:rPr>
            </w:pPr>
            <w:r>
              <w:rPr>
                <w:rFonts w:ascii="Arial" w:cs="Arial" w:eastAsia="Arial" w:hAnsi="Arial"/>
                <w:sz w:val="10"/>
                <w:szCs w:val="10"/>
                <w:b w:val="1"/>
                <w:bCs w:val="1"/>
                <w:color w:val="FFFFFF"/>
              </w:rPr>
              <w:t>in Cash</w:t>
            </w:r>
            <w:r>
              <w:rPr>
                <w:rFonts w:ascii="Arial" w:cs="Arial" w:eastAsia="Arial" w:hAnsi="Arial"/>
                <w:sz w:val="16"/>
                <w:szCs w:val="16"/>
                <w:b w:val="1"/>
                <w:bCs w:val="1"/>
                <w:color w:val="FFFFFF"/>
                <w:vertAlign w:val="superscript"/>
              </w:rPr>
              <w:t>(1)</w:t>
            </w:r>
          </w:p>
        </w:tc>
        <w:tc>
          <w:tcPr>
            <w:tcW w:w="174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208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Earnings</w:t>
            </w:r>
            <w:r>
              <w:rPr>
                <w:rFonts w:ascii="Arial" w:cs="Arial" w:eastAsia="Arial" w:hAnsi="Arial"/>
                <w:sz w:val="16"/>
                <w:szCs w:val="16"/>
                <w:b w:val="1"/>
                <w:bCs w:val="1"/>
                <w:color w:val="FFFFFF"/>
                <w:vertAlign w:val="superscript"/>
              </w:rPr>
              <w:t>(3)</w:t>
            </w:r>
          </w:p>
        </w:tc>
        <w:tc>
          <w:tcPr>
            <w:tcW w:w="1040" w:type="dxa"/>
            <w:vAlign w:val="bottom"/>
            <w:shd w:val="clear" w:color="auto" w:fill="0061AF"/>
          </w:tcPr>
          <w:p>
            <w:pPr>
              <w:jc w:val="right"/>
              <w:ind w:right="157"/>
              <w:spacing w:after="0" w:line="146" w:lineRule="exact"/>
              <w:rPr>
                <w:sz w:val="20"/>
                <w:szCs w:val="20"/>
                <w:color w:val="auto"/>
              </w:rPr>
            </w:pPr>
            <w:r>
              <w:rPr>
                <w:rFonts w:ascii="Arial" w:cs="Arial" w:eastAsia="Arial" w:hAnsi="Arial"/>
                <w:sz w:val="13"/>
                <w:szCs w:val="13"/>
                <w:b w:val="1"/>
                <w:bCs w:val="1"/>
                <w:color w:val="FFFFFF"/>
              </w:rPr>
              <w:t>Total</w:t>
            </w:r>
          </w:p>
        </w:tc>
      </w:tr>
      <w:tr>
        <w:trPr>
          <w:trHeight w:val="155"/>
        </w:trPr>
        <w:tc>
          <w:tcPr>
            <w:tcW w:w="244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2420" w:type="dxa"/>
            <w:vAlign w:val="bottom"/>
            <w:shd w:val="clear" w:color="auto" w:fill="0061AF"/>
          </w:tcPr>
          <w:p>
            <w:pPr>
              <w:jc w:val="center"/>
              <w:ind w:left="457"/>
              <w:spacing w:after="0"/>
              <w:rPr>
                <w:sz w:val="20"/>
                <w:szCs w:val="20"/>
                <w:color w:val="auto"/>
              </w:rPr>
            </w:pPr>
            <w:r>
              <w:rPr>
                <w:rFonts w:ascii="Arial" w:cs="Arial" w:eastAsia="Arial" w:hAnsi="Arial"/>
                <w:sz w:val="13"/>
                <w:szCs w:val="13"/>
                <w:b w:val="1"/>
                <w:bCs w:val="1"/>
                <w:color w:val="FFFFFF"/>
                <w:w w:val="87"/>
              </w:rPr>
              <w:t>($)</w:t>
            </w:r>
          </w:p>
        </w:tc>
        <w:tc>
          <w:tcPr>
            <w:tcW w:w="17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2080" w:type="dxa"/>
            <w:vAlign w:val="bottom"/>
            <w:shd w:val="clear" w:color="auto" w:fill="0061AF"/>
          </w:tcPr>
          <w:p>
            <w:pPr>
              <w:jc w:val="center"/>
              <w:ind w:left="17"/>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0061AF"/>
          </w:tcPr>
          <w:p>
            <w:pPr>
              <w:jc w:val="right"/>
              <w:ind w:right="157"/>
              <w:spacing w:after="0"/>
              <w:rPr>
                <w:sz w:val="20"/>
                <w:szCs w:val="20"/>
                <w:color w:val="auto"/>
              </w:rPr>
            </w:pPr>
            <w:r>
              <w:rPr>
                <w:rFonts w:ascii="Arial" w:cs="Arial" w:eastAsia="Arial" w:hAnsi="Arial"/>
                <w:sz w:val="13"/>
                <w:szCs w:val="13"/>
                <w:b w:val="1"/>
                <w:bCs w:val="1"/>
                <w:color w:val="FFFFFF"/>
              </w:rPr>
              <w:t>($)</w:t>
            </w:r>
          </w:p>
        </w:tc>
      </w:tr>
      <w:tr>
        <w:trPr>
          <w:trHeight w:val="143"/>
        </w:trPr>
        <w:tc>
          <w:tcPr>
            <w:tcW w:w="2440" w:type="dxa"/>
            <w:vAlign w:val="bottom"/>
          </w:tcPr>
          <w:p>
            <w:pPr>
              <w:ind w:left="80"/>
              <w:spacing w:after="0" w:line="143" w:lineRule="exact"/>
              <w:rPr>
                <w:sz w:val="20"/>
                <w:szCs w:val="20"/>
                <w:color w:val="auto"/>
              </w:rPr>
            </w:pPr>
            <w:r>
              <w:rPr>
                <w:rFonts w:ascii="Arial" w:cs="Arial" w:eastAsia="Arial" w:hAnsi="Arial"/>
                <w:sz w:val="13"/>
                <w:szCs w:val="13"/>
                <w:color w:val="auto"/>
              </w:rPr>
              <w:t>Leslie D. Biddle</w:t>
            </w:r>
          </w:p>
        </w:tc>
        <w:tc>
          <w:tcPr>
            <w:tcW w:w="2420" w:type="dxa"/>
            <w:vAlign w:val="bottom"/>
          </w:tcPr>
          <w:p>
            <w:pPr>
              <w:jc w:val="right"/>
              <w:ind w:right="637"/>
              <w:spacing w:after="0" w:line="143" w:lineRule="exact"/>
              <w:rPr>
                <w:sz w:val="20"/>
                <w:szCs w:val="20"/>
                <w:color w:val="auto"/>
              </w:rPr>
            </w:pPr>
            <w:r>
              <w:rPr>
                <w:rFonts w:ascii="Arial" w:cs="Arial" w:eastAsia="Arial" w:hAnsi="Arial"/>
                <w:sz w:val="13"/>
                <w:szCs w:val="13"/>
                <w:color w:val="auto"/>
              </w:rPr>
              <w:t>125,000</w:t>
            </w:r>
          </w:p>
        </w:tc>
        <w:tc>
          <w:tcPr>
            <w:tcW w:w="1740" w:type="dxa"/>
            <w:vAlign w:val="bottom"/>
          </w:tcPr>
          <w:p>
            <w:pPr>
              <w:jc w:val="right"/>
              <w:ind w:right="558"/>
              <w:spacing w:after="0" w:line="143" w:lineRule="exact"/>
              <w:rPr>
                <w:sz w:val="20"/>
                <w:szCs w:val="20"/>
                <w:color w:val="auto"/>
              </w:rPr>
            </w:pPr>
            <w:r>
              <w:rPr>
                <w:rFonts w:ascii="Arial" w:cs="Arial" w:eastAsia="Arial" w:hAnsi="Arial"/>
                <w:sz w:val="13"/>
                <w:szCs w:val="13"/>
                <w:color w:val="auto"/>
              </w:rPr>
              <w:t>150,000</w:t>
            </w:r>
          </w:p>
        </w:tc>
        <w:tc>
          <w:tcPr>
            <w:tcW w:w="2080" w:type="dxa"/>
            <w:vAlign w:val="bottom"/>
          </w:tcPr>
          <w:p>
            <w:pPr>
              <w:jc w:val="right"/>
              <w:ind w:right="7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275,000</w:t>
            </w:r>
          </w:p>
        </w:tc>
      </w:tr>
      <w:tr>
        <w:trPr>
          <w:trHeight w:val="143"/>
        </w:trPr>
        <w:tc>
          <w:tcPr>
            <w:tcW w:w="244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Earl M. Cummings</w:t>
            </w:r>
            <w:r>
              <w:rPr>
                <w:rFonts w:ascii="Arial" w:cs="Arial" w:eastAsia="Arial" w:hAnsi="Arial"/>
                <w:sz w:val="16"/>
                <w:szCs w:val="16"/>
                <w:color w:val="auto"/>
                <w:vertAlign w:val="superscript"/>
              </w:rPr>
              <w:t>(4)</w:t>
            </w:r>
          </w:p>
        </w:tc>
        <w:tc>
          <w:tcPr>
            <w:tcW w:w="2420" w:type="dxa"/>
            <w:vAlign w:val="bottom"/>
            <w:shd w:val="clear" w:color="auto" w:fill="D8E7F3"/>
          </w:tcPr>
          <w:p>
            <w:pPr>
              <w:jc w:val="right"/>
              <w:ind w:right="637"/>
              <w:spacing w:after="0" w:line="143" w:lineRule="exact"/>
              <w:rPr>
                <w:sz w:val="20"/>
                <w:szCs w:val="20"/>
                <w:color w:val="auto"/>
              </w:rPr>
            </w:pPr>
            <w:r>
              <w:rPr>
                <w:rFonts w:ascii="Arial" w:cs="Arial" w:eastAsia="Arial" w:hAnsi="Arial"/>
                <w:sz w:val="13"/>
                <w:szCs w:val="13"/>
                <w:color w:val="auto"/>
              </w:rPr>
              <w:t>55,000</w:t>
            </w:r>
          </w:p>
        </w:tc>
        <w:tc>
          <w:tcPr>
            <w:tcW w:w="1740" w:type="dxa"/>
            <w:vAlign w:val="bottom"/>
            <w:shd w:val="clear" w:color="auto" w:fill="D8E7F3"/>
          </w:tcPr>
          <w:p>
            <w:pPr>
              <w:jc w:val="right"/>
              <w:ind w:right="558"/>
              <w:spacing w:after="0" w:line="143" w:lineRule="exact"/>
              <w:rPr>
                <w:sz w:val="20"/>
                <w:szCs w:val="20"/>
                <w:color w:val="auto"/>
              </w:rPr>
            </w:pPr>
            <w:r>
              <w:rPr>
                <w:rFonts w:ascii="Arial" w:cs="Arial" w:eastAsia="Arial" w:hAnsi="Arial"/>
                <w:sz w:val="13"/>
                <w:szCs w:val="13"/>
                <w:color w:val="auto"/>
              </w:rPr>
              <w:t>125,004</w:t>
            </w:r>
          </w:p>
        </w:tc>
        <w:tc>
          <w:tcPr>
            <w:tcW w:w="2080" w:type="dxa"/>
            <w:vAlign w:val="bottom"/>
            <w:shd w:val="clear" w:color="auto" w:fill="D8E7F3"/>
          </w:tcPr>
          <w:p>
            <w:pPr>
              <w:jc w:val="right"/>
              <w:ind w:right="7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180,004</w:t>
            </w:r>
          </w:p>
        </w:tc>
      </w:tr>
      <w:tr>
        <w:trPr>
          <w:trHeight w:val="143"/>
        </w:trPr>
        <w:tc>
          <w:tcPr>
            <w:tcW w:w="2440" w:type="dxa"/>
            <w:vAlign w:val="bottom"/>
          </w:tcPr>
          <w:p>
            <w:pPr>
              <w:ind w:left="80"/>
              <w:spacing w:after="0" w:line="143" w:lineRule="exact"/>
              <w:rPr>
                <w:sz w:val="20"/>
                <w:szCs w:val="20"/>
                <w:color w:val="auto"/>
              </w:rPr>
            </w:pPr>
            <w:r>
              <w:rPr>
                <w:rFonts w:ascii="Arial" w:cs="Arial" w:eastAsia="Arial" w:hAnsi="Arial"/>
                <w:sz w:val="13"/>
                <w:szCs w:val="13"/>
                <w:color w:val="auto"/>
              </w:rPr>
              <w:t>Scott J. McLean</w:t>
            </w:r>
          </w:p>
        </w:tc>
        <w:tc>
          <w:tcPr>
            <w:tcW w:w="2420" w:type="dxa"/>
            <w:vAlign w:val="bottom"/>
          </w:tcPr>
          <w:p>
            <w:pPr>
              <w:jc w:val="right"/>
              <w:ind w:right="637"/>
              <w:spacing w:after="0" w:line="143" w:lineRule="exact"/>
              <w:rPr>
                <w:sz w:val="20"/>
                <w:szCs w:val="20"/>
                <w:color w:val="auto"/>
              </w:rPr>
            </w:pPr>
            <w:r>
              <w:rPr>
                <w:rFonts w:ascii="Arial" w:cs="Arial" w:eastAsia="Arial" w:hAnsi="Arial"/>
                <w:sz w:val="13"/>
                <w:szCs w:val="13"/>
                <w:color w:val="auto"/>
              </w:rPr>
              <w:t>110,000</w:t>
            </w:r>
          </w:p>
        </w:tc>
        <w:tc>
          <w:tcPr>
            <w:tcW w:w="1740" w:type="dxa"/>
            <w:vAlign w:val="bottom"/>
          </w:tcPr>
          <w:p>
            <w:pPr>
              <w:jc w:val="right"/>
              <w:ind w:right="558"/>
              <w:spacing w:after="0" w:line="143" w:lineRule="exact"/>
              <w:rPr>
                <w:sz w:val="20"/>
                <w:szCs w:val="20"/>
                <w:color w:val="auto"/>
              </w:rPr>
            </w:pPr>
            <w:r>
              <w:rPr>
                <w:rFonts w:ascii="Arial" w:cs="Arial" w:eastAsia="Arial" w:hAnsi="Arial"/>
                <w:sz w:val="13"/>
                <w:szCs w:val="13"/>
                <w:color w:val="auto"/>
              </w:rPr>
              <w:t>150,000</w:t>
            </w:r>
          </w:p>
        </w:tc>
        <w:tc>
          <w:tcPr>
            <w:tcW w:w="2080" w:type="dxa"/>
            <w:vAlign w:val="bottom"/>
          </w:tcPr>
          <w:p>
            <w:pPr>
              <w:jc w:val="right"/>
              <w:ind w:right="7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260,000</w:t>
            </w:r>
          </w:p>
        </w:tc>
      </w:tr>
      <w:tr>
        <w:trPr>
          <w:trHeight w:val="143"/>
        </w:trPr>
        <w:tc>
          <w:tcPr>
            <w:tcW w:w="24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Martin H. Nesbitt</w:t>
            </w:r>
          </w:p>
        </w:tc>
        <w:tc>
          <w:tcPr>
            <w:tcW w:w="2420" w:type="dxa"/>
            <w:vAlign w:val="bottom"/>
            <w:shd w:val="clear" w:color="auto" w:fill="D8E7F3"/>
          </w:tcPr>
          <w:p>
            <w:pPr>
              <w:jc w:val="right"/>
              <w:ind w:right="637"/>
              <w:spacing w:after="0" w:line="143" w:lineRule="exact"/>
              <w:rPr>
                <w:sz w:val="20"/>
                <w:szCs w:val="20"/>
                <w:color w:val="auto"/>
              </w:rPr>
            </w:pPr>
            <w:r>
              <w:rPr>
                <w:rFonts w:ascii="Arial" w:cs="Arial" w:eastAsia="Arial" w:hAnsi="Arial"/>
                <w:sz w:val="13"/>
                <w:szCs w:val="13"/>
                <w:color w:val="auto"/>
              </w:rPr>
              <w:t>155,302</w:t>
            </w:r>
          </w:p>
        </w:tc>
        <w:tc>
          <w:tcPr>
            <w:tcW w:w="1740" w:type="dxa"/>
            <w:vAlign w:val="bottom"/>
            <w:shd w:val="clear" w:color="auto" w:fill="D8E7F3"/>
          </w:tcPr>
          <w:p>
            <w:pPr>
              <w:jc w:val="right"/>
              <w:ind w:right="558"/>
              <w:spacing w:after="0" w:line="143" w:lineRule="exact"/>
              <w:rPr>
                <w:sz w:val="20"/>
                <w:szCs w:val="20"/>
                <w:color w:val="auto"/>
              </w:rPr>
            </w:pPr>
            <w:r>
              <w:rPr>
                <w:rFonts w:ascii="Arial" w:cs="Arial" w:eastAsia="Arial" w:hAnsi="Arial"/>
                <w:sz w:val="13"/>
                <w:szCs w:val="13"/>
                <w:color w:val="auto"/>
              </w:rPr>
              <w:t>150,000</w:t>
            </w:r>
          </w:p>
        </w:tc>
        <w:tc>
          <w:tcPr>
            <w:tcW w:w="2080" w:type="dxa"/>
            <w:vAlign w:val="bottom"/>
            <w:shd w:val="clear" w:color="auto" w:fill="D8E7F3"/>
          </w:tcPr>
          <w:p>
            <w:pPr>
              <w:jc w:val="right"/>
              <w:ind w:right="7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305,302</w:t>
            </w:r>
          </w:p>
        </w:tc>
      </w:tr>
      <w:tr>
        <w:trPr>
          <w:trHeight w:val="143"/>
        </w:trPr>
        <w:tc>
          <w:tcPr>
            <w:tcW w:w="2440" w:type="dxa"/>
            <w:vAlign w:val="bottom"/>
          </w:tcPr>
          <w:p>
            <w:pPr>
              <w:ind w:left="80"/>
              <w:spacing w:after="0" w:line="143" w:lineRule="exact"/>
              <w:rPr>
                <w:sz w:val="20"/>
                <w:szCs w:val="20"/>
                <w:color w:val="auto"/>
              </w:rPr>
            </w:pPr>
            <w:r>
              <w:rPr>
                <w:rFonts w:ascii="Arial" w:cs="Arial" w:eastAsia="Arial" w:hAnsi="Arial"/>
                <w:sz w:val="13"/>
                <w:szCs w:val="13"/>
                <w:color w:val="auto"/>
              </w:rPr>
              <w:t>Theodore F. Pound</w:t>
            </w:r>
          </w:p>
        </w:tc>
        <w:tc>
          <w:tcPr>
            <w:tcW w:w="2420" w:type="dxa"/>
            <w:vAlign w:val="bottom"/>
          </w:tcPr>
          <w:p>
            <w:pPr>
              <w:jc w:val="right"/>
              <w:ind w:right="637"/>
              <w:spacing w:after="0" w:line="143" w:lineRule="exact"/>
              <w:rPr>
                <w:sz w:val="20"/>
                <w:szCs w:val="20"/>
                <w:color w:val="auto"/>
              </w:rPr>
            </w:pPr>
            <w:r>
              <w:rPr>
                <w:rFonts w:ascii="Arial" w:cs="Arial" w:eastAsia="Arial" w:hAnsi="Arial"/>
                <w:sz w:val="13"/>
                <w:szCs w:val="13"/>
                <w:color w:val="auto"/>
              </w:rPr>
              <w:t>143,434</w:t>
            </w:r>
          </w:p>
        </w:tc>
        <w:tc>
          <w:tcPr>
            <w:tcW w:w="1740" w:type="dxa"/>
            <w:vAlign w:val="bottom"/>
          </w:tcPr>
          <w:p>
            <w:pPr>
              <w:jc w:val="right"/>
              <w:ind w:right="558"/>
              <w:spacing w:after="0" w:line="143" w:lineRule="exact"/>
              <w:rPr>
                <w:sz w:val="20"/>
                <w:szCs w:val="20"/>
                <w:color w:val="auto"/>
              </w:rPr>
            </w:pPr>
            <w:r>
              <w:rPr>
                <w:rFonts w:ascii="Arial" w:cs="Arial" w:eastAsia="Arial" w:hAnsi="Arial"/>
                <w:sz w:val="13"/>
                <w:szCs w:val="13"/>
                <w:color w:val="auto"/>
              </w:rPr>
              <w:t>150,000</w:t>
            </w:r>
          </w:p>
        </w:tc>
        <w:tc>
          <w:tcPr>
            <w:tcW w:w="2080" w:type="dxa"/>
            <w:vAlign w:val="bottom"/>
          </w:tcPr>
          <w:p>
            <w:pPr>
              <w:jc w:val="right"/>
              <w:ind w:right="7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293,434</w:t>
            </w:r>
          </w:p>
        </w:tc>
      </w:tr>
      <w:tr>
        <w:trPr>
          <w:trHeight w:val="143"/>
        </w:trPr>
        <w:tc>
          <w:tcPr>
            <w:tcW w:w="24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Susan O. Rheney</w:t>
            </w:r>
          </w:p>
        </w:tc>
        <w:tc>
          <w:tcPr>
            <w:tcW w:w="2420" w:type="dxa"/>
            <w:vAlign w:val="bottom"/>
            <w:shd w:val="clear" w:color="auto" w:fill="D8E7F3"/>
          </w:tcPr>
          <w:p>
            <w:pPr>
              <w:jc w:val="right"/>
              <w:ind w:right="637"/>
              <w:spacing w:after="0" w:line="143" w:lineRule="exact"/>
              <w:rPr>
                <w:sz w:val="20"/>
                <w:szCs w:val="20"/>
                <w:color w:val="auto"/>
              </w:rPr>
            </w:pPr>
            <w:r>
              <w:rPr>
                <w:rFonts w:ascii="Arial" w:cs="Arial" w:eastAsia="Arial" w:hAnsi="Arial"/>
                <w:sz w:val="13"/>
                <w:szCs w:val="13"/>
                <w:color w:val="auto"/>
              </w:rPr>
              <w:t>140,000</w:t>
            </w:r>
          </w:p>
        </w:tc>
        <w:tc>
          <w:tcPr>
            <w:tcW w:w="1740" w:type="dxa"/>
            <w:vAlign w:val="bottom"/>
            <w:shd w:val="clear" w:color="auto" w:fill="D8E7F3"/>
          </w:tcPr>
          <w:p>
            <w:pPr>
              <w:jc w:val="right"/>
              <w:ind w:right="558"/>
              <w:spacing w:after="0" w:line="143" w:lineRule="exact"/>
              <w:rPr>
                <w:sz w:val="20"/>
                <w:szCs w:val="20"/>
                <w:color w:val="auto"/>
              </w:rPr>
            </w:pPr>
            <w:r>
              <w:rPr>
                <w:rFonts w:ascii="Arial" w:cs="Arial" w:eastAsia="Arial" w:hAnsi="Arial"/>
                <w:sz w:val="13"/>
                <w:szCs w:val="13"/>
                <w:color w:val="auto"/>
              </w:rPr>
              <w:t>150,000</w:t>
            </w:r>
          </w:p>
        </w:tc>
        <w:tc>
          <w:tcPr>
            <w:tcW w:w="2080" w:type="dxa"/>
            <w:vAlign w:val="bottom"/>
            <w:shd w:val="clear" w:color="auto" w:fill="D8E7F3"/>
          </w:tcPr>
          <w:p>
            <w:pPr>
              <w:jc w:val="right"/>
              <w:ind w:right="7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290,000</w:t>
            </w:r>
          </w:p>
        </w:tc>
      </w:tr>
      <w:tr>
        <w:trPr>
          <w:trHeight w:val="143"/>
        </w:trPr>
        <w:tc>
          <w:tcPr>
            <w:tcW w:w="2440" w:type="dxa"/>
            <w:vAlign w:val="bottom"/>
          </w:tcPr>
          <w:p>
            <w:pPr>
              <w:ind w:left="80"/>
              <w:spacing w:after="0" w:line="143" w:lineRule="exact"/>
              <w:rPr>
                <w:sz w:val="20"/>
                <w:szCs w:val="20"/>
                <w:color w:val="auto"/>
              </w:rPr>
            </w:pPr>
            <w:r>
              <w:rPr>
                <w:rFonts w:ascii="Arial" w:cs="Arial" w:eastAsia="Arial" w:hAnsi="Arial"/>
                <w:sz w:val="13"/>
                <w:szCs w:val="13"/>
                <w:color w:val="auto"/>
              </w:rPr>
              <w:t>Phillip R. Smith</w:t>
            </w:r>
          </w:p>
        </w:tc>
        <w:tc>
          <w:tcPr>
            <w:tcW w:w="2420" w:type="dxa"/>
            <w:vAlign w:val="bottom"/>
          </w:tcPr>
          <w:p>
            <w:pPr>
              <w:jc w:val="right"/>
              <w:ind w:right="637"/>
              <w:spacing w:after="0" w:line="143" w:lineRule="exact"/>
              <w:rPr>
                <w:sz w:val="20"/>
                <w:szCs w:val="20"/>
                <w:color w:val="auto"/>
              </w:rPr>
            </w:pPr>
            <w:r>
              <w:rPr>
                <w:rFonts w:ascii="Arial" w:cs="Arial" w:eastAsia="Arial" w:hAnsi="Arial"/>
                <w:sz w:val="13"/>
                <w:szCs w:val="13"/>
                <w:color w:val="auto"/>
              </w:rPr>
              <w:t>175,000</w:t>
            </w:r>
          </w:p>
        </w:tc>
        <w:tc>
          <w:tcPr>
            <w:tcW w:w="1740" w:type="dxa"/>
            <w:vAlign w:val="bottom"/>
          </w:tcPr>
          <w:p>
            <w:pPr>
              <w:jc w:val="right"/>
              <w:ind w:right="558"/>
              <w:spacing w:after="0" w:line="143" w:lineRule="exact"/>
              <w:rPr>
                <w:sz w:val="20"/>
                <w:szCs w:val="20"/>
                <w:color w:val="auto"/>
              </w:rPr>
            </w:pPr>
            <w:r>
              <w:rPr>
                <w:rFonts w:ascii="Arial" w:cs="Arial" w:eastAsia="Arial" w:hAnsi="Arial"/>
                <w:sz w:val="13"/>
                <w:szCs w:val="13"/>
                <w:color w:val="auto"/>
              </w:rPr>
              <w:t>150,000</w:t>
            </w:r>
          </w:p>
        </w:tc>
        <w:tc>
          <w:tcPr>
            <w:tcW w:w="2080" w:type="dxa"/>
            <w:vAlign w:val="bottom"/>
          </w:tcPr>
          <w:p>
            <w:pPr>
              <w:jc w:val="right"/>
              <w:ind w:right="7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325,000</w:t>
            </w:r>
          </w:p>
        </w:tc>
      </w:tr>
      <w:tr>
        <w:trPr>
          <w:trHeight w:val="143"/>
        </w:trPr>
        <w:tc>
          <w:tcPr>
            <w:tcW w:w="244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Barry T. Smitherman</w:t>
            </w:r>
            <w:r>
              <w:rPr>
                <w:rFonts w:ascii="Arial" w:cs="Arial" w:eastAsia="Arial" w:hAnsi="Arial"/>
                <w:sz w:val="16"/>
                <w:szCs w:val="16"/>
                <w:color w:val="auto"/>
                <w:vertAlign w:val="superscript"/>
              </w:rPr>
              <w:t>(4)</w:t>
            </w:r>
          </w:p>
        </w:tc>
        <w:tc>
          <w:tcPr>
            <w:tcW w:w="2420" w:type="dxa"/>
            <w:vAlign w:val="bottom"/>
            <w:shd w:val="clear" w:color="auto" w:fill="D8E7F3"/>
          </w:tcPr>
          <w:p>
            <w:pPr>
              <w:jc w:val="right"/>
              <w:ind w:right="637"/>
              <w:spacing w:after="0" w:line="143" w:lineRule="exact"/>
              <w:rPr>
                <w:sz w:val="20"/>
                <w:szCs w:val="20"/>
                <w:color w:val="auto"/>
              </w:rPr>
            </w:pPr>
            <w:r>
              <w:rPr>
                <w:rFonts w:ascii="Arial" w:cs="Arial" w:eastAsia="Arial" w:hAnsi="Arial"/>
                <w:sz w:val="13"/>
                <w:szCs w:val="13"/>
                <w:color w:val="auto"/>
              </w:rPr>
              <w:t>91,621</w:t>
            </w:r>
          </w:p>
        </w:tc>
        <w:tc>
          <w:tcPr>
            <w:tcW w:w="1740" w:type="dxa"/>
            <w:vAlign w:val="bottom"/>
            <w:shd w:val="clear" w:color="auto" w:fill="D8E7F3"/>
          </w:tcPr>
          <w:p>
            <w:pPr>
              <w:jc w:val="right"/>
              <w:ind w:right="558"/>
              <w:spacing w:after="0" w:line="143" w:lineRule="exact"/>
              <w:rPr>
                <w:sz w:val="20"/>
                <w:szCs w:val="20"/>
                <w:color w:val="auto"/>
              </w:rPr>
            </w:pPr>
            <w:r>
              <w:rPr>
                <w:rFonts w:ascii="Arial" w:cs="Arial" w:eastAsia="Arial" w:hAnsi="Arial"/>
                <w:sz w:val="13"/>
                <w:szCs w:val="13"/>
                <w:color w:val="auto"/>
              </w:rPr>
              <w:t>149,996</w:t>
            </w:r>
          </w:p>
        </w:tc>
        <w:tc>
          <w:tcPr>
            <w:tcW w:w="2080" w:type="dxa"/>
            <w:vAlign w:val="bottom"/>
            <w:shd w:val="clear" w:color="auto" w:fill="D8E7F3"/>
          </w:tcPr>
          <w:p>
            <w:pPr>
              <w:jc w:val="right"/>
              <w:ind w:right="7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241,617</w:t>
            </w:r>
          </w:p>
        </w:tc>
      </w:tr>
      <w:tr>
        <w:trPr>
          <w:trHeight w:val="254"/>
        </w:trPr>
        <w:tc>
          <w:tcPr>
            <w:tcW w:w="2440" w:type="dxa"/>
            <w:vAlign w:val="bottom"/>
          </w:tcPr>
          <w:p>
            <w:pPr>
              <w:ind w:left="80"/>
              <w:spacing w:after="0"/>
              <w:rPr>
                <w:sz w:val="20"/>
                <w:szCs w:val="20"/>
                <w:color w:val="auto"/>
              </w:rPr>
            </w:pPr>
            <w:r>
              <w:rPr>
                <w:rFonts w:ascii="Arial" w:cs="Arial" w:eastAsia="Arial" w:hAnsi="Arial"/>
                <w:sz w:val="13"/>
                <w:szCs w:val="13"/>
                <w:color w:val="auto"/>
              </w:rPr>
              <w:t>Peter S. Wareing</w:t>
            </w:r>
            <w:r>
              <w:rPr>
                <w:rFonts w:ascii="Arial" w:cs="Arial" w:eastAsia="Arial" w:hAnsi="Arial"/>
                <w:sz w:val="21"/>
                <w:szCs w:val="21"/>
                <w:color w:val="auto"/>
                <w:vertAlign w:val="superscript"/>
              </w:rPr>
              <w:t>(5)</w:t>
            </w:r>
          </w:p>
        </w:tc>
        <w:tc>
          <w:tcPr>
            <w:tcW w:w="2420" w:type="dxa"/>
            <w:vAlign w:val="bottom"/>
          </w:tcPr>
          <w:p>
            <w:pPr>
              <w:jc w:val="right"/>
              <w:ind w:right="637"/>
              <w:spacing w:after="0"/>
              <w:rPr>
                <w:sz w:val="20"/>
                <w:szCs w:val="20"/>
                <w:color w:val="auto"/>
              </w:rPr>
            </w:pPr>
            <w:r>
              <w:rPr>
                <w:rFonts w:ascii="Arial" w:cs="Arial" w:eastAsia="Arial" w:hAnsi="Arial"/>
                <w:sz w:val="13"/>
                <w:szCs w:val="13"/>
                <w:color w:val="auto"/>
              </w:rPr>
              <w:t>40,714</w:t>
            </w:r>
          </w:p>
        </w:tc>
        <w:tc>
          <w:tcPr>
            <w:tcW w:w="1740" w:type="dxa"/>
            <w:vAlign w:val="bottom"/>
          </w:tcPr>
          <w:p>
            <w:pPr>
              <w:jc w:val="right"/>
              <w:ind w:right="558"/>
              <w:spacing w:after="0"/>
              <w:rPr>
                <w:sz w:val="20"/>
                <w:szCs w:val="20"/>
                <w:color w:val="auto"/>
              </w:rPr>
            </w:pPr>
            <w:r>
              <w:rPr>
                <w:rFonts w:ascii="Arial" w:cs="Arial" w:eastAsia="Arial" w:hAnsi="Arial"/>
                <w:sz w:val="13"/>
                <w:szCs w:val="13"/>
                <w:color w:val="auto"/>
              </w:rPr>
              <w:t>—</w:t>
            </w:r>
          </w:p>
        </w:tc>
        <w:tc>
          <w:tcPr>
            <w:tcW w:w="2080" w:type="dxa"/>
            <w:vAlign w:val="bottom"/>
          </w:tcPr>
          <w:p>
            <w:pPr>
              <w:jc w:val="right"/>
              <w:ind w:right="737"/>
              <w:spacing w:after="0"/>
              <w:rPr>
                <w:sz w:val="20"/>
                <w:szCs w:val="20"/>
                <w:color w:val="auto"/>
              </w:rPr>
            </w:pPr>
            <w:r>
              <w:rPr>
                <w:rFonts w:ascii="Arial" w:cs="Arial" w:eastAsia="Arial" w:hAnsi="Arial"/>
                <w:sz w:val="13"/>
                <w:szCs w:val="13"/>
                <w:color w:val="auto"/>
              </w:rPr>
              <w:t>50,715</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91,428</w:t>
            </w:r>
          </w:p>
        </w:tc>
      </w:tr>
    </w:tbl>
    <w:p>
      <w:pPr>
        <w:ind w:left="300" w:hanging="291"/>
        <w:spacing w:after="0" w:line="237"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annual retainer and chairmen retainers for each director as more fully explained under “—Compensation of Directors—Retainer Fees.” Mr. Wareing elected to defer his annual retainer and committee chairman supplemental annual retainer during 2020.</w:t>
      </w:r>
    </w:p>
    <w:p>
      <w:pPr>
        <w:spacing w:after="0" w:line="49" w:lineRule="exact"/>
        <w:rPr>
          <w:rFonts w:ascii="Arial" w:cs="Arial" w:eastAsia="Arial" w:hAnsi="Arial"/>
          <w:sz w:val="13"/>
          <w:szCs w:val="13"/>
          <w:color w:val="auto"/>
        </w:rPr>
      </w:pPr>
    </w:p>
    <w:p>
      <w:pPr>
        <w:jc w:val="both"/>
        <w:ind w:left="300" w:hanging="291"/>
        <w:spacing w:after="0" w:line="234" w:lineRule="auto"/>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Reported amounts in the table represent the aggregate grant date fair value of awards computed in accordance with Financial Accounting Standards Board Accounting Standards Codification Topic 718: Compensation—Stock Compensation (FASB ASC Topic 718). For purposes of the table above, the effects of estimated forfeitures are excluded.</w:t>
      </w:r>
    </w:p>
    <w:p>
      <w:pPr>
        <w:spacing w:after="0" w:line="207"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31" w:name="page32"/>
    <w:bookmarkEnd w:id="3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1: Election of Directors (continued)</w:t>
      </w:r>
    </w:p>
    <w:p>
      <w:pPr>
        <w:spacing w:after="0" w:line="136" w:lineRule="exact"/>
        <w:rPr>
          <w:sz w:val="20"/>
          <w:szCs w:val="20"/>
          <w:color w:val="auto"/>
        </w:rPr>
      </w:pPr>
    </w:p>
    <w:p>
      <w:pPr>
        <w:jc w:val="both"/>
        <w:ind w:left="300"/>
        <w:spacing w:after="0" w:line="230" w:lineRule="auto"/>
        <w:rPr>
          <w:sz w:val="20"/>
          <w:szCs w:val="20"/>
          <w:color w:val="auto"/>
        </w:rPr>
      </w:pPr>
      <w:r>
        <w:rPr>
          <w:rFonts w:ascii="Arial" w:cs="Arial" w:eastAsia="Arial" w:hAnsi="Arial"/>
          <w:sz w:val="13"/>
          <w:szCs w:val="13"/>
          <w:color w:val="auto"/>
        </w:rPr>
        <w:t>Each non-employee director then in office as of May 1, 2020 received an annual value-based stock award under our Stock Plan for Outside Directors in 2020. Upon the recommendation of the Governance Committee, the Board determined a cash value for each award, as of the grant date, of $150,000, resulting in a stock award of 9,113 shares of common stock for each non-employee director then in office as of May 1, 2020. The grant date fair value of the awards, based on the market price of our common stock on the New York Stock Exchange Composite Tape on that date, was $16.46 per share. With respect to Mr. Smitherman, upon the recommendation of the Governance Committee, the Board determined a cash value for his award, as of the grant date of June 4, 2020, of $150,000, resulting in a stock award of 8,310 shares of common stock for Mr. Smitherman. The grant date fair value of the award, based on the market price of our common stock on the New York Stock Exchange Composite Tape on that date, was $18.05 per share. With respect to Mr. Cummings, upon the recommendation of the Governance Committee, the Board determined a cash value for his award, as of the grant date of July 1, 2020, of $125,000, resulting in a stock award of 6,487 shares of common stock for Mr. Cummings. The grant date fair value of the awards, based on the market price of our common stock on the New York Stock Exchange Composite Tape on that date, was $19.27 per share. No stock awards under our Stock Plan for Outside Directors were outstanding at December 31, 2020.</w:t>
      </w:r>
    </w:p>
    <w:p>
      <w:pPr>
        <w:spacing w:after="0" w:line="55" w:lineRule="exact"/>
        <w:rPr>
          <w:sz w:val="20"/>
          <w:szCs w:val="20"/>
          <w:color w:val="auto"/>
        </w:rPr>
      </w:pPr>
    </w:p>
    <w:p>
      <w:pPr>
        <w:ind w:left="300" w:hanging="291"/>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2020, Mr. Wareing accrued above-market earnings on his deferred compensation account balance of $50,715.</w:t>
      </w:r>
    </w:p>
    <w:p>
      <w:pPr>
        <w:spacing w:after="0" w:line="52" w:lineRule="exact"/>
        <w:rPr>
          <w:rFonts w:ascii="Arial" w:cs="Arial" w:eastAsia="Arial" w:hAnsi="Arial"/>
          <w:sz w:val="13"/>
          <w:szCs w:val="13"/>
          <w:color w:val="auto"/>
        </w:rPr>
      </w:pPr>
    </w:p>
    <w:p>
      <w:pPr>
        <w:ind w:left="300" w:hanging="291"/>
        <w:spacing w:after="0" w:line="237" w:lineRule="auto"/>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Messrs. Smitherman and Cummings were elected to the Board effective May 6, 2020 and July 1, 2020, respectively. The fees earned or paid in cash and initial stock awards granted under our Stock Plan for Outside Directors reflect a partial year of service.</w:t>
      </w:r>
    </w:p>
    <w:p>
      <w:pPr>
        <w:spacing w:after="0" w:line="49" w:lineRule="exact"/>
        <w:rPr>
          <w:rFonts w:ascii="Arial" w:cs="Arial" w:eastAsia="Arial" w:hAnsi="Arial"/>
          <w:sz w:val="13"/>
          <w:szCs w:val="13"/>
          <w:color w:val="auto"/>
        </w:rPr>
      </w:pPr>
    </w:p>
    <w:p>
      <w:pPr>
        <w:ind w:left="300" w:hanging="291"/>
        <w:spacing w:after="0"/>
        <w:tabs>
          <w:tab w:leader="none" w:pos="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Wareing served on the Board until the 2020 Annual Meeting.</w:t>
      </w:r>
    </w:p>
    <w:p>
      <w:pPr>
        <w:spacing w:after="0" w:line="177" w:lineRule="exact"/>
        <w:rPr>
          <w:sz w:val="20"/>
          <w:szCs w:val="20"/>
          <w:color w:val="auto"/>
        </w:rPr>
      </w:pPr>
    </w:p>
    <w:p>
      <w:pPr>
        <w:ind w:left="400" w:hanging="391"/>
        <w:spacing w:after="0"/>
        <w:tabs>
          <w:tab w:leader="none" w:pos="400" w:val="left"/>
        </w:tabs>
        <w:numPr>
          <w:ilvl w:val="0"/>
          <w:numId w:val="28"/>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32" w:name="page33"/>
    <w:bookmarkEnd w:id="3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STOCK OWNERSHIP</w:t>
      </w:r>
    </w:p>
    <w:p>
      <w:pPr>
        <w:spacing w:after="0" w:line="31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following table shows stock ownership of known beneficial owners of more than 5% of CenterPoint Energy’s common stock, each director or nominee for director, the Interim Chief Executive Officer, the Chief Financial Officer, the other executive officers for whom we are providing detailed compensation information under “Executive Compensation Tables” and our executive officers and directors as a group. Information for the executive officers and directors is given as of March 5, 2021 except as otherwise indicated. The directors and officers, individually and as a group, beneficially own less than 1% of CenterPoint Energy’s outstanding common stock. Beneficial ownership is determined in accordance with Rule 13d-3 under the Securities Exchange Act of 1934, as amended (Exchange Act) and, except as otherwise indicated, the respective holders have sole voting and investment powers over such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shd w:val="clear" w:color="auto" w:fill="0061AF"/>
          </w:tcPr>
          <w:p>
            <w:pPr>
              <w:spacing w:after="0"/>
              <w:rPr>
                <w:sz w:val="13"/>
                <w:szCs w:val="13"/>
                <w:color w:val="auto"/>
              </w:rPr>
            </w:pPr>
          </w:p>
        </w:tc>
        <w:tc>
          <w:tcPr>
            <w:tcW w:w="2760" w:type="dxa"/>
            <w:vAlign w:val="bottom"/>
            <w:shd w:val="clear" w:color="auto" w:fill="0061AF"/>
          </w:tcPr>
          <w:p>
            <w:pPr>
              <w:jc w:val="right"/>
              <w:ind w:right="220"/>
              <w:spacing w:after="0"/>
              <w:rPr>
                <w:sz w:val="20"/>
                <w:szCs w:val="20"/>
                <w:color w:val="auto"/>
              </w:rPr>
            </w:pPr>
            <w:r>
              <w:rPr>
                <w:rFonts w:ascii="Arial" w:cs="Arial" w:eastAsia="Arial" w:hAnsi="Arial"/>
                <w:sz w:val="13"/>
                <w:szCs w:val="13"/>
                <w:b w:val="1"/>
                <w:bCs w:val="1"/>
                <w:color w:val="FFFFFF"/>
              </w:rPr>
              <w:t>Number of Shares of</w:t>
            </w:r>
          </w:p>
        </w:tc>
      </w:tr>
      <w:tr>
        <w:trPr>
          <w:trHeight w:val="143"/>
        </w:trPr>
        <w:tc>
          <w:tcPr>
            <w:tcW w:w="6960" w:type="dxa"/>
            <w:vAlign w:val="bottom"/>
            <w:shd w:val="clear" w:color="auto" w:fill="0061AF"/>
          </w:tcPr>
          <w:p>
            <w:pPr>
              <w:spacing w:after="0"/>
              <w:rPr>
                <w:sz w:val="12"/>
                <w:szCs w:val="12"/>
                <w:color w:val="auto"/>
              </w:rPr>
            </w:pPr>
          </w:p>
        </w:tc>
        <w:tc>
          <w:tcPr>
            <w:tcW w:w="2760" w:type="dxa"/>
            <w:vAlign w:val="bottom"/>
            <w:shd w:val="clear" w:color="auto" w:fill="0061AF"/>
          </w:tcPr>
          <w:p>
            <w:pPr>
              <w:jc w:val="right"/>
              <w:ind w:right="220"/>
              <w:spacing w:after="0" w:line="143" w:lineRule="exact"/>
              <w:rPr>
                <w:sz w:val="20"/>
                <w:szCs w:val="20"/>
                <w:color w:val="auto"/>
              </w:rPr>
            </w:pPr>
            <w:r>
              <w:rPr>
                <w:rFonts w:ascii="Arial" w:cs="Arial" w:eastAsia="Arial" w:hAnsi="Arial"/>
                <w:sz w:val="13"/>
                <w:szCs w:val="13"/>
                <w:b w:val="1"/>
                <w:bCs w:val="1"/>
                <w:color w:val="FFFFFF"/>
              </w:rPr>
              <w:t>CenterPoint Energy</w:t>
            </w:r>
          </w:p>
        </w:tc>
      </w:tr>
      <w:tr>
        <w:trPr>
          <w:trHeight w:val="167"/>
        </w:trPr>
        <w:tc>
          <w:tcPr>
            <w:tcW w:w="6960" w:type="dxa"/>
            <w:vAlign w:val="bottom"/>
            <w:shd w:val="clear" w:color="auto" w:fill="0061AF"/>
          </w:tcPr>
          <w:p>
            <w:pPr>
              <w:ind w:left="80"/>
              <w:spacing w:after="0" w:line="166" w:lineRule="exact"/>
              <w:rPr>
                <w:sz w:val="20"/>
                <w:szCs w:val="20"/>
                <w:color w:val="auto"/>
              </w:rPr>
            </w:pPr>
            <w:r>
              <w:rPr>
                <w:rFonts w:ascii="Arial" w:cs="Arial" w:eastAsia="Arial" w:hAnsi="Arial"/>
                <w:sz w:val="12"/>
                <w:szCs w:val="12"/>
                <w:b w:val="1"/>
                <w:bCs w:val="1"/>
                <w:color w:val="FFFFFF"/>
              </w:rPr>
              <w:t>Name</w:t>
            </w:r>
            <w:r>
              <w:rPr>
                <w:rFonts w:ascii="Arial" w:cs="Arial" w:eastAsia="Arial" w:hAnsi="Arial"/>
                <w:sz w:val="19"/>
                <w:szCs w:val="19"/>
                <w:b w:val="1"/>
                <w:bCs w:val="1"/>
                <w:color w:val="FFFFFF"/>
                <w:vertAlign w:val="superscript"/>
              </w:rPr>
              <w:t>(1)</w:t>
            </w:r>
          </w:p>
        </w:tc>
        <w:tc>
          <w:tcPr>
            <w:tcW w:w="2760" w:type="dxa"/>
            <w:vAlign w:val="bottom"/>
            <w:shd w:val="clear" w:color="auto" w:fill="0061AF"/>
          </w:tcPr>
          <w:p>
            <w:pPr>
              <w:jc w:val="right"/>
              <w:ind w:right="360"/>
              <w:spacing w:after="0"/>
              <w:rPr>
                <w:sz w:val="20"/>
                <w:szCs w:val="20"/>
                <w:color w:val="auto"/>
              </w:rPr>
            </w:pPr>
            <w:r>
              <w:rPr>
                <w:rFonts w:ascii="Arial" w:cs="Arial" w:eastAsia="Arial" w:hAnsi="Arial"/>
                <w:sz w:val="13"/>
                <w:szCs w:val="13"/>
                <w:b w:val="1"/>
                <w:bCs w:val="1"/>
                <w:color w:val="FFFFFF"/>
              </w:rPr>
              <w:t>Common Stock</w:t>
            </w:r>
          </w:p>
        </w:tc>
      </w:tr>
      <w:tr>
        <w:trPr>
          <w:trHeight w:val="147"/>
        </w:trPr>
        <w:tc>
          <w:tcPr>
            <w:tcW w:w="6960" w:type="dxa"/>
            <w:vAlign w:val="bottom"/>
          </w:tcPr>
          <w:p>
            <w:pPr>
              <w:ind w:left="80"/>
              <w:spacing w:after="0" w:line="147" w:lineRule="exact"/>
              <w:rPr>
                <w:sz w:val="20"/>
                <w:szCs w:val="20"/>
                <w:color w:val="auto"/>
              </w:rPr>
            </w:pPr>
            <w:r>
              <w:rPr>
                <w:rFonts w:ascii="Arial" w:cs="Arial" w:eastAsia="Arial" w:hAnsi="Arial"/>
                <w:sz w:val="13"/>
                <w:szCs w:val="13"/>
                <w:color w:val="auto"/>
              </w:rPr>
              <w:t>The Vanguard Group, Inc.</w:t>
            </w:r>
          </w:p>
        </w:tc>
        <w:tc>
          <w:tcPr>
            <w:tcW w:w="2760" w:type="dxa"/>
            <w:vAlign w:val="bottom"/>
          </w:tcPr>
          <w:p>
            <w:pPr>
              <w:jc w:val="right"/>
              <w:ind w:right="340"/>
              <w:spacing w:after="0" w:line="147" w:lineRule="exact"/>
              <w:rPr>
                <w:sz w:val="20"/>
                <w:szCs w:val="20"/>
                <w:color w:val="auto"/>
              </w:rPr>
            </w:pPr>
            <w:r>
              <w:rPr>
                <w:rFonts w:ascii="Arial" w:cs="Arial" w:eastAsia="Arial" w:hAnsi="Arial"/>
                <w:sz w:val="11"/>
                <w:szCs w:val="11"/>
                <w:color w:val="auto"/>
              </w:rPr>
              <w:t>64,911,895</w:t>
            </w:r>
            <w:r>
              <w:rPr>
                <w:rFonts w:ascii="Arial" w:cs="Arial" w:eastAsia="Arial" w:hAnsi="Arial"/>
                <w:sz w:val="17"/>
                <w:szCs w:val="17"/>
                <w:color w:val="auto"/>
                <w:vertAlign w:val="superscript"/>
              </w:rPr>
              <w:t>(2)</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100 Vanguard Blvd.</w:t>
            </w:r>
          </w:p>
        </w:tc>
        <w:tc>
          <w:tcPr>
            <w:tcW w:w="2760" w:type="dxa"/>
            <w:vAlign w:val="bottom"/>
          </w:tcPr>
          <w:p>
            <w:pPr>
              <w:spacing w:after="0"/>
              <w:rPr>
                <w:sz w:val="12"/>
                <w:szCs w:val="12"/>
                <w:color w:val="auto"/>
              </w:rPr>
            </w:pPr>
          </w:p>
        </w:tc>
      </w:tr>
      <w:tr>
        <w:trPr>
          <w:trHeight w:val="139"/>
        </w:trPr>
        <w:tc>
          <w:tcPr>
            <w:tcW w:w="6960" w:type="dxa"/>
            <w:vAlign w:val="bottom"/>
          </w:tcPr>
          <w:p>
            <w:pPr>
              <w:ind w:left="80"/>
              <w:spacing w:after="0" w:line="139" w:lineRule="exact"/>
              <w:rPr>
                <w:sz w:val="20"/>
                <w:szCs w:val="20"/>
                <w:color w:val="auto"/>
              </w:rPr>
            </w:pPr>
            <w:r>
              <w:rPr>
                <w:rFonts w:ascii="Arial" w:cs="Arial" w:eastAsia="Arial" w:hAnsi="Arial"/>
                <w:sz w:val="13"/>
                <w:szCs w:val="13"/>
                <w:color w:val="auto"/>
              </w:rPr>
              <w:t>Malvern, Pennsylvania 19355</w:t>
            </w:r>
          </w:p>
        </w:tc>
        <w:tc>
          <w:tcPr>
            <w:tcW w:w="2760" w:type="dxa"/>
            <w:vAlign w:val="bottom"/>
          </w:tcPr>
          <w:p>
            <w:pPr>
              <w:spacing w:after="0"/>
              <w:rPr>
                <w:sz w:val="12"/>
                <w:szCs w:val="12"/>
                <w:color w:val="auto"/>
              </w:rPr>
            </w:pP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BlackRock, Inc.</w:t>
            </w:r>
          </w:p>
        </w:tc>
        <w:tc>
          <w:tcPr>
            <w:tcW w:w="2760" w:type="dxa"/>
            <w:vAlign w:val="bottom"/>
            <w:shd w:val="clear" w:color="auto" w:fill="D8E7F3"/>
          </w:tcPr>
          <w:p>
            <w:pPr>
              <w:jc w:val="right"/>
              <w:ind w:right="340"/>
              <w:spacing w:after="0" w:line="143" w:lineRule="exact"/>
              <w:rPr>
                <w:sz w:val="20"/>
                <w:szCs w:val="20"/>
                <w:color w:val="auto"/>
              </w:rPr>
            </w:pPr>
            <w:r>
              <w:rPr>
                <w:rFonts w:ascii="Arial" w:cs="Arial" w:eastAsia="Arial" w:hAnsi="Arial"/>
                <w:sz w:val="10"/>
                <w:szCs w:val="10"/>
                <w:color w:val="auto"/>
              </w:rPr>
              <w:t>45,749,772</w:t>
            </w:r>
            <w:r>
              <w:rPr>
                <w:rFonts w:ascii="Arial" w:cs="Arial" w:eastAsia="Arial" w:hAnsi="Arial"/>
                <w:sz w:val="16"/>
                <w:szCs w:val="16"/>
                <w:color w:val="auto"/>
                <w:vertAlign w:val="superscript"/>
              </w:rPr>
              <w:t>(3)</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55 East 52nd Street</w:t>
            </w:r>
          </w:p>
        </w:tc>
        <w:tc>
          <w:tcPr>
            <w:tcW w:w="2760" w:type="dxa"/>
            <w:vAlign w:val="bottom"/>
            <w:shd w:val="clear" w:color="auto" w:fill="D8E7F3"/>
          </w:tcPr>
          <w:p>
            <w:pPr>
              <w:spacing w:after="0"/>
              <w:rPr>
                <w:sz w:val="12"/>
                <w:szCs w:val="12"/>
                <w:color w:val="auto"/>
              </w:rPr>
            </w:pP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New York, New York 10055</w:t>
            </w:r>
          </w:p>
        </w:tc>
        <w:tc>
          <w:tcPr>
            <w:tcW w:w="2760" w:type="dxa"/>
            <w:vAlign w:val="bottom"/>
            <w:shd w:val="clear" w:color="auto" w:fill="D8E7F3"/>
          </w:tcPr>
          <w:p>
            <w:pPr>
              <w:spacing w:after="0"/>
              <w:rPr>
                <w:sz w:val="12"/>
                <w:szCs w:val="12"/>
                <w:color w:val="auto"/>
              </w:rPr>
            </w:pPr>
          </w:p>
        </w:tc>
      </w:tr>
      <w:tr>
        <w:trPr>
          <w:trHeight w:val="147"/>
        </w:trPr>
        <w:tc>
          <w:tcPr>
            <w:tcW w:w="6960" w:type="dxa"/>
            <w:vAlign w:val="bottom"/>
          </w:tcPr>
          <w:p>
            <w:pPr>
              <w:ind w:left="80"/>
              <w:spacing w:after="0" w:line="147" w:lineRule="exact"/>
              <w:rPr>
                <w:sz w:val="20"/>
                <w:szCs w:val="20"/>
                <w:color w:val="auto"/>
              </w:rPr>
            </w:pPr>
            <w:r>
              <w:rPr>
                <w:rFonts w:ascii="Arial" w:cs="Arial" w:eastAsia="Arial" w:hAnsi="Arial"/>
                <w:sz w:val="13"/>
                <w:szCs w:val="13"/>
                <w:color w:val="auto"/>
              </w:rPr>
              <w:t>FMR LLC</w:t>
            </w:r>
          </w:p>
        </w:tc>
        <w:tc>
          <w:tcPr>
            <w:tcW w:w="2760" w:type="dxa"/>
            <w:vAlign w:val="bottom"/>
          </w:tcPr>
          <w:p>
            <w:pPr>
              <w:jc w:val="right"/>
              <w:ind w:right="340"/>
              <w:spacing w:after="0" w:line="147" w:lineRule="exact"/>
              <w:rPr>
                <w:sz w:val="20"/>
                <w:szCs w:val="20"/>
                <w:color w:val="auto"/>
              </w:rPr>
            </w:pPr>
            <w:r>
              <w:rPr>
                <w:rFonts w:ascii="Arial" w:cs="Arial" w:eastAsia="Arial" w:hAnsi="Arial"/>
                <w:sz w:val="11"/>
                <w:szCs w:val="11"/>
                <w:color w:val="auto"/>
              </w:rPr>
              <w:t>31,528,071</w:t>
            </w:r>
            <w:r>
              <w:rPr>
                <w:rFonts w:ascii="Arial" w:cs="Arial" w:eastAsia="Arial" w:hAnsi="Arial"/>
                <w:sz w:val="17"/>
                <w:szCs w:val="17"/>
                <w:color w:val="auto"/>
                <w:vertAlign w:val="superscript"/>
              </w:rPr>
              <w:t>(4)</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245 Summer Street</w:t>
            </w:r>
          </w:p>
        </w:tc>
        <w:tc>
          <w:tcPr>
            <w:tcW w:w="2760" w:type="dxa"/>
            <w:vAlign w:val="bottom"/>
          </w:tcPr>
          <w:p>
            <w:pPr>
              <w:spacing w:after="0"/>
              <w:rPr>
                <w:sz w:val="12"/>
                <w:szCs w:val="12"/>
                <w:color w:val="auto"/>
              </w:rPr>
            </w:pPr>
          </w:p>
        </w:tc>
      </w:tr>
      <w:tr>
        <w:trPr>
          <w:trHeight w:val="139"/>
        </w:trPr>
        <w:tc>
          <w:tcPr>
            <w:tcW w:w="6960" w:type="dxa"/>
            <w:vAlign w:val="bottom"/>
          </w:tcPr>
          <w:p>
            <w:pPr>
              <w:ind w:left="80"/>
              <w:spacing w:after="0" w:line="139" w:lineRule="exact"/>
              <w:rPr>
                <w:sz w:val="20"/>
                <w:szCs w:val="20"/>
                <w:color w:val="auto"/>
              </w:rPr>
            </w:pPr>
            <w:r>
              <w:rPr>
                <w:rFonts w:ascii="Arial" w:cs="Arial" w:eastAsia="Arial" w:hAnsi="Arial"/>
                <w:sz w:val="13"/>
                <w:szCs w:val="13"/>
                <w:color w:val="auto"/>
              </w:rPr>
              <w:t>Boston, Massachusetts 02210</w:t>
            </w:r>
          </w:p>
        </w:tc>
        <w:tc>
          <w:tcPr>
            <w:tcW w:w="2760" w:type="dxa"/>
            <w:vAlign w:val="bottom"/>
          </w:tcPr>
          <w:p>
            <w:pPr>
              <w:spacing w:after="0"/>
              <w:rPr>
                <w:sz w:val="12"/>
                <w:szCs w:val="12"/>
                <w:color w:val="auto"/>
              </w:rPr>
            </w:pP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Capital International Investors</w:t>
            </w:r>
          </w:p>
        </w:tc>
        <w:tc>
          <w:tcPr>
            <w:tcW w:w="2760" w:type="dxa"/>
            <w:vAlign w:val="bottom"/>
            <w:shd w:val="clear" w:color="auto" w:fill="D8E7F3"/>
          </w:tcPr>
          <w:p>
            <w:pPr>
              <w:jc w:val="right"/>
              <w:ind w:right="340"/>
              <w:spacing w:after="0" w:line="143" w:lineRule="exact"/>
              <w:rPr>
                <w:sz w:val="20"/>
                <w:szCs w:val="20"/>
                <w:color w:val="auto"/>
              </w:rPr>
            </w:pPr>
            <w:r>
              <w:rPr>
                <w:rFonts w:ascii="Arial" w:cs="Arial" w:eastAsia="Arial" w:hAnsi="Arial"/>
                <w:sz w:val="10"/>
                <w:szCs w:val="10"/>
                <w:color w:val="auto"/>
              </w:rPr>
              <w:t>29,324,036</w:t>
            </w:r>
            <w:r>
              <w:rPr>
                <w:rFonts w:ascii="Arial" w:cs="Arial" w:eastAsia="Arial" w:hAnsi="Arial"/>
                <w:sz w:val="16"/>
                <w:szCs w:val="16"/>
                <w:color w:val="auto"/>
                <w:vertAlign w:val="superscript"/>
              </w:rPr>
              <w:t>(5)</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333 South Hope Street, 55th Floor</w:t>
            </w:r>
          </w:p>
        </w:tc>
        <w:tc>
          <w:tcPr>
            <w:tcW w:w="2760" w:type="dxa"/>
            <w:vAlign w:val="bottom"/>
            <w:shd w:val="clear" w:color="auto" w:fill="D8E7F3"/>
          </w:tcPr>
          <w:p>
            <w:pPr>
              <w:spacing w:after="0"/>
              <w:rPr>
                <w:sz w:val="12"/>
                <w:szCs w:val="12"/>
                <w:color w:val="auto"/>
              </w:rPr>
            </w:pP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Los Angeles, CA 90071</w:t>
            </w:r>
          </w:p>
        </w:tc>
        <w:tc>
          <w:tcPr>
            <w:tcW w:w="2760" w:type="dxa"/>
            <w:vAlign w:val="bottom"/>
            <w:shd w:val="clear" w:color="auto" w:fill="D8E7F3"/>
          </w:tcPr>
          <w:p>
            <w:pPr>
              <w:spacing w:after="0"/>
              <w:rPr>
                <w:sz w:val="12"/>
                <w:szCs w:val="12"/>
                <w:color w:val="auto"/>
              </w:rPr>
            </w:pPr>
          </w:p>
        </w:tc>
      </w:tr>
      <w:tr>
        <w:trPr>
          <w:trHeight w:val="147"/>
        </w:trPr>
        <w:tc>
          <w:tcPr>
            <w:tcW w:w="6960" w:type="dxa"/>
            <w:vAlign w:val="bottom"/>
          </w:tcPr>
          <w:p>
            <w:pPr>
              <w:ind w:left="80"/>
              <w:spacing w:after="0" w:line="147" w:lineRule="exact"/>
              <w:rPr>
                <w:sz w:val="20"/>
                <w:szCs w:val="20"/>
                <w:color w:val="auto"/>
              </w:rPr>
            </w:pPr>
            <w:r>
              <w:rPr>
                <w:rFonts w:ascii="Arial" w:cs="Arial" w:eastAsia="Arial" w:hAnsi="Arial"/>
                <w:sz w:val="13"/>
                <w:szCs w:val="13"/>
                <w:color w:val="auto"/>
              </w:rPr>
              <w:t>State Street Corporation</w:t>
            </w:r>
          </w:p>
        </w:tc>
        <w:tc>
          <w:tcPr>
            <w:tcW w:w="2760" w:type="dxa"/>
            <w:vAlign w:val="bottom"/>
          </w:tcPr>
          <w:p>
            <w:pPr>
              <w:jc w:val="right"/>
              <w:ind w:right="340"/>
              <w:spacing w:after="0" w:line="147" w:lineRule="exact"/>
              <w:rPr>
                <w:sz w:val="20"/>
                <w:szCs w:val="20"/>
                <w:color w:val="auto"/>
              </w:rPr>
            </w:pPr>
            <w:r>
              <w:rPr>
                <w:rFonts w:ascii="Arial" w:cs="Arial" w:eastAsia="Arial" w:hAnsi="Arial"/>
                <w:sz w:val="11"/>
                <w:szCs w:val="11"/>
                <w:color w:val="auto"/>
              </w:rPr>
              <w:t>28,708,016</w:t>
            </w:r>
            <w:r>
              <w:rPr>
                <w:rFonts w:ascii="Arial" w:cs="Arial" w:eastAsia="Arial" w:hAnsi="Arial"/>
                <w:sz w:val="17"/>
                <w:szCs w:val="17"/>
                <w:color w:val="auto"/>
                <w:vertAlign w:val="superscript"/>
              </w:rPr>
              <w:t>(6)</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One Lincoln Street</w:t>
            </w:r>
          </w:p>
        </w:tc>
        <w:tc>
          <w:tcPr>
            <w:tcW w:w="2760" w:type="dxa"/>
            <w:vAlign w:val="bottom"/>
          </w:tcPr>
          <w:p>
            <w:pPr>
              <w:spacing w:after="0"/>
              <w:rPr>
                <w:sz w:val="12"/>
                <w:szCs w:val="12"/>
                <w:color w:val="auto"/>
              </w:rPr>
            </w:pPr>
          </w:p>
        </w:tc>
      </w:tr>
      <w:tr>
        <w:trPr>
          <w:trHeight w:val="139"/>
        </w:trPr>
        <w:tc>
          <w:tcPr>
            <w:tcW w:w="6960" w:type="dxa"/>
            <w:vAlign w:val="bottom"/>
          </w:tcPr>
          <w:p>
            <w:pPr>
              <w:ind w:left="80"/>
              <w:spacing w:after="0" w:line="139" w:lineRule="exact"/>
              <w:rPr>
                <w:sz w:val="20"/>
                <w:szCs w:val="20"/>
                <w:color w:val="auto"/>
              </w:rPr>
            </w:pPr>
            <w:r>
              <w:rPr>
                <w:rFonts w:ascii="Arial" w:cs="Arial" w:eastAsia="Arial" w:hAnsi="Arial"/>
                <w:sz w:val="13"/>
                <w:szCs w:val="13"/>
                <w:color w:val="auto"/>
              </w:rPr>
              <w:t>Boston, Massachusetts 02111</w:t>
            </w:r>
          </w:p>
        </w:tc>
        <w:tc>
          <w:tcPr>
            <w:tcW w:w="2760" w:type="dxa"/>
            <w:vAlign w:val="bottom"/>
          </w:tcPr>
          <w:p>
            <w:pPr>
              <w:spacing w:after="0"/>
              <w:rPr>
                <w:sz w:val="12"/>
                <w:szCs w:val="12"/>
                <w:color w:val="auto"/>
              </w:rPr>
            </w:pP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Leslie D. Biddle</w:t>
            </w:r>
          </w:p>
        </w:tc>
        <w:tc>
          <w:tcPr>
            <w:tcW w:w="2760" w:type="dxa"/>
            <w:vAlign w:val="bottom"/>
            <w:shd w:val="clear" w:color="auto" w:fill="D8E7F3"/>
          </w:tcPr>
          <w:p>
            <w:pPr>
              <w:jc w:val="right"/>
              <w:ind w:right="480"/>
              <w:spacing w:after="0" w:line="143" w:lineRule="exact"/>
              <w:rPr>
                <w:sz w:val="20"/>
                <w:szCs w:val="20"/>
                <w:color w:val="auto"/>
              </w:rPr>
            </w:pPr>
            <w:r>
              <w:rPr>
                <w:rFonts w:ascii="Arial" w:cs="Arial" w:eastAsia="Arial" w:hAnsi="Arial"/>
                <w:sz w:val="13"/>
                <w:szCs w:val="13"/>
                <w:color w:val="auto"/>
              </w:rPr>
              <w:t>34,096</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Milton Carroll</w:t>
            </w:r>
          </w:p>
        </w:tc>
        <w:tc>
          <w:tcPr>
            <w:tcW w:w="2760" w:type="dxa"/>
            <w:vAlign w:val="bottom"/>
          </w:tcPr>
          <w:p>
            <w:pPr>
              <w:jc w:val="right"/>
              <w:ind w:right="480"/>
              <w:spacing w:after="0" w:line="143" w:lineRule="exact"/>
              <w:rPr>
                <w:sz w:val="20"/>
                <w:szCs w:val="20"/>
                <w:color w:val="auto"/>
              </w:rPr>
            </w:pPr>
            <w:r>
              <w:rPr>
                <w:rFonts w:ascii="Arial" w:cs="Arial" w:eastAsia="Arial" w:hAnsi="Arial"/>
                <w:sz w:val="13"/>
                <w:szCs w:val="13"/>
                <w:color w:val="auto"/>
              </w:rPr>
              <w:t>117,340</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Wendy Montoya Cloonan</w:t>
            </w:r>
          </w:p>
        </w:tc>
        <w:tc>
          <w:tcPr>
            <w:tcW w:w="2760" w:type="dxa"/>
            <w:vAlign w:val="bottom"/>
            <w:shd w:val="clear" w:color="auto" w:fill="D8E7F3"/>
          </w:tcPr>
          <w:p>
            <w:pPr>
              <w:jc w:val="right"/>
              <w:ind w:right="480"/>
              <w:spacing w:after="0" w:line="143" w:lineRule="exact"/>
              <w:rPr>
                <w:sz w:val="20"/>
                <w:szCs w:val="20"/>
                <w:color w:val="auto"/>
              </w:rPr>
            </w:pPr>
            <w:r>
              <w:rPr>
                <w:rFonts w:ascii="Arial" w:cs="Arial" w:eastAsia="Arial" w:hAnsi="Arial"/>
                <w:sz w:val="13"/>
                <w:szCs w:val="13"/>
                <w:color w:val="auto"/>
              </w:rPr>
              <w:t>—</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Earl M. Cummings</w:t>
            </w:r>
          </w:p>
        </w:tc>
        <w:tc>
          <w:tcPr>
            <w:tcW w:w="2760" w:type="dxa"/>
            <w:vAlign w:val="bottom"/>
          </w:tcPr>
          <w:p>
            <w:pPr>
              <w:jc w:val="right"/>
              <w:ind w:right="480"/>
              <w:spacing w:after="0" w:line="143" w:lineRule="exact"/>
              <w:rPr>
                <w:sz w:val="20"/>
                <w:szCs w:val="20"/>
                <w:color w:val="auto"/>
              </w:rPr>
            </w:pPr>
            <w:r>
              <w:rPr>
                <w:rFonts w:ascii="Arial" w:cs="Arial" w:eastAsia="Arial" w:hAnsi="Arial"/>
                <w:sz w:val="13"/>
                <w:szCs w:val="13"/>
                <w:color w:val="auto"/>
              </w:rPr>
              <w:t>7,987</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Kristie L. Colvin</w:t>
            </w:r>
          </w:p>
        </w:tc>
        <w:tc>
          <w:tcPr>
            <w:tcW w:w="2760" w:type="dxa"/>
            <w:vAlign w:val="bottom"/>
            <w:shd w:val="clear" w:color="auto" w:fill="D8E7F3"/>
          </w:tcPr>
          <w:p>
            <w:pPr>
              <w:jc w:val="right"/>
              <w:ind w:right="340"/>
              <w:spacing w:after="0" w:line="143" w:lineRule="exact"/>
              <w:rPr>
                <w:sz w:val="20"/>
                <w:szCs w:val="20"/>
                <w:color w:val="auto"/>
              </w:rPr>
            </w:pPr>
            <w:r>
              <w:rPr>
                <w:rFonts w:ascii="Arial" w:cs="Arial" w:eastAsia="Arial" w:hAnsi="Arial"/>
                <w:sz w:val="10"/>
                <w:szCs w:val="10"/>
                <w:color w:val="auto"/>
              </w:rPr>
              <w:t>54,746</w:t>
            </w:r>
            <w:r>
              <w:rPr>
                <w:rFonts w:ascii="Arial" w:cs="Arial" w:eastAsia="Arial" w:hAnsi="Arial"/>
                <w:sz w:val="16"/>
                <w:szCs w:val="16"/>
                <w:color w:val="auto"/>
                <w:vertAlign w:val="superscript"/>
              </w:rPr>
              <w:t>(7)</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Scott E. Doyle</w:t>
            </w:r>
          </w:p>
        </w:tc>
        <w:tc>
          <w:tcPr>
            <w:tcW w:w="2760" w:type="dxa"/>
            <w:vAlign w:val="bottom"/>
          </w:tcPr>
          <w:p>
            <w:pPr>
              <w:jc w:val="right"/>
              <w:ind w:right="340"/>
              <w:spacing w:after="0" w:line="143" w:lineRule="exact"/>
              <w:rPr>
                <w:sz w:val="20"/>
                <w:szCs w:val="20"/>
                <w:color w:val="auto"/>
              </w:rPr>
            </w:pPr>
            <w:r>
              <w:rPr>
                <w:rFonts w:ascii="Arial" w:cs="Arial" w:eastAsia="Arial" w:hAnsi="Arial"/>
                <w:sz w:val="10"/>
                <w:szCs w:val="10"/>
                <w:color w:val="auto"/>
              </w:rPr>
              <w:t>48,453</w:t>
            </w:r>
            <w:r>
              <w:rPr>
                <w:rFonts w:ascii="Arial" w:cs="Arial" w:eastAsia="Arial" w:hAnsi="Arial"/>
                <w:sz w:val="16"/>
                <w:szCs w:val="16"/>
                <w:color w:val="auto"/>
                <w:vertAlign w:val="superscript"/>
              </w:rPr>
              <w:t>(7)</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Gregory E. Knight</w:t>
            </w:r>
          </w:p>
        </w:tc>
        <w:tc>
          <w:tcPr>
            <w:tcW w:w="2760" w:type="dxa"/>
            <w:vAlign w:val="bottom"/>
            <w:shd w:val="clear" w:color="auto" w:fill="D8E7F3"/>
          </w:tcPr>
          <w:p>
            <w:pPr>
              <w:jc w:val="right"/>
              <w:ind w:right="340"/>
              <w:spacing w:after="0" w:line="143" w:lineRule="exact"/>
              <w:rPr>
                <w:sz w:val="20"/>
                <w:szCs w:val="20"/>
                <w:color w:val="auto"/>
              </w:rPr>
            </w:pPr>
            <w:r>
              <w:rPr>
                <w:rFonts w:ascii="Arial" w:cs="Arial" w:eastAsia="Arial" w:hAnsi="Arial"/>
                <w:sz w:val="10"/>
                <w:szCs w:val="10"/>
                <w:color w:val="auto"/>
              </w:rPr>
              <w:t>19,298</w:t>
            </w:r>
            <w:r>
              <w:rPr>
                <w:rFonts w:ascii="Arial" w:cs="Arial" w:eastAsia="Arial" w:hAnsi="Arial"/>
                <w:sz w:val="16"/>
                <w:szCs w:val="16"/>
                <w:color w:val="auto"/>
                <w:vertAlign w:val="superscript"/>
              </w:rPr>
              <w:t>(7)</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David J. Lesar</w:t>
            </w:r>
          </w:p>
        </w:tc>
        <w:tc>
          <w:tcPr>
            <w:tcW w:w="2760" w:type="dxa"/>
            <w:vAlign w:val="bottom"/>
          </w:tcPr>
          <w:p>
            <w:pPr>
              <w:jc w:val="right"/>
              <w:ind w:right="480"/>
              <w:spacing w:after="0" w:line="143" w:lineRule="exact"/>
              <w:rPr>
                <w:sz w:val="20"/>
                <w:szCs w:val="20"/>
                <w:color w:val="auto"/>
              </w:rPr>
            </w:pPr>
            <w:r>
              <w:rPr>
                <w:rFonts w:ascii="Arial" w:cs="Arial" w:eastAsia="Arial" w:hAnsi="Arial"/>
                <w:sz w:val="13"/>
                <w:szCs w:val="13"/>
                <w:color w:val="auto"/>
              </w:rPr>
              <w:t>25,420</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Scott J. McLean</w:t>
            </w:r>
          </w:p>
        </w:tc>
        <w:tc>
          <w:tcPr>
            <w:tcW w:w="2760" w:type="dxa"/>
            <w:vAlign w:val="bottom"/>
            <w:shd w:val="clear" w:color="auto" w:fill="D8E7F3"/>
          </w:tcPr>
          <w:p>
            <w:pPr>
              <w:jc w:val="right"/>
              <w:ind w:right="480"/>
              <w:spacing w:after="0" w:line="143" w:lineRule="exact"/>
              <w:rPr>
                <w:sz w:val="20"/>
                <w:szCs w:val="20"/>
                <w:color w:val="auto"/>
              </w:rPr>
            </w:pPr>
            <w:r>
              <w:rPr>
                <w:rFonts w:ascii="Arial" w:cs="Arial" w:eastAsia="Arial" w:hAnsi="Arial"/>
                <w:sz w:val="13"/>
                <w:szCs w:val="13"/>
                <w:color w:val="auto"/>
              </w:rPr>
              <w:t>39,928</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Martin H. Nesbitt</w:t>
            </w:r>
          </w:p>
        </w:tc>
        <w:tc>
          <w:tcPr>
            <w:tcW w:w="2760" w:type="dxa"/>
            <w:vAlign w:val="bottom"/>
          </w:tcPr>
          <w:p>
            <w:pPr>
              <w:jc w:val="right"/>
              <w:ind w:right="480"/>
              <w:spacing w:after="0" w:line="143" w:lineRule="exact"/>
              <w:rPr>
                <w:sz w:val="20"/>
                <w:szCs w:val="20"/>
                <w:color w:val="auto"/>
              </w:rPr>
            </w:pPr>
            <w:r>
              <w:rPr>
                <w:rFonts w:ascii="Arial" w:cs="Arial" w:eastAsia="Arial" w:hAnsi="Arial"/>
                <w:sz w:val="13"/>
                <w:szCs w:val="13"/>
                <w:color w:val="auto"/>
              </w:rPr>
              <w:t>19,096</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Theodore F. Pound</w:t>
            </w:r>
          </w:p>
        </w:tc>
        <w:tc>
          <w:tcPr>
            <w:tcW w:w="2760" w:type="dxa"/>
            <w:vAlign w:val="bottom"/>
            <w:shd w:val="clear" w:color="auto" w:fill="D8E7F3"/>
          </w:tcPr>
          <w:p>
            <w:pPr>
              <w:jc w:val="right"/>
              <w:ind w:right="480"/>
              <w:spacing w:after="0" w:line="143" w:lineRule="exact"/>
              <w:rPr>
                <w:sz w:val="20"/>
                <w:szCs w:val="20"/>
                <w:color w:val="auto"/>
              </w:rPr>
            </w:pPr>
            <w:r>
              <w:rPr>
                <w:rFonts w:ascii="Arial" w:cs="Arial" w:eastAsia="Arial" w:hAnsi="Arial"/>
                <w:sz w:val="13"/>
                <w:szCs w:val="13"/>
                <w:color w:val="auto"/>
              </w:rPr>
              <w:t>32,294</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Susan O. Rheney</w:t>
            </w:r>
          </w:p>
        </w:tc>
        <w:tc>
          <w:tcPr>
            <w:tcW w:w="2760" w:type="dxa"/>
            <w:vAlign w:val="bottom"/>
          </w:tcPr>
          <w:p>
            <w:pPr>
              <w:jc w:val="right"/>
              <w:ind w:right="480"/>
              <w:spacing w:after="0" w:line="143" w:lineRule="exact"/>
              <w:rPr>
                <w:sz w:val="20"/>
                <w:szCs w:val="20"/>
                <w:color w:val="auto"/>
              </w:rPr>
            </w:pPr>
            <w:r>
              <w:rPr>
                <w:rFonts w:ascii="Arial" w:cs="Arial" w:eastAsia="Arial" w:hAnsi="Arial"/>
                <w:sz w:val="13"/>
                <w:szCs w:val="13"/>
                <w:color w:val="auto"/>
              </w:rPr>
              <w:t>65,928</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Phillip R. Smith</w:t>
            </w:r>
          </w:p>
        </w:tc>
        <w:tc>
          <w:tcPr>
            <w:tcW w:w="2760" w:type="dxa"/>
            <w:vAlign w:val="bottom"/>
            <w:shd w:val="clear" w:color="auto" w:fill="D8E7F3"/>
          </w:tcPr>
          <w:p>
            <w:pPr>
              <w:jc w:val="right"/>
              <w:ind w:right="480"/>
              <w:spacing w:after="0" w:line="143" w:lineRule="exact"/>
              <w:rPr>
                <w:sz w:val="20"/>
                <w:szCs w:val="20"/>
                <w:color w:val="auto"/>
              </w:rPr>
            </w:pPr>
            <w:r>
              <w:rPr>
                <w:rFonts w:ascii="Arial" w:cs="Arial" w:eastAsia="Arial" w:hAnsi="Arial"/>
                <w:sz w:val="13"/>
                <w:szCs w:val="13"/>
                <w:color w:val="auto"/>
              </w:rPr>
              <w:t>44,428</w:t>
            </w:r>
          </w:p>
        </w:tc>
      </w:tr>
      <w:tr>
        <w:trPr>
          <w:trHeight w:val="143"/>
        </w:trPr>
        <w:tc>
          <w:tcPr>
            <w:tcW w:w="6960" w:type="dxa"/>
            <w:vAlign w:val="bottom"/>
          </w:tcPr>
          <w:p>
            <w:pPr>
              <w:ind w:left="80"/>
              <w:spacing w:after="0" w:line="143" w:lineRule="exact"/>
              <w:rPr>
                <w:sz w:val="20"/>
                <w:szCs w:val="20"/>
                <w:color w:val="auto"/>
              </w:rPr>
            </w:pPr>
            <w:r>
              <w:rPr>
                <w:rFonts w:ascii="Arial" w:cs="Arial" w:eastAsia="Arial" w:hAnsi="Arial"/>
                <w:sz w:val="13"/>
                <w:szCs w:val="13"/>
                <w:color w:val="auto"/>
              </w:rPr>
              <w:t>Barry T. Smitherman</w:t>
            </w:r>
          </w:p>
        </w:tc>
        <w:tc>
          <w:tcPr>
            <w:tcW w:w="2760" w:type="dxa"/>
            <w:vAlign w:val="bottom"/>
          </w:tcPr>
          <w:p>
            <w:pPr>
              <w:jc w:val="right"/>
              <w:ind w:right="480"/>
              <w:spacing w:after="0" w:line="143" w:lineRule="exact"/>
              <w:rPr>
                <w:sz w:val="20"/>
                <w:szCs w:val="20"/>
                <w:color w:val="auto"/>
              </w:rPr>
            </w:pPr>
            <w:r>
              <w:rPr>
                <w:rFonts w:ascii="Arial" w:cs="Arial" w:eastAsia="Arial" w:hAnsi="Arial"/>
                <w:sz w:val="13"/>
                <w:szCs w:val="13"/>
                <w:color w:val="auto"/>
              </w:rPr>
              <w:t>36,310</w:t>
            </w:r>
          </w:p>
        </w:tc>
      </w:tr>
      <w:tr>
        <w:trPr>
          <w:trHeight w:val="143"/>
        </w:trPr>
        <w:tc>
          <w:tcPr>
            <w:tcW w:w="6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Jason P. Wells</w:t>
            </w:r>
          </w:p>
        </w:tc>
        <w:tc>
          <w:tcPr>
            <w:tcW w:w="2760" w:type="dxa"/>
            <w:vAlign w:val="bottom"/>
            <w:shd w:val="clear" w:color="auto" w:fill="D8E7F3"/>
          </w:tcPr>
          <w:p>
            <w:pPr>
              <w:jc w:val="right"/>
              <w:ind w:right="480"/>
              <w:spacing w:after="0" w:line="143" w:lineRule="exact"/>
              <w:rPr>
                <w:sz w:val="20"/>
                <w:szCs w:val="20"/>
                <w:color w:val="auto"/>
              </w:rPr>
            </w:pPr>
            <w:r>
              <w:rPr>
                <w:rFonts w:ascii="Arial" w:cs="Arial" w:eastAsia="Arial" w:hAnsi="Arial"/>
                <w:sz w:val="13"/>
                <w:szCs w:val="13"/>
                <w:color w:val="auto"/>
              </w:rPr>
              <w:t>—</w:t>
            </w:r>
          </w:p>
        </w:tc>
      </w:tr>
      <w:tr>
        <w:trPr>
          <w:trHeight w:val="207"/>
        </w:trPr>
        <w:tc>
          <w:tcPr>
            <w:tcW w:w="6960" w:type="dxa"/>
            <w:vAlign w:val="bottom"/>
          </w:tcPr>
          <w:p>
            <w:pPr>
              <w:ind w:left="80"/>
              <w:spacing w:after="0"/>
              <w:rPr>
                <w:sz w:val="20"/>
                <w:szCs w:val="20"/>
                <w:color w:val="auto"/>
              </w:rPr>
            </w:pPr>
            <w:r>
              <w:rPr>
                <w:rFonts w:ascii="Arial" w:cs="Arial" w:eastAsia="Arial" w:hAnsi="Arial"/>
                <w:sz w:val="13"/>
                <w:szCs w:val="13"/>
                <w:color w:val="auto"/>
              </w:rPr>
              <w:t>All executive officers and directors as a group (19 persons)</w:t>
            </w:r>
          </w:p>
        </w:tc>
        <w:tc>
          <w:tcPr>
            <w:tcW w:w="2760" w:type="dxa"/>
            <w:vAlign w:val="bottom"/>
          </w:tcPr>
          <w:p>
            <w:pPr>
              <w:jc w:val="right"/>
              <w:ind w:right="220"/>
              <w:spacing w:after="0" w:line="207" w:lineRule="exact"/>
              <w:rPr>
                <w:sz w:val="20"/>
                <w:szCs w:val="20"/>
                <w:color w:val="auto"/>
              </w:rPr>
            </w:pPr>
            <w:r>
              <w:rPr>
                <w:rFonts w:ascii="Arial" w:cs="Arial" w:eastAsia="Arial" w:hAnsi="Arial"/>
                <w:sz w:val="13"/>
                <w:szCs w:val="13"/>
                <w:color w:val="auto"/>
              </w:rPr>
              <w:t>672,209</w:t>
            </w:r>
            <w:r>
              <w:rPr>
                <w:rFonts w:ascii="Arial" w:cs="Arial" w:eastAsia="Arial" w:hAnsi="Arial"/>
                <w:sz w:val="21"/>
                <w:szCs w:val="21"/>
                <w:color w:val="auto"/>
                <w:vertAlign w:val="superscript"/>
              </w:rPr>
              <w:t>(7)(8)</w:t>
            </w:r>
          </w:p>
        </w:tc>
      </w:tr>
    </w:tbl>
    <w:p>
      <w:pPr>
        <w:ind w:left="300" w:hanging="291"/>
        <w:spacing w:after="0"/>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Unless otherwise indicated, the address of each beneficial owner is c/o CenterPoint Energy, Inc., 1111 Louisiana Street, Houston, Texas 77002.</w:t>
      </w:r>
    </w:p>
    <w:p>
      <w:pPr>
        <w:spacing w:after="0" w:line="52" w:lineRule="exact"/>
        <w:rPr>
          <w:rFonts w:ascii="Arial" w:cs="Arial" w:eastAsia="Arial" w:hAnsi="Arial"/>
          <w:sz w:val="13"/>
          <w:szCs w:val="13"/>
          <w:color w:val="auto"/>
        </w:rPr>
      </w:pPr>
    </w:p>
    <w:p>
      <w:pPr>
        <w:jc w:val="both"/>
        <w:ind w:left="300" w:hanging="291"/>
        <w:spacing w:after="0" w:line="233" w:lineRule="auto"/>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This information is as of December 31, 2020 and is based on a Schedule 13G/A filed with the Securities and Exchange Commission on February 10, 2021 by The Vanguard Group, Inc. This represents 11.91% of the outstanding common stock of CenterPoint Energy. The Schedule 13G/A reports no sole voting power for shares of common stock, shared voting power for 1,168,971 shares of common stock, sole dispositive power for 62,234,750 shares of common stock and shared dispositive power for 2,677,145 shares of common stock.</w:t>
      </w:r>
    </w:p>
    <w:p>
      <w:pPr>
        <w:spacing w:after="0" w:line="207"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33" w:name="page34"/>
    <w:bookmarkEnd w:id="3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Stock Ownership (continued)</w:t>
      </w:r>
    </w:p>
    <w:p>
      <w:pPr>
        <w:spacing w:after="0" w:line="136" w:lineRule="exact"/>
        <w:rPr>
          <w:sz w:val="20"/>
          <w:szCs w:val="20"/>
          <w:color w:val="auto"/>
        </w:rPr>
      </w:pPr>
    </w:p>
    <w:p>
      <w:pPr>
        <w:jc w:val="both"/>
        <w:ind w:left="300" w:hanging="291"/>
        <w:spacing w:after="0" w:line="233"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This information is as of December 31, 2020 and is based on a Schedule 13G/A filed with the Securities and Exchange Commission on February 5, 2021 by BlackRock, Inc. This represents 8.4% of the outstanding common stock of CenterPoint Energy. The Schedule 13G/A reports sole voting power for 41,375,896 shares of common stock, no shared voting power for shares of common stock, sole dispositive power for 45,749,772 shares of common stock and no shared dispositive power for shares of common stock.</w:t>
      </w:r>
    </w:p>
    <w:p>
      <w:pPr>
        <w:spacing w:after="0" w:line="50" w:lineRule="exact"/>
        <w:rPr>
          <w:rFonts w:ascii="Arial" w:cs="Arial" w:eastAsia="Arial" w:hAnsi="Arial"/>
          <w:sz w:val="13"/>
          <w:szCs w:val="13"/>
          <w:color w:val="auto"/>
        </w:rPr>
      </w:pPr>
    </w:p>
    <w:p>
      <w:pPr>
        <w:jc w:val="both"/>
        <w:ind w:left="300" w:hanging="291"/>
        <w:spacing w:after="0" w:line="233"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This information is as of December 31, 2020 and is based on a Schedule 13G filed with the Securities and Exchange Commission on February 8, 2021 by FMR LLC. This represents 5.785% of the outstanding common stock of CenterPoint Energy. The Schedule 13G reports sole voting power for 3,169,822 shares of common stock, no shared voting power for shares of common stock, sole dispositive power for 31,528,071 shares of common stock and no shared dispositive power for shares of common stock.</w:t>
      </w:r>
    </w:p>
    <w:p>
      <w:pPr>
        <w:spacing w:after="0" w:line="50" w:lineRule="exact"/>
        <w:rPr>
          <w:rFonts w:ascii="Arial" w:cs="Arial" w:eastAsia="Arial" w:hAnsi="Arial"/>
          <w:sz w:val="13"/>
          <w:szCs w:val="13"/>
          <w:color w:val="auto"/>
        </w:rPr>
      </w:pPr>
    </w:p>
    <w:p>
      <w:pPr>
        <w:jc w:val="both"/>
        <w:ind w:left="300" w:hanging="291"/>
        <w:spacing w:after="0" w:line="233"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This information is as of December 31, 2020 and is based on a Schedule 13G filed with the Securities and Exchange Commission on February 16, 2021 by Capital International Investors. This represents 5.4% of the outstanding common stock of CenterPoint Energy. The Schedule 13G reports sole voting power for 28,014,128 shares of common stock, no shared voting power for shares of common stock, sole dispositive power for 29,324,036 shares of common stock and no shared dispositive power for shares of common stock.</w:t>
      </w:r>
    </w:p>
    <w:p>
      <w:pPr>
        <w:spacing w:after="0" w:line="50" w:lineRule="exact"/>
        <w:rPr>
          <w:rFonts w:ascii="Arial" w:cs="Arial" w:eastAsia="Arial" w:hAnsi="Arial"/>
          <w:sz w:val="13"/>
          <w:szCs w:val="13"/>
          <w:color w:val="auto"/>
        </w:rPr>
      </w:pPr>
    </w:p>
    <w:p>
      <w:pPr>
        <w:jc w:val="both"/>
        <w:ind w:left="300" w:hanging="291"/>
        <w:spacing w:after="0" w:line="233"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This information is as of December 31, 2020 and is based on a Schedule 13G filed with the Securities and Exchange Commission on February 5, 2021 by State Street Corporation. This represents 5.27% of the outstanding common stock of CenterPoint Energy. The Schedule 13G reports no sole voting power for shares of common stock, shared voting power for 24,896,836 shares of common stock, no sole dispositive power for shares of common stock and shared dispositive power for 28,705,052 shares of common stock.</w:t>
      </w:r>
    </w:p>
    <w:p>
      <w:pPr>
        <w:spacing w:after="0" w:line="50" w:lineRule="exact"/>
        <w:rPr>
          <w:rFonts w:ascii="Arial" w:cs="Arial" w:eastAsia="Arial" w:hAnsi="Arial"/>
          <w:sz w:val="13"/>
          <w:szCs w:val="13"/>
          <w:color w:val="auto"/>
        </w:rPr>
      </w:pPr>
    </w:p>
    <w:p>
      <w:pPr>
        <w:jc w:val="both"/>
        <w:ind w:left="300" w:hanging="291"/>
        <w:spacing w:after="0" w:line="234" w:lineRule="auto"/>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shares of CenterPoint Energy common stock held under CenterPoint Energy’s savings plan, for which the participant has sole voting power (subject to such power being exercised by the plan’s trustee in the same proportion as directed shares in the savings plan are voted in the event the participant does not exercise voting power).</w:t>
      </w:r>
    </w:p>
    <w:p>
      <w:pPr>
        <w:spacing w:after="0" w:line="50" w:lineRule="exact"/>
        <w:rPr>
          <w:rFonts w:ascii="Arial" w:cs="Arial" w:eastAsia="Arial" w:hAnsi="Arial"/>
          <w:sz w:val="13"/>
          <w:szCs w:val="13"/>
          <w:color w:val="auto"/>
        </w:rPr>
      </w:pPr>
    </w:p>
    <w:p>
      <w:pPr>
        <w:ind w:left="300" w:hanging="291"/>
        <w:spacing w:after="0"/>
        <w:tabs>
          <w:tab w:leader="none" w:pos="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Does not include Messrs. Prochazka, Somerhalder and Vortherms and Ms. Liu, who departed from the Company.</w:t>
      </w:r>
    </w:p>
    <w:p>
      <w:pPr>
        <w:spacing w:after="0" w:line="177" w:lineRule="exact"/>
        <w:rPr>
          <w:sz w:val="20"/>
          <w:szCs w:val="20"/>
          <w:color w:val="auto"/>
        </w:rPr>
      </w:pPr>
    </w:p>
    <w:p>
      <w:pPr>
        <w:ind w:left="400" w:hanging="391"/>
        <w:spacing w:after="0"/>
        <w:tabs>
          <w:tab w:leader="none" w:pos="400" w:val="left"/>
        </w:tabs>
        <w:numPr>
          <w:ilvl w:val="0"/>
          <w:numId w:val="31"/>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34" w:name="page35"/>
    <w:bookmarkEnd w:id="34"/>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COMPENSATION DISCUSSION AND ANALYSIS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i w:val="1"/>
          <w:iCs w:val="1"/>
          <w:color w:val="auto"/>
        </w:rPr>
        <w:t>The following compensation discussion and analysis as well as the information provided under the “Executive Compensation Tables” section contains information regarding measures applicable to performance-based compensation and targets and other achievement levels associated with these measures. CenterPoint Energy cautions investors not to regard this information, to the extent it may relate to future periods or dates, as forecasts, projections or other guidance. The reasons for this caution include the following: The information regarding performance objectives and associated achievement levels was formulated as of earlier dates and does not take into account subsequent developments. The objectives may include adjustments from, or otherwise may not be comparable to, financial and operating measures that are publicly disclosed and may be considered of significance to investors. Some achievement levels, such as those relating to incentives for exceptional performance, may be based on assumptions that differ from actual results.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shd w:val="clear" w:color="auto" w:fill="0061AF"/>
          </w:tcPr>
          <w:p>
            <w:pPr>
              <w:spacing w:after="0"/>
              <w:rPr>
                <w:sz w:val="13"/>
                <w:szCs w:val="13"/>
                <w:color w:val="auto"/>
              </w:rPr>
            </w:pPr>
          </w:p>
        </w:tc>
        <w:tc>
          <w:tcPr>
            <w:tcW w:w="5660" w:type="dxa"/>
            <w:vAlign w:val="bottom"/>
            <w:shd w:val="clear" w:color="auto" w:fill="0061AF"/>
          </w:tcPr>
          <w:p>
            <w:pPr>
              <w:jc w:val="right"/>
              <w:ind w:right="4063"/>
              <w:spacing w:after="0"/>
              <w:rPr>
                <w:sz w:val="20"/>
                <w:szCs w:val="20"/>
                <w:color w:val="auto"/>
              </w:rPr>
            </w:pPr>
            <w:r>
              <w:rPr>
                <w:rFonts w:ascii="Arial" w:cs="Arial" w:eastAsia="Arial" w:hAnsi="Arial"/>
                <w:sz w:val="13"/>
                <w:szCs w:val="13"/>
                <w:b w:val="1"/>
                <w:bCs w:val="1"/>
                <w:color w:val="FFFFFF"/>
                <w:w w:val="99"/>
              </w:rPr>
              <w:t>CD&amp;A Table of Contents</w:t>
            </w:r>
          </w:p>
        </w:tc>
      </w:tr>
      <w:tr>
        <w:trPr>
          <w:trHeight w:val="179"/>
        </w:trPr>
        <w:tc>
          <w:tcPr>
            <w:tcW w:w="4060" w:type="dxa"/>
            <w:vAlign w:val="bottom"/>
          </w:tcPr>
          <w:p>
            <w:pPr>
              <w:ind w:left="100"/>
              <w:spacing w:after="0" w:line="178" w:lineRule="exact"/>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Executive Summary</w:t>
              </w:r>
            </w:hyperlink>
          </w:p>
        </w:tc>
        <w:tc>
          <w:tcPr>
            <w:tcW w:w="5660" w:type="dxa"/>
            <w:vAlign w:val="bottom"/>
          </w:tcPr>
          <w:p>
            <w:pPr>
              <w:jc w:val="right"/>
              <w:ind w:right="283"/>
              <w:spacing w:after="0" w:line="178" w:lineRule="exact"/>
              <w:rPr>
                <w:sz w:val="20"/>
                <w:szCs w:val="20"/>
                <w:color w:val="auto"/>
              </w:rPr>
            </w:pPr>
            <w:r>
              <w:rPr>
                <w:rFonts w:ascii="Arial" w:cs="Arial" w:eastAsia="Arial" w:hAnsi="Arial"/>
                <w:sz w:val="16"/>
                <w:szCs w:val="16"/>
                <w:color w:val="auto"/>
              </w:rPr>
              <w:t>29</w:t>
            </w:r>
          </w:p>
        </w:tc>
      </w:tr>
      <w:tr>
        <w:trPr>
          <w:trHeight w:val="179"/>
        </w:trPr>
        <w:tc>
          <w:tcPr>
            <w:tcW w:w="406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Executive Compensation Program Overview</w:t>
              </w:r>
            </w:hyperlink>
          </w:p>
        </w:tc>
        <w:tc>
          <w:tcPr>
            <w:tcW w:w="5660" w:type="dxa"/>
            <w:vAlign w:val="bottom"/>
            <w:shd w:val="clear" w:color="auto" w:fill="D8E7F3"/>
          </w:tcPr>
          <w:p>
            <w:pPr>
              <w:jc w:val="right"/>
              <w:ind w:right="283"/>
              <w:spacing w:after="0" w:line="178" w:lineRule="exact"/>
              <w:rPr>
                <w:sz w:val="20"/>
                <w:szCs w:val="20"/>
                <w:color w:val="auto"/>
              </w:rPr>
            </w:pPr>
            <w:r>
              <w:rPr>
                <w:rFonts w:ascii="Arial" w:cs="Arial" w:eastAsia="Arial" w:hAnsi="Arial"/>
                <w:sz w:val="16"/>
                <w:szCs w:val="16"/>
                <w:color w:val="auto"/>
              </w:rPr>
              <w:t>37</w:t>
            </w:r>
          </w:p>
        </w:tc>
      </w:tr>
      <w:tr>
        <w:trPr>
          <w:trHeight w:val="179"/>
        </w:trPr>
        <w:tc>
          <w:tcPr>
            <w:tcW w:w="4060" w:type="dxa"/>
            <w:vAlign w:val="bottom"/>
          </w:tcPr>
          <w:p>
            <w:pPr>
              <w:ind w:left="100"/>
              <w:spacing w:after="0" w:line="178" w:lineRule="exact"/>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Design of Executive Compensation Program</w:t>
              </w:r>
            </w:hyperlink>
          </w:p>
        </w:tc>
        <w:tc>
          <w:tcPr>
            <w:tcW w:w="5660" w:type="dxa"/>
            <w:vAlign w:val="bottom"/>
          </w:tcPr>
          <w:p>
            <w:pPr>
              <w:jc w:val="right"/>
              <w:ind w:right="283"/>
              <w:spacing w:after="0" w:line="178" w:lineRule="exact"/>
              <w:rPr>
                <w:sz w:val="20"/>
                <w:szCs w:val="20"/>
                <w:color w:val="auto"/>
              </w:rPr>
            </w:pPr>
            <w:r>
              <w:rPr>
                <w:rFonts w:ascii="Arial" w:cs="Arial" w:eastAsia="Arial" w:hAnsi="Arial"/>
                <w:sz w:val="16"/>
                <w:szCs w:val="16"/>
                <w:color w:val="auto"/>
              </w:rPr>
              <w:t>38</w:t>
            </w:r>
          </w:p>
        </w:tc>
      </w:tr>
      <w:tr>
        <w:trPr>
          <w:trHeight w:val="179"/>
        </w:trPr>
        <w:tc>
          <w:tcPr>
            <w:tcW w:w="406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2020 Executive Compensation Program</w:t>
              </w:r>
            </w:hyperlink>
          </w:p>
        </w:tc>
        <w:tc>
          <w:tcPr>
            <w:tcW w:w="5660" w:type="dxa"/>
            <w:vAlign w:val="bottom"/>
            <w:shd w:val="clear" w:color="auto" w:fill="D8E7F3"/>
          </w:tcPr>
          <w:p>
            <w:pPr>
              <w:jc w:val="right"/>
              <w:ind w:right="283"/>
              <w:spacing w:after="0" w:line="178" w:lineRule="exact"/>
              <w:rPr>
                <w:sz w:val="20"/>
                <w:szCs w:val="20"/>
                <w:color w:val="auto"/>
              </w:rPr>
            </w:pPr>
            <w:r>
              <w:rPr>
                <w:rFonts w:ascii="Arial" w:cs="Arial" w:eastAsia="Arial" w:hAnsi="Arial"/>
                <w:sz w:val="16"/>
                <w:szCs w:val="16"/>
                <w:color w:val="auto"/>
              </w:rPr>
              <w:t>40</w:t>
            </w:r>
          </w:p>
        </w:tc>
      </w:tr>
      <w:tr>
        <w:trPr>
          <w:trHeight w:val="179"/>
        </w:trPr>
        <w:tc>
          <w:tcPr>
            <w:tcW w:w="4060" w:type="dxa"/>
            <w:vAlign w:val="bottom"/>
          </w:tcPr>
          <w:p>
            <w:pPr>
              <w:ind w:left="100"/>
              <w:spacing w:after="0" w:line="178" w:lineRule="exact"/>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Our Executive Compensation Decision-Making Process</w:t>
              </w:r>
            </w:hyperlink>
          </w:p>
        </w:tc>
        <w:tc>
          <w:tcPr>
            <w:tcW w:w="5660" w:type="dxa"/>
            <w:vAlign w:val="bottom"/>
          </w:tcPr>
          <w:p>
            <w:pPr>
              <w:jc w:val="right"/>
              <w:ind w:right="283"/>
              <w:spacing w:after="0" w:line="178" w:lineRule="exact"/>
              <w:rPr>
                <w:sz w:val="20"/>
                <w:szCs w:val="20"/>
                <w:color w:val="auto"/>
              </w:rPr>
            </w:pPr>
            <w:r>
              <w:rPr>
                <w:rFonts w:ascii="Arial" w:cs="Arial" w:eastAsia="Arial" w:hAnsi="Arial"/>
                <w:sz w:val="16"/>
                <w:szCs w:val="16"/>
                <w:color w:val="auto"/>
              </w:rPr>
              <w:t>49</w:t>
            </w:r>
          </w:p>
        </w:tc>
      </w:tr>
      <w:tr>
        <w:trPr>
          <w:trHeight w:val="179"/>
        </w:trPr>
        <w:tc>
          <w:tcPr>
            <w:tcW w:w="4060" w:type="dxa"/>
            <w:vAlign w:val="bottom"/>
            <w:shd w:val="clear" w:color="auto" w:fill="D8E7F3"/>
          </w:tcPr>
          <w:p>
            <w:pPr>
              <w:ind w:left="100"/>
              <w:spacing w:after="0" w:line="178" w:lineRule="exact"/>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Other Compensation Programs and Practices</w:t>
              </w:r>
            </w:hyperlink>
          </w:p>
        </w:tc>
        <w:tc>
          <w:tcPr>
            <w:tcW w:w="5660" w:type="dxa"/>
            <w:vAlign w:val="bottom"/>
            <w:shd w:val="clear" w:color="auto" w:fill="D8E7F3"/>
          </w:tcPr>
          <w:p>
            <w:pPr>
              <w:jc w:val="right"/>
              <w:ind w:right="283"/>
              <w:spacing w:after="0" w:line="178" w:lineRule="exact"/>
              <w:rPr>
                <w:sz w:val="20"/>
                <w:szCs w:val="20"/>
                <w:color w:val="auto"/>
              </w:rPr>
            </w:pPr>
            <w:r>
              <w:rPr>
                <w:rFonts w:ascii="Arial" w:cs="Arial" w:eastAsia="Arial" w:hAnsi="Arial"/>
                <w:sz w:val="16"/>
                <w:szCs w:val="16"/>
                <w:color w:val="auto"/>
              </w:rPr>
              <w:t>52</w:t>
            </w:r>
          </w:p>
        </w:tc>
      </w:tr>
    </w:tbl>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Compensation Committee of the Board of Directors has developed a compensation program that aligns executive compensation with short-term and long-term performance against financial, operational and strategic goals that are key to delivering long-term value for our shareholders. This Compensation Discussion and Analysis (“CD&amp;A”) describes our executive compensation program, including the objectives and elements of compensation, as well as recommendations and determinations made by the Compensation Committee regarding the compensation of our named executive officers.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2020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132715</wp:posOffset>
            </wp:positionV>
            <wp:extent cx="5878830" cy="929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78830" cy="92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shd w:val="clear" w:color="auto" w:fill="0061AF"/>
          </w:tcPr>
          <w:p>
            <w:pPr>
              <w:jc w:val="center"/>
              <w:spacing w:after="0"/>
              <w:rPr>
                <w:sz w:val="20"/>
                <w:szCs w:val="20"/>
                <w:color w:val="auto"/>
              </w:rPr>
            </w:pPr>
            <w:r>
              <w:rPr>
                <w:rFonts w:ascii="Arial" w:cs="Arial" w:eastAsia="Arial" w:hAnsi="Arial"/>
                <w:sz w:val="16"/>
                <w:szCs w:val="16"/>
                <w:b w:val="1"/>
                <w:bCs w:val="1"/>
                <w:color w:val="FFFFFF"/>
                <w:w w:val="99"/>
              </w:rPr>
              <w:t>David J. Lesar</w:t>
            </w:r>
          </w:p>
        </w:tc>
        <w:tc>
          <w:tcPr>
            <w:tcW w:w="1660" w:type="dxa"/>
            <w:vAlign w:val="bottom"/>
            <w:shd w:val="clear" w:color="auto" w:fill="0061AF"/>
          </w:tcPr>
          <w:p>
            <w:pPr>
              <w:jc w:val="center"/>
              <w:spacing w:after="0"/>
              <w:rPr>
                <w:sz w:val="20"/>
                <w:szCs w:val="20"/>
                <w:color w:val="auto"/>
              </w:rPr>
            </w:pPr>
            <w:r>
              <w:rPr>
                <w:rFonts w:ascii="Arial" w:cs="Arial" w:eastAsia="Arial" w:hAnsi="Arial"/>
                <w:sz w:val="16"/>
                <w:szCs w:val="16"/>
                <w:b w:val="1"/>
                <w:bCs w:val="1"/>
                <w:color w:val="FFFFFF"/>
                <w:w w:val="96"/>
              </w:rPr>
              <w:t>Jason P. Wells</w:t>
            </w:r>
          </w:p>
        </w:tc>
        <w:tc>
          <w:tcPr>
            <w:tcW w:w="1580" w:type="dxa"/>
            <w:vAlign w:val="bottom"/>
            <w:shd w:val="clear" w:color="auto" w:fill="0061AF"/>
          </w:tcPr>
          <w:p>
            <w:pPr>
              <w:jc w:val="center"/>
              <w:spacing w:after="0"/>
              <w:rPr>
                <w:sz w:val="20"/>
                <w:szCs w:val="20"/>
                <w:color w:val="auto"/>
              </w:rPr>
            </w:pPr>
            <w:r>
              <w:rPr>
                <w:rFonts w:ascii="Arial" w:cs="Arial" w:eastAsia="Arial" w:hAnsi="Arial"/>
                <w:sz w:val="16"/>
                <w:szCs w:val="16"/>
                <w:b w:val="1"/>
                <w:bCs w:val="1"/>
                <w:color w:val="FFFFFF"/>
                <w:w w:val="98"/>
              </w:rPr>
              <w:t>Milton Carroll</w:t>
            </w:r>
          </w:p>
        </w:tc>
        <w:tc>
          <w:tcPr>
            <w:tcW w:w="1760" w:type="dxa"/>
            <w:vAlign w:val="bottom"/>
            <w:shd w:val="clear" w:color="auto" w:fill="0061AF"/>
          </w:tcPr>
          <w:p>
            <w:pPr>
              <w:jc w:val="center"/>
              <w:spacing w:after="0"/>
              <w:rPr>
                <w:sz w:val="20"/>
                <w:szCs w:val="20"/>
                <w:color w:val="auto"/>
              </w:rPr>
            </w:pPr>
            <w:r>
              <w:rPr>
                <w:rFonts w:ascii="Arial" w:cs="Arial" w:eastAsia="Arial" w:hAnsi="Arial"/>
                <w:sz w:val="16"/>
                <w:szCs w:val="16"/>
                <w:b w:val="1"/>
                <w:bCs w:val="1"/>
                <w:color w:val="FFFFFF"/>
              </w:rPr>
              <w:t>Kristie L. Colvin</w:t>
            </w:r>
          </w:p>
        </w:tc>
        <w:tc>
          <w:tcPr>
            <w:tcW w:w="1480" w:type="dxa"/>
            <w:vAlign w:val="bottom"/>
            <w:shd w:val="clear" w:color="auto" w:fill="0061AF"/>
          </w:tcPr>
          <w:p>
            <w:pPr>
              <w:jc w:val="center"/>
              <w:ind w:left="33"/>
              <w:spacing w:after="0"/>
              <w:rPr>
                <w:sz w:val="20"/>
                <w:szCs w:val="20"/>
                <w:color w:val="auto"/>
              </w:rPr>
            </w:pPr>
            <w:r>
              <w:rPr>
                <w:rFonts w:ascii="Arial" w:cs="Arial" w:eastAsia="Arial" w:hAnsi="Arial"/>
                <w:sz w:val="16"/>
                <w:szCs w:val="16"/>
                <w:b w:val="1"/>
                <w:bCs w:val="1"/>
                <w:color w:val="FFFFFF"/>
                <w:w w:val="98"/>
              </w:rPr>
              <w:t>Scott E. Doyle</w:t>
            </w:r>
          </w:p>
        </w:tc>
        <w:tc>
          <w:tcPr>
            <w:tcW w:w="1640" w:type="dxa"/>
            <w:vAlign w:val="bottom"/>
            <w:shd w:val="clear" w:color="auto" w:fill="0061AF"/>
          </w:tcPr>
          <w:p>
            <w:pPr>
              <w:jc w:val="center"/>
              <w:ind w:left="130"/>
              <w:spacing w:after="0"/>
              <w:rPr>
                <w:sz w:val="20"/>
                <w:szCs w:val="20"/>
                <w:color w:val="auto"/>
              </w:rPr>
            </w:pPr>
            <w:r>
              <w:rPr>
                <w:rFonts w:ascii="Arial" w:cs="Arial" w:eastAsia="Arial" w:hAnsi="Arial"/>
                <w:sz w:val="16"/>
                <w:szCs w:val="16"/>
                <w:b w:val="1"/>
                <w:bCs w:val="1"/>
                <w:color w:val="FFFFFF"/>
                <w:w w:val="99"/>
              </w:rPr>
              <w:t>Gregory E. Knight</w:t>
            </w:r>
          </w:p>
        </w:tc>
      </w:tr>
      <w:tr>
        <w:trPr>
          <w:trHeight w:val="195"/>
        </w:trPr>
        <w:tc>
          <w:tcPr>
            <w:tcW w:w="1600" w:type="dxa"/>
            <w:vAlign w:val="bottom"/>
          </w:tcPr>
          <w:p>
            <w:pPr>
              <w:jc w:val="center"/>
              <w:spacing w:after="0"/>
              <w:rPr>
                <w:sz w:val="20"/>
                <w:szCs w:val="20"/>
                <w:color w:val="auto"/>
              </w:rPr>
            </w:pPr>
            <w:r>
              <w:rPr>
                <w:rFonts w:ascii="Arial" w:cs="Arial" w:eastAsia="Arial" w:hAnsi="Arial"/>
                <w:sz w:val="13"/>
                <w:szCs w:val="13"/>
                <w:i w:val="1"/>
                <w:iCs w:val="1"/>
                <w:color w:val="0061AF"/>
                <w:w w:val="97"/>
              </w:rPr>
              <w:t>President, Chief</w:t>
            </w:r>
          </w:p>
        </w:tc>
        <w:tc>
          <w:tcPr>
            <w:tcW w:w="1660" w:type="dxa"/>
            <w:vAlign w:val="bottom"/>
          </w:tcPr>
          <w:p>
            <w:pPr>
              <w:jc w:val="center"/>
              <w:spacing w:after="0"/>
              <w:rPr>
                <w:sz w:val="20"/>
                <w:szCs w:val="20"/>
                <w:color w:val="auto"/>
              </w:rPr>
            </w:pPr>
            <w:r>
              <w:rPr>
                <w:rFonts w:ascii="Arial" w:cs="Arial" w:eastAsia="Arial" w:hAnsi="Arial"/>
                <w:sz w:val="13"/>
                <w:szCs w:val="13"/>
                <w:i w:val="1"/>
                <w:iCs w:val="1"/>
                <w:color w:val="0061AF"/>
                <w:w w:val="98"/>
              </w:rPr>
              <w:t>Executive Vice</w:t>
            </w:r>
          </w:p>
        </w:tc>
        <w:tc>
          <w:tcPr>
            <w:tcW w:w="1580" w:type="dxa"/>
            <w:vAlign w:val="bottom"/>
          </w:tcPr>
          <w:p>
            <w:pPr>
              <w:jc w:val="center"/>
              <w:spacing w:after="0"/>
              <w:rPr>
                <w:sz w:val="20"/>
                <w:szCs w:val="20"/>
                <w:color w:val="auto"/>
              </w:rPr>
            </w:pPr>
            <w:r>
              <w:rPr>
                <w:rFonts w:ascii="Arial" w:cs="Arial" w:eastAsia="Arial" w:hAnsi="Arial"/>
                <w:sz w:val="13"/>
                <w:szCs w:val="13"/>
                <w:i w:val="1"/>
                <w:iCs w:val="1"/>
                <w:color w:val="0061AF"/>
                <w:w w:val="99"/>
              </w:rPr>
              <w:t>Executive</w:t>
            </w:r>
          </w:p>
        </w:tc>
        <w:tc>
          <w:tcPr>
            <w:tcW w:w="1760" w:type="dxa"/>
            <w:vAlign w:val="bottom"/>
          </w:tcPr>
          <w:p>
            <w:pPr>
              <w:jc w:val="center"/>
              <w:spacing w:after="0"/>
              <w:rPr>
                <w:sz w:val="20"/>
                <w:szCs w:val="20"/>
                <w:color w:val="auto"/>
              </w:rPr>
            </w:pPr>
            <w:r>
              <w:rPr>
                <w:rFonts w:ascii="Arial" w:cs="Arial" w:eastAsia="Arial" w:hAnsi="Arial"/>
                <w:sz w:val="13"/>
                <w:szCs w:val="13"/>
                <w:i w:val="1"/>
                <w:iCs w:val="1"/>
                <w:color w:val="0061AF"/>
                <w:w w:val="97"/>
              </w:rPr>
              <w:t>Senior Vice President</w:t>
            </w:r>
          </w:p>
        </w:tc>
        <w:tc>
          <w:tcPr>
            <w:tcW w:w="1480" w:type="dxa"/>
            <w:vAlign w:val="bottom"/>
          </w:tcPr>
          <w:p>
            <w:pPr>
              <w:jc w:val="center"/>
              <w:ind w:left="33"/>
              <w:spacing w:after="0"/>
              <w:rPr>
                <w:sz w:val="20"/>
                <w:szCs w:val="20"/>
                <w:color w:val="auto"/>
              </w:rPr>
            </w:pPr>
            <w:r>
              <w:rPr>
                <w:rFonts w:ascii="Arial" w:cs="Arial" w:eastAsia="Arial" w:hAnsi="Arial"/>
                <w:sz w:val="13"/>
                <w:szCs w:val="13"/>
                <w:i w:val="1"/>
                <w:iCs w:val="1"/>
                <w:color w:val="0061AF"/>
                <w:w w:val="96"/>
              </w:rPr>
              <w:t>Executive Vice</w:t>
            </w:r>
          </w:p>
        </w:tc>
        <w:tc>
          <w:tcPr>
            <w:tcW w:w="1640" w:type="dxa"/>
            <w:vAlign w:val="bottom"/>
          </w:tcPr>
          <w:p>
            <w:pPr>
              <w:jc w:val="center"/>
              <w:ind w:left="110"/>
              <w:spacing w:after="0"/>
              <w:rPr>
                <w:sz w:val="20"/>
                <w:szCs w:val="20"/>
                <w:color w:val="auto"/>
              </w:rPr>
            </w:pPr>
            <w:r>
              <w:rPr>
                <w:rFonts w:ascii="Arial" w:cs="Arial" w:eastAsia="Arial" w:hAnsi="Arial"/>
                <w:sz w:val="13"/>
                <w:szCs w:val="13"/>
                <w:i w:val="1"/>
                <w:iCs w:val="1"/>
                <w:color w:val="0061AF"/>
                <w:w w:val="96"/>
              </w:rPr>
              <w:t>Executive Vice</w:t>
            </w:r>
          </w:p>
        </w:tc>
      </w:tr>
      <w:tr>
        <w:trPr>
          <w:trHeight w:val="143"/>
        </w:trPr>
        <w:tc>
          <w:tcPr>
            <w:tcW w:w="160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7"/>
              </w:rPr>
              <w:t>Executive Officer &amp;</w:t>
            </w:r>
          </w:p>
        </w:tc>
        <w:tc>
          <w:tcPr>
            <w:tcW w:w="166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6"/>
              </w:rPr>
              <w:t>President &amp; Chief</w:t>
            </w:r>
          </w:p>
        </w:tc>
        <w:tc>
          <w:tcPr>
            <w:tcW w:w="158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9"/>
              </w:rPr>
              <w:t>Chairman</w:t>
            </w:r>
          </w:p>
        </w:tc>
        <w:tc>
          <w:tcPr>
            <w:tcW w:w="176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7"/>
              </w:rPr>
              <w:t>&amp; Chief Accounting</w:t>
            </w:r>
          </w:p>
        </w:tc>
        <w:tc>
          <w:tcPr>
            <w:tcW w:w="1480" w:type="dxa"/>
            <w:vAlign w:val="bottom"/>
          </w:tcPr>
          <w:p>
            <w:pPr>
              <w:jc w:val="center"/>
              <w:ind w:left="33"/>
              <w:spacing w:after="0" w:line="143" w:lineRule="exact"/>
              <w:rPr>
                <w:sz w:val="20"/>
                <w:szCs w:val="20"/>
                <w:color w:val="auto"/>
              </w:rPr>
            </w:pPr>
            <w:r>
              <w:rPr>
                <w:rFonts w:ascii="Arial" w:cs="Arial" w:eastAsia="Arial" w:hAnsi="Arial"/>
                <w:sz w:val="13"/>
                <w:szCs w:val="13"/>
                <w:i w:val="1"/>
                <w:iCs w:val="1"/>
                <w:color w:val="0061AF"/>
                <w:w w:val="97"/>
              </w:rPr>
              <w:t>President, Natural</w:t>
            </w:r>
          </w:p>
        </w:tc>
        <w:tc>
          <w:tcPr>
            <w:tcW w:w="1640" w:type="dxa"/>
            <w:vAlign w:val="bottom"/>
          </w:tcPr>
          <w:p>
            <w:pPr>
              <w:jc w:val="center"/>
              <w:ind w:left="130"/>
              <w:spacing w:after="0" w:line="143" w:lineRule="exact"/>
              <w:rPr>
                <w:sz w:val="20"/>
                <w:szCs w:val="20"/>
                <w:color w:val="auto"/>
              </w:rPr>
            </w:pPr>
            <w:r>
              <w:rPr>
                <w:rFonts w:ascii="Arial" w:cs="Arial" w:eastAsia="Arial" w:hAnsi="Arial"/>
                <w:sz w:val="13"/>
                <w:szCs w:val="13"/>
                <w:i w:val="1"/>
                <w:iCs w:val="1"/>
                <w:color w:val="0061AF"/>
                <w:w w:val="97"/>
              </w:rPr>
              <w:t>President, Customer</w:t>
            </w:r>
          </w:p>
        </w:tc>
      </w:tr>
      <w:tr>
        <w:trPr>
          <w:trHeight w:val="143"/>
        </w:trPr>
        <w:tc>
          <w:tcPr>
            <w:tcW w:w="160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6"/>
              </w:rPr>
              <w:t>Director</w:t>
            </w:r>
          </w:p>
        </w:tc>
        <w:tc>
          <w:tcPr>
            <w:tcW w:w="166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7"/>
              </w:rPr>
              <w:t>Financial Officer</w:t>
            </w:r>
          </w:p>
        </w:tc>
        <w:tc>
          <w:tcPr>
            <w:tcW w:w="1580" w:type="dxa"/>
            <w:vAlign w:val="bottom"/>
          </w:tcPr>
          <w:p>
            <w:pPr>
              <w:spacing w:after="0"/>
              <w:rPr>
                <w:sz w:val="12"/>
                <w:szCs w:val="12"/>
                <w:color w:val="auto"/>
              </w:rPr>
            </w:pPr>
          </w:p>
        </w:tc>
        <w:tc>
          <w:tcPr>
            <w:tcW w:w="176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7"/>
              </w:rPr>
              <w:t>Officer and Former</w:t>
            </w:r>
          </w:p>
        </w:tc>
        <w:tc>
          <w:tcPr>
            <w:tcW w:w="1480" w:type="dxa"/>
            <w:vAlign w:val="bottom"/>
          </w:tcPr>
          <w:p>
            <w:pPr>
              <w:jc w:val="center"/>
              <w:ind w:left="33"/>
              <w:spacing w:after="0" w:line="143" w:lineRule="exact"/>
              <w:rPr>
                <w:sz w:val="20"/>
                <w:szCs w:val="20"/>
                <w:color w:val="auto"/>
              </w:rPr>
            </w:pPr>
            <w:r>
              <w:rPr>
                <w:rFonts w:ascii="Arial" w:cs="Arial" w:eastAsia="Arial" w:hAnsi="Arial"/>
                <w:sz w:val="13"/>
                <w:szCs w:val="13"/>
                <w:i w:val="1"/>
                <w:iCs w:val="1"/>
                <w:color w:val="0061AF"/>
                <w:w w:val="92"/>
              </w:rPr>
              <w:t>Gas</w:t>
            </w:r>
          </w:p>
        </w:tc>
        <w:tc>
          <w:tcPr>
            <w:tcW w:w="1640" w:type="dxa"/>
            <w:vAlign w:val="bottom"/>
          </w:tcPr>
          <w:p>
            <w:pPr>
              <w:jc w:val="center"/>
              <w:ind w:left="130"/>
              <w:spacing w:after="0" w:line="143" w:lineRule="exact"/>
              <w:rPr>
                <w:sz w:val="20"/>
                <w:szCs w:val="20"/>
                <w:color w:val="auto"/>
              </w:rPr>
            </w:pPr>
            <w:r>
              <w:rPr>
                <w:rFonts w:ascii="Arial" w:cs="Arial" w:eastAsia="Arial" w:hAnsi="Arial"/>
                <w:sz w:val="13"/>
                <w:szCs w:val="13"/>
                <w:i w:val="1"/>
                <w:iCs w:val="1"/>
                <w:color w:val="0061AF"/>
                <w:w w:val="96"/>
              </w:rPr>
              <w:t>Transformation &amp;</w:t>
            </w:r>
          </w:p>
        </w:tc>
      </w:tr>
      <w:tr>
        <w:trPr>
          <w:trHeight w:val="143"/>
        </w:trPr>
        <w:tc>
          <w:tcPr>
            <w:tcW w:w="1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6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7"/>
              </w:rPr>
              <w:t>Interim Executive Vice</w:t>
            </w:r>
          </w:p>
        </w:tc>
        <w:tc>
          <w:tcPr>
            <w:tcW w:w="1480" w:type="dxa"/>
            <w:vAlign w:val="bottom"/>
          </w:tcPr>
          <w:p>
            <w:pPr>
              <w:spacing w:after="0"/>
              <w:rPr>
                <w:sz w:val="12"/>
                <w:szCs w:val="12"/>
                <w:color w:val="auto"/>
              </w:rPr>
            </w:pPr>
          </w:p>
        </w:tc>
        <w:tc>
          <w:tcPr>
            <w:tcW w:w="1640" w:type="dxa"/>
            <w:vAlign w:val="bottom"/>
          </w:tcPr>
          <w:p>
            <w:pPr>
              <w:jc w:val="center"/>
              <w:ind w:left="130"/>
              <w:spacing w:after="0" w:line="143" w:lineRule="exact"/>
              <w:rPr>
                <w:sz w:val="20"/>
                <w:szCs w:val="20"/>
                <w:color w:val="auto"/>
              </w:rPr>
            </w:pPr>
            <w:r>
              <w:rPr>
                <w:rFonts w:ascii="Arial" w:cs="Arial" w:eastAsia="Arial" w:hAnsi="Arial"/>
                <w:sz w:val="13"/>
                <w:szCs w:val="13"/>
                <w:i w:val="1"/>
                <w:iCs w:val="1"/>
                <w:color w:val="0061AF"/>
                <w:w w:val="97"/>
              </w:rPr>
              <w:t>Business Services</w:t>
            </w:r>
          </w:p>
        </w:tc>
      </w:tr>
      <w:tr>
        <w:trPr>
          <w:trHeight w:val="143"/>
        </w:trPr>
        <w:tc>
          <w:tcPr>
            <w:tcW w:w="1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60" w:type="dxa"/>
            <w:vAlign w:val="bottom"/>
          </w:tcPr>
          <w:p>
            <w:pPr>
              <w:jc w:val="center"/>
              <w:spacing w:after="0" w:line="143" w:lineRule="exact"/>
              <w:rPr>
                <w:sz w:val="20"/>
                <w:szCs w:val="20"/>
                <w:color w:val="auto"/>
              </w:rPr>
            </w:pPr>
            <w:r>
              <w:rPr>
                <w:rFonts w:ascii="Arial" w:cs="Arial" w:eastAsia="Arial" w:hAnsi="Arial"/>
                <w:sz w:val="13"/>
                <w:szCs w:val="13"/>
                <w:i w:val="1"/>
                <w:iCs w:val="1"/>
                <w:color w:val="0061AF"/>
                <w:w w:val="96"/>
              </w:rPr>
              <w:t>President &amp; Chief</w:t>
            </w:r>
          </w:p>
        </w:tc>
        <w:tc>
          <w:tcPr>
            <w:tcW w:w="14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65"/>
        </w:trPr>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i w:val="1"/>
                <w:iCs w:val="1"/>
                <w:color w:val="0061AF"/>
                <w:w w:val="97"/>
              </w:rPr>
              <w:t>Financial Officer</w:t>
            </w: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83"/>
        </w:trPr>
        <w:tc>
          <w:tcPr>
            <w:tcW w:w="1600" w:type="dxa"/>
            <w:vAlign w:val="bottom"/>
            <w:tcBorders>
              <w:bottom w:val="single" w:sz="8" w:color="0061AF"/>
            </w:tcBorders>
          </w:tcPr>
          <w:p>
            <w:pPr>
              <w:spacing w:after="0"/>
              <w:rPr>
                <w:sz w:val="24"/>
                <w:szCs w:val="24"/>
                <w:color w:val="auto"/>
              </w:rPr>
            </w:pPr>
          </w:p>
        </w:tc>
        <w:tc>
          <w:tcPr>
            <w:tcW w:w="1660" w:type="dxa"/>
            <w:vAlign w:val="bottom"/>
            <w:tcBorders>
              <w:bottom w:val="single" w:sz="8" w:color="0061AF"/>
            </w:tcBorders>
          </w:tcPr>
          <w:p>
            <w:pPr>
              <w:spacing w:after="0"/>
              <w:rPr>
                <w:sz w:val="24"/>
                <w:szCs w:val="24"/>
                <w:color w:val="auto"/>
              </w:rPr>
            </w:pPr>
          </w:p>
        </w:tc>
        <w:tc>
          <w:tcPr>
            <w:tcW w:w="1580" w:type="dxa"/>
            <w:vAlign w:val="bottom"/>
            <w:tcBorders>
              <w:bottom w:val="single" w:sz="8" w:color="0061AF"/>
            </w:tcBorders>
          </w:tcPr>
          <w:p>
            <w:pPr>
              <w:spacing w:after="0"/>
              <w:rPr>
                <w:sz w:val="24"/>
                <w:szCs w:val="24"/>
                <w:color w:val="auto"/>
              </w:rPr>
            </w:pPr>
          </w:p>
        </w:tc>
        <w:tc>
          <w:tcPr>
            <w:tcW w:w="1760" w:type="dxa"/>
            <w:vAlign w:val="bottom"/>
            <w:tcBorders>
              <w:bottom w:val="single" w:sz="8" w:color="0061AF"/>
            </w:tcBorders>
          </w:tcPr>
          <w:p>
            <w:pPr>
              <w:spacing w:after="0"/>
              <w:rPr>
                <w:sz w:val="24"/>
                <w:szCs w:val="24"/>
                <w:color w:val="auto"/>
              </w:rPr>
            </w:pPr>
          </w:p>
        </w:tc>
        <w:tc>
          <w:tcPr>
            <w:tcW w:w="1480" w:type="dxa"/>
            <w:vAlign w:val="bottom"/>
            <w:tcBorders>
              <w:bottom w:val="single" w:sz="8" w:color="0061AF"/>
            </w:tcBorders>
          </w:tcPr>
          <w:p>
            <w:pPr>
              <w:spacing w:after="0"/>
              <w:rPr>
                <w:sz w:val="24"/>
                <w:szCs w:val="24"/>
                <w:color w:val="auto"/>
              </w:rPr>
            </w:pPr>
          </w:p>
        </w:tc>
        <w:tc>
          <w:tcPr>
            <w:tcW w:w="1640" w:type="dxa"/>
            <w:vAlign w:val="bottom"/>
            <w:tcBorders>
              <w:bottom w:val="single" w:sz="8" w:color="0061AF"/>
            </w:tcBorders>
          </w:tcPr>
          <w:p>
            <w:pPr>
              <w:spacing w:after="0"/>
              <w:rPr>
                <w:sz w:val="24"/>
                <w:szCs w:val="24"/>
                <w:color w:val="auto"/>
              </w:rPr>
            </w:pPr>
          </w:p>
        </w:tc>
      </w:tr>
      <w:tr>
        <w:trPr>
          <w:trHeight w:val="244"/>
        </w:trPr>
        <w:tc>
          <w:tcPr>
            <w:tcW w:w="16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40" w:type="dxa"/>
            <w:vAlign w:val="bottom"/>
          </w:tcPr>
          <w:p>
            <w:pPr>
              <w:jc w:val="center"/>
              <w:ind w:left="90"/>
              <w:spacing w:after="0"/>
              <w:rPr>
                <w:sz w:val="20"/>
                <w:szCs w:val="20"/>
                <w:color w:val="auto"/>
              </w:rPr>
            </w:pPr>
            <w:r>
              <w:rPr>
                <w:rFonts w:ascii="Arial" w:cs="Arial" w:eastAsia="Arial" w:hAnsi="Arial"/>
                <w:sz w:val="17"/>
                <w:szCs w:val="17"/>
                <w:color w:val="auto"/>
                <w:w w:val="99"/>
              </w:rPr>
              <w:t>Always There</w:t>
            </w:r>
            <w:r>
              <w:rPr>
                <w:rFonts w:ascii="Arial" w:cs="Arial" w:eastAsia="Arial" w:hAnsi="Arial"/>
                <w:sz w:val="14"/>
                <w:szCs w:val="14"/>
                <w:color w:val="auto"/>
                <w:w w:val="99"/>
              </w:rPr>
              <w:t>®</w:t>
            </w:r>
            <w:r>
              <w:rPr>
                <w:rFonts w:ascii="Arial" w:cs="Arial" w:eastAsia="Arial" w:hAnsi="Arial"/>
                <w:sz w:val="17"/>
                <w:szCs w:val="17"/>
                <w:color w:val="auto"/>
                <w:w w:val="99"/>
              </w:rPr>
              <w:t xml:space="preserve">   </w:t>
            </w:r>
            <w:r>
              <w:rPr>
                <w:rFonts w:ascii="Arial" w:cs="Arial" w:eastAsia="Arial" w:hAnsi="Arial"/>
                <w:sz w:val="19"/>
                <w:szCs w:val="19"/>
                <w:b w:val="1"/>
                <w:bCs w:val="1"/>
                <w:color w:val="0061AF"/>
                <w:w w:val="99"/>
              </w:rPr>
              <w:t>29</w:t>
            </w:r>
          </w:p>
        </w:tc>
      </w:tr>
    </w:tbl>
    <w:p>
      <w:pPr>
        <w:sectPr>
          <w:pgSz w:w="11900" w:h="16838" w:orient="portrait"/>
          <w:cols w:equalWidth="0" w:num="1">
            <w:col w:w="9720"/>
          </w:cols>
          <w:pgMar w:left="1080" w:top="305" w:right="1099" w:bottom="1440" w:gutter="0" w:footer="0" w:header="0"/>
        </w:sectPr>
      </w:pPr>
    </w:p>
    <w:bookmarkStart w:id="35" w:name="page36"/>
    <w:bookmarkEnd w:id="35"/>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2020 include the following individuals who departed the Company during 2020:</w:t>
      </w:r>
    </w:p>
    <w:p>
      <w:pPr>
        <w:spacing w:after="0" w:line="102" w:lineRule="exact"/>
        <w:rPr>
          <w:sz w:val="20"/>
          <w:szCs w:val="20"/>
          <w:color w:val="auto"/>
        </w:rPr>
      </w:pPr>
    </w:p>
    <w:p>
      <w:pPr>
        <w:ind w:left="780" w:hanging="390"/>
        <w:spacing w:after="0"/>
        <w:tabs>
          <w:tab w:leader="none" w:pos="780" w:val="left"/>
        </w:tabs>
        <w:numPr>
          <w:ilvl w:val="0"/>
          <w:numId w:val="32"/>
        </w:numPr>
        <w:rPr>
          <w:rFonts w:ascii="Arial" w:cs="Arial" w:eastAsia="Arial" w:hAnsi="Arial"/>
          <w:sz w:val="16"/>
          <w:szCs w:val="16"/>
          <w:color w:val="0061AF"/>
        </w:rPr>
      </w:pPr>
      <w:r>
        <w:rPr>
          <w:rFonts w:ascii="Arial" w:cs="Arial" w:eastAsia="Arial" w:hAnsi="Arial"/>
          <w:sz w:val="16"/>
          <w:szCs w:val="16"/>
          <w:color w:val="auto"/>
        </w:rPr>
        <w:t>Scott M. Prochazka, our former President, Chief Executive Officer and Director;</w:t>
      </w:r>
    </w:p>
    <w:p>
      <w:pPr>
        <w:spacing w:after="0" w:line="101" w:lineRule="exact"/>
        <w:rPr>
          <w:rFonts w:ascii="Arial" w:cs="Arial" w:eastAsia="Arial" w:hAnsi="Arial"/>
          <w:sz w:val="16"/>
          <w:szCs w:val="16"/>
          <w:color w:val="0061AF"/>
        </w:rPr>
      </w:pPr>
    </w:p>
    <w:p>
      <w:pPr>
        <w:ind w:left="780" w:hanging="390"/>
        <w:spacing w:after="0"/>
        <w:tabs>
          <w:tab w:leader="none" w:pos="780" w:val="left"/>
        </w:tabs>
        <w:numPr>
          <w:ilvl w:val="0"/>
          <w:numId w:val="32"/>
        </w:numPr>
        <w:rPr>
          <w:rFonts w:ascii="Arial" w:cs="Arial" w:eastAsia="Arial" w:hAnsi="Arial"/>
          <w:sz w:val="16"/>
          <w:szCs w:val="16"/>
          <w:color w:val="0061AF"/>
        </w:rPr>
      </w:pPr>
      <w:r>
        <w:rPr>
          <w:rFonts w:ascii="Arial" w:cs="Arial" w:eastAsia="Arial" w:hAnsi="Arial"/>
          <w:sz w:val="16"/>
          <w:szCs w:val="16"/>
          <w:color w:val="auto"/>
        </w:rPr>
        <w:t>Xia Liu, our former Executive Vice President and Chief Financial Officer;</w:t>
      </w:r>
    </w:p>
    <w:p>
      <w:pPr>
        <w:spacing w:after="0" w:line="101" w:lineRule="exact"/>
        <w:rPr>
          <w:rFonts w:ascii="Arial" w:cs="Arial" w:eastAsia="Arial" w:hAnsi="Arial"/>
          <w:sz w:val="16"/>
          <w:szCs w:val="16"/>
          <w:color w:val="0061AF"/>
        </w:rPr>
      </w:pPr>
    </w:p>
    <w:p>
      <w:pPr>
        <w:ind w:left="780" w:hanging="390"/>
        <w:spacing w:after="0"/>
        <w:tabs>
          <w:tab w:leader="none" w:pos="780" w:val="left"/>
        </w:tabs>
        <w:numPr>
          <w:ilvl w:val="0"/>
          <w:numId w:val="32"/>
        </w:numPr>
        <w:rPr>
          <w:rFonts w:ascii="Arial" w:cs="Arial" w:eastAsia="Arial" w:hAnsi="Arial"/>
          <w:sz w:val="16"/>
          <w:szCs w:val="16"/>
          <w:color w:val="0061AF"/>
        </w:rPr>
      </w:pPr>
      <w:r>
        <w:rPr>
          <w:rFonts w:ascii="Arial" w:cs="Arial" w:eastAsia="Arial" w:hAnsi="Arial"/>
          <w:sz w:val="16"/>
          <w:szCs w:val="16"/>
          <w:color w:val="auto"/>
        </w:rPr>
        <w:t>John W. Somerhalder II, our former Interim President and Chief Executive Officer and Director; and</w:t>
      </w:r>
    </w:p>
    <w:p>
      <w:pPr>
        <w:spacing w:after="0" w:line="101" w:lineRule="exact"/>
        <w:rPr>
          <w:rFonts w:ascii="Arial" w:cs="Arial" w:eastAsia="Arial" w:hAnsi="Arial"/>
          <w:sz w:val="16"/>
          <w:szCs w:val="16"/>
          <w:color w:val="0061AF"/>
        </w:rPr>
      </w:pPr>
    </w:p>
    <w:p>
      <w:pPr>
        <w:ind w:left="780" w:hanging="390"/>
        <w:spacing w:after="0"/>
        <w:tabs>
          <w:tab w:leader="none" w:pos="780" w:val="left"/>
        </w:tabs>
        <w:numPr>
          <w:ilvl w:val="0"/>
          <w:numId w:val="32"/>
        </w:numPr>
        <w:rPr>
          <w:rFonts w:ascii="Arial" w:cs="Arial" w:eastAsia="Arial" w:hAnsi="Arial"/>
          <w:sz w:val="16"/>
          <w:szCs w:val="16"/>
          <w:color w:val="0061AF"/>
        </w:rPr>
      </w:pPr>
      <w:r>
        <w:rPr>
          <w:rFonts w:ascii="Arial" w:cs="Arial" w:eastAsia="Arial" w:hAnsi="Arial"/>
          <w:sz w:val="16"/>
          <w:szCs w:val="16"/>
          <w:color w:val="auto"/>
        </w:rPr>
        <w:t>Joseph J. Vortherms, our former Senior Vice President, Energy Services.</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this proxy statement, we refer to David J. Lesar, Jason P. Wells, Kristie L. Colvin, Scott E. Doyle and Gregory E. Knight and, for periods prior to their respective departures, Scott M. Prochazka (February 19, 2020), Xia Liu (April 1, 2020), John W. Somerhalder II (June 30, 2020) and Joseph J. Vortherms (October 2, 2020) as our “senior executive officers.” We also describe and discuss the compensation of our Executive Chairman, Milton Carroll. We refer to our Executive Chairman and our senior executive officers collectively as our “named executive officers” in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Shareholder Engagement and Say-on-Pay Vote</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Feedback from our shareholders is a critical part of our Company’s and our Compensation Committee’s approach to designing our executive compensation program. Each year, we engage in shareholder outreach through various engagement channels including direct meetings, analyst conferences and road shows, among others, and proactively solicit feedback. We also reach out to the proxy governance teams of certain of our large institutional investors to solicit feedback on a range of topics, including, among other topics, our executive compensation program, including short-term and long-term incentive plan design and executive succession planning, ESG matters, including our corporate governance practices such as board composition and refreshment, environmental and sustainability matters, such as climate change and our carbon emissions reduction targets, human capital management, including our diversity and inclusion initiatives and COVID-19 response, and proxy statement disclosure.</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At the 2020 Annual Meeting of Shareholders, we received 57% support on our annual advisory vote on executive compensation, down from 93.5% support at our 2019 Annual Meeting. Our executive compensation programs have historically received strong shareholder support (averaging approximately 93% over 2017, 2018 and 2019).</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response to the outcome of the 2020 advisory vote on executive compensation, we reached out to our top 28 shareholders, representing approximately 64% of our outstanding shares, to request meetings to discuss any issues or concerns they had, particularly with respect to our executive compensation program. Shareholders representing 42% of our outstanding shares agreed to engage with us. For those that did not respond or agree to engage with us, we reached out to them again to request meetings.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November and December of 2020, key members of our executive leadership team representing Human Resources, Investor Relations, Corporate Governance and Environmental, along with our Compensation Committee Chair in certain instances, participated in our shareholder engagement. We provided an open forum to each shareholder to discuss and comment on any aspects of the Company’s executive compensation program or ESG matters. Overall, we received generally positive and constructive feedback from the shareholders who engaged with us regarding the Company’s executive compensation program and our ESG practices. The Company, after this engagement with these shareholders, agreed to keep in contact with them, as well as the other shareholders who chose not to engage with the Company, to continue to receive any such feedback they may have on the Company’s executive compensation program and our ESG practices.</w:t>
      </w:r>
    </w:p>
    <w:p>
      <w:pPr>
        <w:spacing w:after="0" w:line="181" w:lineRule="exact"/>
        <w:rPr>
          <w:sz w:val="20"/>
          <w:szCs w:val="20"/>
          <w:color w:val="auto"/>
        </w:rPr>
      </w:pPr>
    </w:p>
    <w:p>
      <w:pPr>
        <w:ind w:left="400" w:hanging="391"/>
        <w:spacing w:after="0"/>
        <w:tabs>
          <w:tab w:leader="none" w:pos="400" w:val="left"/>
        </w:tabs>
        <w:numPr>
          <w:ilvl w:val="0"/>
          <w:numId w:val="33"/>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FFFFFF"/>
        </w:rPr>
        <w:t>SHAREHOLDER</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5"/>
          <w:szCs w:val="15"/>
          <w:b w:val="1"/>
          <w:bCs w:val="1"/>
          <w:color w:val="FFFFFF"/>
        </w:rPr>
        <w:t>REPRESENTATION</w:t>
      </w:r>
    </w:p>
    <w:p>
      <w:pPr>
        <w:spacing w:after="0" w:line="200" w:lineRule="exact"/>
        <w:rPr>
          <w:sz w:val="20"/>
          <w:szCs w:val="20"/>
          <w:color w:val="auto"/>
        </w:rPr>
      </w:pPr>
    </w:p>
    <w:p>
      <w:pPr>
        <w:spacing w:after="0" w:line="298"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FFFFFF"/>
        </w:rPr>
        <w:t>MEETING</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FFFFFF"/>
        </w:rPr>
        <w:t>PARTICIPATION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FFFFFF"/>
        </w:rPr>
        <w:t>SHAREHOLDER</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FFFFFF"/>
        </w:rPr>
        <w:t>FEEDBACK</w:t>
      </w:r>
    </w:p>
    <w:p>
      <w:pPr>
        <w:spacing w:after="0" w:line="20" w:lineRule="exact"/>
        <w:rPr>
          <w:sz w:val="20"/>
          <w:szCs w:val="20"/>
          <w:color w:val="auto"/>
        </w:rPr>
      </w:pPr>
      <w:r>
        <w:rPr>
          <w:sz w:val="20"/>
          <w:szCs w:val="20"/>
          <w:color w:val="auto"/>
        </w:rPr>
        <w:br w:type="column"/>
      </w:r>
    </w:p>
    <w:p>
      <w:pPr>
        <w:ind w:left="5580"/>
        <w:spacing w:after="0"/>
        <w:rPr>
          <w:sz w:val="20"/>
          <w:szCs w:val="20"/>
          <w:color w:val="auto"/>
        </w:rPr>
      </w:pPr>
      <w:r>
        <w:rPr>
          <w:rFonts w:ascii="Arial" w:cs="Arial" w:eastAsia="Arial" w:hAnsi="Arial"/>
          <w:sz w:val="16"/>
          <w:szCs w:val="16"/>
          <w:color w:val="FFFFFF"/>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-221615</wp:posOffset>
            </wp:positionV>
            <wp:extent cx="7163435" cy="22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-138430</wp:posOffset>
            </wp:positionV>
            <wp:extent cx="6166485" cy="1962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66485" cy="196215"/>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136525</wp:posOffset>
            </wp:positionV>
            <wp:extent cx="6166485" cy="3854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66485" cy="385445"/>
                    </a:xfrm>
                    <a:prstGeom prst="rect">
                      <a:avLst/>
                    </a:prstGeom>
                    <a:noFill/>
                  </pic:spPr>
                </pic:pic>
              </a:graphicData>
            </a:graphic>
          </wp:anchor>
        </w:drawing>
      </w:r>
    </w:p>
    <w:p>
      <w:pPr>
        <w:spacing w:after="0" w:line="282"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b w:val="1"/>
          <w:bCs w:val="1"/>
          <w:color w:val="auto"/>
        </w:rPr>
        <w:t>reached out to our top 28 shareholders</w:t>
      </w:r>
      <w:r>
        <w:rPr>
          <w:rFonts w:ascii="Arial" w:cs="Arial" w:eastAsia="Arial" w:hAnsi="Arial"/>
          <w:sz w:val="16"/>
          <w:szCs w:val="16"/>
          <w:color w:val="auto"/>
        </w:rPr>
        <w:t xml:space="preserve">, representing </w:t>
      </w:r>
      <w:r>
        <w:rPr>
          <w:rFonts w:ascii="Arial" w:cs="Arial" w:eastAsia="Arial" w:hAnsi="Arial"/>
          <w:sz w:val="16"/>
          <w:szCs w:val="16"/>
          <w:b w:val="1"/>
          <w:bCs w:val="1"/>
          <w:color w:val="auto"/>
        </w:rPr>
        <w:t>63.5%</w:t>
      </w:r>
      <w:r>
        <w:rPr>
          <w:rFonts w:ascii="Arial" w:cs="Arial" w:eastAsia="Arial" w:hAnsi="Arial"/>
          <w:sz w:val="16"/>
          <w:szCs w:val="16"/>
          <w:color w:val="auto"/>
        </w:rPr>
        <w:t xml:space="preserve"> of our outstanding shares, and </w:t>
      </w:r>
      <w:r>
        <w:rPr>
          <w:rFonts w:ascii="Arial" w:cs="Arial" w:eastAsia="Arial" w:hAnsi="Arial"/>
          <w:sz w:val="16"/>
          <w:szCs w:val="16"/>
          <w:b w:val="1"/>
          <w:bCs w:val="1"/>
          <w:color w:val="auto"/>
        </w:rPr>
        <w:t xml:space="preserve">met with 13 shareholders, </w:t>
      </w:r>
      <w:r>
        <w:rPr>
          <w:rFonts w:ascii="Arial" w:cs="Arial" w:eastAsia="Arial" w:hAnsi="Arial"/>
          <w:sz w:val="16"/>
          <w:szCs w:val="16"/>
          <w:color w:val="auto"/>
        </w:rPr>
        <w:t>representing</w:t>
      </w:r>
      <w:r>
        <w:rPr>
          <w:rFonts w:ascii="Arial" w:cs="Arial" w:eastAsia="Arial" w:hAnsi="Arial"/>
          <w:sz w:val="16"/>
          <w:szCs w:val="16"/>
          <w:b w:val="1"/>
          <w:bCs w:val="1"/>
          <w:color w:val="auto"/>
        </w:rPr>
        <w:t xml:space="preserve"> 42% </w:t>
      </w:r>
      <w:r>
        <w:rPr>
          <w:rFonts w:ascii="Arial" w:cs="Arial" w:eastAsia="Arial" w:hAnsi="Arial"/>
          <w:sz w:val="16"/>
          <w:szCs w:val="16"/>
          <w:color w:val="auto"/>
        </w:rPr>
        <w:t>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184785</wp:posOffset>
            </wp:positionV>
            <wp:extent cx="6166485" cy="498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66485" cy="498475"/>
                    </a:xfrm>
                    <a:prstGeom prst="rect">
                      <a:avLst/>
                    </a:prstGeom>
                    <a:noFill/>
                  </pic:spPr>
                </pic:pic>
              </a:graphicData>
            </a:graphic>
          </wp:anchor>
        </w:drawing>
      </w:r>
    </w:p>
    <w:p>
      <w:pPr>
        <w:spacing w:after="0" w:line="358" w:lineRule="exact"/>
        <w:rPr>
          <w:sz w:val="20"/>
          <w:szCs w:val="20"/>
          <w:color w:val="auto"/>
        </w:rPr>
      </w:pPr>
    </w:p>
    <w:p>
      <w:pPr>
        <w:jc w:val="both"/>
        <w:ind w:right="220"/>
        <w:spacing w:after="0" w:line="249" w:lineRule="auto"/>
        <w:rPr>
          <w:sz w:val="20"/>
          <w:szCs w:val="20"/>
          <w:color w:val="auto"/>
        </w:rPr>
      </w:pPr>
      <w:r>
        <w:rPr>
          <w:rFonts w:ascii="Arial" w:cs="Arial" w:eastAsia="Arial" w:hAnsi="Arial"/>
          <w:sz w:val="16"/>
          <w:szCs w:val="16"/>
          <w:color w:val="auto"/>
        </w:rPr>
        <w:t xml:space="preserve">Key members of our executive leadership team representing </w:t>
      </w:r>
      <w:r>
        <w:rPr>
          <w:rFonts w:ascii="Arial" w:cs="Arial" w:eastAsia="Arial" w:hAnsi="Arial"/>
          <w:sz w:val="16"/>
          <w:szCs w:val="16"/>
          <w:b w:val="1"/>
          <w:bCs w:val="1"/>
          <w:color w:val="auto"/>
        </w:rPr>
        <w:t>Human Resources, Investor</w:t>
      </w:r>
      <w:r>
        <w:rPr>
          <w:rFonts w:ascii="Arial" w:cs="Arial" w:eastAsia="Arial" w:hAnsi="Arial"/>
          <w:sz w:val="16"/>
          <w:szCs w:val="16"/>
          <w:color w:val="auto"/>
        </w:rPr>
        <w:t xml:space="preserve"> </w:t>
      </w:r>
      <w:r>
        <w:rPr>
          <w:rFonts w:ascii="Arial" w:cs="Arial" w:eastAsia="Arial" w:hAnsi="Arial"/>
          <w:sz w:val="16"/>
          <w:szCs w:val="16"/>
          <w:b w:val="1"/>
          <w:bCs w:val="1"/>
          <w:color w:val="auto"/>
        </w:rPr>
        <w:t>Relations, Corporate Governance and Environmental</w:t>
      </w:r>
      <w:r>
        <w:rPr>
          <w:rFonts w:ascii="Arial" w:cs="Arial" w:eastAsia="Arial" w:hAnsi="Arial"/>
          <w:sz w:val="16"/>
          <w:szCs w:val="16"/>
          <w:color w:val="auto"/>
        </w:rPr>
        <w:t>, along with our</w:t>
      </w:r>
      <w:r>
        <w:rPr>
          <w:rFonts w:ascii="Arial" w:cs="Arial" w:eastAsia="Arial" w:hAnsi="Arial"/>
          <w:sz w:val="16"/>
          <w:szCs w:val="16"/>
          <w:b w:val="1"/>
          <w:bCs w:val="1"/>
          <w:color w:val="auto"/>
        </w:rPr>
        <w:t xml:space="preserve"> Compensation Committee Chair </w:t>
      </w:r>
      <w:r>
        <w:rPr>
          <w:rFonts w:ascii="Arial" w:cs="Arial" w:eastAsia="Arial" w:hAnsi="Arial"/>
          <w:sz w:val="16"/>
          <w:szCs w:val="16"/>
          <w:color w:val="auto"/>
        </w:rPr>
        <w:t>in certain instances, participated in our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193675</wp:posOffset>
            </wp:positionV>
            <wp:extent cx="6166485" cy="6121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66485" cy="612140"/>
                    </a:xfrm>
                    <a:prstGeom prst="rect">
                      <a:avLst/>
                    </a:prstGeom>
                    <a:noFill/>
                  </pic:spPr>
                </pic:pic>
              </a:graphicData>
            </a:graphic>
          </wp:anchor>
        </w:drawing>
      </w:r>
    </w:p>
    <w:p>
      <w:pPr>
        <w:spacing w:after="0" w:line="371" w:lineRule="exact"/>
        <w:rPr>
          <w:sz w:val="20"/>
          <w:szCs w:val="20"/>
          <w:color w:val="auto"/>
        </w:rPr>
      </w:pPr>
    </w:p>
    <w:p>
      <w:pPr>
        <w:jc w:val="both"/>
        <w:ind w:right="220"/>
        <w:spacing w:after="0" w:line="243" w:lineRule="auto"/>
        <w:rPr>
          <w:sz w:val="20"/>
          <w:szCs w:val="20"/>
          <w:color w:val="auto"/>
        </w:rPr>
      </w:pPr>
      <w:r>
        <w:rPr>
          <w:rFonts w:ascii="Arial" w:cs="Arial" w:eastAsia="Arial" w:hAnsi="Arial"/>
          <w:sz w:val="16"/>
          <w:szCs w:val="16"/>
          <w:color w:val="auto"/>
        </w:rPr>
        <w:t xml:space="preserve">The table below summarizes the topics our shareholders asked us to consider, and we </w:t>
      </w:r>
      <w:r>
        <w:rPr>
          <w:rFonts w:ascii="Arial" w:cs="Arial" w:eastAsia="Arial" w:hAnsi="Arial"/>
          <w:sz w:val="16"/>
          <w:szCs w:val="16"/>
          <w:b w:val="1"/>
          <w:bCs w:val="1"/>
          <w:color w:val="auto"/>
        </w:rPr>
        <w:t>shared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 feedback with our Compensation Committee </w:t>
      </w:r>
      <w:r>
        <w:rPr>
          <w:rFonts w:ascii="Arial" w:cs="Arial" w:eastAsia="Arial" w:hAnsi="Arial"/>
          <w:sz w:val="16"/>
          <w:szCs w:val="16"/>
          <w:color w:val="auto"/>
        </w:rPr>
        <w:t>for their consideration as we seek to</w:t>
      </w:r>
      <w:r>
        <w:rPr>
          <w:rFonts w:ascii="Arial" w:cs="Arial" w:eastAsia="Arial" w:hAnsi="Arial"/>
          <w:sz w:val="16"/>
          <w:szCs w:val="16"/>
          <w:b w:val="1"/>
          <w:bCs w:val="1"/>
          <w:color w:val="auto"/>
        </w:rPr>
        <w:t xml:space="preserve"> </w:t>
      </w:r>
      <w:r>
        <w:rPr>
          <w:rFonts w:ascii="Arial" w:cs="Arial" w:eastAsia="Arial" w:hAnsi="Arial"/>
          <w:sz w:val="16"/>
          <w:szCs w:val="16"/>
          <w:color w:val="auto"/>
        </w:rPr>
        <w:t>enhance our executive compensation program and improve our disclosures. Upon consideration of their feedback, we implemented certain changes as summarized in the table below.</w:t>
      </w:r>
    </w:p>
    <w:p>
      <w:pPr>
        <w:spacing w:after="0" w:line="200" w:lineRule="exact"/>
        <w:rPr>
          <w:sz w:val="20"/>
          <w:szCs w:val="20"/>
          <w:color w:val="auto"/>
        </w:rPr>
      </w:pPr>
    </w:p>
    <w:p>
      <w:pPr>
        <w:sectPr>
          <w:pgSz w:w="11900" w:h="16838" w:orient="portrait"/>
          <w:cols w:equalWidth="0" w:num="2">
            <w:col w:w="1880" w:space="540"/>
            <w:col w:w="7300"/>
          </w:cols>
          <w:pgMar w:left="1080" w:top="305" w:right="1099" w:bottom="1440" w:gutter="0" w:footer="0" w:header="0"/>
        </w:sectPr>
      </w:pP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These meetings with our shareholders provided the Compensation Committee and the Board with valuable insights into our shareholders’ perspectives on our compensation program and potential improvements to the program, as described further below. Following the shareholder outreach, with input from its independent compensation consultant and management, the Compensation Committee conducted a comprehensive review of our programs, including performance metrics and targets, with particular emphasis on our short-term and long-term incentive plans, as discussed below.</w:t>
      </w:r>
    </w:p>
    <w:p>
      <w:pPr>
        <w:spacing w:after="0" w:line="21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type w:val="continuous"/>
        </w:sectPr>
      </w:pPr>
    </w:p>
    <w:bookmarkStart w:id="37" w:name="page38"/>
    <w:bookmarkEnd w:id="3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executive compensation topics our shareholders asked us to consider and our response.</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680" w:type="dxa"/>
            <w:vAlign w:val="bottom"/>
            <w:tcBorders>
              <w:left w:val="single" w:sz="8" w:color="0061AF"/>
            </w:tcBorders>
            <w:shd w:val="clear" w:color="auto" w:fill="0061AF"/>
          </w:tcPr>
          <w:p>
            <w:pPr>
              <w:ind w:left="340"/>
              <w:spacing w:after="0"/>
              <w:rPr>
                <w:sz w:val="20"/>
                <w:szCs w:val="20"/>
                <w:color w:val="auto"/>
              </w:rPr>
            </w:pPr>
            <w:r>
              <w:rPr>
                <w:rFonts w:ascii="Arial" w:cs="Arial" w:eastAsia="Arial" w:hAnsi="Arial"/>
                <w:sz w:val="16"/>
                <w:szCs w:val="16"/>
                <w:b w:val="1"/>
                <w:bCs w:val="1"/>
                <w:color w:val="FFFFFF"/>
              </w:rPr>
              <w:t>WHAT WE HEARD FROM OUR</w:t>
            </w:r>
          </w:p>
        </w:tc>
        <w:tc>
          <w:tcPr>
            <w:tcW w:w="200" w:type="dxa"/>
            <w:vAlign w:val="bottom"/>
            <w:tcBorders>
              <w:right w:val="single" w:sz="8" w:color="0061AF"/>
            </w:tcBorders>
            <w:shd w:val="clear" w:color="auto" w:fill="0061AF"/>
          </w:tcPr>
          <w:p>
            <w:pPr>
              <w:spacing w:after="0"/>
              <w:rPr>
                <w:sz w:val="23"/>
                <w:szCs w:val="23"/>
                <w:color w:val="auto"/>
              </w:rPr>
            </w:pPr>
          </w:p>
        </w:tc>
        <w:tc>
          <w:tcPr>
            <w:tcW w:w="1380" w:type="dxa"/>
            <w:vAlign w:val="bottom"/>
            <w:shd w:val="clear" w:color="auto" w:fill="0061AF"/>
          </w:tcPr>
          <w:p>
            <w:pPr>
              <w:spacing w:after="0"/>
              <w:rPr>
                <w:sz w:val="23"/>
                <w:szCs w:val="23"/>
                <w:color w:val="auto"/>
              </w:rPr>
            </w:pPr>
          </w:p>
        </w:tc>
        <w:tc>
          <w:tcPr>
            <w:tcW w:w="200" w:type="dxa"/>
            <w:vAlign w:val="bottom"/>
            <w:shd w:val="clear" w:color="auto" w:fill="0061AF"/>
          </w:tcPr>
          <w:p>
            <w:pPr>
              <w:spacing w:after="0"/>
              <w:rPr>
                <w:sz w:val="23"/>
                <w:szCs w:val="23"/>
                <w:color w:val="auto"/>
              </w:rPr>
            </w:pPr>
          </w:p>
        </w:tc>
        <w:tc>
          <w:tcPr>
            <w:tcW w:w="180" w:type="dxa"/>
            <w:vAlign w:val="bottom"/>
            <w:tcBorders>
              <w:right w:val="single" w:sz="8" w:color="0061AF"/>
            </w:tcBorders>
            <w:shd w:val="clear" w:color="auto" w:fill="0061AF"/>
          </w:tcPr>
          <w:p>
            <w:pPr>
              <w:spacing w:after="0"/>
              <w:rPr>
                <w:sz w:val="23"/>
                <w:szCs w:val="23"/>
                <w:color w:val="auto"/>
              </w:rPr>
            </w:pPr>
          </w:p>
        </w:tc>
        <w:tc>
          <w:tcPr>
            <w:tcW w:w="5100" w:type="dxa"/>
            <w:vAlign w:val="bottom"/>
            <w:tcBorders>
              <w:right w:val="single" w:sz="8" w:color="0061AF"/>
            </w:tcBorders>
            <w:gridSpan w:val="2"/>
            <w:vMerge w:val="restart"/>
            <w:shd w:val="clear" w:color="auto" w:fill="0061AF"/>
          </w:tcPr>
          <w:p>
            <w:pPr>
              <w:ind w:left="680"/>
              <w:spacing w:after="0"/>
              <w:rPr>
                <w:sz w:val="20"/>
                <w:szCs w:val="20"/>
                <w:color w:val="auto"/>
              </w:rPr>
            </w:pPr>
            <w:r>
              <w:rPr>
                <w:rFonts w:ascii="Arial" w:cs="Arial" w:eastAsia="Arial" w:hAnsi="Arial"/>
                <w:sz w:val="16"/>
                <w:szCs w:val="16"/>
                <w:b w:val="1"/>
                <w:bCs w:val="1"/>
                <w:color w:val="FFFFFF"/>
              </w:rPr>
              <w:t>HOW WE RESPONDED</w:t>
            </w:r>
          </w:p>
        </w:tc>
        <w:tc>
          <w:tcPr>
            <w:tcW w:w="0" w:type="dxa"/>
            <w:vAlign w:val="bottom"/>
          </w:tcPr>
          <w:p>
            <w:pPr>
              <w:spacing w:after="0"/>
              <w:rPr>
                <w:sz w:val="1"/>
                <w:szCs w:val="1"/>
                <w:color w:val="auto"/>
              </w:rPr>
            </w:pPr>
          </w:p>
        </w:tc>
      </w:tr>
      <w:tr>
        <w:trPr>
          <w:trHeight w:val="114"/>
        </w:trPr>
        <w:tc>
          <w:tcPr>
            <w:tcW w:w="2680" w:type="dxa"/>
            <w:vAlign w:val="bottom"/>
            <w:tcBorders>
              <w:left w:val="single" w:sz="8" w:color="0061AF"/>
            </w:tcBorders>
            <w:vMerge w:val="restart"/>
            <w:shd w:val="clear" w:color="auto" w:fill="0061AF"/>
          </w:tcPr>
          <w:p>
            <w:pPr>
              <w:ind w:left="820"/>
              <w:spacing w:after="0"/>
              <w:rPr>
                <w:sz w:val="20"/>
                <w:szCs w:val="20"/>
                <w:color w:val="auto"/>
              </w:rPr>
            </w:pPr>
            <w:r>
              <w:rPr>
                <w:rFonts w:ascii="Arial" w:cs="Arial" w:eastAsia="Arial" w:hAnsi="Arial"/>
                <w:sz w:val="16"/>
                <w:szCs w:val="16"/>
                <w:b w:val="1"/>
                <w:bCs w:val="1"/>
                <w:color w:val="FFFFFF"/>
              </w:rPr>
              <w:t>SHAREHOLDERS</w:t>
            </w:r>
          </w:p>
        </w:tc>
        <w:tc>
          <w:tcPr>
            <w:tcW w:w="200" w:type="dxa"/>
            <w:vAlign w:val="bottom"/>
            <w:tcBorders>
              <w:right w:val="single" w:sz="8" w:color="0061AF"/>
            </w:tcBorders>
            <w:shd w:val="clear" w:color="auto" w:fill="0061AF"/>
          </w:tcPr>
          <w:p>
            <w:pPr>
              <w:spacing w:after="0"/>
              <w:rPr>
                <w:sz w:val="9"/>
                <w:szCs w:val="9"/>
                <w:color w:val="auto"/>
              </w:rPr>
            </w:pPr>
          </w:p>
        </w:tc>
        <w:tc>
          <w:tcPr>
            <w:tcW w:w="1380" w:type="dxa"/>
            <w:vAlign w:val="bottom"/>
            <w:shd w:val="clear" w:color="auto" w:fill="0061AF"/>
          </w:tcPr>
          <w:p>
            <w:pPr>
              <w:spacing w:after="0"/>
              <w:rPr>
                <w:sz w:val="9"/>
                <w:szCs w:val="9"/>
                <w:color w:val="auto"/>
              </w:rPr>
            </w:pPr>
          </w:p>
        </w:tc>
        <w:tc>
          <w:tcPr>
            <w:tcW w:w="200" w:type="dxa"/>
            <w:vAlign w:val="bottom"/>
            <w:shd w:val="clear" w:color="auto" w:fill="0061AF"/>
          </w:tcPr>
          <w:p>
            <w:pPr>
              <w:spacing w:after="0"/>
              <w:rPr>
                <w:sz w:val="9"/>
                <w:szCs w:val="9"/>
                <w:color w:val="auto"/>
              </w:rPr>
            </w:pPr>
          </w:p>
        </w:tc>
        <w:tc>
          <w:tcPr>
            <w:tcW w:w="180" w:type="dxa"/>
            <w:vAlign w:val="bottom"/>
            <w:tcBorders>
              <w:right w:val="single" w:sz="8" w:color="0061AF"/>
            </w:tcBorders>
            <w:shd w:val="clear" w:color="auto" w:fill="0061AF"/>
          </w:tcPr>
          <w:p>
            <w:pPr>
              <w:spacing w:after="0"/>
              <w:rPr>
                <w:sz w:val="9"/>
                <w:szCs w:val="9"/>
                <w:color w:val="auto"/>
              </w:rPr>
            </w:pPr>
          </w:p>
        </w:tc>
        <w:tc>
          <w:tcPr>
            <w:tcW w:w="5100" w:type="dxa"/>
            <w:vAlign w:val="bottom"/>
            <w:tcBorders>
              <w:right w:val="single" w:sz="8" w:color="0061AF"/>
            </w:tcBorders>
            <w:gridSpan w:val="2"/>
            <w:vMerge w:val="continue"/>
            <w:shd w:val="clear" w:color="auto" w:fill="0061A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680" w:type="dxa"/>
            <w:vAlign w:val="bottom"/>
            <w:tcBorders>
              <w:left w:val="single" w:sz="8" w:color="0061AF"/>
            </w:tcBorders>
            <w:vMerge w:val="continue"/>
            <w:shd w:val="clear" w:color="auto" w:fill="0061AF"/>
          </w:tcPr>
          <w:p>
            <w:pPr>
              <w:spacing w:after="0"/>
              <w:rPr>
                <w:sz w:val="8"/>
                <w:szCs w:val="8"/>
                <w:color w:val="auto"/>
              </w:rPr>
            </w:pPr>
          </w:p>
        </w:tc>
        <w:tc>
          <w:tcPr>
            <w:tcW w:w="200" w:type="dxa"/>
            <w:vAlign w:val="bottom"/>
            <w:tcBorders>
              <w:right w:val="single" w:sz="8" w:color="0061AF"/>
            </w:tcBorders>
            <w:shd w:val="clear" w:color="auto" w:fill="0061AF"/>
          </w:tcPr>
          <w:p>
            <w:pPr>
              <w:spacing w:after="0"/>
              <w:rPr>
                <w:sz w:val="8"/>
                <w:szCs w:val="8"/>
                <w:color w:val="auto"/>
              </w:rPr>
            </w:pPr>
          </w:p>
        </w:tc>
        <w:tc>
          <w:tcPr>
            <w:tcW w:w="1380" w:type="dxa"/>
            <w:vAlign w:val="bottom"/>
            <w:shd w:val="clear" w:color="auto" w:fill="0061AF"/>
          </w:tcPr>
          <w:p>
            <w:pPr>
              <w:spacing w:after="0"/>
              <w:rPr>
                <w:sz w:val="8"/>
                <w:szCs w:val="8"/>
                <w:color w:val="auto"/>
              </w:rPr>
            </w:pPr>
          </w:p>
        </w:tc>
        <w:tc>
          <w:tcPr>
            <w:tcW w:w="200" w:type="dxa"/>
            <w:vAlign w:val="bottom"/>
            <w:shd w:val="clear" w:color="auto" w:fill="0061AF"/>
          </w:tcPr>
          <w:p>
            <w:pPr>
              <w:spacing w:after="0"/>
              <w:rPr>
                <w:sz w:val="8"/>
                <w:szCs w:val="8"/>
                <w:color w:val="auto"/>
              </w:rPr>
            </w:pPr>
          </w:p>
        </w:tc>
        <w:tc>
          <w:tcPr>
            <w:tcW w:w="180" w:type="dxa"/>
            <w:vAlign w:val="bottom"/>
            <w:tcBorders>
              <w:right w:val="single" w:sz="8" w:color="0061AF"/>
            </w:tcBorders>
            <w:shd w:val="clear" w:color="auto" w:fill="0061AF"/>
          </w:tcPr>
          <w:p>
            <w:pPr>
              <w:spacing w:after="0"/>
              <w:rPr>
                <w:sz w:val="8"/>
                <w:szCs w:val="8"/>
                <w:color w:val="auto"/>
              </w:rPr>
            </w:pPr>
          </w:p>
        </w:tc>
        <w:tc>
          <w:tcPr>
            <w:tcW w:w="2500" w:type="dxa"/>
            <w:vAlign w:val="bottom"/>
            <w:shd w:val="clear" w:color="auto" w:fill="0061AF"/>
          </w:tcPr>
          <w:p>
            <w:pPr>
              <w:spacing w:after="0"/>
              <w:rPr>
                <w:sz w:val="8"/>
                <w:szCs w:val="8"/>
                <w:color w:val="auto"/>
              </w:rPr>
            </w:pPr>
          </w:p>
        </w:tc>
        <w:tc>
          <w:tcPr>
            <w:tcW w:w="2600" w:type="dxa"/>
            <w:vAlign w:val="bottom"/>
            <w:tcBorders>
              <w:right w:val="single" w:sz="8" w:color="0061AF"/>
            </w:tcBorders>
            <w:shd w:val="clear" w:color="auto" w:fill="0061A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680" w:type="dxa"/>
            <w:vAlign w:val="bottom"/>
            <w:tcBorders>
              <w:left w:val="single" w:sz="8" w:color="0061AF"/>
              <w:bottom w:val="single" w:sz="8" w:color="0061AF"/>
            </w:tcBorders>
            <w:shd w:val="clear" w:color="auto" w:fill="0061AF"/>
          </w:tcPr>
          <w:p>
            <w:pPr>
              <w:spacing w:after="0"/>
              <w:rPr>
                <w:sz w:val="7"/>
                <w:szCs w:val="7"/>
                <w:color w:val="auto"/>
              </w:rPr>
            </w:pPr>
          </w:p>
        </w:tc>
        <w:tc>
          <w:tcPr>
            <w:tcW w:w="200" w:type="dxa"/>
            <w:vAlign w:val="bottom"/>
            <w:tcBorders>
              <w:bottom w:val="single" w:sz="8" w:color="0061AF"/>
              <w:right w:val="single" w:sz="8" w:color="0061AF"/>
            </w:tcBorders>
            <w:shd w:val="clear" w:color="auto" w:fill="0061AF"/>
          </w:tcPr>
          <w:p>
            <w:pPr>
              <w:spacing w:after="0"/>
              <w:rPr>
                <w:sz w:val="7"/>
                <w:szCs w:val="7"/>
                <w:color w:val="auto"/>
              </w:rPr>
            </w:pPr>
          </w:p>
        </w:tc>
        <w:tc>
          <w:tcPr>
            <w:tcW w:w="1380" w:type="dxa"/>
            <w:vAlign w:val="bottom"/>
            <w:tcBorders>
              <w:bottom w:val="single" w:sz="8" w:color="0061AF"/>
            </w:tcBorders>
            <w:shd w:val="clear" w:color="auto" w:fill="0061AF"/>
          </w:tcPr>
          <w:p>
            <w:pPr>
              <w:spacing w:after="0"/>
              <w:rPr>
                <w:sz w:val="7"/>
                <w:szCs w:val="7"/>
                <w:color w:val="auto"/>
              </w:rPr>
            </w:pPr>
          </w:p>
        </w:tc>
        <w:tc>
          <w:tcPr>
            <w:tcW w:w="200" w:type="dxa"/>
            <w:vAlign w:val="bottom"/>
            <w:tcBorders>
              <w:bottom w:val="single" w:sz="8" w:color="0061AF"/>
            </w:tcBorders>
            <w:shd w:val="clear" w:color="auto" w:fill="0061AF"/>
          </w:tcPr>
          <w:p>
            <w:pPr>
              <w:spacing w:after="0"/>
              <w:rPr>
                <w:sz w:val="7"/>
                <w:szCs w:val="7"/>
                <w:color w:val="auto"/>
              </w:rPr>
            </w:pPr>
          </w:p>
        </w:tc>
        <w:tc>
          <w:tcPr>
            <w:tcW w:w="180" w:type="dxa"/>
            <w:vAlign w:val="bottom"/>
            <w:tcBorders>
              <w:bottom w:val="single" w:sz="8" w:color="0061AF"/>
              <w:right w:val="single" w:sz="8" w:color="0061AF"/>
            </w:tcBorders>
            <w:shd w:val="clear" w:color="auto" w:fill="0061AF"/>
          </w:tcPr>
          <w:p>
            <w:pPr>
              <w:spacing w:after="0"/>
              <w:rPr>
                <w:sz w:val="7"/>
                <w:szCs w:val="7"/>
                <w:color w:val="auto"/>
              </w:rPr>
            </w:pPr>
          </w:p>
        </w:tc>
        <w:tc>
          <w:tcPr>
            <w:tcW w:w="2500" w:type="dxa"/>
            <w:vAlign w:val="bottom"/>
            <w:tcBorders>
              <w:bottom w:val="single" w:sz="8" w:color="0061AF"/>
            </w:tcBorders>
            <w:shd w:val="clear" w:color="auto" w:fill="0061AF"/>
          </w:tcPr>
          <w:p>
            <w:pPr>
              <w:spacing w:after="0"/>
              <w:rPr>
                <w:sz w:val="7"/>
                <w:szCs w:val="7"/>
                <w:color w:val="auto"/>
              </w:rPr>
            </w:pPr>
          </w:p>
        </w:tc>
        <w:tc>
          <w:tcPr>
            <w:tcW w:w="2600" w:type="dxa"/>
            <w:vAlign w:val="bottom"/>
            <w:tcBorders>
              <w:bottom w:val="single" w:sz="8" w:color="0061AF"/>
              <w:right w:val="single" w:sz="8" w:color="0061AF"/>
            </w:tcBorders>
            <w:shd w:val="clear" w:color="auto" w:fill="0061AF"/>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2680" w:type="dxa"/>
            <w:vAlign w:val="bottom"/>
            <w:tcBorders>
              <w:top w:val="single" w:sz="8" w:color="0061AF"/>
              <w:left w:val="single" w:sz="8" w:color="0061AF"/>
            </w:tcBorders>
            <w:shd w:val="clear" w:color="auto" w:fill="D8E7F3"/>
          </w:tcPr>
          <w:p>
            <w:pPr>
              <w:spacing w:after="0"/>
              <w:rPr>
                <w:sz w:val="13"/>
                <w:szCs w:val="13"/>
                <w:color w:val="auto"/>
              </w:rPr>
            </w:pPr>
          </w:p>
        </w:tc>
        <w:tc>
          <w:tcPr>
            <w:tcW w:w="200" w:type="dxa"/>
            <w:vAlign w:val="bottom"/>
            <w:tcBorders>
              <w:top w:val="single" w:sz="8" w:color="0061AF"/>
              <w:right w:val="single" w:sz="8" w:color="0061AF"/>
            </w:tcBorders>
            <w:shd w:val="clear" w:color="auto" w:fill="D8E7F3"/>
          </w:tcPr>
          <w:p>
            <w:pPr>
              <w:spacing w:after="0"/>
              <w:rPr>
                <w:sz w:val="13"/>
                <w:szCs w:val="13"/>
                <w:color w:val="auto"/>
              </w:rPr>
            </w:pPr>
          </w:p>
        </w:tc>
        <w:tc>
          <w:tcPr>
            <w:tcW w:w="6860" w:type="dxa"/>
            <w:vAlign w:val="bottom"/>
            <w:tcBorders>
              <w:top w:val="single" w:sz="8" w:color="D8E7F3"/>
              <w:right w:val="single" w:sz="8" w:color="0061AF"/>
            </w:tcBorders>
            <w:gridSpan w:val="5"/>
            <w:shd w:val="clear" w:color="auto" w:fill="D8E7F3"/>
          </w:tcPr>
          <w:p>
            <w:pPr>
              <w:spacing w:after="0" w:line="151" w:lineRule="exact"/>
              <w:rPr>
                <w:sz w:val="20"/>
                <w:szCs w:val="20"/>
                <w:color w:val="auto"/>
              </w:rPr>
            </w:pPr>
            <w:r>
              <w:rPr>
                <w:rFonts w:ascii="Arial" w:cs="Arial" w:eastAsia="Arial" w:hAnsi="Arial"/>
                <w:sz w:val="14"/>
                <w:szCs w:val="14"/>
                <w:b w:val="1"/>
                <w:bCs w:val="1"/>
                <w:color w:val="auto"/>
              </w:rPr>
              <w:t>Short-term Incentive Plan</w:t>
            </w:r>
            <w:r>
              <w:rPr>
                <w:rFonts w:ascii="Arial" w:cs="Arial" w:eastAsia="Arial" w:hAnsi="Arial"/>
                <w:sz w:val="14"/>
                <w:szCs w:val="14"/>
                <w:color w:val="auto"/>
              </w:rPr>
              <w:t>: Effective in 2021, the funding of awards for our named executive officers</w:t>
            </w:r>
          </w:p>
        </w:tc>
        <w:tc>
          <w:tcPr>
            <w:tcW w:w="0" w:type="dxa"/>
            <w:vAlign w:val="bottom"/>
          </w:tcPr>
          <w:p>
            <w:pPr>
              <w:spacing w:after="0"/>
              <w:rPr>
                <w:sz w:val="1"/>
                <w:szCs w:val="1"/>
                <w:color w:val="auto"/>
              </w:rPr>
            </w:pPr>
          </w:p>
        </w:tc>
      </w:tr>
      <w:tr>
        <w:trPr>
          <w:trHeight w:val="20"/>
        </w:trPr>
        <w:tc>
          <w:tcPr>
            <w:tcW w:w="2680" w:type="dxa"/>
            <w:vAlign w:val="bottom"/>
            <w:tcBorders>
              <w:left w:val="single" w:sz="8" w:color="0061AF"/>
            </w:tcBorders>
            <w:shd w:val="clear" w:color="auto" w:fill="D8E7F3"/>
          </w:tcPr>
          <w:p>
            <w:pPr>
              <w:spacing w:after="0" w:line="20" w:lineRule="exact"/>
              <w:rPr>
                <w:sz w:val="1"/>
                <w:szCs w:val="1"/>
                <w:color w:val="auto"/>
              </w:rPr>
            </w:pPr>
          </w:p>
        </w:tc>
        <w:tc>
          <w:tcPr>
            <w:tcW w:w="200" w:type="dxa"/>
            <w:vAlign w:val="bottom"/>
            <w:tcBorders>
              <w:right w:val="single" w:sz="8" w:color="0061AF"/>
            </w:tcBorders>
            <w:shd w:val="clear" w:color="auto" w:fill="D8E7F3"/>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shd w:val="clear" w:color="auto" w:fill="D8E7F3"/>
          </w:tcPr>
          <w:p>
            <w:pPr>
              <w:spacing w:after="0" w:line="20" w:lineRule="exact"/>
              <w:rPr>
                <w:sz w:val="1"/>
                <w:szCs w:val="1"/>
                <w:color w:val="auto"/>
              </w:rPr>
            </w:pPr>
          </w:p>
        </w:tc>
        <w:tc>
          <w:tcPr>
            <w:tcW w:w="2600" w:type="dxa"/>
            <w:vAlign w:val="bottom"/>
            <w:tcBorders>
              <w:right w:val="single" w:sz="8" w:color="0061AF"/>
            </w:tcBorders>
            <w:shd w:val="clear" w:color="auto" w:fill="D8E7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Increase focus on Earnings Per</w:t>
            </w:r>
          </w:p>
        </w:tc>
        <w:tc>
          <w:tcPr>
            <w:tcW w:w="200" w:type="dxa"/>
            <w:vAlign w:val="bottom"/>
            <w:tcBorders>
              <w:right w:val="single" w:sz="8" w:color="0061AF"/>
            </w:tcBorders>
            <w:shd w:val="clear" w:color="auto" w:fill="D8E7F3"/>
          </w:tcPr>
          <w:p>
            <w:pPr>
              <w:spacing w:after="0"/>
              <w:rPr>
                <w:sz w:val="15"/>
                <w:szCs w:val="15"/>
                <w:color w:val="auto"/>
              </w:rPr>
            </w:pPr>
          </w:p>
        </w:tc>
        <w:tc>
          <w:tcPr>
            <w:tcW w:w="6860" w:type="dxa"/>
            <w:vAlign w:val="bottom"/>
            <w:tcBorders>
              <w:right w:val="single" w:sz="8" w:color="0061AF"/>
            </w:tcBorders>
            <w:gridSpan w:val="5"/>
            <w:shd w:val="clear" w:color="auto" w:fill="D8E7F3"/>
          </w:tcPr>
          <w:p>
            <w:pPr>
              <w:spacing w:after="0"/>
              <w:rPr>
                <w:sz w:val="20"/>
                <w:szCs w:val="20"/>
                <w:color w:val="auto"/>
              </w:rPr>
            </w:pPr>
            <w:r>
              <w:rPr>
                <w:rFonts w:ascii="Arial" w:cs="Arial" w:eastAsia="Arial" w:hAnsi="Arial"/>
                <w:sz w:val="14"/>
                <w:szCs w:val="14"/>
                <w:color w:val="auto"/>
              </w:rPr>
              <w:t>under the short-term incentive plan is solely based on achieving a utility EPS goal.</w:t>
            </w:r>
          </w:p>
        </w:tc>
        <w:tc>
          <w:tcPr>
            <w:tcW w:w="0" w:type="dxa"/>
            <w:vAlign w:val="bottom"/>
          </w:tcPr>
          <w:p>
            <w:pPr>
              <w:spacing w:after="0"/>
              <w:rPr>
                <w:sz w:val="1"/>
                <w:szCs w:val="1"/>
                <w:color w:val="auto"/>
              </w:rPr>
            </w:pPr>
          </w:p>
        </w:tc>
      </w:tr>
      <w:tr>
        <w:trPr>
          <w:trHeight w:val="39"/>
        </w:trPr>
        <w:tc>
          <w:tcPr>
            <w:tcW w:w="2680" w:type="dxa"/>
            <w:vAlign w:val="bottom"/>
            <w:tcBorders>
              <w:left w:val="single" w:sz="8" w:color="0061AF"/>
            </w:tcBorders>
            <w:vMerge w:val="continue"/>
            <w:shd w:val="clear" w:color="auto" w:fill="D8E7F3"/>
          </w:tcPr>
          <w:p>
            <w:pPr>
              <w:spacing w:after="0"/>
              <w:rPr>
                <w:sz w:val="3"/>
                <w:szCs w:val="3"/>
                <w:color w:val="auto"/>
              </w:rPr>
            </w:pPr>
          </w:p>
        </w:tc>
        <w:tc>
          <w:tcPr>
            <w:tcW w:w="200" w:type="dxa"/>
            <w:vAlign w:val="bottom"/>
            <w:tcBorders>
              <w:right w:val="single" w:sz="8" w:color="0061AF"/>
            </w:tcBorders>
            <w:shd w:val="clear" w:color="auto" w:fill="D8E7F3"/>
          </w:tcPr>
          <w:p>
            <w:pPr>
              <w:spacing w:after="0"/>
              <w:rPr>
                <w:sz w:val="3"/>
                <w:szCs w:val="3"/>
                <w:color w:val="auto"/>
              </w:rPr>
            </w:pPr>
          </w:p>
        </w:tc>
        <w:tc>
          <w:tcPr>
            <w:tcW w:w="1380" w:type="dxa"/>
            <w:vAlign w:val="bottom"/>
            <w:shd w:val="clear" w:color="auto" w:fill="D8E7F3"/>
          </w:tcPr>
          <w:p>
            <w:pPr>
              <w:spacing w:after="0"/>
              <w:rPr>
                <w:sz w:val="3"/>
                <w:szCs w:val="3"/>
                <w:color w:val="auto"/>
              </w:rPr>
            </w:pPr>
          </w:p>
        </w:tc>
        <w:tc>
          <w:tcPr>
            <w:tcW w:w="200" w:type="dxa"/>
            <w:vAlign w:val="bottom"/>
            <w:shd w:val="clear" w:color="auto" w:fill="D8E7F3"/>
          </w:tcPr>
          <w:p>
            <w:pPr>
              <w:spacing w:after="0"/>
              <w:rPr>
                <w:sz w:val="3"/>
                <w:szCs w:val="3"/>
                <w:color w:val="auto"/>
              </w:rPr>
            </w:pPr>
          </w:p>
        </w:tc>
        <w:tc>
          <w:tcPr>
            <w:tcW w:w="180" w:type="dxa"/>
            <w:vAlign w:val="bottom"/>
            <w:tcBorders>
              <w:right w:val="single" w:sz="8" w:color="D8E7F3"/>
            </w:tcBorders>
            <w:shd w:val="clear" w:color="auto" w:fill="D8E7F3"/>
          </w:tcPr>
          <w:p>
            <w:pPr>
              <w:spacing w:after="0"/>
              <w:rPr>
                <w:sz w:val="3"/>
                <w:szCs w:val="3"/>
                <w:color w:val="auto"/>
              </w:rPr>
            </w:pPr>
          </w:p>
        </w:tc>
        <w:tc>
          <w:tcPr>
            <w:tcW w:w="2500" w:type="dxa"/>
            <w:vAlign w:val="bottom"/>
            <w:shd w:val="clear" w:color="auto" w:fill="D8E7F3"/>
          </w:tcPr>
          <w:p>
            <w:pPr>
              <w:spacing w:after="0"/>
              <w:rPr>
                <w:sz w:val="3"/>
                <w:szCs w:val="3"/>
                <w:color w:val="auto"/>
              </w:rPr>
            </w:pPr>
          </w:p>
        </w:tc>
        <w:tc>
          <w:tcPr>
            <w:tcW w:w="2600" w:type="dxa"/>
            <w:vAlign w:val="bottom"/>
            <w:tcBorders>
              <w:right w:val="single" w:sz="8" w:color="0061AF"/>
            </w:tcBorders>
            <w:shd w:val="clear" w:color="auto" w:fill="D8E7F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tcBorders>
              <w:left w:val="single" w:sz="8" w:color="0061AF"/>
            </w:tcBorders>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Share (EPS) in incentive plans to</w:t>
            </w:r>
          </w:p>
        </w:tc>
        <w:tc>
          <w:tcPr>
            <w:tcW w:w="200" w:type="dxa"/>
            <w:vAlign w:val="bottom"/>
            <w:tcBorders>
              <w:right w:val="single" w:sz="8" w:color="0061AF"/>
            </w:tcBorders>
            <w:shd w:val="clear" w:color="auto" w:fill="D8E7F3"/>
          </w:tcPr>
          <w:p>
            <w:pPr>
              <w:spacing w:after="0"/>
              <w:rPr>
                <w:sz w:val="16"/>
                <w:szCs w:val="16"/>
                <w:color w:val="auto"/>
              </w:rPr>
            </w:pPr>
          </w:p>
        </w:tc>
        <w:tc>
          <w:tcPr>
            <w:tcW w:w="6860" w:type="dxa"/>
            <w:vAlign w:val="bottom"/>
            <w:tcBorders>
              <w:right w:val="single" w:sz="8" w:color="0061AF"/>
            </w:tcBorders>
            <w:gridSpan w:val="5"/>
            <w:shd w:val="clear" w:color="auto" w:fill="D8E7F3"/>
          </w:tcPr>
          <w:p>
            <w:pPr>
              <w:spacing w:after="0"/>
              <w:rPr>
                <w:sz w:val="20"/>
                <w:szCs w:val="20"/>
                <w:color w:val="auto"/>
              </w:rPr>
            </w:pPr>
            <w:r>
              <w:rPr>
                <w:rFonts w:ascii="Arial" w:cs="Arial" w:eastAsia="Arial" w:hAnsi="Arial"/>
                <w:sz w:val="14"/>
                <w:szCs w:val="14"/>
                <w:b w:val="1"/>
                <w:bCs w:val="1"/>
                <w:color w:val="auto"/>
              </w:rPr>
              <w:t>Long-term Incentive Plan</w:t>
            </w:r>
            <w:r>
              <w:rPr>
                <w:rFonts w:ascii="Arial" w:cs="Arial" w:eastAsia="Arial" w:hAnsi="Arial"/>
                <w:sz w:val="14"/>
                <w:szCs w:val="14"/>
                <w:color w:val="auto"/>
              </w:rPr>
              <w:t>: Effective with the 2021 performance share unit awards under the long-term</w:t>
            </w:r>
          </w:p>
        </w:tc>
        <w:tc>
          <w:tcPr>
            <w:tcW w:w="0" w:type="dxa"/>
            <w:vAlign w:val="bottom"/>
          </w:tcPr>
          <w:p>
            <w:pPr>
              <w:spacing w:after="0"/>
              <w:rPr>
                <w:sz w:val="1"/>
                <w:szCs w:val="1"/>
                <w:color w:val="auto"/>
              </w:rPr>
            </w:pPr>
          </w:p>
        </w:tc>
      </w:tr>
      <w:tr>
        <w:trPr>
          <w:trHeight w:val="24"/>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more directly align with shareholders</w:t>
            </w:r>
          </w:p>
        </w:tc>
        <w:tc>
          <w:tcPr>
            <w:tcW w:w="200" w:type="dxa"/>
            <w:vAlign w:val="bottom"/>
            <w:tcBorders>
              <w:right w:val="single" w:sz="8" w:color="0061AF"/>
            </w:tcBorders>
            <w:shd w:val="clear" w:color="auto" w:fill="D8E7F3"/>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Borders>
              <w:right w:val="single" w:sz="8" w:color="D8E7F3"/>
            </w:tcBorders>
            <w:shd w:val="clear" w:color="auto" w:fill="000000"/>
          </w:tcPr>
          <w:p>
            <w:pPr>
              <w:spacing w:after="0"/>
              <w:rPr>
                <w:sz w:val="2"/>
                <w:szCs w:val="2"/>
                <w:color w:val="auto"/>
              </w:rPr>
            </w:pPr>
          </w:p>
        </w:tc>
        <w:tc>
          <w:tcPr>
            <w:tcW w:w="2500" w:type="dxa"/>
            <w:vAlign w:val="bottom"/>
            <w:shd w:val="clear" w:color="auto" w:fill="D8E7F3"/>
          </w:tcPr>
          <w:p>
            <w:pPr>
              <w:spacing w:after="0"/>
              <w:rPr>
                <w:sz w:val="2"/>
                <w:szCs w:val="2"/>
                <w:color w:val="auto"/>
              </w:rPr>
            </w:pPr>
          </w:p>
        </w:tc>
        <w:tc>
          <w:tcPr>
            <w:tcW w:w="2600" w:type="dxa"/>
            <w:vAlign w:val="bottom"/>
            <w:tcBorders>
              <w:right w:val="single" w:sz="8" w:color="0061AF"/>
            </w:tcBorders>
            <w:shd w:val="clear" w:color="auto" w:fill="D8E7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680" w:type="dxa"/>
            <w:vAlign w:val="bottom"/>
            <w:tcBorders>
              <w:left w:val="single" w:sz="8" w:color="0061AF"/>
            </w:tcBorders>
            <w:vMerge w:val="continue"/>
            <w:shd w:val="clear" w:color="auto" w:fill="D8E7F3"/>
          </w:tcPr>
          <w:p>
            <w:pPr>
              <w:spacing w:after="0"/>
              <w:rPr>
                <w:sz w:val="12"/>
                <w:szCs w:val="12"/>
                <w:color w:val="auto"/>
              </w:rPr>
            </w:pPr>
          </w:p>
        </w:tc>
        <w:tc>
          <w:tcPr>
            <w:tcW w:w="200" w:type="dxa"/>
            <w:vAlign w:val="bottom"/>
            <w:tcBorders>
              <w:right w:val="single" w:sz="8" w:color="0061AF"/>
            </w:tcBorders>
            <w:shd w:val="clear" w:color="auto" w:fill="D8E7F3"/>
          </w:tcPr>
          <w:p>
            <w:pPr>
              <w:spacing w:after="0"/>
              <w:rPr>
                <w:sz w:val="12"/>
                <w:szCs w:val="12"/>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incentive plan, we replaced cumulative net income with cumulative utility EPS as a performance</w:t>
            </w:r>
          </w:p>
        </w:tc>
        <w:tc>
          <w:tcPr>
            <w:tcW w:w="0" w:type="dxa"/>
            <w:vAlign w:val="bottom"/>
          </w:tcPr>
          <w:p>
            <w:pPr>
              <w:spacing w:after="0"/>
              <w:rPr>
                <w:sz w:val="1"/>
                <w:szCs w:val="1"/>
                <w:color w:val="auto"/>
              </w:rPr>
            </w:pPr>
          </w:p>
        </w:tc>
      </w:tr>
      <w:tr>
        <w:trPr>
          <w:trHeight w:val="37"/>
        </w:trPr>
        <w:tc>
          <w:tcPr>
            <w:tcW w:w="2680" w:type="dxa"/>
            <w:vAlign w:val="bottom"/>
            <w:tcBorders>
              <w:left w:val="single" w:sz="8" w:color="0061AF"/>
            </w:tcBorders>
            <w:shd w:val="clear" w:color="auto" w:fill="D8E7F3"/>
          </w:tcPr>
          <w:p>
            <w:pPr>
              <w:spacing w:after="0"/>
              <w:rPr>
                <w:sz w:val="3"/>
                <w:szCs w:val="3"/>
                <w:color w:val="auto"/>
              </w:rPr>
            </w:pPr>
          </w:p>
        </w:tc>
        <w:tc>
          <w:tcPr>
            <w:tcW w:w="200" w:type="dxa"/>
            <w:vAlign w:val="bottom"/>
            <w:tcBorders>
              <w:right w:val="single" w:sz="8" w:color="0061AF"/>
            </w:tcBorders>
            <w:shd w:val="clear" w:color="auto" w:fill="D8E7F3"/>
          </w:tcPr>
          <w:p>
            <w:pPr>
              <w:spacing w:after="0"/>
              <w:rPr>
                <w:sz w:val="3"/>
                <w:szCs w:val="3"/>
                <w:color w:val="auto"/>
              </w:rPr>
            </w:pPr>
          </w:p>
        </w:tc>
        <w:tc>
          <w:tcPr>
            <w:tcW w:w="6860" w:type="dxa"/>
            <w:vAlign w:val="bottom"/>
            <w:tcBorders>
              <w:right w:val="single" w:sz="8" w:color="0061AF"/>
            </w:tcBorders>
            <w:gridSpan w:val="5"/>
            <w:vMerge w:val="continue"/>
            <w:shd w:val="clear" w:color="auto" w:fill="D8E7F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tcBorders>
              <w:left w:val="single" w:sz="8" w:color="0061AF"/>
              <w:bottom w:val="single" w:sz="8" w:color="D8E7F3"/>
            </w:tcBorders>
            <w:shd w:val="clear" w:color="auto" w:fill="D8E7F3"/>
          </w:tcPr>
          <w:p>
            <w:pPr>
              <w:spacing w:after="0"/>
              <w:rPr>
                <w:sz w:val="19"/>
                <w:szCs w:val="19"/>
                <w:color w:val="auto"/>
              </w:rPr>
            </w:pPr>
          </w:p>
        </w:tc>
        <w:tc>
          <w:tcPr>
            <w:tcW w:w="200" w:type="dxa"/>
            <w:vAlign w:val="bottom"/>
            <w:tcBorders>
              <w:bottom w:val="single" w:sz="8" w:color="D8E7F3"/>
              <w:right w:val="single" w:sz="8" w:color="0061AF"/>
            </w:tcBorders>
            <w:shd w:val="clear" w:color="auto" w:fill="D8E7F3"/>
          </w:tcPr>
          <w:p>
            <w:pPr>
              <w:spacing w:after="0"/>
              <w:rPr>
                <w:sz w:val="19"/>
                <w:szCs w:val="19"/>
                <w:color w:val="auto"/>
              </w:rPr>
            </w:pPr>
          </w:p>
        </w:tc>
        <w:tc>
          <w:tcPr>
            <w:tcW w:w="6860" w:type="dxa"/>
            <w:vAlign w:val="bottom"/>
            <w:tcBorders>
              <w:bottom w:val="single" w:sz="8" w:color="D8E7F3"/>
              <w:right w:val="single" w:sz="8" w:color="0061AF"/>
            </w:tcBorders>
            <w:gridSpan w:val="5"/>
            <w:shd w:val="clear" w:color="auto" w:fill="D8E7F3"/>
          </w:tcPr>
          <w:p>
            <w:pPr>
              <w:spacing w:after="0"/>
              <w:rPr>
                <w:sz w:val="20"/>
                <w:szCs w:val="20"/>
                <w:color w:val="auto"/>
              </w:rPr>
            </w:pPr>
            <w:r>
              <w:rPr>
                <w:rFonts w:ascii="Arial" w:cs="Arial" w:eastAsia="Arial" w:hAnsi="Arial"/>
                <w:sz w:val="14"/>
                <w:szCs w:val="14"/>
                <w:color w:val="auto"/>
              </w:rPr>
              <w:t>condition.</w:t>
            </w:r>
          </w:p>
        </w:tc>
        <w:tc>
          <w:tcPr>
            <w:tcW w:w="0" w:type="dxa"/>
            <w:vAlign w:val="bottom"/>
          </w:tcPr>
          <w:p>
            <w:pPr>
              <w:spacing w:after="0"/>
              <w:rPr>
                <w:sz w:val="1"/>
                <w:szCs w:val="1"/>
                <w:color w:val="auto"/>
              </w:rPr>
            </w:pPr>
          </w:p>
        </w:tc>
      </w:tr>
      <w:tr>
        <w:trPr>
          <w:trHeight w:val="230"/>
        </w:trPr>
        <w:tc>
          <w:tcPr>
            <w:tcW w:w="2680" w:type="dxa"/>
            <w:vAlign w:val="bottom"/>
            <w:tcBorders>
              <w:top w:val="single" w:sz="8" w:color="0061AF"/>
              <w:left w:val="single" w:sz="8" w:color="0061AF"/>
            </w:tcBorders>
          </w:tcPr>
          <w:p>
            <w:pPr>
              <w:spacing w:after="0"/>
              <w:rPr>
                <w:sz w:val="19"/>
                <w:szCs w:val="19"/>
                <w:color w:val="auto"/>
              </w:rPr>
            </w:pPr>
          </w:p>
        </w:tc>
        <w:tc>
          <w:tcPr>
            <w:tcW w:w="200" w:type="dxa"/>
            <w:vAlign w:val="bottom"/>
            <w:tcBorders>
              <w:top w:val="single" w:sz="8" w:color="0061AF"/>
              <w:right w:val="single" w:sz="8" w:color="0061AF"/>
            </w:tcBorders>
          </w:tcPr>
          <w:p>
            <w:pPr>
              <w:spacing w:after="0"/>
              <w:rPr>
                <w:sz w:val="19"/>
                <w:szCs w:val="19"/>
                <w:color w:val="auto"/>
              </w:rPr>
            </w:pPr>
          </w:p>
        </w:tc>
        <w:tc>
          <w:tcPr>
            <w:tcW w:w="6860" w:type="dxa"/>
            <w:vAlign w:val="bottom"/>
            <w:tcBorders>
              <w:top w:val="single" w:sz="8" w:color="0061AF"/>
              <w:right w:val="single" w:sz="8" w:color="0061AF"/>
            </w:tcBorders>
            <w:gridSpan w:val="5"/>
          </w:tcPr>
          <w:p>
            <w:pPr>
              <w:spacing w:after="0"/>
              <w:rPr>
                <w:sz w:val="20"/>
                <w:szCs w:val="20"/>
                <w:color w:val="auto"/>
              </w:rPr>
            </w:pPr>
            <w:r>
              <w:rPr>
                <w:rFonts w:ascii="Arial" w:cs="Arial" w:eastAsia="Arial" w:hAnsi="Arial"/>
                <w:sz w:val="14"/>
                <w:szCs w:val="14"/>
                <w:b w:val="1"/>
                <w:bCs w:val="1"/>
                <w:color w:val="auto"/>
              </w:rPr>
              <w:t xml:space="preserve">Financial Performance: </w:t>
            </w:r>
            <w:r>
              <w:rPr>
                <w:rFonts w:ascii="Arial" w:cs="Arial" w:eastAsia="Arial" w:hAnsi="Arial"/>
                <w:sz w:val="14"/>
                <w:szCs w:val="14"/>
                <w:color w:val="auto"/>
              </w:rPr>
              <w:t>Effective in 2021, we incorporated a funding trigger whereby a threshold EPS</w:t>
            </w:r>
          </w:p>
        </w:tc>
        <w:tc>
          <w:tcPr>
            <w:tcW w:w="0" w:type="dxa"/>
            <w:vAlign w:val="bottom"/>
          </w:tcPr>
          <w:p>
            <w:pPr>
              <w:spacing w:after="0"/>
              <w:rPr>
                <w:sz w:val="1"/>
                <w:szCs w:val="1"/>
                <w:color w:val="auto"/>
              </w:rPr>
            </w:pPr>
          </w:p>
        </w:tc>
      </w:tr>
      <w:tr>
        <w:trPr>
          <w:trHeight w:val="20"/>
        </w:trPr>
        <w:tc>
          <w:tcPr>
            <w:tcW w:w="2680" w:type="dxa"/>
            <w:vAlign w:val="bottom"/>
            <w:tcBorders>
              <w:left w:val="single" w:sz="8" w:color="0061AF"/>
            </w:tcBorders>
          </w:tcPr>
          <w:p>
            <w:pPr>
              <w:spacing w:after="0" w:line="20" w:lineRule="exact"/>
              <w:rPr>
                <w:sz w:val="1"/>
                <w:szCs w:val="1"/>
                <w:color w:val="auto"/>
              </w:rPr>
            </w:pPr>
          </w:p>
        </w:tc>
        <w:tc>
          <w:tcPr>
            <w:tcW w:w="200" w:type="dxa"/>
            <w:vAlign w:val="bottom"/>
            <w:tcBorders>
              <w:right w:val="single" w:sz="8" w:color="0061AF"/>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600" w:type="dxa"/>
            <w:vAlign w:val="bottom"/>
            <w:tcBorders>
              <w:right w:val="single" w:sz="8" w:color="0061A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must be achieved to fund the short-term incentive plan pool and, as described above, the funding of</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awards for our named executive officers under the short-term incentive plan is solely based on achieving</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a utility EPS goal. We also reduced the maximum payout opportunity under the short-term incentive plan</w:t>
            </w:r>
          </w:p>
        </w:tc>
        <w:tc>
          <w:tcPr>
            <w:tcW w:w="0" w:type="dxa"/>
            <w:vAlign w:val="bottom"/>
          </w:tcPr>
          <w:p>
            <w:pPr>
              <w:spacing w:after="0"/>
              <w:rPr>
                <w:sz w:val="1"/>
                <w:szCs w:val="1"/>
                <w:color w:val="auto"/>
              </w:rPr>
            </w:pPr>
          </w:p>
        </w:tc>
      </w:tr>
      <w:tr>
        <w:trPr>
          <w:trHeight w:val="171"/>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to 150%.</w:t>
            </w:r>
          </w:p>
        </w:tc>
        <w:tc>
          <w:tcPr>
            <w:tcW w:w="0" w:type="dxa"/>
            <w:vAlign w:val="bottom"/>
          </w:tcPr>
          <w:p>
            <w:pPr>
              <w:spacing w:after="0"/>
              <w:rPr>
                <w:sz w:val="1"/>
                <w:szCs w:val="1"/>
                <w:color w:val="auto"/>
              </w:rPr>
            </w:pPr>
          </w:p>
        </w:tc>
      </w:tr>
      <w:tr>
        <w:trPr>
          <w:trHeight w:val="269"/>
        </w:trPr>
        <w:tc>
          <w:tcPr>
            <w:tcW w:w="2680" w:type="dxa"/>
            <w:vAlign w:val="bottom"/>
            <w:tcBorders>
              <w:left w:val="single" w:sz="8" w:color="0061AF"/>
            </w:tcBorders>
          </w:tcPr>
          <w:p>
            <w:pPr>
              <w:spacing w:after="0"/>
              <w:rPr>
                <w:sz w:val="23"/>
                <w:szCs w:val="23"/>
                <w:color w:val="auto"/>
              </w:rPr>
            </w:pPr>
          </w:p>
        </w:tc>
        <w:tc>
          <w:tcPr>
            <w:tcW w:w="200" w:type="dxa"/>
            <w:vAlign w:val="bottom"/>
            <w:tcBorders>
              <w:right w:val="single" w:sz="8" w:color="0061AF"/>
            </w:tcBorders>
          </w:tcPr>
          <w:p>
            <w:pPr>
              <w:spacing w:after="0"/>
              <w:rPr>
                <w:sz w:val="23"/>
                <w:szCs w:val="23"/>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The 2021 performance share unit awards will represent 75% (previously 70%) of the total award under</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the long-term incentive plan and, as described above, we replaced cumulative net income with</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vMerge w:val="restart"/>
          </w:tcPr>
          <w:p>
            <w:pPr>
              <w:ind w:left="140"/>
              <w:spacing w:after="0"/>
              <w:rPr>
                <w:sz w:val="20"/>
                <w:szCs w:val="20"/>
                <w:color w:val="auto"/>
              </w:rPr>
            </w:pPr>
            <w:r>
              <w:rPr>
                <w:rFonts w:ascii="Arial" w:cs="Arial" w:eastAsia="Arial" w:hAnsi="Arial"/>
                <w:sz w:val="14"/>
                <w:szCs w:val="14"/>
                <w:b w:val="1"/>
                <w:bCs w:val="1"/>
                <w:i w:val="1"/>
                <w:iCs w:val="1"/>
                <w:color w:val="auto"/>
              </w:rPr>
              <w:t>Enhance performance-based</w:t>
            </w: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cumulative utility EPS as a performance condition. We decreased the weighting on 2021 restricted stock</w:t>
            </w:r>
          </w:p>
        </w:tc>
        <w:tc>
          <w:tcPr>
            <w:tcW w:w="0" w:type="dxa"/>
            <w:vAlign w:val="bottom"/>
          </w:tcPr>
          <w:p>
            <w:pPr>
              <w:spacing w:after="0"/>
              <w:rPr>
                <w:sz w:val="1"/>
                <w:szCs w:val="1"/>
                <w:color w:val="auto"/>
              </w:rPr>
            </w:pPr>
          </w:p>
        </w:tc>
      </w:tr>
      <w:tr>
        <w:trPr>
          <w:trHeight w:val="91"/>
        </w:trPr>
        <w:tc>
          <w:tcPr>
            <w:tcW w:w="2680" w:type="dxa"/>
            <w:vAlign w:val="bottom"/>
            <w:tcBorders>
              <w:left w:val="single" w:sz="8" w:color="0061AF"/>
            </w:tcBorders>
            <w:vMerge w:val="continue"/>
          </w:tcPr>
          <w:p>
            <w:pPr>
              <w:spacing w:after="0"/>
              <w:rPr>
                <w:sz w:val="7"/>
                <w:szCs w:val="7"/>
                <w:color w:val="auto"/>
              </w:rPr>
            </w:pPr>
          </w:p>
        </w:tc>
        <w:tc>
          <w:tcPr>
            <w:tcW w:w="200" w:type="dxa"/>
            <w:vAlign w:val="bottom"/>
            <w:tcBorders>
              <w:right w:val="single" w:sz="8" w:color="0061AF"/>
            </w:tcBorders>
          </w:tcPr>
          <w:p>
            <w:pPr>
              <w:spacing w:after="0"/>
              <w:rPr>
                <w:sz w:val="7"/>
                <w:szCs w:val="7"/>
                <w:color w:val="auto"/>
              </w:rPr>
            </w:pPr>
          </w:p>
        </w:tc>
        <w:tc>
          <w:tcPr>
            <w:tcW w:w="6860" w:type="dxa"/>
            <w:vAlign w:val="bottom"/>
            <w:tcBorders>
              <w:right w:val="single" w:sz="8" w:color="0061AF"/>
            </w:tcBorders>
            <w:gridSpan w:val="5"/>
            <w:vMerge w:val="restart"/>
          </w:tcPr>
          <w:p>
            <w:pPr>
              <w:spacing w:after="0"/>
              <w:rPr>
                <w:sz w:val="20"/>
                <w:szCs w:val="20"/>
                <w:color w:val="auto"/>
              </w:rPr>
            </w:pPr>
            <w:r>
              <w:rPr>
                <w:rFonts w:ascii="Arial" w:cs="Arial" w:eastAsia="Arial" w:hAnsi="Arial"/>
                <w:sz w:val="14"/>
                <w:szCs w:val="14"/>
                <w:color w:val="auto"/>
              </w:rPr>
              <w:t>unit awards to 25% (previously 30%) of the total award under the long-term incentive plan and</w:t>
            </w:r>
          </w:p>
        </w:tc>
        <w:tc>
          <w:tcPr>
            <w:tcW w:w="0" w:type="dxa"/>
            <w:vAlign w:val="bottom"/>
          </w:tcPr>
          <w:p>
            <w:pPr>
              <w:spacing w:after="0"/>
              <w:rPr>
                <w:sz w:val="1"/>
                <w:szCs w:val="1"/>
                <w:color w:val="auto"/>
              </w:rPr>
            </w:pPr>
          </w:p>
        </w:tc>
      </w:tr>
      <w:tr>
        <w:trPr>
          <w:trHeight w:val="76"/>
        </w:trPr>
        <w:tc>
          <w:tcPr>
            <w:tcW w:w="2680" w:type="dxa"/>
            <w:vAlign w:val="bottom"/>
            <w:tcBorders>
              <w:left w:val="single" w:sz="8" w:color="0061AF"/>
            </w:tcBorders>
            <w:vMerge w:val="restart"/>
          </w:tcPr>
          <w:p>
            <w:pPr>
              <w:ind w:left="140"/>
              <w:spacing w:after="0"/>
              <w:rPr>
                <w:sz w:val="20"/>
                <w:szCs w:val="20"/>
                <w:color w:val="auto"/>
              </w:rPr>
            </w:pPr>
            <w:r>
              <w:rPr>
                <w:rFonts w:ascii="Arial" w:cs="Arial" w:eastAsia="Arial" w:hAnsi="Arial"/>
                <w:sz w:val="14"/>
                <w:szCs w:val="14"/>
                <w:b w:val="1"/>
                <w:bCs w:val="1"/>
                <w:i w:val="1"/>
                <w:iCs w:val="1"/>
                <w:color w:val="auto"/>
              </w:rPr>
              <w:t>compensation and ensure rigorous</w:t>
            </w:r>
          </w:p>
        </w:tc>
        <w:tc>
          <w:tcPr>
            <w:tcW w:w="200" w:type="dxa"/>
            <w:vAlign w:val="bottom"/>
            <w:tcBorders>
              <w:right w:val="single" w:sz="8" w:color="0061AF"/>
            </w:tcBorders>
          </w:tcPr>
          <w:p>
            <w:pPr>
              <w:spacing w:after="0"/>
              <w:rPr>
                <w:sz w:val="6"/>
                <w:szCs w:val="6"/>
                <w:color w:val="auto"/>
              </w:rPr>
            </w:pPr>
          </w:p>
        </w:tc>
        <w:tc>
          <w:tcPr>
            <w:tcW w:w="6860" w:type="dxa"/>
            <w:vAlign w:val="bottom"/>
            <w:tcBorders>
              <w:right w:val="single" w:sz="8" w:color="0061AF"/>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680" w:type="dxa"/>
            <w:vAlign w:val="bottom"/>
            <w:tcBorders>
              <w:left w:val="single" w:sz="8" w:color="0061AF"/>
            </w:tcBorders>
            <w:vMerge w:val="continue"/>
          </w:tcPr>
          <w:p>
            <w:pPr>
              <w:spacing w:after="0"/>
              <w:rPr>
                <w:sz w:val="7"/>
                <w:szCs w:val="7"/>
                <w:color w:val="auto"/>
              </w:rPr>
            </w:pPr>
          </w:p>
        </w:tc>
        <w:tc>
          <w:tcPr>
            <w:tcW w:w="200" w:type="dxa"/>
            <w:vAlign w:val="bottom"/>
            <w:tcBorders>
              <w:right w:val="single" w:sz="8" w:color="0061AF"/>
            </w:tcBorders>
          </w:tcPr>
          <w:p>
            <w:pPr>
              <w:spacing w:after="0"/>
              <w:rPr>
                <w:sz w:val="7"/>
                <w:szCs w:val="7"/>
                <w:color w:val="auto"/>
              </w:rPr>
            </w:pPr>
          </w:p>
        </w:tc>
        <w:tc>
          <w:tcPr>
            <w:tcW w:w="6860" w:type="dxa"/>
            <w:vAlign w:val="bottom"/>
            <w:tcBorders>
              <w:right w:val="single" w:sz="8" w:color="0061AF"/>
            </w:tcBorders>
            <w:gridSpan w:val="5"/>
            <w:vMerge w:val="restart"/>
          </w:tcPr>
          <w:p>
            <w:pPr>
              <w:spacing w:after="0"/>
              <w:rPr>
                <w:sz w:val="20"/>
                <w:szCs w:val="20"/>
                <w:color w:val="auto"/>
              </w:rPr>
            </w:pPr>
            <w:r>
              <w:rPr>
                <w:rFonts w:ascii="Arial" w:cs="Arial" w:eastAsia="Arial" w:hAnsi="Arial"/>
                <w:sz w:val="14"/>
                <w:szCs w:val="14"/>
                <w:color w:val="auto"/>
              </w:rPr>
              <w:t>incorporated a positive operating income trigger into our restricted stock unit awards, which will require</w:t>
            </w:r>
          </w:p>
        </w:tc>
        <w:tc>
          <w:tcPr>
            <w:tcW w:w="0" w:type="dxa"/>
            <w:vAlign w:val="bottom"/>
          </w:tcPr>
          <w:p>
            <w:pPr>
              <w:spacing w:after="0"/>
              <w:rPr>
                <w:sz w:val="1"/>
                <w:szCs w:val="1"/>
                <w:color w:val="auto"/>
              </w:rPr>
            </w:pPr>
          </w:p>
        </w:tc>
      </w:tr>
      <w:tr>
        <w:trPr>
          <w:trHeight w:val="76"/>
        </w:trPr>
        <w:tc>
          <w:tcPr>
            <w:tcW w:w="2680" w:type="dxa"/>
            <w:vAlign w:val="bottom"/>
            <w:tcBorders>
              <w:left w:val="single" w:sz="8" w:color="0061AF"/>
            </w:tcBorders>
            <w:vMerge w:val="restart"/>
          </w:tcPr>
          <w:p>
            <w:pPr>
              <w:ind w:left="140"/>
              <w:spacing w:after="0"/>
              <w:rPr>
                <w:sz w:val="20"/>
                <w:szCs w:val="20"/>
                <w:color w:val="auto"/>
              </w:rPr>
            </w:pPr>
            <w:r>
              <w:rPr>
                <w:rFonts w:ascii="Arial" w:cs="Arial" w:eastAsia="Arial" w:hAnsi="Arial"/>
                <w:sz w:val="14"/>
                <w:szCs w:val="14"/>
                <w:b w:val="1"/>
                <w:bCs w:val="1"/>
                <w:i w:val="1"/>
                <w:iCs w:val="1"/>
                <w:color w:val="auto"/>
              </w:rPr>
              <w:t>metrics</w:t>
            </w:r>
          </w:p>
        </w:tc>
        <w:tc>
          <w:tcPr>
            <w:tcW w:w="200" w:type="dxa"/>
            <w:vAlign w:val="bottom"/>
            <w:tcBorders>
              <w:right w:val="single" w:sz="8" w:color="0061AF"/>
            </w:tcBorders>
          </w:tcPr>
          <w:p>
            <w:pPr>
              <w:spacing w:after="0"/>
              <w:rPr>
                <w:sz w:val="6"/>
                <w:szCs w:val="6"/>
                <w:color w:val="auto"/>
              </w:rPr>
            </w:pPr>
          </w:p>
        </w:tc>
        <w:tc>
          <w:tcPr>
            <w:tcW w:w="6860" w:type="dxa"/>
            <w:vAlign w:val="bottom"/>
            <w:tcBorders>
              <w:right w:val="single" w:sz="8" w:color="0061AF"/>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680" w:type="dxa"/>
            <w:vAlign w:val="bottom"/>
            <w:tcBorders>
              <w:left w:val="single" w:sz="8" w:color="0061AF"/>
            </w:tcBorders>
            <w:vMerge w:val="continue"/>
          </w:tcPr>
          <w:p>
            <w:pPr>
              <w:spacing w:after="0"/>
              <w:rPr>
                <w:sz w:val="9"/>
                <w:szCs w:val="9"/>
                <w:color w:val="auto"/>
              </w:rPr>
            </w:pPr>
          </w:p>
        </w:tc>
        <w:tc>
          <w:tcPr>
            <w:tcW w:w="200" w:type="dxa"/>
            <w:vAlign w:val="bottom"/>
            <w:tcBorders>
              <w:right w:val="single" w:sz="8" w:color="0061AF"/>
            </w:tcBorders>
          </w:tcPr>
          <w:p>
            <w:pPr>
              <w:spacing w:after="0"/>
              <w:rPr>
                <w:sz w:val="9"/>
                <w:szCs w:val="9"/>
                <w:color w:val="auto"/>
              </w:rPr>
            </w:pPr>
          </w:p>
        </w:tc>
        <w:tc>
          <w:tcPr>
            <w:tcW w:w="6860" w:type="dxa"/>
            <w:vAlign w:val="bottom"/>
            <w:tcBorders>
              <w:right w:val="single" w:sz="8" w:color="0061AF"/>
            </w:tcBorders>
            <w:gridSpan w:val="5"/>
            <w:vMerge w:val="restart"/>
          </w:tcPr>
          <w:p>
            <w:pPr>
              <w:spacing w:after="0"/>
              <w:rPr>
                <w:sz w:val="20"/>
                <w:szCs w:val="20"/>
                <w:color w:val="auto"/>
              </w:rPr>
            </w:pPr>
            <w:r>
              <w:rPr>
                <w:rFonts w:ascii="Arial" w:cs="Arial" w:eastAsia="Arial" w:hAnsi="Arial"/>
                <w:sz w:val="14"/>
                <w:szCs w:val="14"/>
                <w:color w:val="auto"/>
              </w:rPr>
              <w:t>positive operating income in the last full calendar year of the restricted period for the awards to vest.</w:t>
            </w:r>
          </w:p>
        </w:tc>
        <w:tc>
          <w:tcPr>
            <w:tcW w:w="0" w:type="dxa"/>
            <w:vAlign w:val="bottom"/>
          </w:tcPr>
          <w:p>
            <w:pPr>
              <w:spacing w:after="0"/>
              <w:rPr>
                <w:sz w:val="1"/>
                <w:szCs w:val="1"/>
                <w:color w:val="auto"/>
              </w:rPr>
            </w:pPr>
          </w:p>
        </w:tc>
      </w:tr>
      <w:tr>
        <w:trPr>
          <w:trHeight w:val="60"/>
        </w:trPr>
        <w:tc>
          <w:tcPr>
            <w:tcW w:w="2680" w:type="dxa"/>
            <w:vAlign w:val="bottom"/>
            <w:tcBorders>
              <w:left w:val="single" w:sz="8" w:color="0061AF"/>
            </w:tcBorders>
          </w:tcPr>
          <w:p>
            <w:pPr>
              <w:spacing w:after="0"/>
              <w:rPr>
                <w:sz w:val="5"/>
                <w:szCs w:val="5"/>
                <w:color w:val="auto"/>
              </w:rPr>
            </w:pPr>
          </w:p>
        </w:tc>
        <w:tc>
          <w:tcPr>
            <w:tcW w:w="200" w:type="dxa"/>
            <w:vAlign w:val="bottom"/>
            <w:tcBorders>
              <w:right w:val="single" w:sz="8" w:color="0061AF"/>
            </w:tcBorders>
          </w:tcPr>
          <w:p>
            <w:pPr>
              <w:spacing w:after="0"/>
              <w:rPr>
                <w:sz w:val="5"/>
                <w:szCs w:val="5"/>
                <w:color w:val="auto"/>
              </w:rPr>
            </w:pPr>
          </w:p>
        </w:tc>
        <w:tc>
          <w:tcPr>
            <w:tcW w:w="6860" w:type="dxa"/>
            <w:vAlign w:val="bottom"/>
            <w:tcBorders>
              <w:right w:val="single" w:sz="8" w:color="0061AF"/>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680" w:type="dxa"/>
            <w:vAlign w:val="bottom"/>
            <w:tcBorders>
              <w:left w:val="single" w:sz="8" w:color="0061AF"/>
            </w:tcBorders>
          </w:tcPr>
          <w:p>
            <w:pPr>
              <w:spacing w:after="0"/>
              <w:rPr>
                <w:sz w:val="21"/>
                <w:szCs w:val="21"/>
                <w:color w:val="auto"/>
              </w:rPr>
            </w:pPr>
          </w:p>
        </w:tc>
        <w:tc>
          <w:tcPr>
            <w:tcW w:w="200" w:type="dxa"/>
            <w:vAlign w:val="bottom"/>
            <w:tcBorders>
              <w:right w:val="single" w:sz="8" w:color="0061AF"/>
            </w:tcBorders>
          </w:tcPr>
          <w:p>
            <w:pPr>
              <w:spacing w:after="0"/>
              <w:rPr>
                <w:sz w:val="21"/>
                <w:szCs w:val="21"/>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b w:val="1"/>
                <w:bCs w:val="1"/>
                <w:color w:val="auto"/>
              </w:rPr>
              <w:t>Shareholder Return</w:t>
            </w:r>
            <w:r>
              <w:rPr>
                <w:rFonts w:ascii="Arial" w:cs="Arial" w:eastAsia="Arial" w:hAnsi="Arial"/>
                <w:sz w:val="14"/>
                <w:szCs w:val="14"/>
                <w:color w:val="auto"/>
              </w:rPr>
              <w:t>: Effective with the 2021 performance share unit awards, we increased the</w:t>
            </w:r>
          </w:p>
        </w:tc>
        <w:tc>
          <w:tcPr>
            <w:tcW w:w="0" w:type="dxa"/>
            <w:vAlign w:val="bottom"/>
          </w:tcPr>
          <w:p>
            <w:pPr>
              <w:spacing w:after="0"/>
              <w:rPr>
                <w:sz w:val="1"/>
                <w:szCs w:val="1"/>
                <w:color w:val="auto"/>
              </w:rPr>
            </w:pPr>
          </w:p>
        </w:tc>
      </w:tr>
      <w:tr>
        <w:trPr>
          <w:trHeight w:val="20"/>
        </w:trPr>
        <w:tc>
          <w:tcPr>
            <w:tcW w:w="2680" w:type="dxa"/>
            <w:vAlign w:val="bottom"/>
            <w:tcBorders>
              <w:left w:val="single" w:sz="8" w:color="0061AF"/>
            </w:tcBorders>
          </w:tcPr>
          <w:p>
            <w:pPr>
              <w:spacing w:after="0" w:line="20" w:lineRule="exact"/>
              <w:rPr>
                <w:sz w:val="1"/>
                <w:szCs w:val="1"/>
                <w:color w:val="auto"/>
              </w:rPr>
            </w:pPr>
          </w:p>
        </w:tc>
        <w:tc>
          <w:tcPr>
            <w:tcW w:w="200" w:type="dxa"/>
            <w:vAlign w:val="bottom"/>
            <w:tcBorders>
              <w:right w:val="single" w:sz="8" w:color="0061AF"/>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600" w:type="dxa"/>
            <w:vAlign w:val="bottom"/>
            <w:tcBorders>
              <w:right w:val="single" w:sz="8" w:color="0061A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left w:val="single" w:sz="8" w:color="0061AF"/>
            </w:tcBorders>
          </w:tcPr>
          <w:p>
            <w:pPr>
              <w:spacing w:after="0"/>
              <w:rPr>
                <w:sz w:val="15"/>
                <w:szCs w:val="15"/>
                <w:color w:val="auto"/>
              </w:rPr>
            </w:pPr>
          </w:p>
        </w:tc>
        <w:tc>
          <w:tcPr>
            <w:tcW w:w="200" w:type="dxa"/>
            <w:vAlign w:val="bottom"/>
            <w:tcBorders>
              <w:right w:val="single" w:sz="8" w:color="0061AF"/>
            </w:tcBorders>
          </w:tcPr>
          <w:p>
            <w:pPr>
              <w:spacing w:after="0"/>
              <w:rPr>
                <w:sz w:val="15"/>
                <w:szCs w:val="15"/>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weighting on relative TSR from 40% to 45% of the total award under the long-term incentive plan.</w:t>
            </w:r>
          </w:p>
        </w:tc>
        <w:tc>
          <w:tcPr>
            <w:tcW w:w="0" w:type="dxa"/>
            <w:vAlign w:val="bottom"/>
          </w:tcPr>
          <w:p>
            <w:pPr>
              <w:spacing w:after="0"/>
              <w:rPr>
                <w:sz w:val="1"/>
                <w:szCs w:val="1"/>
                <w:color w:val="auto"/>
              </w:rPr>
            </w:pPr>
          </w:p>
        </w:tc>
      </w:tr>
      <w:tr>
        <w:trPr>
          <w:trHeight w:val="244"/>
        </w:trPr>
        <w:tc>
          <w:tcPr>
            <w:tcW w:w="2680" w:type="dxa"/>
            <w:vAlign w:val="bottom"/>
            <w:tcBorders>
              <w:left w:val="single" w:sz="8" w:color="0061AF"/>
            </w:tcBorders>
          </w:tcPr>
          <w:p>
            <w:pPr>
              <w:spacing w:after="0"/>
              <w:rPr>
                <w:sz w:val="21"/>
                <w:szCs w:val="21"/>
                <w:color w:val="auto"/>
              </w:rPr>
            </w:pPr>
          </w:p>
        </w:tc>
        <w:tc>
          <w:tcPr>
            <w:tcW w:w="200" w:type="dxa"/>
            <w:vAlign w:val="bottom"/>
            <w:tcBorders>
              <w:right w:val="single" w:sz="8" w:color="0061AF"/>
            </w:tcBorders>
          </w:tcPr>
          <w:p>
            <w:pPr>
              <w:spacing w:after="0"/>
              <w:rPr>
                <w:sz w:val="21"/>
                <w:szCs w:val="21"/>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b w:val="1"/>
                <w:bCs w:val="1"/>
                <w:color w:val="auto"/>
              </w:rPr>
              <w:t>Safety and Customer Service Performance and Accountability</w:t>
            </w:r>
            <w:r>
              <w:rPr>
                <w:rFonts w:ascii="Arial" w:cs="Arial" w:eastAsia="Arial" w:hAnsi="Arial"/>
                <w:sz w:val="14"/>
                <w:szCs w:val="14"/>
                <w:color w:val="auto"/>
              </w:rPr>
              <w:t>: While the funding of awards for our</w:t>
            </w:r>
          </w:p>
        </w:tc>
        <w:tc>
          <w:tcPr>
            <w:tcW w:w="0" w:type="dxa"/>
            <w:vAlign w:val="bottom"/>
          </w:tcPr>
          <w:p>
            <w:pPr>
              <w:spacing w:after="0"/>
              <w:rPr>
                <w:sz w:val="1"/>
                <w:szCs w:val="1"/>
                <w:color w:val="auto"/>
              </w:rPr>
            </w:pPr>
          </w:p>
        </w:tc>
      </w:tr>
      <w:tr>
        <w:trPr>
          <w:trHeight w:val="20"/>
        </w:trPr>
        <w:tc>
          <w:tcPr>
            <w:tcW w:w="2680" w:type="dxa"/>
            <w:vAlign w:val="bottom"/>
            <w:tcBorders>
              <w:left w:val="single" w:sz="8" w:color="0061AF"/>
            </w:tcBorders>
          </w:tcPr>
          <w:p>
            <w:pPr>
              <w:spacing w:after="0" w:line="20" w:lineRule="exact"/>
              <w:rPr>
                <w:sz w:val="1"/>
                <w:szCs w:val="1"/>
                <w:color w:val="auto"/>
              </w:rPr>
            </w:pPr>
          </w:p>
        </w:tc>
        <w:tc>
          <w:tcPr>
            <w:tcW w:w="200" w:type="dxa"/>
            <w:vAlign w:val="bottom"/>
            <w:tcBorders>
              <w:right w:val="single" w:sz="8" w:color="0061AF"/>
            </w:tcBorders>
          </w:tcPr>
          <w:p>
            <w:pPr>
              <w:spacing w:after="0" w:line="20" w:lineRule="exact"/>
              <w:rPr>
                <w:sz w:val="1"/>
                <w:szCs w:val="1"/>
                <w:color w:val="auto"/>
              </w:rPr>
            </w:pPr>
          </w:p>
        </w:tc>
        <w:tc>
          <w:tcPr>
            <w:tcW w:w="4260" w:type="dxa"/>
            <w:vAlign w:val="bottom"/>
            <w:gridSpan w:val="4"/>
            <w:shd w:val="clear" w:color="auto" w:fill="000000"/>
          </w:tcPr>
          <w:p>
            <w:pPr>
              <w:spacing w:after="0" w:line="20" w:lineRule="exact"/>
              <w:rPr>
                <w:sz w:val="1"/>
                <w:szCs w:val="1"/>
                <w:color w:val="auto"/>
              </w:rPr>
            </w:pPr>
          </w:p>
        </w:tc>
        <w:tc>
          <w:tcPr>
            <w:tcW w:w="2600" w:type="dxa"/>
            <w:vAlign w:val="bottom"/>
            <w:tcBorders>
              <w:right w:val="single" w:sz="8" w:color="0061A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named executive officers under the short-term incentive plan beginning in 2021 is based on achieving a</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utility EPS goal as described above, the Compensation Committee has authority to adjust downward</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named executive officer awards under the plan if certain operational goals, such as safety and customer</w:t>
            </w:r>
          </w:p>
        </w:tc>
        <w:tc>
          <w:tcPr>
            <w:tcW w:w="0" w:type="dxa"/>
            <w:vAlign w:val="bottom"/>
          </w:tcPr>
          <w:p>
            <w:pPr>
              <w:spacing w:after="0"/>
              <w:rPr>
                <w:sz w:val="1"/>
                <w:szCs w:val="1"/>
                <w:color w:val="auto"/>
              </w:rPr>
            </w:pPr>
          </w:p>
        </w:tc>
      </w:tr>
      <w:tr>
        <w:trPr>
          <w:trHeight w:val="171"/>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service, are not met.</w:t>
            </w:r>
          </w:p>
        </w:tc>
        <w:tc>
          <w:tcPr>
            <w:tcW w:w="0" w:type="dxa"/>
            <w:vAlign w:val="bottom"/>
          </w:tcPr>
          <w:p>
            <w:pPr>
              <w:spacing w:after="0"/>
              <w:rPr>
                <w:sz w:val="1"/>
                <w:szCs w:val="1"/>
                <w:color w:val="auto"/>
              </w:rPr>
            </w:pPr>
          </w:p>
        </w:tc>
      </w:tr>
      <w:tr>
        <w:trPr>
          <w:trHeight w:val="53"/>
        </w:trPr>
        <w:tc>
          <w:tcPr>
            <w:tcW w:w="2680" w:type="dxa"/>
            <w:vAlign w:val="bottom"/>
            <w:tcBorders>
              <w:left w:val="single" w:sz="8" w:color="0061AF"/>
              <w:bottom w:val="single" w:sz="8" w:color="0061AF"/>
            </w:tcBorders>
          </w:tcPr>
          <w:p>
            <w:pPr>
              <w:spacing w:after="0"/>
              <w:rPr>
                <w:sz w:val="4"/>
                <w:szCs w:val="4"/>
                <w:color w:val="auto"/>
              </w:rPr>
            </w:pPr>
          </w:p>
        </w:tc>
        <w:tc>
          <w:tcPr>
            <w:tcW w:w="200" w:type="dxa"/>
            <w:vAlign w:val="bottom"/>
            <w:tcBorders>
              <w:bottom w:val="single" w:sz="8" w:color="0061AF"/>
              <w:right w:val="single" w:sz="8" w:color="0061AF"/>
            </w:tcBorders>
          </w:tcPr>
          <w:p>
            <w:pPr>
              <w:spacing w:after="0"/>
              <w:rPr>
                <w:sz w:val="4"/>
                <w:szCs w:val="4"/>
                <w:color w:val="auto"/>
              </w:rPr>
            </w:pPr>
          </w:p>
        </w:tc>
        <w:tc>
          <w:tcPr>
            <w:tcW w:w="1380" w:type="dxa"/>
            <w:vAlign w:val="bottom"/>
            <w:tcBorders>
              <w:bottom w:val="single" w:sz="8" w:color="0061AF"/>
            </w:tcBorders>
          </w:tcPr>
          <w:p>
            <w:pPr>
              <w:spacing w:after="0"/>
              <w:rPr>
                <w:sz w:val="4"/>
                <w:szCs w:val="4"/>
                <w:color w:val="auto"/>
              </w:rPr>
            </w:pPr>
          </w:p>
        </w:tc>
        <w:tc>
          <w:tcPr>
            <w:tcW w:w="200" w:type="dxa"/>
            <w:vAlign w:val="bottom"/>
            <w:tcBorders>
              <w:bottom w:val="single" w:sz="8" w:color="0061AF"/>
            </w:tcBorders>
          </w:tcPr>
          <w:p>
            <w:pPr>
              <w:spacing w:after="0"/>
              <w:rPr>
                <w:sz w:val="4"/>
                <w:szCs w:val="4"/>
                <w:color w:val="auto"/>
              </w:rPr>
            </w:pPr>
          </w:p>
        </w:tc>
        <w:tc>
          <w:tcPr>
            <w:tcW w:w="180" w:type="dxa"/>
            <w:vAlign w:val="bottom"/>
            <w:tcBorders>
              <w:bottom w:val="single" w:sz="8" w:color="0061AF"/>
            </w:tcBorders>
          </w:tcPr>
          <w:p>
            <w:pPr>
              <w:spacing w:after="0"/>
              <w:rPr>
                <w:sz w:val="4"/>
                <w:szCs w:val="4"/>
                <w:color w:val="auto"/>
              </w:rPr>
            </w:pPr>
          </w:p>
        </w:tc>
        <w:tc>
          <w:tcPr>
            <w:tcW w:w="2500" w:type="dxa"/>
            <w:vAlign w:val="bottom"/>
            <w:tcBorders>
              <w:bottom w:val="single" w:sz="8" w:color="0061AF"/>
            </w:tcBorders>
          </w:tcPr>
          <w:p>
            <w:pPr>
              <w:spacing w:after="0"/>
              <w:rPr>
                <w:sz w:val="4"/>
                <w:szCs w:val="4"/>
                <w:color w:val="auto"/>
              </w:rPr>
            </w:pPr>
          </w:p>
        </w:tc>
        <w:tc>
          <w:tcPr>
            <w:tcW w:w="2600" w:type="dxa"/>
            <w:vAlign w:val="bottom"/>
            <w:tcBorders>
              <w:bottom w:val="single" w:sz="8" w:color="0061AF"/>
              <w:right w:val="single" w:sz="8" w:color="0061A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Incorporate ESG metrics into</w:t>
            </w:r>
          </w:p>
        </w:tc>
        <w:tc>
          <w:tcPr>
            <w:tcW w:w="200" w:type="dxa"/>
            <w:vAlign w:val="bottom"/>
            <w:tcBorders>
              <w:right w:val="single" w:sz="8" w:color="0061AF"/>
            </w:tcBorders>
            <w:shd w:val="clear" w:color="auto" w:fill="D8E7F3"/>
          </w:tcPr>
          <w:p>
            <w:pPr>
              <w:spacing w:after="0"/>
              <w:rPr>
                <w:sz w:val="22"/>
                <w:szCs w:val="22"/>
                <w:color w:val="auto"/>
              </w:rPr>
            </w:pPr>
          </w:p>
        </w:tc>
        <w:tc>
          <w:tcPr>
            <w:tcW w:w="6860" w:type="dxa"/>
            <w:vAlign w:val="bottom"/>
            <w:tcBorders>
              <w:right w:val="single" w:sz="8" w:color="0061AF"/>
            </w:tcBorders>
            <w:gridSpan w:val="5"/>
            <w:shd w:val="clear" w:color="auto" w:fill="D8E7F3"/>
          </w:tcPr>
          <w:p>
            <w:pPr>
              <w:spacing w:after="0"/>
              <w:rPr>
                <w:sz w:val="20"/>
                <w:szCs w:val="20"/>
                <w:color w:val="auto"/>
              </w:rPr>
            </w:pPr>
            <w:r>
              <w:rPr>
                <w:rFonts w:ascii="Arial" w:cs="Arial" w:eastAsia="Arial" w:hAnsi="Arial"/>
                <w:sz w:val="14"/>
                <w:szCs w:val="14"/>
                <w:color w:val="auto"/>
              </w:rPr>
              <w:t>Effective in 2021, we introduced an ESG modifier focused on diversity and inclusion into the short-term</w:t>
            </w:r>
          </w:p>
        </w:tc>
        <w:tc>
          <w:tcPr>
            <w:tcW w:w="0" w:type="dxa"/>
            <w:vAlign w:val="bottom"/>
          </w:tcPr>
          <w:p>
            <w:pPr>
              <w:spacing w:after="0"/>
              <w:rPr>
                <w:sz w:val="1"/>
                <w:szCs w:val="1"/>
                <w:color w:val="auto"/>
              </w:rPr>
            </w:pPr>
          </w:p>
        </w:tc>
      </w:tr>
      <w:tr>
        <w:trPr>
          <w:trHeight w:val="44"/>
        </w:trPr>
        <w:tc>
          <w:tcPr>
            <w:tcW w:w="2680" w:type="dxa"/>
            <w:vAlign w:val="bottom"/>
            <w:tcBorders>
              <w:left w:val="single" w:sz="8" w:color="0061AF"/>
            </w:tcBorders>
            <w:vMerge w:val="continue"/>
            <w:shd w:val="clear" w:color="auto" w:fill="D8E7F3"/>
          </w:tcPr>
          <w:p>
            <w:pPr>
              <w:spacing w:after="0"/>
              <w:rPr>
                <w:sz w:val="3"/>
                <w:szCs w:val="3"/>
                <w:color w:val="auto"/>
              </w:rPr>
            </w:pPr>
          </w:p>
        </w:tc>
        <w:tc>
          <w:tcPr>
            <w:tcW w:w="200" w:type="dxa"/>
            <w:vAlign w:val="bottom"/>
            <w:tcBorders>
              <w:right w:val="single" w:sz="8" w:color="0061AF"/>
            </w:tcBorders>
            <w:shd w:val="clear" w:color="auto" w:fill="D8E7F3"/>
          </w:tcPr>
          <w:p>
            <w:pPr>
              <w:spacing w:after="0"/>
              <w:rPr>
                <w:sz w:val="3"/>
                <w:szCs w:val="3"/>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incentive plan design. The ESG modifier is a downward-only modifier and can only reduce the potential</w:t>
            </w:r>
          </w:p>
        </w:tc>
        <w:tc>
          <w:tcPr>
            <w:tcW w:w="0" w:type="dxa"/>
            <w:vAlign w:val="bottom"/>
          </w:tcPr>
          <w:p>
            <w:pPr>
              <w:spacing w:after="0"/>
              <w:rPr>
                <w:sz w:val="1"/>
                <w:szCs w:val="1"/>
                <w:color w:val="auto"/>
              </w:rPr>
            </w:pPr>
          </w:p>
        </w:tc>
      </w:tr>
      <w:tr>
        <w:trPr>
          <w:trHeight w:val="123"/>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incentive plans</w:t>
            </w:r>
          </w:p>
        </w:tc>
        <w:tc>
          <w:tcPr>
            <w:tcW w:w="200" w:type="dxa"/>
            <w:vAlign w:val="bottom"/>
            <w:tcBorders>
              <w:right w:val="single" w:sz="8" w:color="0061AF"/>
            </w:tcBorders>
            <w:shd w:val="clear" w:color="auto" w:fill="D8E7F3"/>
          </w:tcPr>
          <w:p>
            <w:pPr>
              <w:spacing w:after="0"/>
              <w:rPr>
                <w:sz w:val="10"/>
                <w:szCs w:val="10"/>
                <w:color w:val="auto"/>
              </w:rPr>
            </w:pPr>
          </w:p>
        </w:tc>
        <w:tc>
          <w:tcPr>
            <w:tcW w:w="6860" w:type="dxa"/>
            <w:vAlign w:val="bottom"/>
            <w:tcBorders>
              <w:right w:val="single" w:sz="8" w:color="0061AF"/>
            </w:tcBorders>
            <w:gridSpan w:val="5"/>
            <w:vMerge w:val="continue"/>
            <w:shd w:val="clear" w:color="auto" w:fill="D8E7F3"/>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680" w:type="dxa"/>
            <w:vAlign w:val="bottom"/>
            <w:tcBorders>
              <w:left w:val="single" w:sz="8" w:color="0061AF"/>
            </w:tcBorders>
            <w:vMerge w:val="continue"/>
            <w:shd w:val="clear" w:color="auto" w:fill="D8E7F3"/>
          </w:tcPr>
          <w:p>
            <w:pPr>
              <w:spacing w:after="0"/>
              <w:rPr>
                <w:sz w:val="5"/>
                <w:szCs w:val="5"/>
                <w:color w:val="auto"/>
              </w:rPr>
            </w:pPr>
          </w:p>
        </w:tc>
        <w:tc>
          <w:tcPr>
            <w:tcW w:w="200" w:type="dxa"/>
            <w:vAlign w:val="bottom"/>
            <w:tcBorders>
              <w:right w:val="single" w:sz="8" w:color="0061AF"/>
            </w:tcBorders>
            <w:shd w:val="clear" w:color="auto" w:fill="D8E7F3"/>
          </w:tcPr>
          <w:p>
            <w:pPr>
              <w:spacing w:after="0"/>
              <w:rPr>
                <w:sz w:val="5"/>
                <w:szCs w:val="5"/>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payout; it cannot increase the short-term incentive plan awards.</w:t>
            </w:r>
          </w:p>
        </w:tc>
        <w:tc>
          <w:tcPr>
            <w:tcW w:w="0" w:type="dxa"/>
            <w:vAlign w:val="bottom"/>
          </w:tcPr>
          <w:p>
            <w:pPr>
              <w:spacing w:after="0"/>
              <w:rPr>
                <w:sz w:val="1"/>
                <w:szCs w:val="1"/>
                <w:color w:val="auto"/>
              </w:rPr>
            </w:pPr>
          </w:p>
        </w:tc>
      </w:tr>
      <w:tr>
        <w:trPr>
          <w:trHeight w:val="160"/>
        </w:trPr>
        <w:tc>
          <w:tcPr>
            <w:tcW w:w="2680" w:type="dxa"/>
            <w:vAlign w:val="bottom"/>
            <w:tcBorders>
              <w:left w:val="single" w:sz="8" w:color="0061AF"/>
              <w:bottom w:val="single" w:sz="8" w:color="D8E7F3"/>
            </w:tcBorders>
            <w:shd w:val="clear" w:color="auto" w:fill="D8E7F3"/>
          </w:tcPr>
          <w:p>
            <w:pPr>
              <w:spacing w:after="0"/>
              <w:rPr>
                <w:sz w:val="13"/>
                <w:szCs w:val="13"/>
                <w:color w:val="auto"/>
              </w:rPr>
            </w:pPr>
          </w:p>
        </w:tc>
        <w:tc>
          <w:tcPr>
            <w:tcW w:w="200" w:type="dxa"/>
            <w:vAlign w:val="bottom"/>
            <w:tcBorders>
              <w:bottom w:val="single" w:sz="8" w:color="D8E7F3"/>
              <w:right w:val="single" w:sz="8" w:color="0061AF"/>
            </w:tcBorders>
            <w:shd w:val="clear" w:color="auto" w:fill="D8E7F3"/>
          </w:tcPr>
          <w:p>
            <w:pPr>
              <w:spacing w:after="0"/>
              <w:rPr>
                <w:sz w:val="13"/>
                <w:szCs w:val="13"/>
                <w:color w:val="auto"/>
              </w:rPr>
            </w:pPr>
          </w:p>
        </w:tc>
        <w:tc>
          <w:tcPr>
            <w:tcW w:w="6860" w:type="dxa"/>
            <w:vAlign w:val="bottom"/>
            <w:tcBorders>
              <w:bottom w:val="single" w:sz="8" w:color="D8E7F3"/>
              <w:right w:val="single" w:sz="8" w:color="0061AF"/>
            </w:tcBorders>
            <w:gridSpan w:val="5"/>
            <w:vMerge w:val="continue"/>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80" w:type="dxa"/>
            <w:vAlign w:val="bottom"/>
            <w:tcBorders>
              <w:top w:val="single" w:sz="8" w:color="0061AF"/>
              <w:left w:val="single" w:sz="8" w:color="0061AF"/>
            </w:tcBorders>
          </w:tcPr>
          <w:p>
            <w:pPr>
              <w:spacing w:after="0"/>
              <w:rPr>
                <w:sz w:val="13"/>
                <w:szCs w:val="13"/>
                <w:color w:val="auto"/>
              </w:rPr>
            </w:pPr>
          </w:p>
        </w:tc>
        <w:tc>
          <w:tcPr>
            <w:tcW w:w="200" w:type="dxa"/>
            <w:vAlign w:val="bottom"/>
            <w:tcBorders>
              <w:top w:val="single" w:sz="8" w:color="0061AF"/>
              <w:right w:val="single" w:sz="8" w:color="0061AF"/>
            </w:tcBorders>
          </w:tcPr>
          <w:p>
            <w:pPr>
              <w:spacing w:after="0"/>
              <w:rPr>
                <w:sz w:val="13"/>
                <w:szCs w:val="13"/>
                <w:color w:val="auto"/>
              </w:rPr>
            </w:pPr>
          </w:p>
        </w:tc>
        <w:tc>
          <w:tcPr>
            <w:tcW w:w="6860" w:type="dxa"/>
            <w:vAlign w:val="bottom"/>
            <w:tcBorders>
              <w:top w:val="single" w:sz="8" w:color="0061AF"/>
              <w:right w:val="single" w:sz="8" w:color="0061AF"/>
            </w:tcBorders>
            <w:gridSpan w:val="5"/>
          </w:tcPr>
          <w:p>
            <w:pPr>
              <w:spacing w:after="0"/>
              <w:rPr>
                <w:sz w:val="20"/>
                <w:szCs w:val="20"/>
                <w:color w:val="auto"/>
              </w:rPr>
            </w:pPr>
            <w:r>
              <w:rPr>
                <w:rFonts w:ascii="Arial" w:cs="Arial" w:eastAsia="Arial" w:hAnsi="Arial"/>
                <w:sz w:val="14"/>
                <w:szCs w:val="14"/>
                <w:color w:val="auto"/>
              </w:rPr>
              <w:t>In 2020, our Board made changes to the leadership team as part of a strategic shift to position the</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vMerge w:val="restart"/>
          </w:tcPr>
          <w:p>
            <w:pPr>
              <w:ind w:left="140"/>
              <w:spacing w:after="0"/>
              <w:rPr>
                <w:sz w:val="20"/>
                <w:szCs w:val="20"/>
                <w:color w:val="auto"/>
              </w:rPr>
            </w:pPr>
            <w:r>
              <w:rPr>
                <w:rFonts w:ascii="Arial" w:cs="Arial" w:eastAsia="Arial" w:hAnsi="Arial"/>
                <w:sz w:val="14"/>
                <w:szCs w:val="14"/>
                <w:b w:val="1"/>
                <w:bCs w:val="1"/>
                <w:i w:val="1"/>
                <w:iCs w:val="1"/>
                <w:color w:val="auto"/>
              </w:rPr>
              <w:t>The terms of our separation with our</w:t>
            </w: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Company for long-term success. The terms of the payment provided to Mr. Prochazka required</w:t>
            </w:r>
          </w:p>
        </w:tc>
        <w:tc>
          <w:tcPr>
            <w:tcW w:w="0" w:type="dxa"/>
            <w:vAlign w:val="bottom"/>
          </w:tcPr>
          <w:p>
            <w:pPr>
              <w:spacing w:after="0"/>
              <w:rPr>
                <w:sz w:val="1"/>
                <w:szCs w:val="1"/>
                <w:color w:val="auto"/>
              </w:rPr>
            </w:pPr>
          </w:p>
        </w:tc>
      </w:tr>
      <w:tr>
        <w:trPr>
          <w:trHeight w:val="151"/>
        </w:trPr>
        <w:tc>
          <w:tcPr>
            <w:tcW w:w="2680" w:type="dxa"/>
            <w:vAlign w:val="bottom"/>
            <w:tcBorders>
              <w:left w:val="single" w:sz="8" w:color="0061AF"/>
            </w:tcBorders>
            <w:vMerge w:val="continue"/>
          </w:tcPr>
          <w:p>
            <w:pPr>
              <w:spacing w:after="0"/>
              <w:rPr>
                <w:sz w:val="13"/>
                <w:szCs w:val="13"/>
                <w:color w:val="auto"/>
              </w:rPr>
            </w:pPr>
          </w:p>
        </w:tc>
        <w:tc>
          <w:tcPr>
            <w:tcW w:w="200" w:type="dxa"/>
            <w:vAlign w:val="bottom"/>
            <w:tcBorders>
              <w:right w:val="single" w:sz="8" w:color="0061AF"/>
            </w:tcBorders>
          </w:tcPr>
          <w:p>
            <w:pPr>
              <w:spacing w:after="0"/>
              <w:rPr>
                <w:sz w:val="13"/>
                <w:szCs w:val="13"/>
                <w:color w:val="auto"/>
              </w:rPr>
            </w:pPr>
          </w:p>
        </w:tc>
        <w:tc>
          <w:tcPr>
            <w:tcW w:w="6860" w:type="dxa"/>
            <w:vAlign w:val="bottom"/>
            <w:tcBorders>
              <w:right w:val="single" w:sz="8" w:color="0061AF"/>
            </w:tcBorders>
            <w:gridSpan w:val="5"/>
          </w:tcPr>
          <w:p>
            <w:pPr>
              <w:spacing w:after="0" w:line="151" w:lineRule="exact"/>
              <w:rPr>
                <w:sz w:val="20"/>
                <w:szCs w:val="20"/>
                <w:color w:val="auto"/>
              </w:rPr>
            </w:pPr>
            <w:r>
              <w:rPr>
                <w:rFonts w:ascii="Arial" w:cs="Arial" w:eastAsia="Arial" w:hAnsi="Arial"/>
                <w:sz w:val="14"/>
                <w:szCs w:val="14"/>
                <w:color w:val="auto"/>
              </w:rPr>
              <w:t>Mr. Prochazka to release claims against us and agree to a non-solicitation covenant, which promoted</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tcPr>
          <w:p>
            <w:pPr>
              <w:ind w:left="140"/>
              <w:spacing w:after="0"/>
              <w:rPr>
                <w:sz w:val="20"/>
                <w:szCs w:val="20"/>
                <w:color w:val="auto"/>
              </w:rPr>
            </w:pPr>
            <w:r>
              <w:rPr>
                <w:rFonts w:ascii="Arial" w:cs="Arial" w:eastAsia="Arial" w:hAnsi="Arial"/>
                <w:sz w:val="14"/>
                <w:szCs w:val="14"/>
                <w:b w:val="1"/>
                <w:bCs w:val="1"/>
                <w:i w:val="1"/>
                <w:iCs w:val="1"/>
                <w:color w:val="auto"/>
              </w:rPr>
              <w:t>former CEO did not appear to clearly</w:t>
            </w: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business continuity and a smooth transition to new leadership. Our shareholders indicated that they</w:t>
            </w:r>
          </w:p>
        </w:tc>
        <w:tc>
          <w:tcPr>
            <w:tcW w:w="0" w:type="dxa"/>
            <w:vAlign w:val="bottom"/>
          </w:tcPr>
          <w:p>
            <w:pPr>
              <w:spacing w:after="0"/>
              <w:rPr>
                <w:sz w:val="1"/>
                <w:szCs w:val="1"/>
                <w:color w:val="auto"/>
              </w:rPr>
            </w:pPr>
          </w:p>
        </w:tc>
      </w:tr>
      <w:tr>
        <w:trPr>
          <w:trHeight w:val="183"/>
        </w:trPr>
        <w:tc>
          <w:tcPr>
            <w:tcW w:w="2680" w:type="dxa"/>
            <w:vAlign w:val="bottom"/>
            <w:tcBorders>
              <w:left w:val="single" w:sz="8" w:color="0061AF"/>
            </w:tcBorders>
          </w:tcPr>
          <w:p>
            <w:pPr>
              <w:ind w:left="140"/>
              <w:spacing w:after="0"/>
              <w:rPr>
                <w:sz w:val="20"/>
                <w:szCs w:val="20"/>
                <w:color w:val="auto"/>
              </w:rPr>
            </w:pPr>
            <w:r>
              <w:rPr>
                <w:rFonts w:ascii="Arial" w:cs="Arial" w:eastAsia="Arial" w:hAnsi="Arial"/>
                <w:sz w:val="14"/>
                <w:szCs w:val="14"/>
                <w:b w:val="1"/>
                <w:bCs w:val="1"/>
                <w:i w:val="1"/>
                <w:iCs w:val="1"/>
                <w:color w:val="auto"/>
              </w:rPr>
              <w:t>support a separation payment</w:t>
            </w:r>
          </w:p>
        </w:tc>
        <w:tc>
          <w:tcPr>
            <w:tcW w:w="200" w:type="dxa"/>
            <w:vAlign w:val="bottom"/>
            <w:tcBorders>
              <w:right w:val="single" w:sz="8" w:color="0061AF"/>
            </w:tcBorders>
          </w:tcPr>
          <w:p>
            <w:pPr>
              <w:spacing w:after="0"/>
              <w:rPr>
                <w:sz w:val="15"/>
                <w:szCs w:val="15"/>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better understood the terms of Mr. Prochazka’s payment after our discussions. Absent good reason, the</w:t>
            </w:r>
          </w:p>
        </w:tc>
        <w:tc>
          <w:tcPr>
            <w:tcW w:w="0" w:type="dxa"/>
            <w:vAlign w:val="bottom"/>
          </w:tcPr>
          <w:p>
            <w:pPr>
              <w:spacing w:after="0"/>
              <w:rPr>
                <w:sz w:val="1"/>
                <w:szCs w:val="1"/>
                <w:color w:val="auto"/>
              </w:rPr>
            </w:pPr>
          </w:p>
        </w:tc>
      </w:tr>
      <w:tr>
        <w:trPr>
          <w:trHeight w:val="167"/>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Compensation Committee determined not to make such payments upon a voluntary departure in the</w:t>
            </w:r>
          </w:p>
        </w:tc>
        <w:tc>
          <w:tcPr>
            <w:tcW w:w="0" w:type="dxa"/>
            <w:vAlign w:val="bottom"/>
          </w:tcPr>
          <w:p>
            <w:pPr>
              <w:spacing w:after="0"/>
              <w:rPr>
                <w:sz w:val="1"/>
                <w:szCs w:val="1"/>
                <w:color w:val="auto"/>
              </w:rPr>
            </w:pPr>
          </w:p>
        </w:tc>
      </w:tr>
      <w:tr>
        <w:trPr>
          <w:trHeight w:val="171"/>
        </w:trPr>
        <w:tc>
          <w:tcPr>
            <w:tcW w:w="2680" w:type="dxa"/>
            <w:vAlign w:val="bottom"/>
            <w:tcBorders>
              <w:left w:val="single" w:sz="8" w:color="0061AF"/>
            </w:tcBorders>
          </w:tcPr>
          <w:p>
            <w:pPr>
              <w:spacing w:after="0"/>
              <w:rPr>
                <w:sz w:val="14"/>
                <w:szCs w:val="14"/>
                <w:color w:val="auto"/>
              </w:rPr>
            </w:pPr>
          </w:p>
        </w:tc>
        <w:tc>
          <w:tcPr>
            <w:tcW w:w="200" w:type="dxa"/>
            <w:vAlign w:val="bottom"/>
            <w:tcBorders>
              <w:right w:val="single" w:sz="8" w:color="0061AF"/>
            </w:tcBorders>
          </w:tcPr>
          <w:p>
            <w:pPr>
              <w:spacing w:after="0"/>
              <w:rPr>
                <w:sz w:val="14"/>
                <w:szCs w:val="14"/>
                <w:color w:val="auto"/>
              </w:rPr>
            </w:pPr>
          </w:p>
        </w:tc>
        <w:tc>
          <w:tcPr>
            <w:tcW w:w="6860" w:type="dxa"/>
            <w:vAlign w:val="bottom"/>
            <w:tcBorders>
              <w:right w:val="single" w:sz="8" w:color="0061AF"/>
            </w:tcBorders>
            <w:gridSpan w:val="5"/>
          </w:tcPr>
          <w:p>
            <w:pPr>
              <w:spacing w:after="0"/>
              <w:rPr>
                <w:sz w:val="20"/>
                <w:szCs w:val="20"/>
                <w:color w:val="auto"/>
              </w:rPr>
            </w:pPr>
            <w:r>
              <w:rPr>
                <w:rFonts w:ascii="Arial" w:cs="Arial" w:eastAsia="Arial" w:hAnsi="Arial"/>
                <w:sz w:val="14"/>
                <w:szCs w:val="14"/>
                <w:color w:val="auto"/>
              </w:rPr>
              <w:t>future.</w:t>
            </w:r>
          </w:p>
        </w:tc>
        <w:tc>
          <w:tcPr>
            <w:tcW w:w="0" w:type="dxa"/>
            <w:vAlign w:val="bottom"/>
          </w:tcPr>
          <w:p>
            <w:pPr>
              <w:spacing w:after="0"/>
              <w:rPr>
                <w:sz w:val="1"/>
                <w:szCs w:val="1"/>
                <w:color w:val="auto"/>
              </w:rPr>
            </w:pPr>
          </w:p>
        </w:tc>
      </w:tr>
      <w:tr>
        <w:trPr>
          <w:trHeight w:val="89"/>
        </w:trPr>
        <w:tc>
          <w:tcPr>
            <w:tcW w:w="2680" w:type="dxa"/>
            <w:vAlign w:val="bottom"/>
            <w:tcBorders>
              <w:left w:val="single" w:sz="8" w:color="0061AF"/>
              <w:bottom w:val="single" w:sz="8" w:color="0061AF"/>
            </w:tcBorders>
          </w:tcPr>
          <w:p>
            <w:pPr>
              <w:spacing w:after="0"/>
              <w:rPr>
                <w:sz w:val="7"/>
                <w:szCs w:val="7"/>
                <w:color w:val="auto"/>
              </w:rPr>
            </w:pPr>
          </w:p>
        </w:tc>
        <w:tc>
          <w:tcPr>
            <w:tcW w:w="200" w:type="dxa"/>
            <w:vAlign w:val="bottom"/>
            <w:tcBorders>
              <w:bottom w:val="single" w:sz="8" w:color="0061AF"/>
              <w:right w:val="single" w:sz="8" w:color="0061AF"/>
            </w:tcBorders>
          </w:tcPr>
          <w:p>
            <w:pPr>
              <w:spacing w:after="0"/>
              <w:rPr>
                <w:sz w:val="7"/>
                <w:szCs w:val="7"/>
                <w:color w:val="auto"/>
              </w:rPr>
            </w:pPr>
          </w:p>
        </w:tc>
        <w:tc>
          <w:tcPr>
            <w:tcW w:w="1380" w:type="dxa"/>
            <w:vAlign w:val="bottom"/>
            <w:tcBorders>
              <w:bottom w:val="single" w:sz="8" w:color="0061AF"/>
            </w:tcBorders>
          </w:tcPr>
          <w:p>
            <w:pPr>
              <w:spacing w:after="0"/>
              <w:rPr>
                <w:sz w:val="7"/>
                <w:szCs w:val="7"/>
                <w:color w:val="auto"/>
              </w:rPr>
            </w:pPr>
          </w:p>
        </w:tc>
        <w:tc>
          <w:tcPr>
            <w:tcW w:w="200" w:type="dxa"/>
            <w:vAlign w:val="bottom"/>
            <w:tcBorders>
              <w:bottom w:val="single" w:sz="8" w:color="0061AF"/>
            </w:tcBorders>
          </w:tcPr>
          <w:p>
            <w:pPr>
              <w:spacing w:after="0"/>
              <w:rPr>
                <w:sz w:val="7"/>
                <w:szCs w:val="7"/>
                <w:color w:val="auto"/>
              </w:rPr>
            </w:pPr>
          </w:p>
        </w:tc>
        <w:tc>
          <w:tcPr>
            <w:tcW w:w="180" w:type="dxa"/>
            <w:vAlign w:val="bottom"/>
            <w:tcBorders>
              <w:bottom w:val="single" w:sz="8" w:color="0061AF"/>
            </w:tcBorders>
          </w:tcPr>
          <w:p>
            <w:pPr>
              <w:spacing w:after="0"/>
              <w:rPr>
                <w:sz w:val="7"/>
                <w:szCs w:val="7"/>
                <w:color w:val="auto"/>
              </w:rPr>
            </w:pPr>
          </w:p>
        </w:tc>
        <w:tc>
          <w:tcPr>
            <w:tcW w:w="2500" w:type="dxa"/>
            <w:vAlign w:val="bottom"/>
            <w:tcBorders>
              <w:bottom w:val="single" w:sz="8" w:color="0061AF"/>
            </w:tcBorders>
          </w:tcPr>
          <w:p>
            <w:pPr>
              <w:spacing w:after="0"/>
              <w:rPr>
                <w:sz w:val="7"/>
                <w:szCs w:val="7"/>
                <w:color w:val="auto"/>
              </w:rPr>
            </w:pPr>
          </w:p>
        </w:tc>
        <w:tc>
          <w:tcPr>
            <w:tcW w:w="2600" w:type="dxa"/>
            <w:vAlign w:val="bottom"/>
            <w:tcBorders>
              <w:bottom w:val="single" w:sz="8" w:color="0061AF"/>
              <w:right w:val="single" w:sz="8" w:color="0061AF"/>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Shareholders requested additional</w:t>
            </w:r>
          </w:p>
        </w:tc>
        <w:tc>
          <w:tcPr>
            <w:tcW w:w="200" w:type="dxa"/>
            <w:vAlign w:val="bottom"/>
            <w:tcBorders>
              <w:right w:val="single" w:sz="8" w:color="0061AF"/>
            </w:tcBorders>
            <w:shd w:val="clear" w:color="auto" w:fill="D8E7F3"/>
          </w:tcPr>
          <w:p>
            <w:pPr>
              <w:spacing w:after="0"/>
              <w:rPr>
                <w:sz w:val="17"/>
                <w:szCs w:val="17"/>
                <w:color w:val="auto"/>
              </w:rPr>
            </w:pPr>
          </w:p>
        </w:tc>
        <w:tc>
          <w:tcPr>
            <w:tcW w:w="6860" w:type="dxa"/>
            <w:vAlign w:val="bottom"/>
            <w:tcBorders>
              <w:right w:val="single" w:sz="8" w:color="0061AF"/>
            </w:tcBorders>
            <w:gridSpan w:val="5"/>
            <w:shd w:val="clear" w:color="auto" w:fill="D8E7F3"/>
          </w:tcPr>
          <w:p>
            <w:pPr>
              <w:spacing w:after="0"/>
              <w:rPr>
                <w:sz w:val="20"/>
                <w:szCs w:val="20"/>
                <w:color w:val="auto"/>
              </w:rPr>
            </w:pPr>
            <w:r>
              <w:rPr>
                <w:rFonts w:ascii="Arial" w:cs="Arial" w:eastAsia="Arial" w:hAnsi="Arial"/>
                <w:sz w:val="14"/>
                <w:szCs w:val="14"/>
                <w:color w:val="auto"/>
              </w:rPr>
              <w:t>In early 2020, our Board determined that it was in the best interest of shareholders for Milton Carroll, our</w:t>
            </w:r>
          </w:p>
        </w:tc>
        <w:tc>
          <w:tcPr>
            <w:tcW w:w="0" w:type="dxa"/>
            <w:vAlign w:val="bottom"/>
          </w:tcPr>
          <w:p>
            <w:pPr>
              <w:spacing w:after="0"/>
              <w:rPr>
                <w:sz w:val="1"/>
                <w:szCs w:val="1"/>
                <w:color w:val="auto"/>
              </w:rPr>
            </w:pPr>
          </w:p>
        </w:tc>
      </w:tr>
      <w:tr>
        <w:trPr>
          <w:trHeight w:val="67"/>
        </w:trPr>
        <w:tc>
          <w:tcPr>
            <w:tcW w:w="2680" w:type="dxa"/>
            <w:vAlign w:val="bottom"/>
            <w:tcBorders>
              <w:left w:val="single" w:sz="8" w:color="0061AF"/>
            </w:tcBorders>
            <w:vMerge w:val="continue"/>
            <w:shd w:val="clear" w:color="auto" w:fill="D8E7F3"/>
          </w:tcPr>
          <w:p>
            <w:pPr>
              <w:spacing w:after="0"/>
              <w:rPr>
                <w:sz w:val="5"/>
                <w:szCs w:val="5"/>
                <w:color w:val="auto"/>
              </w:rPr>
            </w:pPr>
          </w:p>
        </w:tc>
        <w:tc>
          <w:tcPr>
            <w:tcW w:w="200" w:type="dxa"/>
            <w:vAlign w:val="bottom"/>
            <w:tcBorders>
              <w:right w:val="single" w:sz="8" w:color="0061AF"/>
            </w:tcBorders>
            <w:shd w:val="clear" w:color="auto" w:fill="D8E7F3"/>
          </w:tcPr>
          <w:p>
            <w:pPr>
              <w:spacing w:after="0"/>
              <w:rPr>
                <w:sz w:val="5"/>
                <w:szCs w:val="5"/>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Executive Chairman, to have increased responsibilities in light of changes to leadership during our</w:t>
            </w:r>
          </w:p>
        </w:tc>
        <w:tc>
          <w:tcPr>
            <w:tcW w:w="0" w:type="dxa"/>
            <w:vAlign w:val="bottom"/>
          </w:tcPr>
          <w:p>
            <w:pPr>
              <w:spacing w:after="0"/>
              <w:rPr>
                <w:sz w:val="1"/>
                <w:szCs w:val="1"/>
                <w:color w:val="auto"/>
              </w:rPr>
            </w:pPr>
          </w:p>
        </w:tc>
      </w:tr>
      <w:tr>
        <w:trPr>
          <w:trHeight w:val="99"/>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disclosure regarding the Board’s</w:t>
            </w:r>
          </w:p>
        </w:tc>
        <w:tc>
          <w:tcPr>
            <w:tcW w:w="200" w:type="dxa"/>
            <w:vAlign w:val="bottom"/>
            <w:tcBorders>
              <w:right w:val="single" w:sz="8" w:color="0061AF"/>
            </w:tcBorders>
            <w:shd w:val="clear" w:color="auto" w:fill="D8E7F3"/>
          </w:tcPr>
          <w:p>
            <w:pPr>
              <w:spacing w:after="0"/>
              <w:rPr>
                <w:sz w:val="8"/>
                <w:szCs w:val="8"/>
                <w:color w:val="auto"/>
              </w:rPr>
            </w:pPr>
          </w:p>
        </w:tc>
        <w:tc>
          <w:tcPr>
            <w:tcW w:w="6860" w:type="dxa"/>
            <w:vAlign w:val="bottom"/>
            <w:tcBorders>
              <w:right w:val="single" w:sz="8" w:color="0061AF"/>
            </w:tcBorders>
            <w:gridSpan w:val="5"/>
            <w:vMerge w:val="continue"/>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80" w:type="dxa"/>
            <w:vAlign w:val="bottom"/>
            <w:tcBorders>
              <w:left w:val="single" w:sz="8" w:color="0061AF"/>
            </w:tcBorders>
            <w:vMerge w:val="continue"/>
            <w:shd w:val="clear" w:color="auto" w:fill="D8E7F3"/>
          </w:tcPr>
          <w:p>
            <w:pPr>
              <w:spacing w:after="0"/>
              <w:rPr>
                <w:sz w:val="5"/>
                <w:szCs w:val="5"/>
                <w:color w:val="auto"/>
              </w:rPr>
            </w:pPr>
          </w:p>
        </w:tc>
        <w:tc>
          <w:tcPr>
            <w:tcW w:w="200" w:type="dxa"/>
            <w:vAlign w:val="bottom"/>
            <w:tcBorders>
              <w:right w:val="single" w:sz="8" w:color="0061AF"/>
            </w:tcBorders>
            <w:shd w:val="clear" w:color="auto" w:fill="D8E7F3"/>
          </w:tcPr>
          <w:p>
            <w:pPr>
              <w:spacing w:after="0"/>
              <w:rPr>
                <w:sz w:val="5"/>
                <w:szCs w:val="5"/>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strategic shift. Specifically, the Board tasked Mr. Carroll to help ensure business continuity through each</w:t>
            </w:r>
          </w:p>
        </w:tc>
        <w:tc>
          <w:tcPr>
            <w:tcW w:w="0" w:type="dxa"/>
            <w:vAlign w:val="bottom"/>
          </w:tcPr>
          <w:p>
            <w:pPr>
              <w:spacing w:after="0"/>
              <w:rPr>
                <w:sz w:val="1"/>
                <w:szCs w:val="1"/>
                <w:color w:val="auto"/>
              </w:rPr>
            </w:pPr>
          </w:p>
        </w:tc>
      </w:tr>
      <w:tr>
        <w:trPr>
          <w:trHeight w:val="99"/>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rationale for additional</w:t>
            </w:r>
          </w:p>
        </w:tc>
        <w:tc>
          <w:tcPr>
            <w:tcW w:w="200" w:type="dxa"/>
            <w:vAlign w:val="bottom"/>
            <w:tcBorders>
              <w:right w:val="single" w:sz="8" w:color="0061AF"/>
            </w:tcBorders>
            <w:shd w:val="clear" w:color="auto" w:fill="D8E7F3"/>
          </w:tcPr>
          <w:p>
            <w:pPr>
              <w:spacing w:after="0"/>
              <w:rPr>
                <w:sz w:val="8"/>
                <w:szCs w:val="8"/>
                <w:color w:val="auto"/>
              </w:rPr>
            </w:pPr>
          </w:p>
        </w:tc>
        <w:tc>
          <w:tcPr>
            <w:tcW w:w="6860" w:type="dxa"/>
            <w:vAlign w:val="bottom"/>
            <w:tcBorders>
              <w:right w:val="single" w:sz="8" w:color="0061AF"/>
            </w:tcBorders>
            <w:gridSpan w:val="5"/>
            <w:vMerge w:val="continue"/>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80" w:type="dxa"/>
            <w:vAlign w:val="bottom"/>
            <w:tcBorders>
              <w:left w:val="single" w:sz="8" w:color="0061AF"/>
            </w:tcBorders>
            <w:vMerge w:val="continue"/>
            <w:shd w:val="clear" w:color="auto" w:fill="D8E7F3"/>
          </w:tcPr>
          <w:p>
            <w:pPr>
              <w:spacing w:after="0"/>
              <w:rPr>
                <w:sz w:val="5"/>
                <w:szCs w:val="5"/>
                <w:color w:val="auto"/>
              </w:rPr>
            </w:pPr>
          </w:p>
        </w:tc>
        <w:tc>
          <w:tcPr>
            <w:tcW w:w="200" w:type="dxa"/>
            <w:vAlign w:val="bottom"/>
            <w:tcBorders>
              <w:right w:val="single" w:sz="8" w:color="0061AF"/>
            </w:tcBorders>
            <w:shd w:val="clear" w:color="auto" w:fill="D8E7F3"/>
          </w:tcPr>
          <w:p>
            <w:pPr>
              <w:spacing w:after="0"/>
              <w:rPr>
                <w:sz w:val="5"/>
                <w:szCs w:val="5"/>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of the Company’s transitions, including transitioning the prior CEO out, identifying and selecting the next</w:t>
            </w:r>
          </w:p>
        </w:tc>
        <w:tc>
          <w:tcPr>
            <w:tcW w:w="0" w:type="dxa"/>
            <w:vAlign w:val="bottom"/>
          </w:tcPr>
          <w:p>
            <w:pPr>
              <w:spacing w:after="0"/>
              <w:rPr>
                <w:sz w:val="1"/>
                <w:szCs w:val="1"/>
                <w:color w:val="auto"/>
              </w:rPr>
            </w:pPr>
          </w:p>
        </w:tc>
      </w:tr>
      <w:tr>
        <w:trPr>
          <w:trHeight w:val="99"/>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compensation paid to the Executive</w:t>
            </w:r>
          </w:p>
        </w:tc>
        <w:tc>
          <w:tcPr>
            <w:tcW w:w="200" w:type="dxa"/>
            <w:vAlign w:val="bottom"/>
            <w:tcBorders>
              <w:right w:val="single" w:sz="8" w:color="0061AF"/>
            </w:tcBorders>
            <w:shd w:val="clear" w:color="auto" w:fill="D8E7F3"/>
          </w:tcPr>
          <w:p>
            <w:pPr>
              <w:spacing w:after="0"/>
              <w:rPr>
                <w:sz w:val="8"/>
                <w:szCs w:val="8"/>
                <w:color w:val="auto"/>
              </w:rPr>
            </w:pPr>
          </w:p>
        </w:tc>
        <w:tc>
          <w:tcPr>
            <w:tcW w:w="6860" w:type="dxa"/>
            <w:vAlign w:val="bottom"/>
            <w:tcBorders>
              <w:right w:val="single" w:sz="8" w:color="0061AF"/>
            </w:tcBorders>
            <w:gridSpan w:val="5"/>
            <w:vMerge w:val="continue"/>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80" w:type="dxa"/>
            <w:vAlign w:val="bottom"/>
            <w:tcBorders>
              <w:left w:val="single" w:sz="8" w:color="0061AF"/>
            </w:tcBorders>
            <w:vMerge w:val="continue"/>
            <w:shd w:val="clear" w:color="auto" w:fill="D8E7F3"/>
          </w:tcPr>
          <w:p>
            <w:pPr>
              <w:spacing w:after="0"/>
              <w:rPr>
                <w:sz w:val="5"/>
                <w:szCs w:val="5"/>
                <w:color w:val="auto"/>
              </w:rPr>
            </w:pPr>
          </w:p>
        </w:tc>
        <w:tc>
          <w:tcPr>
            <w:tcW w:w="200" w:type="dxa"/>
            <w:vAlign w:val="bottom"/>
            <w:tcBorders>
              <w:right w:val="single" w:sz="8" w:color="0061AF"/>
            </w:tcBorders>
            <w:shd w:val="clear" w:color="auto" w:fill="D8E7F3"/>
          </w:tcPr>
          <w:p>
            <w:pPr>
              <w:spacing w:after="0"/>
              <w:rPr>
                <w:sz w:val="5"/>
                <w:szCs w:val="5"/>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CEO and assisting with the transition from the prior CEO, to the interim CEO, and to the new CEO.</w:t>
            </w:r>
          </w:p>
        </w:tc>
        <w:tc>
          <w:tcPr>
            <w:tcW w:w="0" w:type="dxa"/>
            <w:vAlign w:val="bottom"/>
          </w:tcPr>
          <w:p>
            <w:pPr>
              <w:spacing w:after="0"/>
              <w:rPr>
                <w:sz w:val="1"/>
                <w:szCs w:val="1"/>
                <w:color w:val="auto"/>
              </w:rPr>
            </w:pPr>
          </w:p>
        </w:tc>
      </w:tr>
      <w:tr>
        <w:trPr>
          <w:trHeight w:val="99"/>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Chairman with respect to CEO</w:t>
            </w:r>
          </w:p>
        </w:tc>
        <w:tc>
          <w:tcPr>
            <w:tcW w:w="200" w:type="dxa"/>
            <w:vAlign w:val="bottom"/>
            <w:tcBorders>
              <w:right w:val="single" w:sz="8" w:color="0061AF"/>
            </w:tcBorders>
            <w:shd w:val="clear" w:color="auto" w:fill="D8E7F3"/>
          </w:tcPr>
          <w:p>
            <w:pPr>
              <w:spacing w:after="0"/>
              <w:rPr>
                <w:sz w:val="8"/>
                <w:szCs w:val="8"/>
                <w:color w:val="auto"/>
              </w:rPr>
            </w:pPr>
          </w:p>
        </w:tc>
        <w:tc>
          <w:tcPr>
            <w:tcW w:w="6860" w:type="dxa"/>
            <w:vAlign w:val="bottom"/>
            <w:tcBorders>
              <w:right w:val="single" w:sz="8" w:color="0061AF"/>
            </w:tcBorders>
            <w:gridSpan w:val="5"/>
            <w:vMerge w:val="continue"/>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80" w:type="dxa"/>
            <w:vAlign w:val="bottom"/>
            <w:tcBorders>
              <w:left w:val="single" w:sz="8" w:color="0061AF"/>
            </w:tcBorders>
            <w:vMerge w:val="continue"/>
            <w:shd w:val="clear" w:color="auto" w:fill="D8E7F3"/>
          </w:tcPr>
          <w:p>
            <w:pPr>
              <w:spacing w:after="0"/>
              <w:rPr>
                <w:sz w:val="5"/>
                <w:szCs w:val="5"/>
                <w:color w:val="auto"/>
              </w:rPr>
            </w:pPr>
          </w:p>
        </w:tc>
        <w:tc>
          <w:tcPr>
            <w:tcW w:w="200" w:type="dxa"/>
            <w:vAlign w:val="bottom"/>
            <w:tcBorders>
              <w:right w:val="single" w:sz="8" w:color="0061AF"/>
            </w:tcBorders>
            <w:shd w:val="clear" w:color="auto" w:fill="D8E7F3"/>
          </w:tcPr>
          <w:p>
            <w:pPr>
              <w:spacing w:after="0"/>
              <w:rPr>
                <w:sz w:val="5"/>
                <w:szCs w:val="5"/>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Mr.  Carroll’s  one-time  additional  awards  were  intended  to  reflect  these  contributions  and  time</w:t>
            </w:r>
          </w:p>
        </w:tc>
        <w:tc>
          <w:tcPr>
            <w:tcW w:w="0" w:type="dxa"/>
            <w:vAlign w:val="bottom"/>
          </w:tcPr>
          <w:p>
            <w:pPr>
              <w:spacing w:after="0"/>
              <w:rPr>
                <w:sz w:val="1"/>
                <w:szCs w:val="1"/>
                <w:color w:val="auto"/>
              </w:rPr>
            </w:pPr>
          </w:p>
        </w:tc>
      </w:tr>
      <w:tr>
        <w:trPr>
          <w:trHeight w:val="99"/>
        </w:trPr>
        <w:tc>
          <w:tcPr>
            <w:tcW w:w="2680" w:type="dxa"/>
            <w:vAlign w:val="bottom"/>
            <w:tcBorders>
              <w:left w:val="single" w:sz="8" w:color="0061AF"/>
            </w:tcBorders>
            <w:vMerge w:val="restart"/>
            <w:shd w:val="clear" w:color="auto" w:fill="D8E7F3"/>
          </w:tcPr>
          <w:p>
            <w:pPr>
              <w:ind w:left="140"/>
              <w:spacing w:after="0"/>
              <w:rPr>
                <w:sz w:val="20"/>
                <w:szCs w:val="20"/>
                <w:color w:val="auto"/>
              </w:rPr>
            </w:pPr>
            <w:r>
              <w:rPr>
                <w:rFonts w:ascii="Arial" w:cs="Arial" w:eastAsia="Arial" w:hAnsi="Arial"/>
                <w:sz w:val="14"/>
                <w:szCs w:val="14"/>
                <w:b w:val="1"/>
                <w:bCs w:val="1"/>
                <w:i w:val="1"/>
                <w:iCs w:val="1"/>
                <w:color w:val="auto"/>
              </w:rPr>
              <w:t>transition efforts</w:t>
            </w:r>
          </w:p>
        </w:tc>
        <w:tc>
          <w:tcPr>
            <w:tcW w:w="200" w:type="dxa"/>
            <w:vAlign w:val="bottom"/>
            <w:tcBorders>
              <w:right w:val="single" w:sz="8" w:color="0061AF"/>
            </w:tcBorders>
            <w:shd w:val="clear" w:color="auto" w:fill="D8E7F3"/>
          </w:tcPr>
          <w:p>
            <w:pPr>
              <w:spacing w:after="0"/>
              <w:rPr>
                <w:sz w:val="8"/>
                <w:szCs w:val="8"/>
                <w:color w:val="auto"/>
              </w:rPr>
            </w:pPr>
          </w:p>
        </w:tc>
        <w:tc>
          <w:tcPr>
            <w:tcW w:w="6860" w:type="dxa"/>
            <w:vAlign w:val="bottom"/>
            <w:tcBorders>
              <w:right w:val="single" w:sz="8" w:color="0061AF"/>
            </w:tcBorders>
            <w:gridSpan w:val="5"/>
            <w:vMerge w:val="continue"/>
            <w:shd w:val="clear" w:color="auto" w:fill="D8E7F3"/>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80" w:type="dxa"/>
            <w:vAlign w:val="bottom"/>
            <w:tcBorders>
              <w:left w:val="single" w:sz="8" w:color="0061AF"/>
            </w:tcBorders>
            <w:vMerge w:val="continue"/>
            <w:shd w:val="clear" w:color="auto" w:fill="D8E7F3"/>
          </w:tcPr>
          <w:p>
            <w:pPr>
              <w:spacing w:after="0"/>
              <w:rPr>
                <w:sz w:val="7"/>
                <w:szCs w:val="7"/>
                <w:color w:val="auto"/>
              </w:rPr>
            </w:pPr>
          </w:p>
        </w:tc>
        <w:tc>
          <w:tcPr>
            <w:tcW w:w="200" w:type="dxa"/>
            <w:vAlign w:val="bottom"/>
            <w:tcBorders>
              <w:right w:val="single" w:sz="8" w:color="0061AF"/>
            </w:tcBorders>
            <w:shd w:val="clear" w:color="auto" w:fill="D8E7F3"/>
          </w:tcPr>
          <w:p>
            <w:pPr>
              <w:spacing w:after="0"/>
              <w:rPr>
                <w:sz w:val="7"/>
                <w:szCs w:val="7"/>
                <w:color w:val="auto"/>
              </w:rPr>
            </w:pPr>
          </w:p>
        </w:tc>
        <w:tc>
          <w:tcPr>
            <w:tcW w:w="6860" w:type="dxa"/>
            <w:vAlign w:val="bottom"/>
            <w:tcBorders>
              <w:right w:val="single" w:sz="8" w:color="0061AF"/>
            </w:tcBorders>
            <w:gridSpan w:val="5"/>
            <w:vMerge w:val="restart"/>
            <w:shd w:val="clear" w:color="auto" w:fill="D8E7F3"/>
          </w:tcPr>
          <w:p>
            <w:pPr>
              <w:spacing w:after="0"/>
              <w:rPr>
                <w:sz w:val="20"/>
                <w:szCs w:val="20"/>
                <w:color w:val="auto"/>
              </w:rPr>
            </w:pPr>
            <w:r>
              <w:rPr>
                <w:rFonts w:ascii="Arial" w:cs="Arial" w:eastAsia="Arial" w:hAnsi="Arial"/>
                <w:sz w:val="14"/>
                <w:szCs w:val="14"/>
                <w:color w:val="auto"/>
              </w:rPr>
              <w:t>commitments.</w:t>
            </w:r>
          </w:p>
        </w:tc>
        <w:tc>
          <w:tcPr>
            <w:tcW w:w="0" w:type="dxa"/>
            <w:vAlign w:val="bottom"/>
          </w:tcPr>
          <w:p>
            <w:pPr>
              <w:spacing w:after="0"/>
              <w:rPr>
                <w:sz w:val="1"/>
                <w:szCs w:val="1"/>
                <w:color w:val="auto"/>
              </w:rPr>
            </w:pPr>
          </w:p>
        </w:tc>
      </w:tr>
      <w:tr>
        <w:trPr>
          <w:trHeight w:val="117"/>
        </w:trPr>
        <w:tc>
          <w:tcPr>
            <w:tcW w:w="2680" w:type="dxa"/>
            <w:vAlign w:val="bottom"/>
            <w:tcBorders>
              <w:left w:val="single" w:sz="8" w:color="0061AF"/>
              <w:bottom w:val="single" w:sz="8" w:color="D8E7F3"/>
            </w:tcBorders>
            <w:shd w:val="clear" w:color="auto" w:fill="D8E7F3"/>
          </w:tcPr>
          <w:p>
            <w:pPr>
              <w:spacing w:after="0"/>
              <w:rPr>
                <w:sz w:val="10"/>
                <w:szCs w:val="10"/>
                <w:color w:val="auto"/>
              </w:rPr>
            </w:pPr>
          </w:p>
        </w:tc>
        <w:tc>
          <w:tcPr>
            <w:tcW w:w="200" w:type="dxa"/>
            <w:vAlign w:val="bottom"/>
            <w:tcBorders>
              <w:bottom w:val="single" w:sz="8" w:color="D8E7F3"/>
              <w:right w:val="single" w:sz="8" w:color="0061AF"/>
            </w:tcBorders>
            <w:shd w:val="clear" w:color="auto" w:fill="D8E7F3"/>
          </w:tcPr>
          <w:p>
            <w:pPr>
              <w:spacing w:after="0"/>
              <w:rPr>
                <w:sz w:val="10"/>
                <w:szCs w:val="10"/>
                <w:color w:val="auto"/>
              </w:rPr>
            </w:pPr>
          </w:p>
        </w:tc>
        <w:tc>
          <w:tcPr>
            <w:tcW w:w="6860" w:type="dxa"/>
            <w:vAlign w:val="bottom"/>
            <w:tcBorders>
              <w:bottom w:val="single" w:sz="8" w:color="D8E7F3"/>
              <w:right w:val="single" w:sz="8" w:color="0061AF"/>
            </w:tcBorders>
            <w:gridSpan w:val="5"/>
            <w:vMerge w:val="continue"/>
            <w:shd w:val="clear" w:color="auto" w:fill="D8E7F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80" w:type="dxa"/>
            <w:vAlign w:val="bottom"/>
            <w:tcBorders>
              <w:left w:val="single" w:sz="8" w:color="0061AF"/>
            </w:tcBorders>
            <w:shd w:val="clear" w:color="auto" w:fill="0061AF"/>
          </w:tcPr>
          <w:p>
            <w:pPr>
              <w:spacing w:after="0" w:line="20" w:lineRule="exact"/>
              <w:rPr>
                <w:sz w:val="1"/>
                <w:szCs w:val="1"/>
                <w:color w:val="auto"/>
              </w:rPr>
            </w:pPr>
          </w:p>
        </w:tc>
        <w:tc>
          <w:tcPr>
            <w:tcW w:w="200" w:type="dxa"/>
            <w:vAlign w:val="bottom"/>
            <w:tcBorders>
              <w:right w:val="single" w:sz="8" w:color="0061AF"/>
            </w:tcBorders>
            <w:shd w:val="clear" w:color="auto" w:fill="0061AF"/>
          </w:tcPr>
          <w:p>
            <w:pPr>
              <w:spacing w:after="0" w:line="20" w:lineRule="exact"/>
              <w:rPr>
                <w:sz w:val="1"/>
                <w:szCs w:val="1"/>
                <w:color w:val="auto"/>
              </w:rPr>
            </w:pPr>
          </w:p>
        </w:tc>
        <w:tc>
          <w:tcPr>
            <w:tcW w:w="1380" w:type="dxa"/>
            <w:vAlign w:val="bottom"/>
            <w:shd w:val="clear" w:color="auto" w:fill="0061AF"/>
          </w:tcPr>
          <w:p>
            <w:pPr>
              <w:spacing w:after="0" w:line="20" w:lineRule="exact"/>
              <w:rPr>
                <w:sz w:val="1"/>
                <w:szCs w:val="1"/>
                <w:color w:val="auto"/>
              </w:rPr>
            </w:pPr>
          </w:p>
        </w:tc>
        <w:tc>
          <w:tcPr>
            <w:tcW w:w="200" w:type="dxa"/>
            <w:vAlign w:val="bottom"/>
            <w:shd w:val="clear" w:color="auto" w:fill="0061AF"/>
          </w:tcPr>
          <w:p>
            <w:pPr>
              <w:spacing w:after="0" w:line="20" w:lineRule="exact"/>
              <w:rPr>
                <w:sz w:val="1"/>
                <w:szCs w:val="1"/>
                <w:color w:val="auto"/>
              </w:rPr>
            </w:pPr>
          </w:p>
        </w:tc>
        <w:tc>
          <w:tcPr>
            <w:tcW w:w="180" w:type="dxa"/>
            <w:vAlign w:val="bottom"/>
            <w:tcBorders>
              <w:right w:val="single" w:sz="8" w:color="0061AF"/>
            </w:tcBorders>
            <w:shd w:val="clear" w:color="auto" w:fill="0061AF"/>
          </w:tcPr>
          <w:p>
            <w:pPr>
              <w:spacing w:after="0" w:line="20" w:lineRule="exact"/>
              <w:rPr>
                <w:sz w:val="1"/>
                <w:szCs w:val="1"/>
                <w:color w:val="auto"/>
              </w:rPr>
            </w:pPr>
          </w:p>
        </w:tc>
        <w:tc>
          <w:tcPr>
            <w:tcW w:w="2500" w:type="dxa"/>
            <w:vAlign w:val="bottom"/>
            <w:shd w:val="clear" w:color="auto" w:fill="0061AF"/>
          </w:tcPr>
          <w:p>
            <w:pPr>
              <w:spacing w:after="0" w:line="20" w:lineRule="exact"/>
              <w:rPr>
                <w:sz w:val="1"/>
                <w:szCs w:val="1"/>
                <w:color w:val="auto"/>
              </w:rPr>
            </w:pPr>
          </w:p>
        </w:tc>
        <w:tc>
          <w:tcPr>
            <w:tcW w:w="2600" w:type="dxa"/>
            <w:vAlign w:val="bottom"/>
            <w:tcBorders>
              <w:right w:val="single" w:sz="8" w:color="0061AF"/>
            </w:tcBorders>
            <w:shd w:val="clear" w:color="auto" w:fill="0061A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0" w:hanging="391"/>
        <w:spacing w:after="0"/>
        <w:tabs>
          <w:tab w:leader="none" w:pos="400" w:val="left"/>
        </w:tabs>
        <w:numPr>
          <w:ilvl w:val="0"/>
          <w:numId w:val="34"/>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40"/>
          </w:cols>
          <w:pgMar w:left="1080" w:top="305" w:right="1079" w:bottom="1440" w:gutter="0" w:footer="0" w:header="0"/>
        </w:sectPr>
      </w:pPr>
    </w:p>
    <w:bookmarkStart w:id="38" w:name="page39"/>
    <w:bookmarkEnd w:id="3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addition to engaging with our shareholders, we also engaged with representatives from Institutional Shareholder Services and Glass Lewis to gain clarity on matters they highlighted in their reports to investors, including how they evaluated our 2020 proxy disclosure and how they intend to evaluate our 2021 proxy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2020 Business Strategy Highlights</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are committed to delivering shareholder value, and in 2020, the Company’s management advanced our strategy of delivering long-term value against the backdrop of an unusual and challenging year. Although we experienced headwinds, including the COVID-19 pandemic and a record hurricane season, our employees maintained business continuity and provided reliable service to our millions of customers.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2020 was a transformational year for our leadership team, as our Board of Directors made changes to the leadership team to position the Company for long-term success. Concurrent with the Company’s leadership transition discussed further below, we undertook a strategic business review and evaluation process (the “BREC review”) focused on maximizing the value from our various businesses, assets and ownership interests. Following the BREC review, we held an Investor Day to introduce to our shareholders our Company’s new long-term growth strategy that we believe will position us as a premium utility company. Our long-term value proposition focuses on (i) growing our regulated utility businesses through an accelerated capital investment plan by concentrating on safety, optimizing service to our customers and emphasizing cleaner energy generation and delivery, (ii) delivering operational excellence while reducing our operations and maintenance expenses and (iii) accessing constructive regulatory recovery, among other key components. We delivered strong operational and financial performance in 2020 in service of that strategy. We believe that our business strategy and long-term value proposition position us to be a new 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130810</wp:posOffset>
            </wp:positionV>
            <wp:extent cx="3937000" cy="18516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3700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2020 Executive Compensation Highlights</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Our 2020 named executive officer compensation reflects the Company’s significant financial, operational and strategic successes in a challenging year. Our Compensation Committee considered our named executive officers’ leadership of the Company’s business and operations during the COVID-19 pandemic, in an active hurricane season and with a significant leadership transition and recognized the Company’s strong performance with its compensation decisions. We believe our strong performance is not yet reflected in our stock price and shareholder returns, as reflected in our performance share unit award results addressed below; however, we remain committed to delivering on a strategy that will create value for our customers and investors. The Company did not make any adjustments to its performance metrics under the short-term and long-term incentive plans due to COVID-19.</w:t>
      </w:r>
    </w:p>
    <w:p>
      <w:pPr>
        <w:spacing w:after="0" w:line="215"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39" w:name="page40"/>
    <w:bookmarkEnd w:id="3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31" w:lineRule="exact"/>
        <w:rPr>
          <w:sz w:val="20"/>
          <w:szCs w:val="20"/>
          <w:color w:val="auto"/>
        </w:rPr>
      </w:pPr>
    </w:p>
    <w:p>
      <w:pPr>
        <w:jc w:val="both"/>
        <w:ind w:left="780" w:hanging="390"/>
        <w:spacing w:after="0" w:line="235" w:lineRule="auto"/>
        <w:tabs>
          <w:tab w:leader="none" w:pos="780" w:val="left"/>
        </w:tabs>
        <w:numPr>
          <w:ilvl w:val="0"/>
          <w:numId w:val="35"/>
        </w:numPr>
        <w:rPr>
          <w:rFonts w:ascii="Arial" w:cs="Arial" w:eastAsia="Arial" w:hAnsi="Arial"/>
          <w:sz w:val="16"/>
          <w:szCs w:val="16"/>
          <w:color w:val="0061AF"/>
        </w:rPr>
      </w:pPr>
      <w:r>
        <w:rPr>
          <w:rFonts w:ascii="Arial" w:cs="Arial" w:eastAsia="Arial" w:hAnsi="Arial"/>
          <w:sz w:val="16"/>
          <w:szCs w:val="16"/>
          <w:color w:val="auto"/>
        </w:rPr>
        <w:t>Vesting of the 2018 performance share unit awards is based on the Company’s three-year relative total shareholder return (“TSR”) performance and three-year cumulative utility net income. Although the Company exceeded the target for cumulative utility net income, the overall performance share unit award results were impacted by lower relative TSR during the performance period. In recognition of our below-target shareholder return, the Compensation Committee approved the vesting of the 2018 performance share unit awards at 58% of target.</w:t>
      </w:r>
    </w:p>
    <w:p>
      <w:pPr>
        <w:spacing w:after="0" w:line="98" w:lineRule="exact"/>
        <w:rPr>
          <w:rFonts w:ascii="Arial" w:cs="Arial" w:eastAsia="Arial" w:hAnsi="Arial"/>
          <w:sz w:val="16"/>
          <w:szCs w:val="16"/>
          <w:color w:val="0061AF"/>
        </w:rPr>
      </w:pPr>
    </w:p>
    <w:p>
      <w:pPr>
        <w:jc w:val="both"/>
        <w:ind w:left="780" w:right="20" w:hanging="390"/>
        <w:spacing w:after="0" w:line="236" w:lineRule="auto"/>
        <w:tabs>
          <w:tab w:leader="none" w:pos="780" w:val="left"/>
        </w:tabs>
        <w:numPr>
          <w:ilvl w:val="0"/>
          <w:numId w:val="35"/>
        </w:numPr>
        <w:rPr>
          <w:rFonts w:ascii="Arial" w:cs="Arial" w:eastAsia="Arial" w:hAnsi="Arial"/>
          <w:sz w:val="16"/>
          <w:szCs w:val="16"/>
          <w:color w:val="0061AF"/>
        </w:rPr>
      </w:pPr>
      <w:r>
        <w:rPr>
          <w:rFonts w:ascii="Arial" w:cs="Arial" w:eastAsia="Arial" w:hAnsi="Arial"/>
          <w:sz w:val="16"/>
          <w:szCs w:val="16"/>
          <w:color w:val="auto"/>
        </w:rPr>
        <w:t>In assessing the 2020 short-term incentive plan payout, our Compensation Committee considered our achievement of strong financial results, including above-target core net income, underscored by the delivery of significant reductions in operations and maintenance expenses and improved year-over-year customer satisfaction. In recognition of this performance, the Committee approved an above-target 2020 short-term incentive plan payout of 146% of target.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Compensation actions associated with our 2020 leadership transition activities are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Transition to New Leadership</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As noted above, our Board of Directors and new President and Chief Executive Officer, David Lesar, took steps to strengthen our management team in 2020. A high-performing team enhances the value we deliver to stakeholders. Further, our team is now more diverse and brings a significant amount of utility experience. In connection with, and in support of, these transitions, the Compensation Committee approved certain compensation arrangements as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 David Lesar</w:t>
      </w:r>
    </w:p>
    <w:p>
      <w:pPr>
        <w:spacing w:after="0" w:line="10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 July 1, 2020, Mr. Lesar became the new President and Chief Executive Officer of CenterPoint Energy. Mr. Lesar was previously the Chairman of the Board and Chief Executive Officer of Halliburton Company from 2000 to 2017. In recognition of his significant experience leading a large public company, the Compensation Committee approved a competitive compensation package for Mr. Lesar. To induce Mr. Lesar to join the organization and create immediate alignment with shareholders, he received a sign-on restricted stock unit grant valued at $1,000,000 as of the grant date. This award will vest ratably upon his continued employment on the first, second and third anniversaries of the grant date. Additionally, the Company provided Mr. Lesar with relocation benefits, including the purchase of his home, to facilitate an expedited move to Houston and allow Mr. Lesar to quickly engage in his Chief Executive Officer duties and responsibilities. The Company’s purchase of Mr. Lesar’s home, as opposed to Mr. Lesar executing the sale individually, also helped to minimize his exposure to COVID-19, which exposure would have been more likely as a result of multiple home showings while he continued to reside in the home.</w:t>
      </w:r>
    </w:p>
    <w:p>
      <w:pPr>
        <w:spacing w:after="0" w:line="179" w:lineRule="exact"/>
        <w:rPr>
          <w:sz w:val="20"/>
          <w:szCs w:val="20"/>
          <w:color w:val="auto"/>
        </w:rPr>
      </w:pPr>
    </w:p>
    <w:p>
      <w:pPr>
        <w:ind w:left="400" w:hanging="391"/>
        <w:spacing w:after="0"/>
        <w:tabs>
          <w:tab w:leader="none" w:pos="400" w:val="left"/>
        </w:tabs>
        <w:numPr>
          <w:ilvl w:val="0"/>
          <w:numId w:val="36"/>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40" w:name="page41"/>
    <w:bookmarkEnd w:id="4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Mr. Lesar’s annual pay package was designed so that a significant portion of his compensation is at-risk and structured to incentivize long-term shareholder value creation, with 87% of his compensation delivered as performance or stock-based compensation. The details of Mr. Lesar’s annual pay package are described as part of our 2020 Executive Compensation Program disclosure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130175</wp:posOffset>
            </wp:positionV>
            <wp:extent cx="3279775" cy="21463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79775" cy="214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Vice President and Chief Financial Officer, Jason Wells</w:t>
      </w:r>
    </w:p>
    <w:p>
      <w:pPr>
        <w:spacing w:after="0" w:line="10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 September 28, 2020, Jason Wells was appointed as the new Executive Vice President and Chief Financial Officer of CenterPoint Energy. Mr. Wells has extensive utility-focused financial leadership experience and most recently held the position of Executive Vice President and Chief Financial Officer of PG&amp;E Corporation. In recognition of his leadership experience, the Compensation Committee approved a competitive compensation package and a sign-on equity incentive award comprised of restricted stock units valued at $1,000,000 as of the grant date, half of which will vest upon his continued employment through the first anniversary of the grant date and the remaining half of which will vest upon his continued employment through the second anniversary of the grant date. Additionally, the Company provided Mr. Wells with relocation benefits, including the purchase of his home, to facilitate an expedited move to Houston and allow Mr. Wells to quickly engage in his Chief Financial Officer duties and responsibilities. The Company’s purchase of Mr. Wells’ home, rather than Mr. Wells executing the sale himself, also helped to minimize his exposure to COVID-19, which exposure would have been more likely as a result of multiple home showings while he continued to reside in the home. The details of Mr. Wells’ annual pay package are described as part of our 2020 Executive Compensation Program disclosure below.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Vice President, Customer Transformation and Business Services, Gregory Knight</w:t>
      </w:r>
    </w:p>
    <w:p>
      <w:pPr>
        <w:spacing w:after="0" w:line="10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Mr. Knight was appointed as Executive Vice President, Customer Transformation and Business Services, effective August 17, 2020. Mr. Knight is a recognized leader in utility customer operations, focusing on technology and innovation to enhance the customer experience. In recognition of his leadership experience, the Compensation Committee approved for Mr. Knight a sign-on cash bonus of $400,000 and a sign-on equity incentive award consisting of restricted stock units valued at $300,000 as of the grant date, which will vest ratably upon his continued employment on the first, second and third anniversaries of the grant date. Additionally, the Company provided Mr. Knight with relocation benefits to facilitate an expedited move to Houston and allow Mr. Knight to quickly engage in his duties and responsibilities. The details of Mr. Knight’s annual pay package are described as part of our 2020 Executive Compensation Program disclosure below.</w:t>
      </w:r>
    </w:p>
    <w:p>
      <w:pPr>
        <w:spacing w:after="0" w:line="214"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41" w:name="page42"/>
    <w:bookmarkEnd w:id="4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Chairman of the Board, Milton Carroll</w:t>
      </w:r>
    </w:p>
    <w:p>
      <w:pPr>
        <w:spacing w:after="0" w:line="10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part of the strategic shift and changes in the Company’s executive leadership, the Board determined that it was in the best interests of shareholders for Mr. Carroll, our Executive Chairman, to have increased responsibilities. The Board tasked Mr. Carroll to help ensure business continuity through each of the Company’s transitions, including identifying and selecting a new Chief Executive Officer to support the development of, and lead, the Company’s new strategy. Specifically, his increased role included significant contributions and time commitment involved with the Chief Executive Officer transition, including transitioning the prior Chief Executive Officer out, identifying and selecting the next Chief Executive Officer and assisting with the transition from the prior Chief Executive Officer to the interim Chief Executive Officer and finally to the new Chief Executive Officer. His efforts helped provide for business continuity through each of the Company’s leadership transitions. Mr. Carroll’s institutional knowledge of the Company’s business, operations and culture was particularly relevant in supporting, advising and consulting with the interim Chief Executive Officer and new Chief Executive Officer. In recognition of the above, on February 26, 2020, the Compensation Committee approved the following one-time additional compensation awards for Mr. Carroll:</w:t>
      </w:r>
    </w:p>
    <w:p>
      <w:pPr>
        <w:spacing w:after="0" w:line="97" w:lineRule="exact"/>
        <w:rPr>
          <w:sz w:val="20"/>
          <w:szCs w:val="20"/>
          <w:color w:val="auto"/>
        </w:rPr>
      </w:pPr>
    </w:p>
    <w:p>
      <w:pPr>
        <w:ind w:left="780" w:hanging="390"/>
        <w:spacing w:after="0"/>
        <w:tabs>
          <w:tab w:leader="none" w:pos="780" w:val="left"/>
        </w:tabs>
        <w:numPr>
          <w:ilvl w:val="0"/>
          <w:numId w:val="37"/>
        </w:numPr>
        <w:rPr>
          <w:rFonts w:ascii="Arial" w:cs="Arial" w:eastAsia="Arial" w:hAnsi="Arial"/>
          <w:sz w:val="16"/>
          <w:szCs w:val="16"/>
          <w:color w:val="0061AF"/>
        </w:rPr>
      </w:pPr>
      <w:r>
        <w:rPr>
          <w:rFonts w:ascii="Arial" w:cs="Arial" w:eastAsia="Arial" w:hAnsi="Arial"/>
          <w:sz w:val="16"/>
          <w:szCs w:val="16"/>
          <w:color w:val="auto"/>
        </w:rPr>
        <w:t>A $500,000 cash bonus; and</w:t>
      </w:r>
    </w:p>
    <w:p>
      <w:pPr>
        <w:spacing w:after="0" w:line="101" w:lineRule="exact"/>
        <w:rPr>
          <w:rFonts w:ascii="Arial" w:cs="Arial" w:eastAsia="Arial" w:hAnsi="Arial"/>
          <w:sz w:val="16"/>
          <w:szCs w:val="16"/>
          <w:color w:val="0061AF"/>
        </w:rPr>
      </w:pPr>
    </w:p>
    <w:p>
      <w:pPr>
        <w:jc w:val="both"/>
        <w:ind w:left="780" w:hanging="390"/>
        <w:spacing w:after="0" w:line="235" w:lineRule="auto"/>
        <w:tabs>
          <w:tab w:leader="none" w:pos="780" w:val="left"/>
        </w:tabs>
        <w:numPr>
          <w:ilvl w:val="0"/>
          <w:numId w:val="37"/>
        </w:numPr>
        <w:rPr>
          <w:rFonts w:ascii="Arial" w:cs="Arial" w:eastAsia="Arial" w:hAnsi="Arial"/>
          <w:sz w:val="16"/>
          <w:szCs w:val="16"/>
          <w:color w:val="0061AF"/>
        </w:rPr>
      </w:pPr>
      <w:r>
        <w:rPr>
          <w:rFonts w:ascii="Arial" w:cs="Arial" w:eastAsia="Arial" w:hAnsi="Arial"/>
          <w:sz w:val="16"/>
          <w:szCs w:val="16"/>
          <w:color w:val="auto"/>
        </w:rPr>
        <w:t>A fully-vested equity award with a value at grant equal to $1,500,000, which was granted in July 2020 upon the appointment of Mr. Lesar as CenterPoint Energy’s permanent President and Chief Executive Officer, with one-third of the underlying shares paid upon the grant date, one-third to be paid upon the first anniversary of the grant date, and the remaining one-third to be paid on the second anniversary of the grant date; provided, however, if Mr. Carroll earlier separates from CenterPoint Energy such that he is neither an employee nor director, any remaining unpaid shares under the award will be payable upon his separation.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Vice President and Chief Accounting Officer and Former Interim Executive Vice President and Chief Financial Officer, Kristie Colvin</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Ms. Colvin was appointed Interim Executive Vice President and Chief Financial Officer effective April 2, 2020, in addition to her role as the Company’s Chief Accounting Officer. On April 6, 2020, for Ms. Colvin’s service as Interim Executive Vice President and Chief Financial Officer, the Compensation Committee approved the following in respect of her additional responsibilities:</w:t>
      </w:r>
    </w:p>
    <w:p>
      <w:pPr>
        <w:spacing w:after="0" w:line="98" w:lineRule="exact"/>
        <w:rPr>
          <w:sz w:val="20"/>
          <w:szCs w:val="20"/>
          <w:color w:val="auto"/>
        </w:rPr>
      </w:pPr>
    </w:p>
    <w:p>
      <w:pPr>
        <w:ind w:left="780" w:hanging="390"/>
        <w:spacing w:after="0"/>
        <w:tabs>
          <w:tab w:leader="none" w:pos="780" w:val="left"/>
        </w:tabs>
        <w:numPr>
          <w:ilvl w:val="0"/>
          <w:numId w:val="38"/>
        </w:numPr>
        <w:rPr>
          <w:rFonts w:ascii="Arial" w:cs="Arial" w:eastAsia="Arial" w:hAnsi="Arial"/>
          <w:sz w:val="16"/>
          <w:szCs w:val="16"/>
          <w:color w:val="0061AF"/>
        </w:rPr>
      </w:pPr>
      <w:r>
        <w:rPr>
          <w:rFonts w:ascii="Arial" w:cs="Arial" w:eastAsia="Arial" w:hAnsi="Arial"/>
          <w:sz w:val="16"/>
          <w:szCs w:val="16"/>
          <w:color w:val="auto"/>
        </w:rPr>
        <w:t>A quarterly cash payment of $105,000; and</w:t>
      </w:r>
    </w:p>
    <w:p>
      <w:pPr>
        <w:spacing w:after="0" w:line="101" w:lineRule="exact"/>
        <w:rPr>
          <w:rFonts w:ascii="Arial" w:cs="Arial" w:eastAsia="Arial" w:hAnsi="Arial"/>
          <w:sz w:val="16"/>
          <w:szCs w:val="16"/>
          <w:color w:val="0061AF"/>
        </w:rPr>
      </w:pPr>
    </w:p>
    <w:p>
      <w:pPr>
        <w:jc w:val="both"/>
        <w:ind w:left="780" w:hanging="390"/>
        <w:spacing w:after="0" w:line="237" w:lineRule="auto"/>
        <w:tabs>
          <w:tab w:leader="none" w:pos="780" w:val="left"/>
        </w:tabs>
        <w:numPr>
          <w:ilvl w:val="0"/>
          <w:numId w:val="38"/>
        </w:numPr>
        <w:rPr>
          <w:rFonts w:ascii="Arial" w:cs="Arial" w:eastAsia="Arial" w:hAnsi="Arial"/>
          <w:sz w:val="16"/>
          <w:szCs w:val="16"/>
          <w:color w:val="0061AF"/>
        </w:rPr>
      </w:pPr>
      <w:r>
        <w:rPr>
          <w:rFonts w:ascii="Arial" w:cs="Arial" w:eastAsia="Arial" w:hAnsi="Arial"/>
          <w:sz w:val="16"/>
          <w:szCs w:val="16"/>
          <w:color w:val="auto"/>
        </w:rPr>
        <w:t>A quarterly restricted stock unit award with a value at each grant date equal to $105,000, which will vest upon her continued employment through the third anniversary of each grant date. However, if Ms. Colvin is involuntarily separated from the Company without cause, these restricted stock unit awards will fully vest.</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Upon her appointment as Interim Executive Vice President and Chief Financial Officer, in addition to her February 19, 2020 awards, Ms. Colvin also received performance share unit and restricted stock unit awards to reflect changes made to her base salary and long-term incentive target award level. If Ms. Colvin is involuntarily separated from the Company without cause, these awards will fully vest.</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Concurrent with Mr. Wells’ appointment, Ms. Colvin stepped down from the role of Interim Executive Vice President and Chief Financial Officer. Ms. Colvin received two of the quarterly cash payments and grants during the interim period.</w:t>
      </w:r>
    </w:p>
    <w:p>
      <w:pPr>
        <w:spacing w:after="0" w:line="177" w:lineRule="exact"/>
        <w:rPr>
          <w:sz w:val="20"/>
          <w:szCs w:val="20"/>
          <w:color w:val="auto"/>
        </w:rPr>
      </w:pPr>
    </w:p>
    <w:p>
      <w:pPr>
        <w:ind w:left="400" w:hanging="391"/>
        <w:spacing w:after="0"/>
        <w:tabs>
          <w:tab w:leader="none" w:pos="400" w:val="left"/>
        </w:tabs>
        <w:numPr>
          <w:ilvl w:val="0"/>
          <w:numId w:val="39"/>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42" w:name="page43"/>
    <w:bookmarkEnd w:id="4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“—2020 Executive Compensation Program—Executive Officer Departures”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Executive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Our Compensation Objectives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to achieve the objectives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132715</wp:posOffset>
            </wp:positionV>
            <wp:extent cx="6166485" cy="3702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66485" cy="370205"/>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p>
      <w:pPr>
        <w:spacing w:after="0" w:line="296" w:lineRule="exact"/>
        <w:rPr>
          <w:sz w:val="20"/>
          <w:szCs w:val="20"/>
          <w:color w:val="auto"/>
        </w:rPr>
      </w:pPr>
    </w:p>
    <w:p>
      <w:pPr>
        <w:jc w:val="center"/>
        <w:ind w:left="320"/>
        <w:spacing w:after="0"/>
        <w:rPr>
          <w:sz w:val="20"/>
          <w:szCs w:val="20"/>
          <w:color w:val="auto"/>
        </w:rPr>
      </w:pPr>
      <w:r>
        <w:rPr>
          <w:rFonts w:ascii="Arial" w:cs="Arial" w:eastAsia="Arial" w:hAnsi="Arial"/>
          <w:sz w:val="15"/>
          <w:szCs w:val="15"/>
          <w:b w:val="1"/>
          <w:bCs w:val="1"/>
          <w:color w:val="FFFFFF"/>
        </w:rPr>
        <w:t>RECRUIT AND RETAIN</w:t>
      </w:r>
    </w:p>
    <w:p>
      <w:pPr>
        <w:spacing w:after="0" w:line="26"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FFFFFF"/>
        </w:rPr>
        <w:t>TALENT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FFFFFF"/>
        </w:rPr>
        <w:t>PAY FOR</w:t>
      </w:r>
    </w:p>
    <w:p>
      <w:pPr>
        <w:spacing w:after="0" w:line="15"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FFFFFF"/>
        </w:rPr>
        <w:t>PERFORMANCE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320"/>
        <w:spacing w:after="0"/>
        <w:rPr>
          <w:sz w:val="20"/>
          <w:szCs w:val="20"/>
          <w:color w:val="auto"/>
        </w:rPr>
      </w:pPr>
      <w:r>
        <w:rPr>
          <w:rFonts w:ascii="Arial" w:cs="Arial" w:eastAsia="Arial" w:hAnsi="Arial"/>
          <w:sz w:val="15"/>
          <w:szCs w:val="15"/>
          <w:b w:val="1"/>
          <w:bCs w:val="1"/>
          <w:color w:val="FFFFFF"/>
        </w:rPr>
        <w:t>ALIGN INTERESTS OF</w:t>
      </w:r>
    </w:p>
    <w:p>
      <w:pPr>
        <w:spacing w:after="0" w:line="21"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FFFFFF"/>
        </w:rPr>
        <w:t>EXECUTIVES WITH</w:t>
      </w:r>
    </w:p>
    <w:p>
      <w:pPr>
        <w:jc w:val="center"/>
        <w:ind w:left="320"/>
        <w:spacing w:after="0"/>
        <w:rPr>
          <w:sz w:val="20"/>
          <w:szCs w:val="20"/>
          <w:color w:val="auto"/>
        </w:rPr>
      </w:pPr>
      <w:r>
        <w:rPr>
          <w:rFonts w:ascii="Arial" w:cs="Arial" w:eastAsia="Arial" w:hAnsi="Arial"/>
          <w:sz w:val="16"/>
          <w:szCs w:val="16"/>
          <w:b w:val="1"/>
          <w:bCs w:val="1"/>
          <w:color w:val="FFFFFF"/>
        </w:rPr>
        <w:t>SHAREHOLDERS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both"/>
        <w:ind w:right="320"/>
        <w:spacing w:after="0"/>
        <w:rPr>
          <w:sz w:val="20"/>
          <w:szCs w:val="20"/>
          <w:color w:val="auto"/>
        </w:rPr>
      </w:pPr>
      <w:r>
        <w:rPr>
          <w:rFonts w:ascii="Arial" w:cs="Arial" w:eastAsia="Arial" w:hAnsi="Arial"/>
          <w:sz w:val="16"/>
          <w:szCs w:val="16"/>
          <w:color w:val="auto"/>
        </w:rPr>
        <w:t>A key objective of our executive compensation program is to enable us to recruit and retain highly qualified executive talent by providing market-based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182245</wp:posOffset>
            </wp:positionV>
            <wp:extent cx="6166485" cy="7105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66485" cy="710565"/>
                    </a:xfrm>
                    <a:prstGeom prst="rect">
                      <a:avLst/>
                    </a:prstGeom>
                    <a:noFill/>
                  </pic:spPr>
                </pic:pic>
              </a:graphicData>
            </a:graphic>
          </wp:anchor>
        </w:drawing>
      </w:r>
    </w:p>
    <w:p>
      <w:pPr>
        <w:spacing w:after="0" w:line="374" w:lineRule="exact"/>
        <w:rPr>
          <w:sz w:val="20"/>
          <w:szCs w:val="20"/>
          <w:color w:val="auto"/>
        </w:rPr>
      </w:pPr>
    </w:p>
    <w:p>
      <w:pPr>
        <w:jc w:val="both"/>
        <w:ind w:right="320"/>
        <w:spacing w:after="0" w:line="235" w:lineRule="auto"/>
        <w:rPr>
          <w:sz w:val="20"/>
          <w:szCs w:val="20"/>
          <w:color w:val="auto"/>
        </w:rPr>
      </w:pPr>
      <w:r>
        <w:rPr>
          <w:rFonts w:ascii="Arial" w:cs="Arial" w:eastAsia="Arial" w:hAnsi="Arial"/>
          <w:sz w:val="16"/>
          <w:szCs w:val="16"/>
          <w:color w:val="auto"/>
        </w:rPr>
        <w:t>We have structured our compensation program to motivate our executives to achieve individual and business performance objectives by varying their compensation in accordance with the success of our businesses. Accordingly, while compensation targets will to a large extent reflect the market, actual compensation realized will reflect our attainment of (or failure to attain) specified financial and operational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184150</wp:posOffset>
            </wp:positionV>
            <wp:extent cx="6166485" cy="6197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66485" cy="619760"/>
                    </a:xfrm>
                    <a:prstGeom prst="rect">
                      <a:avLst/>
                    </a:prstGeom>
                    <a:noFill/>
                  </pic:spPr>
                </pic:pic>
              </a:graphicData>
            </a:graphic>
          </wp:anchor>
        </w:drawing>
      </w:r>
    </w:p>
    <w:p>
      <w:pPr>
        <w:spacing w:after="0" w:line="376" w:lineRule="exact"/>
        <w:rPr>
          <w:sz w:val="20"/>
          <w:szCs w:val="20"/>
          <w:color w:val="auto"/>
        </w:rPr>
      </w:pPr>
    </w:p>
    <w:p>
      <w:pPr>
        <w:jc w:val="both"/>
        <w:ind w:right="320"/>
        <w:spacing w:after="0" w:line="236" w:lineRule="auto"/>
        <w:rPr>
          <w:sz w:val="20"/>
          <w:szCs w:val="20"/>
          <w:color w:val="auto"/>
        </w:rPr>
      </w:pPr>
      <w:r>
        <w:rPr>
          <w:rFonts w:ascii="Arial" w:cs="Arial" w:eastAsia="Arial" w:hAnsi="Arial"/>
          <w:sz w:val="16"/>
          <w:szCs w:val="16"/>
          <w:color w:val="auto"/>
        </w:rPr>
        <w:t>We believe compensation programs can drive our employees’ behavior. We try to design our executive compensation program to align compensation with current and desired corporate performance and shareholder interests by providing a significant portion of total compensation in the form of stock-based incentives and requiring target levels of stock ownership.</w:t>
      </w:r>
    </w:p>
    <w:p>
      <w:pPr>
        <w:spacing w:after="0" w:line="200" w:lineRule="exact"/>
        <w:rPr>
          <w:sz w:val="20"/>
          <w:szCs w:val="20"/>
          <w:color w:val="auto"/>
        </w:rPr>
      </w:pPr>
    </w:p>
    <w:p>
      <w:pPr>
        <w:sectPr>
          <w:pgSz w:w="11900" w:h="16838" w:orient="portrait"/>
          <w:cols w:equalWidth="0" w:num="2">
            <w:col w:w="2020" w:space="400"/>
            <w:col w:w="7300"/>
          </w:cols>
          <w:pgMar w:left="1080" w:top="305" w:right="1099" w:bottom="1440" w:gutter="0" w:footer="0" w:header="0"/>
          <w:type w:val="continuous"/>
        </w:sectPr>
      </w:pPr>
    </w:p>
    <w:p>
      <w:pPr>
        <w:spacing w:after="0" w:line="166"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type w:val="continuous"/>
        </w:sectPr>
      </w:pPr>
    </w:p>
    <w:bookmarkStart w:id="43" w:name="page44"/>
    <w:bookmarkEnd w:id="4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Compensation Program Key Features and Best Practices</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following are key features of our executive compensation program, which we believe are governance best practices and align the interests of management with those of our shareholders.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FFFFFF"/>
        </w:rPr>
        <w:t>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6166485" cy="908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66485" cy="90805"/>
                    </a:xfrm>
                    <a:prstGeom prst="rect">
                      <a:avLst/>
                    </a:prstGeom>
                    <a:noFill/>
                  </pic:spPr>
                </pic:pic>
              </a:graphicData>
            </a:graphic>
          </wp:anchor>
        </w:drawing>
      </w:r>
    </w:p>
    <w:p>
      <w:pPr>
        <w:ind w:left="360" w:right="540" w:hanging="232"/>
        <w:spacing w:after="0" w:line="239" w:lineRule="auto"/>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Strong Pay for Performance. </w:t>
      </w:r>
      <w:r>
        <w:rPr>
          <w:rFonts w:ascii="Arial" w:cs="Arial" w:eastAsia="Arial" w:hAnsi="Arial"/>
          <w:sz w:val="16"/>
          <w:szCs w:val="16"/>
          <w:color w:val="000000"/>
        </w:rPr>
        <w:t>A substantial portion of the compensation for our named executive officers is at-risk and</w:t>
      </w:r>
      <w:r>
        <w:rPr>
          <w:rFonts w:ascii="Arial" w:cs="Arial" w:eastAsia="Arial" w:hAnsi="Arial"/>
          <w:sz w:val="16"/>
          <w:szCs w:val="16"/>
          <w:b w:val="1"/>
          <w:bCs w:val="1"/>
          <w:color w:val="0061AF"/>
        </w:rPr>
        <w:t xml:space="preserve"> </w:t>
      </w:r>
      <w:r>
        <w:rPr>
          <w:rFonts w:ascii="Arial" w:cs="Arial" w:eastAsia="Arial" w:hAnsi="Arial"/>
          <w:sz w:val="16"/>
          <w:szCs w:val="16"/>
          <w:color w:val="000000"/>
        </w:rPr>
        <w:t>performance-based, meaning that actual compensation realized in a given year will vary depending on Company financial and stock price performance and individual performance</w:t>
      </w:r>
    </w:p>
    <w:p>
      <w:pPr>
        <w:spacing w:after="0" w:line="88" w:lineRule="exact"/>
        <w:rPr>
          <w:rFonts w:ascii="MS PGothic" w:cs="MS PGothic" w:eastAsia="MS PGothic" w:hAnsi="MS PGothic"/>
          <w:sz w:val="16"/>
          <w:szCs w:val="16"/>
          <w:color w:val="0061AF"/>
        </w:rPr>
      </w:pPr>
    </w:p>
    <w:p>
      <w:pPr>
        <w:jc w:val="both"/>
        <w:ind w:left="360" w:right="140" w:hanging="232"/>
        <w:spacing w:after="0" w:line="249" w:lineRule="auto"/>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No Employment Agreements. </w:t>
      </w:r>
      <w:r>
        <w:rPr>
          <w:rFonts w:ascii="Arial" w:cs="Arial" w:eastAsia="Arial" w:hAnsi="Arial"/>
          <w:sz w:val="16"/>
          <w:szCs w:val="16"/>
          <w:color w:val="000000"/>
        </w:rPr>
        <w:t>We do not maintain executive employment agreements with any of our named executive officers,</w:t>
      </w:r>
      <w:r>
        <w:rPr>
          <w:rFonts w:ascii="Arial" w:cs="Arial" w:eastAsia="Arial" w:hAnsi="Arial"/>
          <w:sz w:val="16"/>
          <w:szCs w:val="16"/>
          <w:b w:val="1"/>
          <w:bCs w:val="1"/>
          <w:color w:val="0061AF"/>
        </w:rPr>
        <w:t xml:space="preserve"> </w:t>
      </w:r>
      <w:r>
        <w:rPr>
          <w:rFonts w:ascii="Arial" w:cs="Arial" w:eastAsia="Arial" w:hAnsi="Arial"/>
          <w:sz w:val="16"/>
          <w:szCs w:val="16"/>
          <w:color w:val="000000"/>
        </w:rPr>
        <w:t>and our named executive officers are not entitled to guaranteed severance payments upon a termination of employment except pursuant to our change in control plan.</w:t>
      </w:r>
    </w:p>
    <w:p>
      <w:pPr>
        <w:spacing w:after="0" w:line="81" w:lineRule="exact"/>
        <w:rPr>
          <w:rFonts w:ascii="MS PGothic" w:cs="MS PGothic" w:eastAsia="MS PGothic" w:hAnsi="MS PGothic"/>
          <w:sz w:val="16"/>
          <w:szCs w:val="16"/>
          <w:color w:val="0061AF"/>
        </w:rPr>
      </w:pPr>
    </w:p>
    <w:p>
      <w:pPr>
        <w:jc w:val="both"/>
        <w:ind w:left="360" w:right="140" w:hanging="232"/>
        <w:spacing w:after="0" w:line="249" w:lineRule="auto"/>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“Double Trigger” Provisions for Change in Control Plan and Equity Awards. </w:t>
      </w:r>
      <w:r>
        <w:rPr>
          <w:rFonts w:ascii="Arial" w:cs="Arial" w:eastAsia="Arial" w:hAnsi="Arial"/>
          <w:sz w:val="16"/>
          <w:szCs w:val="16"/>
          <w:color w:val="000000"/>
        </w:rPr>
        <w:t>Our change in control plan and equity award</w:t>
      </w:r>
      <w:r>
        <w:rPr>
          <w:rFonts w:ascii="Arial" w:cs="Arial" w:eastAsia="Arial" w:hAnsi="Arial"/>
          <w:sz w:val="16"/>
          <w:szCs w:val="16"/>
          <w:b w:val="1"/>
          <w:bCs w:val="1"/>
          <w:color w:val="0061AF"/>
        </w:rPr>
        <w:t xml:space="preserve"> </w:t>
      </w:r>
      <w:r>
        <w:rPr>
          <w:rFonts w:ascii="Arial" w:cs="Arial" w:eastAsia="Arial" w:hAnsi="Arial"/>
          <w:sz w:val="16"/>
          <w:szCs w:val="16"/>
          <w:color w:val="000000"/>
        </w:rPr>
        <w:t>agreements include a “double trigger,” whereby the executive is eligible for change in control benefits only if employment is terminated under certain circumstances within a set period before or after a change in control.</w:t>
      </w:r>
    </w:p>
    <w:p>
      <w:pPr>
        <w:spacing w:after="0" w:line="81" w:lineRule="exact"/>
        <w:rPr>
          <w:rFonts w:ascii="MS PGothic" w:cs="MS PGothic" w:eastAsia="MS PGothic" w:hAnsi="MS PGothic"/>
          <w:sz w:val="16"/>
          <w:szCs w:val="16"/>
          <w:color w:val="0061AF"/>
        </w:rPr>
      </w:pPr>
    </w:p>
    <w:p>
      <w:pPr>
        <w:ind w:left="360" w:hanging="232"/>
        <w:spacing w:after="0"/>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No Excise Tax Gross Up Payments. </w:t>
      </w:r>
      <w:r>
        <w:rPr>
          <w:rFonts w:ascii="Arial" w:cs="Arial" w:eastAsia="Arial" w:hAnsi="Arial"/>
          <w:sz w:val="16"/>
          <w:szCs w:val="16"/>
          <w:color w:val="000000"/>
        </w:rPr>
        <w:t>Our change in control plan does not provide for excise tax gross up payments.</w:t>
      </w:r>
    </w:p>
    <w:p>
      <w:pPr>
        <w:spacing w:after="0" w:line="113" w:lineRule="exact"/>
        <w:rPr>
          <w:rFonts w:ascii="MS PGothic" w:cs="MS PGothic" w:eastAsia="MS PGothic" w:hAnsi="MS PGothic"/>
          <w:sz w:val="16"/>
          <w:szCs w:val="16"/>
          <w:color w:val="0061AF"/>
        </w:rPr>
      </w:pPr>
    </w:p>
    <w:p>
      <w:pPr>
        <w:ind w:left="360" w:right="140" w:hanging="232"/>
        <w:spacing w:after="0" w:line="266" w:lineRule="auto"/>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Stock Ownership Guidelines. </w:t>
      </w:r>
      <w:r>
        <w:rPr>
          <w:rFonts w:ascii="Arial" w:cs="Arial" w:eastAsia="Arial" w:hAnsi="Arial"/>
          <w:sz w:val="16"/>
          <w:szCs w:val="16"/>
          <w:color w:val="000000"/>
        </w:rPr>
        <w:t>We have established executive stock ownership guidelines applicable to all of our officers, including</w:t>
      </w:r>
      <w:r>
        <w:rPr>
          <w:rFonts w:ascii="Arial" w:cs="Arial" w:eastAsia="Arial" w:hAnsi="Arial"/>
          <w:sz w:val="16"/>
          <w:szCs w:val="16"/>
          <w:b w:val="1"/>
          <w:bCs w:val="1"/>
          <w:color w:val="0061AF"/>
        </w:rPr>
        <w:t xml:space="preserve"> </w:t>
      </w:r>
      <w:r>
        <w:rPr>
          <w:rFonts w:ascii="Arial" w:cs="Arial" w:eastAsia="Arial" w:hAnsi="Arial"/>
          <w:sz w:val="16"/>
          <w:szCs w:val="16"/>
          <w:color w:val="000000"/>
        </w:rPr>
        <w:t>our Executive Chairman, to appropriately align the interests of our officers with our shareholders’ interests.</w:t>
      </w:r>
    </w:p>
    <w:p>
      <w:pPr>
        <w:spacing w:after="0" w:line="68" w:lineRule="exact"/>
        <w:rPr>
          <w:rFonts w:ascii="MS PGothic" w:cs="MS PGothic" w:eastAsia="MS PGothic" w:hAnsi="MS PGothic"/>
          <w:sz w:val="16"/>
          <w:szCs w:val="16"/>
          <w:color w:val="0061AF"/>
        </w:rPr>
      </w:pPr>
    </w:p>
    <w:p>
      <w:pPr>
        <w:ind w:left="360" w:right="140" w:hanging="232"/>
        <w:spacing w:after="0" w:line="266" w:lineRule="auto"/>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Benchmark to Market Median. </w:t>
      </w:r>
      <w:r>
        <w:rPr>
          <w:rFonts w:ascii="Arial" w:cs="Arial" w:eastAsia="Arial" w:hAnsi="Arial"/>
          <w:sz w:val="16"/>
          <w:szCs w:val="16"/>
          <w:color w:val="000000"/>
        </w:rPr>
        <w:t>We benchmark each major element of target compensation against the market median (50</w:t>
      </w:r>
      <w:r>
        <w:rPr>
          <w:rFonts w:ascii="Arial" w:cs="Arial" w:eastAsia="Arial" w:hAnsi="Arial"/>
          <w:sz w:val="13"/>
          <w:szCs w:val="13"/>
          <w:color w:val="000000"/>
        </w:rPr>
        <w:t>th</w:t>
      </w:r>
      <w:r>
        <w:rPr>
          <w:rFonts w:ascii="Arial" w:cs="Arial" w:eastAsia="Arial" w:hAnsi="Arial"/>
          <w:sz w:val="16"/>
          <w:szCs w:val="16"/>
          <w:b w:val="1"/>
          <w:bCs w:val="1"/>
          <w:color w:val="0061AF"/>
        </w:rPr>
        <w:t xml:space="preserve"> </w:t>
      </w:r>
      <w:r>
        <w:rPr>
          <w:rFonts w:ascii="Arial" w:cs="Arial" w:eastAsia="Arial" w:hAnsi="Arial"/>
          <w:sz w:val="16"/>
          <w:szCs w:val="16"/>
          <w:color w:val="000000"/>
        </w:rPr>
        <w:t>percentile) because we believe the market median is a generally accepted benchmark of external competitiveness.</w:t>
      </w:r>
    </w:p>
    <w:p>
      <w:pPr>
        <w:spacing w:after="0" w:line="68" w:lineRule="exact"/>
        <w:rPr>
          <w:rFonts w:ascii="MS PGothic" w:cs="MS PGothic" w:eastAsia="MS PGothic" w:hAnsi="MS PGothic"/>
          <w:sz w:val="16"/>
          <w:szCs w:val="16"/>
          <w:color w:val="0061AF"/>
        </w:rPr>
      </w:pPr>
    </w:p>
    <w:p>
      <w:pPr>
        <w:jc w:val="both"/>
        <w:ind w:left="360" w:right="140" w:hanging="232"/>
        <w:spacing w:after="0" w:line="249" w:lineRule="auto"/>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Incentive Recoupment Policy. </w:t>
      </w:r>
      <w:r>
        <w:rPr>
          <w:rFonts w:ascii="Arial" w:cs="Arial" w:eastAsia="Arial" w:hAnsi="Arial"/>
          <w:sz w:val="16"/>
          <w:szCs w:val="16"/>
          <w:color w:val="000000"/>
        </w:rPr>
        <w:t>We have implemented a policy for the recoupment of short-term and long-term incentive payments</w:t>
      </w:r>
      <w:r>
        <w:rPr>
          <w:rFonts w:ascii="Arial" w:cs="Arial" w:eastAsia="Arial" w:hAnsi="Arial"/>
          <w:sz w:val="16"/>
          <w:szCs w:val="16"/>
          <w:b w:val="1"/>
          <w:bCs w:val="1"/>
          <w:color w:val="0061AF"/>
        </w:rPr>
        <w:t xml:space="preserve"> </w:t>
      </w:r>
      <w:r>
        <w:rPr>
          <w:rFonts w:ascii="Arial" w:cs="Arial" w:eastAsia="Arial" w:hAnsi="Arial"/>
          <w:sz w:val="16"/>
          <w:szCs w:val="16"/>
          <w:color w:val="000000"/>
        </w:rPr>
        <w:t>in the event an officer is found to have engaged in any fraud, intentional misconduct or gross negligence that leads to a restatement of all, or a portion of, our financial results.</w:t>
      </w:r>
    </w:p>
    <w:p>
      <w:pPr>
        <w:spacing w:after="0" w:line="81" w:lineRule="exact"/>
        <w:rPr>
          <w:rFonts w:ascii="MS PGothic" w:cs="MS PGothic" w:eastAsia="MS PGothic" w:hAnsi="MS PGothic"/>
          <w:sz w:val="16"/>
          <w:szCs w:val="16"/>
          <w:color w:val="0061AF"/>
        </w:rPr>
      </w:pPr>
    </w:p>
    <w:p>
      <w:pPr>
        <w:jc w:val="both"/>
        <w:ind w:left="360" w:right="140" w:hanging="232"/>
        <w:spacing w:after="0" w:line="249" w:lineRule="auto"/>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Anti-Hedging Policy. </w:t>
      </w:r>
      <w:r>
        <w:rPr>
          <w:rFonts w:ascii="Arial" w:cs="Arial" w:eastAsia="Arial" w:hAnsi="Arial"/>
          <w:sz w:val="16"/>
          <w:szCs w:val="16"/>
          <w:color w:val="000000"/>
        </w:rPr>
        <w:t>As part of our insider trading policy, we have a policy prohibiting all of our officers and directors from hedging</w:t>
      </w:r>
      <w:r>
        <w:rPr>
          <w:rFonts w:ascii="Arial" w:cs="Arial" w:eastAsia="Arial" w:hAnsi="Arial"/>
          <w:sz w:val="16"/>
          <w:szCs w:val="16"/>
          <w:b w:val="1"/>
          <w:bCs w:val="1"/>
          <w:color w:val="0061AF"/>
        </w:rPr>
        <w:t xml:space="preserve"> </w:t>
      </w:r>
      <w:r>
        <w:rPr>
          <w:rFonts w:ascii="Arial" w:cs="Arial" w:eastAsia="Arial" w:hAnsi="Arial"/>
          <w:sz w:val="16"/>
          <w:szCs w:val="16"/>
          <w:color w:val="000000"/>
        </w:rPr>
        <w:t>the risk of stock ownership by purchasing, selling or writing options on CenterPoint Energy securities or engaging in transactions in other third-party derivative securities with respect to CenterPoint Energy stock.</w:t>
      </w:r>
    </w:p>
    <w:p>
      <w:pPr>
        <w:spacing w:after="0" w:line="81" w:lineRule="exact"/>
        <w:rPr>
          <w:rFonts w:ascii="MS PGothic" w:cs="MS PGothic" w:eastAsia="MS PGothic" w:hAnsi="MS PGothic"/>
          <w:sz w:val="16"/>
          <w:szCs w:val="16"/>
          <w:color w:val="0061AF"/>
        </w:rPr>
      </w:pPr>
    </w:p>
    <w:p>
      <w:pPr>
        <w:ind w:left="360" w:hanging="232"/>
        <w:spacing w:after="0"/>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100% Independent Compensation Committee. </w:t>
      </w:r>
      <w:r>
        <w:rPr>
          <w:rFonts w:ascii="Arial" w:cs="Arial" w:eastAsia="Arial" w:hAnsi="Arial"/>
          <w:sz w:val="16"/>
          <w:szCs w:val="16"/>
          <w:color w:val="000000"/>
        </w:rPr>
        <w:t>Our Compensation Committee consists entirely of independent directors.</w:t>
      </w:r>
    </w:p>
    <w:p>
      <w:pPr>
        <w:spacing w:after="0" w:line="113" w:lineRule="exact"/>
        <w:rPr>
          <w:rFonts w:ascii="MS PGothic" w:cs="MS PGothic" w:eastAsia="MS PGothic" w:hAnsi="MS PGothic"/>
          <w:sz w:val="16"/>
          <w:szCs w:val="16"/>
          <w:color w:val="0061AF"/>
        </w:rPr>
      </w:pPr>
    </w:p>
    <w:p>
      <w:pPr>
        <w:ind w:left="360" w:right="140" w:hanging="232"/>
        <w:spacing w:after="0" w:line="266" w:lineRule="auto"/>
        <w:tabs>
          <w:tab w:leader="none" w:pos="360" w:val="left"/>
        </w:tabs>
        <w:numPr>
          <w:ilvl w:val="0"/>
          <w:numId w:val="40"/>
        </w:numPr>
        <w:rPr>
          <w:rFonts w:ascii="MS PGothic" w:cs="MS PGothic" w:eastAsia="MS PGothic" w:hAnsi="MS PGothic"/>
          <w:sz w:val="16"/>
          <w:szCs w:val="16"/>
          <w:color w:val="0061AF"/>
        </w:rPr>
      </w:pPr>
      <w:r>
        <w:rPr>
          <w:rFonts w:ascii="Arial" w:cs="Arial" w:eastAsia="Arial" w:hAnsi="Arial"/>
          <w:sz w:val="16"/>
          <w:szCs w:val="16"/>
          <w:b w:val="1"/>
          <w:bCs w:val="1"/>
          <w:color w:val="0061AF"/>
        </w:rPr>
        <w:t xml:space="preserve">Independent Compensation Consultant. </w:t>
      </w:r>
      <w:r>
        <w:rPr>
          <w:rFonts w:ascii="Arial" w:cs="Arial" w:eastAsia="Arial" w:hAnsi="Arial"/>
          <w:sz w:val="16"/>
          <w:szCs w:val="16"/>
          <w:color w:val="000000"/>
        </w:rPr>
        <w:t>The Compensation Committee retains an independent consultant to provide advice on</w:t>
      </w:r>
      <w:r>
        <w:rPr>
          <w:rFonts w:ascii="Arial" w:cs="Arial" w:eastAsia="Arial" w:hAnsi="Arial"/>
          <w:sz w:val="16"/>
          <w:szCs w:val="16"/>
          <w:b w:val="1"/>
          <w:bCs w:val="1"/>
          <w:color w:val="0061AF"/>
        </w:rPr>
        <w:t xml:space="preserve"> </w:t>
      </w:r>
      <w:r>
        <w:rPr>
          <w:rFonts w:ascii="Arial" w:cs="Arial" w:eastAsia="Arial" w:hAnsi="Arial"/>
          <w:sz w:val="16"/>
          <w:szCs w:val="16"/>
          <w:color w:val="000000"/>
        </w:rPr>
        <w:t>executive compensation matters and compensation for our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-2889885</wp:posOffset>
            </wp:positionV>
            <wp:extent cx="6166485" cy="415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66485" cy="4159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-2058670</wp:posOffset>
            </wp:positionV>
            <wp:extent cx="6166485" cy="1892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66485" cy="1892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-1567815</wp:posOffset>
            </wp:positionV>
            <wp:extent cx="6166485" cy="3022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66485" cy="302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-849630</wp:posOffset>
            </wp:positionV>
            <wp:extent cx="6166485" cy="415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66485" cy="4159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-245110</wp:posOffset>
            </wp:positionV>
            <wp:extent cx="6166485" cy="3022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66485" cy="30226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Design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Key Compensation Components and Purpose</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strive to provide compensation that is competitive, both in total and in individual components, with the companies we believe are our peers and likely competitors for executive talent.</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also motivate our executives to achieve individual and business performance objectives by varying their compensation in accordance with our overall success. Actual compensation in a given year will vary based on our performance, and to a lesser extent, on qualitative appraisals of individual performance. We expect our senior executive officers to have a higher percentage of their total compensation at risk to align each of our senior executive officers with the short-term and long-term performance objectives of CenterPoint Energy and with the interests of our shareholders.</w:t>
      </w:r>
    </w:p>
    <w:p>
      <w:pPr>
        <w:spacing w:after="0" w:line="180" w:lineRule="exact"/>
        <w:rPr>
          <w:sz w:val="20"/>
          <w:szCs w:val="20"/>
          <w:color w:val="auto"/>
        </w:rPr>
      </w:pPr>
    </w:p>
    <w:p>
      <w:pPr>
        <w:ind w:left="400" w:hanging="391"/>
        <w:spacing w:after="0"/>
        <w:tabs>
          <w:tab w:leader="none" w:pos="400" w:val="left"/>
        </w:tabs>
        <w:numPr>
          <w:ilvl w:val="0"/>
          <w:numId w:val="41"/>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44" w:name="page45"/>
    <w:bookmarkEnd w:id="44"/>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2"/>
          <w:szCs w:val="12"/>
          <w:i w:val="1"/>
          <w:iCs w:val="1"/>
          <w:color w:val="auto"/>
        </w:rPr>
        <w:t>Compensation Discussion and Analysis (continued)</w:t>
      </w:r>
    </w:p>
    <w:p>
      <w:pPr>
        <w:spacing w:after="0" w:line="226"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key components of our 2020 compensation programs, including certain changes beginning in 2021, and their purpose in advancing our strategic objectives are outlined below.</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780" w:type="dxa"/>
            <w:vAlign w:val="bottom"/>
            <w:tcBorders>
              <w:left w:val="single" w:sz="8" w:color="0061AF"/>
              <w:right w:val="single" w:sz="8" w:color="0061AF"/>
            </w:tcBorders>
            <w:shd w:val="clear" w:color="auto" w:fill="0061AF"/>
          </w:tcPr>
          <w:p>
            <w:pPr>
              <w:spacing w:after="0"/>
              <w:rPr>
                <w:sz w:val="14"/>
                <w:szCs w:val="14"/>
                <w:color w:val="auto"/>
              </w:rPr>
            </w:pPr>
          </w:p>
        </w:tc>
        <w:tc>
          <w:tcPr>
            <w:tcW w:w="1060" w:type="dxa"/>
            <w:vAlign w:val="bottom"/>
            <w:tcBorders>
              <w:right w:val="single" w:sz="8" w:color="0061AF"/>
            </w:tcBorders>
            <w:shd w:val="clear" w:color="auto" w:fill="0061AF"/>
          </w:tcPr>
          <w:p>
            <w:pPr>
              <w:jc w:val="center"/>
              <w:spacing w:after="0"/>
              <w:rPr>
                <w:sz w:val="20"/>
                <w:szCs w:val="20"/>
                <w:color w:val="auto"/>
              </w:rPr>
            </w:pPr>
            <w:r>
              <w:rPr>
                <w:rFonts w:ascii="Arial" w:cs="Arial" w:eastAsia="Arial" w:hAnsi="Arial"/>
                <w:sz w:val="15"/>
                <w:szCs w:val="15"/>
                <w:b w:val="1"/>
                <w:bCs w:val="1"/>
                <w:color w:val="FFFFFF"/>
              </w:rPr>
              <w:t>ELEMENT</w:t>
            </w:r>
          </w:p>
        </w:tc>
        <w:tc>
          <w:tcPr>
            <w:tcW w:w="1660" w:type="dxa"/>
            <w:vAlign w:val="bottom"/>
            <w:tcBorders>
              <w:right w:val="single" w:sz="8" w:color="0061AF"/>
            </w:tcBorders>
            <w:shd w:val="clear" w:color="auto" w:fill="0061AF"/>
          </w:tcPr>
          <w:p>
            <w:pPr>
              <w:jc w:val="center"/>
              <w:spacing w:after="0"/>
              <w:rPr>
                <w:sz w:val="20"/>
                <w:szCs w:val="20"/>
                <w:color w:val="auto"/>
              </w:rPr>
            </w:pPr>
            <w:r>
              <w:rPr>
                <w:rFonts w:ascii="Arial" w:cs="Arial" w:eastAsia="Arial" w:hAnsi="Arial"/>
                <w:sz w:val="15"/>
                <w:szCs w:val="15"/>
                <w:b w:val="1"/>
                <w:bCs w:val="1"/>
                <w:color w:val="FFFFFF"/>
                <w:w w:val="97"/>
              </w:rPr>
              <w:t>FORM OF AWARD</w:t>
            </w:r>
          </w:p>
        </w:tc>
        <w:tc>
          <w:tcPr>
            <w:tcW w:w="1640" w:type="dxa"/>
            <w:vAlign w:val="bottom"/>
            <w:tcBorders>
              <w:right w:val="single" w:sz="8" w:color="0061AF"/>
            </w:tcBorders>
            <w:shd w:val="clear" w:color="auto" w:fill="0061AF"/>
          </w:tcPr>
          <w:p>
            <w:pPr>
              <w:jc w:val="center"/>
              <w:spacing w:after="0"/>
              <w:rPr>
                <w:sz w:val="20"/>
                <w:szCs w:val="20"/>
                <w:color w:val="auto"/>
              </w:rPr>
            </w:pPr>
            <w:r>
              <w:rPr>
                <w:rFonts w:ascii="Arial" w:cs="Arial" w:eastAsia="Arial" w:hAnsi="Arial"/>
                <w:sz w:val="15"/>
                <w:szCs w:val="15"/>
                <w:b w:val="1"/>
                <w:bCs w:val="1"/>
                <w:color w:val="FFFFFF"/>
              </w:rPr>
              <w:t>PERIOD</w:t>
            </w:r>
          </w:p>
        </w:tc>
        <w:tc>
          <w:tcPr>
            <w:tcW w:w="4580" w:type="dxa"/>
            <w:vAlign w:val="bottom"/>
            <w:shd w:val="clear" w:color="auto" w:fill="0061AF"/>
          </w:tcPr>
          <w:p>
            <w:pPr>
              <w:ind w:left="1760"/>
              <w:spacing w:after="0"/>
              <w:rPr>
                <w:sz w:val="20"/>
                <w:szCs w:val="20"/>
                <w:color w:val="auto"/>
              </w:rPr>
            </w:pPr>
            <w:r>
              <w:rPr>
                <w:rFonts w:ascii="Arial" w:cs="Arial" w:eastAsia="Arial" w:hAnsi="Arial"/>
                <w:sz w:val="15"/>
                <w:szCs w:val="15"/>
                <w:b w:val="1"/>
                <w:bCs w:val="1"/>
                <w:color w:val="FFFFFF"/>
              </w:rPr>
              <w:t>PURPOSE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 w:type="dxa"/>
            <w:vAlign w:val="bottom"/>
            <w:tcBorders>
              <w:left w:val="single" w:sz="8" w:color="0061AF"/>
              <w:right w:val="single" w:sz="8" w:color="0061AF"/>
            </w:tcBorders>
            <w:vMerge w:val="restart"/>
          </w:tcPr>
          <w:p>
            <w:pPr>
              <w:ind w:left="260"/>
              <w:spacing w:after="0"/>
              <w:rPr>
                <w:sz w:val="20"/>
                <w:szCs w:val="20"/>
                <w:color w:val="auto"/>
              </w:rPr>
            </w:pPr>
            <w:r>
              <w:rPr>
                <w:rFonts w:ascii="Arial" w:cs="Arial" w:eastAsia="Arial" w:hAnsi="Arial"/>
                <w:sz w:val="15"/>
                <w:szCs w:val="15"/>
                <w:b w:val="1"/>
                <w:bCs w:val="1"/>
                <w:i w:val="1"/>
                <w:iCs w:val="1"/>
                <w:color w:val="auto"/>
              </w:rPr>
              <w:t>Fixed</w:t>
            </w:r>
          </w:p>
        </w:tc>
        <w:tc>
          <w:tcPr>
            <w:tcW w:w="1060" w:type="dxa"/>
            <w:vAlign w:val="bottom"/>
            <w:tcBorders>
              <w:right w:val="single" w:sz="8" w:color="0061AF"/>
            </w:tcBorders>
            <w:vMerge w:val="restart"/>
          </w:tcPr>
          <w:p>
            <w:pPr>
              <w:ind w:left="80"/>
              <w:spacing w:after="0"/>
              <w:rPr>
                <w:sz w:val="20"/>
                <w:szCs w:val="20"/>
                <w:color w:val="auto"/>
              </w:rPr>
            </w:pPr>
            <w:r>
              <w:rPr>
                <w:rFonts w:ascii="Arial" w:cs="Arial" w:eastAsia="Arial" w:hAnsi="Arial"/>
                <w:sz w:val="15"/>
                <w:szCs w:val="15"/>
                <w:b w:val="1"/>
                <w:bCs w:val="1"/>
                <w:color w:val="auto"/>
              </w:rPr>
              <w:t>Base Salary</w:t>
            </w:r>
          </w:p>
        </w:tc>
        <w:tc>
          <w:tcPr>
            <w:tcW w:w="166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i w:val="1"/>
                <w:iCs w:val="1"/>
                <w:color w:val="auto"/>
                <w:w w:val="98"/>
              </w:rPr>
              <w:t>Cash</w:t>
            </w:r>
          </w:p>
        </w:tc>
        <w:tc>
          <w:tcPr>
            <w:tcW w:w="16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color w:val="auto"/>
              </w:rPr>
              <w:t>One year</w:t>
            </w:r>
          </w:p>
        </w:tc>
        <w:tc>
          <w:tcPr>
            <w:tcW w:w="4580" w:type="dxa"/>
            <w:vAlign w:val="bottom"/>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color w:val="auto"/>
              </w:rPr>
              <w:t xml:space="preserve"> Fixed, competitive level of compensation based on scope</w:t>
            </w:r>
          </w:p>
        </w:tc>
        <w:tc>
          <w:tcPr>
            <w:tcW w:w="20" w:type="dxa"/>
            <w:vAlign w:val="bottom"/>
            <w:shd w:val="clear" w:color="auto" w:fill="0061A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80" w:type="dxa"/>
            <w:vAlign w:val="bottom"/>
            <w:tcBorders>
              <w:left w:val="single" w:sz="8" w:color="0061AF"/>
              <w:right w:val="single" w:sz="8" w:color="0061AF"/>
            </w:tcBorders>
            <w:vMerge w:val="continue"/>
          </w:tcPr>
          <w:p>
            <w:pPr>
              <w:spacing w:after="0"/>
              <w:rPr>
                <w:sz w:val="14"/>
                <w:szCs w:val="14"/>
                <w:color w:val="auto"/>
              </w:rPr>
            </w:pPr>
          </w:p>
        </w:tc>
        <w:tc>
          <w:tcPr>
            <w:tcW w:w="1060" w:type="dxa"/>
            <w:vAlign w:val="bottom"/>
            <w:tcBorders>
              <w:right w:val="single" w:sz="8" w:color="0061AF"/>
            </w:tcBorders>
            <w:vMerge w:val="continue"/>
          </w:tcPr>
          <w:p>
            <w:pPr>
              <w:spacing w:after="0"/>
              <w:rPr>
                <w:sz w:val="14"/>
                <w:szCs w:val="14"/>
                <w:color w:val="auto"/>
              </w:rPr>
            </w:pPr>
          </w:p>
        </w:tc>
        <w:tc>
          <w:tcPr>
            <w:tcW w:w="1660" w:type="dxa"/>
            <w:vAlign w:val="bottom"/>
            <w:tcBorders>
              <w:right w:val="single" w:sz="8" w:color="0061AF"/>
            </w:tcBorders>
            <w:vMerge w:val="continue"/>
          </w:tcPr>
          <w:p>
            <w:pPr>
              <w:spacing w:after="0"/>
              <w:rPr>
                <w:sz w:val="14"/>
                <w:szCs w:val="14"/>
                <w:color w:val="auto"/>
              </w:rPr>
            </w:pPr>
          </w:p>
        </w:tc>
        <w:tc>
          <w:tcPr>
            <w:tcW w:w="1640" w:type="dxa"/>
            <w:vAlign w:val="bottom"/>
            <w:tcBorders>
              <w:right w:val="single" w:sz="8" w:color="0061AF"/>
            </w:tcBorders>
            <w:vMerge w:val="continue"/>
          </w:tcPr>
          <w:p>
            <w:pPr>
              <w:spacing w:after="0"/>
              <w:rPr>
                <w:sz w:val="14"/>
                <w:szCs w:val="14"/>
                <w:color w:val="auto"/>
              </w:rPr>
            </w:pPr>
          </w:p>
        </w:tc>
        <w:tc>
          <w:tcPr>
            <w:tcW w:w="4580" w:type="dxa"/>
            <w:vAlign w:val="bottom"/>
          </w:tcPr>
          <w:p>
            <w:pPr>
              <w:ind w:left="240"/>
              <w:spacing w:after="0" w:line="167" w:lineRule="exact"/>
              <w:rPr>
                <w:sz w:val="20"/>
                <w:szCs w:val="20"/>
                <w:color w:val="auto"/>
              </w:rPr>
            </w:pPr>
            <w:r>
              <w:rPr>
                <w:rFonts w:ascii="Arial" w:cs="Arial" w:eastAsia="Arial" w:hAnsi="Arial"/>
                <w:sz w:val="15"/>
                <w:szCs w:val="15"/>
                <w:color w:val="auto"/>
              </w:rPr>
              <w:t>and  complexity  of  role,  individual  experience  and</w:t>
            </w:r>
          </w:p>
        </w:tc>
        <w:tc>
          <w:tcPr>
            <w:tcW w:w="2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0" w:type="dxa"/>
            <w:vAlign w:val="bottom"/>
            <w:tcBorders>
              <w:left w:val="single" w:sz="8" w:color="0061AF"/>
              <w:bottom w:val="single" w:sz="8" w:color="0061AF"/>
              <w:right w:val="single" w:sz="8" w:color="0061AF"/>
            </w:tcBorders>
          </w:tcPr>
          <w:p>
            <w:pPr>
              <w:spacing w:after="0"/>
              <w:rPr>
                <w:sz w:val="14"/>
                <w:szCs w:val="14"/>
                <w:color w:val="auto"/>
              </w:rPr>
            </w:pPr>
          </w:p>
        </w:tc>
        <w:tc>
          <w:tcPr>
            <w:tcW w:w="1060" w:type="dxa"/>
            <w:vAlign w:val="bottom"/>
            <w:tcBorders>
              <w:bottom w:val="single" w:sz="8" w:color="0061AF"/>
              <w:right w:val="single" w:sz="8" w:color="0061AF"/>
            </w:tcBorders>
          </w:tcPr>
          <w:p>
            <w:pPr>
              <w:spacing w:after="0"/>
              <w:rPr>
                <w:sz w:val="14"/>
                <w:szCs w:val="14"/>
                <w:color w:val="auto"/>
              </w:rPr>
            </w:pPr>
          </w:p>
        </w:tc>
        <w:tc>
          <w:tcPr>
            <w:tcW w:w="1660" w:type="dxa"/>
            <w:vAlign w:val="bottom"/>
            <w:tcBorders>
              <w:bottom w:val="single" w:sz="8" w:color="0061AF"/>
              <w:right w:val="single" w:sz="8" w:color="0061AF"/>
            </w:tcBorders>
          </w:tcPr>
          <w:p>
            <w:pPr>
              <w:spacing w:after="0"/>
              <w:rPr>
                <w:sz w:val="14"/>
                <w:szCs w:val="14"/>
                <w:color w:val="auto"/>
              </w:rPr>
            </w:pPr>
          </w:p>
        </w:tc>
        <w:tc>
          <w:tcPr>
            <w:tcW w:w="1640" w:type="dxa"/>
            <w:vAlign w:val="bottom"/>
            <w:tcBorders>
              <w:bottom w:val="single" w:sz="8" w:color="0061AF"/>
              <w:right w:val="single" w:sz="8" w:color="0061AF"/>
            </w:tcBorders>
          </w:tcPr>
          <w:p>
            <w:pPr>
              <w:spacing w:after="0"/>
              <w:rPr>
                <w:sz w:val="14"/>
                <w:szCs w:val="14"/>
                <w:color w:val="auto"/>
              </w:rPr>
            </w:pPr>
          </w:p>
        </w:tc>
        <w:tc>
          <w:tcPr>
            <w:tcW w:w="4580" w:type="dxa"/>
            <w:vAlign w:val="bottom"/>
            <w:tcBorders>
              <w:bottom w:val="single" w:sz="8" w:color="0061AF"/>
            </w:tcBorders>
          </w:tcPr>
          <w:p>
            <w:pPr>
              <w:ind w:left="240"/>
              <w:spacing w:after="0"/>
              <w:rPr>
                <w:sz w:val="20"/>
                <w:szCs w:val="20"/>
                <w:color w:val="auto"/>
              </w:rPr>
            </w:pPr>
            <w:r>
              <w:rPr>
                <w:rFonts w:ascii="Arial" w:cs="Arial" w:eastAsia="Arial" w:hAnsi="Arial"/>
                <w:sz w:val="15"/>
                <w:szCs w:val="15"/>
                <w:color w:val="auto"/>
              </w:rPr>
              <w:t>performance to attract and retain top talent</w:t>
            </w:r>
          </w:p>
        </w:tc>
        <w:tc>
          <w:tcPr>
            <w:tcW w:w="20" w:type="dxa"/>
            <w:vAlign w:val="bottom"/>
            <w:tcBorders>
              <w:bottom w:val="single" w:sz="8" w:color="0061AF"/>
            </w:tcBorders>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0" w:type="dxa"/>
            <w:vAlign w:val="bottom"/>
            <w:tcBorders>
              <w:left w:val="single" w:sz="8" w:color="0061AF"/>
              <w:right w:val="single" w:sz="8" w:color="0061AF"/>
            </w:tcBorders>
            <w:shd w:val="clear" w:color="auto" w:fill="D8E7F3"/>
          </w:tcPr>
          <w:p>
            <w:pPr>
              <w:spacing w:after="0"/>
              <w:rPr>
                <w:sz w:val="18"/>
                <w:szCs w:val="18"/>
                <w:color w:val="auto"/>
              </w:rPr>
            </w:pPr>
          </w:p>
        </w:tc>
        <w:tc>
          <w:tcPr>
            <w:tcW w:w="1060" w:type="dxa"/>
            <w:vAlign w:val="bottom"/>
            <w:tcBorders>
              <w:right w:val="single" w:sz="8" w:color="0061AF"/>
            </w:tcBorders>
          </w:tcPr>
          <w:p>
            <w:pPr>
              <w:spacing w:after="0"/>
              <w:rPr>
                <w:sz w:val="18"/>
                <w:szCs w:val="18"/>
                <w:color w:val="auto"/>
              </w:rPr>
            </w:pPr>
          </w:p>
        </w:tc>
        <w:tc>
          <w:tcPr>
            <w:tcW w:w="1660" w:type="dxa"/>
            <w:vAlign w:val="bottom"/>
            <w:tcBorders>
              <w:right w:val="single" w:sz="8" w:color="0061AF"/>
            </w:tcBorders>
          </w:tcPr>
          <w:p>
            <w:pPr>
              <w:spacing w:after="0"/>
              <w:rPr>
                <w:sz w:val="18"/>
                <w:szCs w:val="18"/>
                <w:color w:val="auto"/>
              </w:rPr>
            </w:pPr>
          </w:p>
        </w:tc>
        <w:tc>
          <w:tcPr>
            <w:tcW w:w="1640" w:type="dxa"/>
            <w:vAlign w:val="bottom"/>
            <w:tcBorders>
              <w:right w:val="single" w:sz="8" w:color="0061AF"/>
            </w:tcBorders>
          </w:tcPr>
          <w:p>
            <w:pPr>
              <w:spacing w:after="0"/>
              <w:rPr>
                <w:sz w:val="18"/>
                <w:szCs w:val="18"/>
                <w:color w:val="auto"/>
              </w:rPr>
            </w:pPr>
          </w:p>
        </w:tc>
        <w:tc>
          <w:tcPr>
            <w:tcW w:w="4580" w:type="dxa"/>
            <w:vAlign w:val="bottom"/>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color w:val="auto"/>
              </w:rPr>
              <w:t xml:space="preserve"> Rewards delivery of near-term objectives aligned with the</w:t>
            </w:r>
          </w:p>
        </w:tc>
        <w:tc>
          <w:tcPr>
            <w:tcW w:w="20" w:type="dxa"/>
            <w:vAlign w:val="bottom"/>
            <w:shd w:val="clear" w:color="auto" w:fill="0061A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80" w:type="dxa"/>
            <w:vAlign w:val="bottom"/>
            <w:tcBorders>
              <w:left w:val="single" w:sz="8" w:color="0061AF"/>
              <w:right w:val="single" w:sz="8" w:color="0061AF"/>
            </w:tcBorders>
            <w:shd w:val="clear" w:color="auto" w:fill="D8E7F3"/>
          </w:tcPr>
          <w:p>
            <w:pPr>
              <w:spacing w:after="0"/>
              <w:rPr>
                <w:sz w:val="12"/>
                <w:szCs w:val="12"/>
                <w:color w:val="auto"/>
              </w:rPr>
            </w:pPr>
          </w:p>
        </w:tc>
        <w:tc>
          <w:tcPr>
            <w:tcW w:w="1060" w:type="dxa"/>
            <w:vAlign w:val="bottom"/>
            <w:tcBorders>
              <w:right w:val="single" w:sz="8" w:color="0061AF"/>
            </w:tcBorders>
          </w:tcPr>
          <w:p>
            <w:pPr>
              <w:spacing w:after="0"/>
              <w:rPr>
                <w:sz w:val="12"/>
                <w:szCs w:val="12"/>
                <w:color w:val="auto"/>
              </w:rPr>
            </w:pPr>
          </w:p>
        </w:tc>
        <w:tc>
          <w:tcPr>
            <w:tcW w:w="1660" w:type="dxa"/>
            <w:vAlign w:val="bottom"/>
            <w:tcBorders>
              <w:right w:val="single" w:sz="8" w:color="0061AF"/>
            </w:tcBorders>
          </w:tcPr>
          <w:p>
            <w:pPr>
              <w:spacing w:after="0"/>
              <w:rPr>
                <w:sz w:val="12"/>
                <w:szCs w:val="12"/>
                <w:color w:val="auto"/>
              </w:rPr>
            </w:pPr>
          </w:p>
        </w:tc>
        <w:tc>
          <w:tcPr>
            <w:tcW w:w="1640" w:type="dxa"/>
            <w:vAlign w:val="bottom"/>
            <w:tcBorders>
              <w:right w:val="single" w:sz="8" w:color="0061AF"/>
            </w:tcBorders>
          </w:tcPr>
          <w:p>
            <w:pPr>
              <w:spacing w:after="0"/>
              <w:rPr>
                <w:sz w:val="12"/>
                <w:szCs w:val="12"/>
                <w:color w:val="auto"/>
              </w:rPr>
            </w:pPr>
          </w:p>
        </w:tc>
        <w:tc>
          <w:tcPr>
            <w:tcW w:w="4580" w:type="dxa"/>
            <w:vAlign w:val="bottom"/>
          </w:tcPr>
          <w:p>
            <w:pPr>
              <w:ind w:left="240"/>
              <w:spacing w:after="0" w:line="139" w:lineRule="exact"/>
              <w:rPr>
                <w:sz w:val="20"/>
                <w:szCs w:val="20"/>
                <w:color w:val="auto"/>
              </w:rPr>
            </w:pPr>
            <w:r>
              <w:rPr>
                <w:rFonts w:ascii="Arial" w:cs="Arial" w:eastAsia="Arial" w:hAnsi="Arial"/>
                <w:sz w:val="15"/>
                <w:szCs w:val="15"/>
                <w:color w:val="auto"/>
              </w:rPr>
              <w:t>Company’s long-term business strategy</w:t>
            </w:r>
          </w:p>
        </w:tc>
        <w:tc>
          <w:tcPr>
            <w:tcW w:w="2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780" w:type="dxa"/>
            <w:vAlign w:val="bottom"/>
            <w:tcBorders>
              <w:left w:val="single" w:sz="8" w:color="0061AF"/>
              <w:right w:val="single" w:sz="8" w:color="0061AF"/>
            </w:tcBorders>
            <w:shd w:val="clear" w:color="auto" w:fill="D8E7F3"/>
          </w:tcPr>
          <w:p>
            <w:pPr>
              <w:spacing w:after="0"/>
              <w:rPr>
                <w:sz w:val="18"/>
                <w:szCs w:val="18"/>
                <w:color w:val="auto"/>
              </w:rPr>
            </w:pPr>
          </w:p>
        </w:tc>
        <w:tc>
          <w:tcPr>
            <w:tcW w:w="106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color w:val="auto"/>
                <w:w w:val="98"/>
              </w:rPr>
              <w:t>Short-Term</w:t>
            </w:r>
          </w:p>
        </w:tc>
        <w:tc>
          <w:tcPr>
            <w:tcW w:w="1660" w:type="dxa"/>
            <w:vAlign w:val="bottom"/>
            <w:tcBorders>
              <w:right w:val="single" w:sz="8" w:color="0061AF"/>
            </w:tcBorders>
          </w:tcPr>
          <w:p>
            <w:pPr>
              <w:spacing w:after="0"/>
              <w:rPr>
                <w:sz w:val="18"/>
                <w:szCs w:val="18"/>
                <w:color w:val="auto"/>
              </w:rPr>
            </w:pPr>
          </w:p>
        </w:tc>
        <w:tc>
          <w:tcPr>
            <w:tcW w:w="1640" w:type="dxa"/>
            <w:vAlign w:val="bottom"/>
            <w:tcBorders>
              <w:right w:val="single" w:sz="8" w:color="0061AF"/>
            </w:tcBorders>
          </w:tcPr>
          <w:p>
            <w:pPr>
              <w:spacing w:after="0"/>
              <w:rPr>
                <w:sz w:val="18"/>
                <w:szCs w:val="18"/>
                <w:color w:val="auto"/>
              </w:rPr>
            </w:pPr>
          </w:p>
        </w:tc>
        <w:tc>
          <w:tcPr>
            <w:tcW w:w="4580" w:type="dxa"/>
            <w:vAlign w:val="bottom"/>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color w:val="auto"/>
              </w:rPr>
              <w:t xml:space="preserve"> Considers individual performance and contributions to</w:t>
            </w:r>
          </w:p>
        </w:tc>
        <w:tc>
          <w:tcPr>
            <w:tcW w:w="20" w:type="dxa"/>
            <w:vAlign w:val="bottom"/>
            <w:shd w:val="clear" w:color="auto" w:fill="0061A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780" w:type="dxa"/>
            <w:vAlign w:val="bottom"/>
            <w:tcBorders>
              <w:left w:val="single" w:sz="8" w:color="0061AF"/>
              <w:right w:val="single" w:sz="8" w:color="0061AF"/>
            </w:tcBorders>
            <w:shd w:val="clear" w:color="auto" w:fill="D8E7F3"/>
          </w:tcPr>
          <w:p>
            <w:pPr>
              <w:spacing w:after="0"/>
              <w:rPr>
                <w:sz w:val="11"/>
                <w:szCs w:val="11"/>
                <w:color w:val="auto"/>
              </w:rPr>
            </w:pPr>
          </w:p>
        </w:tc>
        <w:tc>
          <w:tcPr>
            <w:tcW w:w="1060" w:type="dxa"/>
            <w:vAlign w:val="bottom"/>
            <w:tcBorders>
              <w:right w:val="single" w:sz="8" w:color="0061AF"/>
            </w:tcBorders>
            <w:vMerge w:val="continue"/>
          </w:tcPr>
          <w:p>
            <w:pPr>
              <w:spacing w:after="0"/>
              <w:rPr>
                <w:sz w:val="11"/>
                <w:szCs w:val="11"/>
                <w:color w:val="auto"/>
              </w:rPr>
            </w:pPr>
          </w:p>
        </w:tc>
        <w:tc>
          <w:tcPr>
            <w:tcW w:w="166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i w:val="1"/>
                <w:iCs w:val="1"/>
                <w:color w:val="auto"/>
                <w:w w:val="98"/>
              </w:rPr>
              <w:t>Cash</w:t>
            </w:r>
          </w:p>
        </w:tc>
        <w:tc>
          <w:tcPr>
            <w:tcW w:w="16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color w:val="auto"/>
              </w:rPr>
              <w:t>One year</w:t>
            </w:r>
          </w:p>
        </w:tc>
        <w:tc>
          <w:tcPr>
            <w:tcW w:w="4580" w:type="dxa"/>
            <w:vAlign w:val="bottom"/>
          </w:tcPr>
          <w:p>
            <w:pPr>
              <w:ind w:left="240"/>
              <w:spacing w:after="0" w:line="137" w:lineRule="exact"/>
              <w:rPr>
                <w:sz w:val="20"/>
                <w:szCs w:val="20"/>
                <w:color w:val="auto"/>
              </w:rPr>
            </w:pPr>
            <w:r>
              <w:rPr>
                <w:rFonts w:ascii="Arial" w:cs="Arial" w:eastAsia="Arial" w:hAnsi="Arial"/>
                <w:sz w:val="15"/>
                <w:szCs w:val="15"/>
                <w:color w:val="auto"/>
              </w:rPr>
              <w:t>Company performance</w:t>
            </w:r>
          </w:p>
        </w:tc>
        <w:tc>
          <w:tcPr>
            <w:tcW w:w="20" w:type="dxa"/>
            <w:vAlign w:val="bottom"/>
            <w:shd w:val="clear" w:color="auto" w:fill="0061A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80" w:type="dxa"/>
            <w:vAlign w:val="bottom"/>
            <w:tcBorders>
              <w:left w:val="single" w:sz="8" w:color="0061AF"/>
              <w:right w:val="single" w:sz="8" w:color="0061AF"/>
            </w:tcBorders>
            <w:shd w:val="clear" w:color="auto" w:fill="D8E7F3"/>
          </w:tcPr>
          <w:p>
            <w:pPr>
              <w:spacing w:after="0"/>
              <w:rPr>
                <w:sz w:val="10"/>
                <w:szCs w:val="10"/>
                <w:color w:val="auto"/>
              </w:rPr>
            </w:pPr>
          </w:p>
        </w:tc>
        <w:tc>
          <w:tcPr>
            <w:tcW w:w="106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color w:val="auto"/>
              </w:rPr>
              <w:t>Incentive</w:t>
            </w:r>
          </w:p>
        </w:tc>
        <w:tc>
          <w:tcPr>
            <w:tcW w:w="1660" w:type="dxa"/>
            <w:vAlign w:val="bottom"/>
            <w:tcBorders>
              <w:right w:val="single" w:sz="8" w:color="0061AF"/>
            </w:tcBorders>
            <w:vMerge w:val="continue"/>
          </w:tcPr>
          <w:p>
            <w:pPr>
              <w:spacing w:after="0"/>
              <w:rPr>
                <w:sz w:val="10"/>
                <w:szCs w:val="10"/>
                <w:color w:val="auto"/>
              </w:rPr>
            </w:pPr>
          </w:p>
        </w:tc>
        <w:tc>
          <w:tcPr>
            <w:tcW w:w="1640" w:type="dxa"/>
            <w:vAlign w:val="bottom"/>
            <w:tcBorders>
              <w:right w:val="single" w:sz="8" w:color="0061AF"/>
            </w:tcBorders>
            <w:vMerge w:val="continue"/>
          </w:tcPr>
          <w:p>
            <w:pPr>
              <w:spacing w:after="0"/>
              <w:rPr>
                <w:sz w:val="10"/>
                <w:szCs w:val="10"/>
                <w:color w:val="auto"/>
              </w:rPr>
            </w:pPr>
          </w:p>
        </w:tc>
        <w:tc>
          <w:tcPr>
            <w:tcW w:w="4580" w:type="dxa"/>
            <w:vAlign w:val="bottom"/>
            <w:vMerge w:val="restart"/>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b w:val="1"/>
                <w:bCs w:val="1"/>
                <w:color w:val="0061AF"/>
              </w:rPr>
              <w:t xml:space="preserve"> NEW</w:t>
            </w:r>
            <w:r>
              <w:rPr>
                <w:rFonts w:ascii="Arial" w:cs="Arial" w:eastAsia="Arial" w:hAnsi="Arial"/>
                <w:sz w:val="15"/>
                <w:szCs w:val="15"/>
                <w:color w:val="000000"/>
              </w:rPr>
              <w:t>: Beginning in 2021, our short-term incentive funding</w:t>
            </w:r>
          </w:p>
        </w:tc>
        <w:tc>
          <w:tcPr>
            <w:tcW w:w="20" w:type="dxa"/>
            <w:vAlign w:val="bottom"/>
            <w:shd w:val="clear" w:color="auto" w:fill="0061A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80" w:type="dxa"/>
            <w:vAlign w:val="bottom"/>
            <w:tcBorders>
              <w:left w:val="single" w:sz="8" w:color="0061AF"/>
              <w:right w:val="single" w:sz="8" w:color="0061AF"/>
            </w:tcBorders>
            <w:shd w:val="clear" w:color="auto" w:fill="D8E7F3"/>
          </w:tcPr>
          <w:p>
            <w:pPr>
              <w:spacing w:after="0"/>
              <w:rPr>
                <w:sz w:val="9"/>
                <w:szCs w:val="9"/>
                <w:color w:val="auto"/>
              </w:rPr>
            </w:pPr>
          </w:p>
        </w:tc>
        <w:tc>
          <w:tcPr>
            <w:tcW w:w="1060" w:type="dxa"/>
            <w:vAlign w:val="bottom"/>
            <w:tcBorders>
              <w:right w:val="single" w:sz="8" w:color="0061AF"/>
            </w:tcBorders>
            <w:vMerge w:val="continue"/>
          </w:tcPr>
          <w:p>
            <w:pPr>
              <w:spacing w:after="0"/>
              <w:rPr>
                <w:sz w:val="9"/>
                <w:szCs w:val="9"/>
                <w:color w:val="auto"/>
              </w:rPr>
            </w:pPr>
          </w:p>
        </w:tc>
        <w:tc>
          <w:tcPr>
            <w:tcW w:w="1660" w:type="dxa"/>
            <w:vAlign w:val="bottom"/>
            <w:tcBorders>
              <w:right w:val="single" w:sz="8" w:color="0061AF"/>
            </w:tcBorders>
          </w:tcPr>
          <w:p>
            <w:pPr>
              <w:spacing w:after="0"/>
              <w:rPr>
                <w:sz w:val="9"/>
                <w:szCs w:val="9"/>
                <w:color w:val="auto"/>
              </w:rPr>
            </w:pPr>
          </w:p>
        </w:tc>
        <w:tc>
          <w:tcPr>
            <w:tcW w:w="1640" w:type="dxa"/>
            <w:vAlign w:val="bottom"/>
            <w:tcBorders>
              <w:right w:val="single" w:sz="8" w:color="0061AF"/>
            </w:tcBorders>
          </w:tcPr>
          <w:p>
            <w:pPr>
              <w:spacing w:after="0"/>
              <w:rPr>
                <w:sz w:val="9"/>
                <w:szCs w:val="9"/>
                <w:color w:val="auto"/>
              </w:rPr>
            </w:pPr>
          </w:p>
        </w:tc>
        <w:tc>
          <w:tcPr>
            <w:tcW w:w="4580" w:type="dxa"/>
            <w:vAlign w:val="bottom"/>
            <w:vMerge w:val="continue"/>
          </w:tcPr>
          <w:p>
            <w:pPr>
              <w:spacing w:after="0"/>
              <w:rPr>
                <w:sz w:val="9"/>
                <w:szCs w:val="9"/>
                <w:color w:val="auto"/>
              </w:rPr>
            </w:pPr>
          </w:p>
        </w:tc>
        <w:tc>
          <w:tcPr>
            <w:tcW w:w="20" w:type="dxa"/>
            <w:vAlign w:val="bottom"/>
            <w:shd w:val="clear" w:color="auto" w:fill="0061A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780" w:type="dxa"/>
            <w:vAlign w:val="bottom"/>
            <w:tcBorders>
              <w:left w:val="single" w:sz="8" w:color="0061AF"/>
              <w:right w:val="single" w:sz="8" w:color="0061AF"/>
            </w:tcBorders>
            <w:shd w:val="clear" w:color="auto" w:fill="D8E7F3"/>
          </w:tcPr>
          <w:p>
            <w:pPr>
              <w:spacing w:after="0"/>
              <w:rPr>
                <w:sz w:val="14"/>
                <w:szCs w:val="14"/>
                <w:color w:val="auto"/>
              </w:rPr>
            </w:pPr>
          </w:p>
        </w:tc>
        <w:tc>
          <w:tcPr>
            <w:tcW w:w="1060" w:type="dxa"/>
            <w:vAlign w:val="bottom"/>
            <w:tcBorders>
              <w:right w:val="single" w:sz="8" w:color="0061AF"/>
            </w:tcBorders>
          </w:tcPr>
          <w:p>
            <w:pPr>
              <w:spacing w:after="0"/>
              <w:rPr>
                <w:sz w:val="14"/>
                <w:szCs w:val="14"/>
                <w:color w:val="auto"/>
              </w:rPr>
            </w:pPr>
          </w:p>
        </w:tc>
        <w:tc>
          <w:tcPr>
            <w:tcW w:w="1660" w:type="dxa"/>
            <w:vAlign w:val="bottom"/>
            <w:tcBorders>
              <w:right w:val="single" w:sz="8" w:color="0061AF"/>
            </w:tcBorders>
          </w:tcPr>
          <w:p>
            <w:pPr>
              <w:spacing w:after="0"/>
              <w:rPr>
                <w:sz w:val="14"/>
                <w:szCs w:val="14"/>
                <w:color w:val="auto"/>
              </w:rPr>
            </w:pPr>
          </w:p>
        </w:tc>
        <w:tc>
          <w:tcPr>
            <w:tcW w:w="1640" w:type="dxa"/>
            <w:vAlign w:val="bottom"/>
            <w:tcBorders>
              <w:right w:val="single" w:sz="8" w:color="0061AF"/>
            </w:tcBorders>
          </w:tcPr>
          <w:p>
            <w:pPr>
              <w:spacing w:after="0"/>
              <w:rPr>
                <w:sz w:val="14"/>
                <w:szCs w:val="14"/>
                <w:color w:val="auto"/>
              </w:rPr>
            </w:pPr>
          </w:p>
        </w:tc>
        <w:tc>
          <w:tcPr>
            <w:tcW w:w="4580" w:type="dxa"/>
            <w:vAlign w:val="bottom"/>
          </w:tcPr>
          <w:p>
            <w:pPr>
              <w:ind w:left="240"/>
              <w:spacing w:after="0" w:line="167" w:lineRule="exact"/>
              <w:rPr>
                <w:sz w:val="20"/>
                <w:szCs w:val="20"/>
                <w:color w:val="auto"/>
              </w:rPr>
            </w:pPr>
            <w:r>
              <w:rPr>
                <w:rFonts w:ascii="Arial" w:cs="Arial" w:eastAsia="Arial" w:hAnsi="Arial"/>
                <w:sz w:val="15"/>
                <w:szCs w:val="15"/>
                <w:color w:val="auto"/>
              </w:rPr>
              <w:t>will be subject to a utility EPS funding trigger, with funding</w:t>
            </w:r>
          </w:p>
        </w:tc>
        <w:tc>
          <w:tcPr>
            <w:tcW w:w="2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0" w:type="dxa"/>
            <w:vAlign w:val="bottom"/>
            <w:tcBorders>
              <w:left w:val="single" w:sz="8" w:color="0061AF"/>
              <w:right w:val="single" w:sz="8" w:color="0061AF"/>
            </w:tcBorders>
            <w:shd w:val="clear" w:color="auto" w:fill="D8E7F3"/>
          </w:tcPr>
          <w:p>
            <w:pPr>
              <w:spacing w:after="0"/>
              <w:rPr>
                <w:sz w:val="14"/>
                <w:szCs w:val="14"/>
                <w:color w:val="auto"/>
              </w:rPr>
            </w:pPr>
          </w:p>
        </w:tc>
        <w:tc>
          <w:tcPr>
            <w:tcW w:w="1060" w:type="dxa"/>
            <w:vAlign w:val="bottom"/>
            <w:tcBorders>
              <w:right w:val="single" w:sz="8" w:color="0061AF"/>
            </w:tcBorders>
          </w:tcPr>
          <w:p>
            <w:pPr>
              <w:spacing w:after="0"/>
              <w:rPr>
                <w:sz w:val="14"/>
                <w:szCs w:val="14"/>
                <w:color w:val="auto"/>
              </w:rPr>
            </w:pPr>
          </w:p>
        </w:tc>
        <w:tc>
          <w:tcPr>
            <w:tcW w:w="1660" w:type="dxa"/>
            <w:vAlign w:val="bottom"/>
            <w:tcBorders>
              <w:right w:val="single" w:sz="8" w:color="0061AF"/>
            </w:tcBorders>
          </w:tcPr>
          <w:p>
            <w:pPr>
              <w:spacing w:after="0"/>
              <w:rPr>
                <w:sz w:val="14"/>
                <w:szCs w:val="14"/>
                <w:color w:val="auto"/>
              </w:rPr>
            </w:pPr>
          </w:p>
        </w:tc>
        <w:tc>
          <w:tcPr>
            <w:tcW w:w="1640" w:type="dxa"/>
            <w:vAlign w:val="bottom"/>
            <w:tcBorders>
              <w:right w:val="single" w:sz="8" w:color="0061AF"/>
            </w:tcBorders>
          </w:tcPr>
          <w:p>
            <w:pPr>
              <w:spacing w:after="0"/>
              <w:rPr>
                <w:sz w:val="14"/>
                <w:szCs w:val="14"/>
                <w:color w:val="auto"/>
              </w:rPr>
            </w:pPr>
          </w:p>
        </w:tc>
        <w:tc>
          <w:tcPr>
            <w:tcW w:w="4580" w:type="dxa"/>
            <w:vAlign w:val="bottom"/>
          </w:tcPr>
          <w:p>
            <w:pPr>
              <w:ind w:left="240"/>
              <w:spacing w:after="0" w:line="167" w:lineRule="exact"/>
              <w:rPr>
                <w:sz w:val="20"/>
                <w:szCs w:val="20"/>
                <w:color w:val="auto"/>
              </w:rPr>
            </w:pPr>
            <w:r>
              <w:rPr>
                <w:rFonts w:ascii="Arial" w:cs="Arial" w:eastAsia="Arial" w:hAnsi="Arial"/>
                <w:sz w:val="15"/>
                <w:szCs w:val="15"/>
                <w:color w:val="auto"/>
              </w:rPr>
              <w:t>for our named executive officers based solely on achieving</w:t>
            </w:r>
          </w:p>
        </w:tc>
        <w:tc>
          <w:tcPr>
            <w:tcW w:w="2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0061AF"/>
              <w:bottom w:val="single" w:sz="8" w:color="D8E7F3"/>
              <w:right w:val="single" w:sz="8" w:color="0061AF"/>
            </w:tcBorders>
            <w:shd w:val="clear" w:color="auto" w:fill="D8E7F3"/>
          </w:tcPr>
          <w:p>
            <w:pPr>
              <w:spacing w:after="0"/>
              <w:rPr>
                <w:sz w:val="15"/>
                <w:szCs w:val="15"/>
                <w:color w:val="auto"/>
              </w:rPr>
            </w:pPr>
          </w:p>
        </w:tc>
        <w:tc>
          <w:tcPr>
            <w:tcW w:w="1060" w:type="dxa"/>
            <w:vAlign w:val="bottom"/>
            <w:tcBorders>
              <w:bottom w:val="single" w:sz="8" w:color="0061AF"/>
              <w:right w:val="single" w:sz="8" w:color="0061AF"/>
            </w:tcBorders>
          </w:tcPr>
          <w:p>
            <w:pPr>
              <w:spacing w:after="0"/>
              <w:rPr>
                <w:sz w:val="15"/>
                <w:szCs w:val="15"/>
                <w:color w:val="auto"/>
              </w:rPr>
            </w:pPr>
          </w:p>
        </w:tc>
        <w:tc>
          <w:tcPr>
            <w:tcW w:w="1660" w:type="dxa"/>
            <w:vAlign w:val="bottom"/>
            <w:tcBorders>
              <w:bottom w:val="single" w:sz="8" w:color="0061AF"/>
              <w:right w:val="single" w:sz="8" w:color="0061AF"/>
            </w:tcBorders>
          </w:tcPr>
          <w:p>
            <w:pPr>
              <w:spacing w:after="0"/>
              <w:rPr>
                <w:sz w:val="15"/>
                <w:szCs w:val="15"/>
                <w:color w:val="auto"/>
              </w:rPr>
            </w:pPr>
          </w:p>
        </w:tc>
        <w:tc>
          <w:tcPr>
            <w:tcW w:w="1640" w:type="dxa"/>
            <w:vAlign w:val="bottom"/>
            <w:tcBorders>
              <w:bottom w:val="single" w:sz="8" w:color="0061AF"/>
              <w:right w:val="single" w:sz="8" w:color="0061AF"/>
            </w:tcBorders>
          </w:tcPr>
          <w:p>
            <w:pPr>
              <w:spacing w:after="0"/>
              <w:rPr>
                <w:sz w:val="15"/>
                <w:szCs w:val="15"/>
                <w:color w:val="auto"/>
              </w:rPr>
            </w:pPr>
          </w:p>
        </w:tc>
        <w:tc>
          <w:tcPr>
            <w:tcW w:w="4580" w:type="dxa"/>
            <w:vAlign w:val="bottom"/>
            <w:tcBorders>
              <w:bottom w:val="single" w:sz="8" w:color="0061AF"/>
            </w:tcBorders>
          </w:tcPr>
          <w:p>
            <w:pPr>
              <w:ind w:left="240"/>
              <w:spacing w:after="0"/>
              <w:rPr>
                <w:sz w:val="20"/>
                <w:szCs w:val="20"/>
                <w:color w:val="auto"/>
              </w:rPr>
            </w:pPr>
            <w:r>
              <w:rPr>
                <w:rFonts w:ascii="Arial" w:cs="Arial" w:eastAsia="Arial" w:hAnsi="Arial"/>
                <w:sz w:val="15"/>
                <w:szCs w:val="15"/>
                <w:color w:val="auto"/>
              </w:rPr>
              <w:t>a utility EPS goal</w:t>
            </w:r>
          </w:p>
        </w:tc>
        <w:tc>
          <w:tcPr>
            <w:tcW w:w="20" w:type="dxa"/>
            <w:vAlign w:val="bottom"/>
            <w:tcBorders>
              <w:bottom w:val="single" w:sz="8" w:color="0061AF"/>
            </w:tcBorders>
            <w:shd w:val="clear" w:color="auto" w:fill="0061A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80" w:type="dxa"/>
            <w:vAlign w:val="bottom"/>
            <w:tcBorders>
              <w:left w:val="single" w:sz="8" w:color="0061AF"/>
              <w:right w:val="single" w:sz="8" w:color="0061AF"/>
            </w:tcBorders>
            <w:shd w:val="clear" w:color="auto" w:fill="D8E7F3"/>
          </w:tcPr>
          <w:p>
            <w:pPr>
              <w:spacing w:after="0"/>
              <w:rPr>
                <w:sz w:val="13"/>
                <w:szCs w:val="13"/>
                <w:color w:val="auto"/>
              </w:rPr>
            </w:pPr>
          </w:p>
        </w:tc>
        <w:tc>
          <w:tcPr>
            <w:tcW w:w="1060" w:type="dxa"/>
            <w:vAlign w:val="bottom"/>
            <w:tcBorders>
              <w:right w:val="single" w:sz="8" w:color="0061AF"/>
            </w:tcBorders>
          </w:tcPr>
          <w:p>
            <w:pPr>
              <w:spacing w:after="0"/>
              <w:rPr>
                <w:sz w:val="13"/>
                <w:szCs w:val="13"/>
                <w:color w:val="auto"/>
              </w:rPr>
            </w:pPr>
          </w:p>
        </w:tc>
        <w:tc>
          <w:tcPr>
            <w:tcW w:w="1660" w:type="dxa"/>
            <w:vAlign w:val="bottom"/>
            <w:tcBorders>
              <w:right w:val="single" w:sz="8" w:color="0061AF"/>
            </w:tcBorders>
          </w:tcPr>
          <w:p>
            <w:pPr>
              <w:spacing w:after="0"/>
              <w:rPr>
                <w:sz w:val="13"/>
                <w:szCs w:val="13"/>
                <w:color w:val="auto"/>
              </w:rPr>
            </w:pPr>
          </w:p>
        </w:tc>
        <w:tc>
          <w:tcPr>
            <w:tcW w:w="1640" w:type="dxa"/>
            <w:vAlign w:val="bottom"/>
            <w:tcBorders>
              <w:right w:val="single" w:sz="8" w:color="0061AF"/>
            </w:tcBorders>
          </w:tcPr>
          <w:p>
            <w:pPr>
              <w:jc w:val="center"/>
              <w:ind w:left="5"/>
              <w:spacing w:after="0" w:line="161" w:lineRule="exact"/>
              <w:rPr>
                <w:sz w:val="20"/>
                <w:szCs w:val="20"/>
                <w:color w:val="auto"/>
              </w:rPr>
            </w:pPr>
            <w:r>
              <w:rPr>
                <w:rFonts w:ascii="Arial" w:cs="Arial" w:eastAsia="Arial" w:hAnsi="Arial"/>
                <w:sz w:val="15"/>
                <w:szCs w:val="15"/>
                <w:b w:val="1"/>
                <w:bCs w:val="1"/>
                <w:color w:val="auto"/>
              </w:rPr>
              <w:t>Three-year cliff</w:t>
            </w:r>
          </w:p>
        </w:tc>
        <w:tc>
          <w:tcPr>
            <w:tcW w:w="4580" w:type="dxa"/>
            <w:vAlign w:val="bottom"/>
          </w:tcPr>
          <w:p>
            <w:pPr>
              <w:ind w:left="100"/>
              <w:spacing w:after="0" w:line="161"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color w:val="auto"/>
              </w:rPr>
              <w:t xml:space="preserve"> Rewards creation of long-term value through cumulative</w:t>
            </w:r>
          </w:p>
        </w:tc>
        <w:tc>
          <w:tcPr>
            <w:tcW w:w="2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 w:type="dxa"/>
            <w:vAlign w:val="bottom"/>
            <w:tcBorders>
              <w:left w:val="single" w:sz="8" w:color="0061AF"/>
              <w:right w:val="single" w:sz="8" w:color="0061AF"/>
            </w:tcBorders>
            <w:shd w:val="clear" w:color="auto" w:fill="D8E7F3"/>
          </w:tcPr>
          <w:p>
            <w:pPr>
              <w:spacing w:after="0"/>
              <w:rPr>
                <w:sz w:val="13"/>
                <w:szCs w:val="13"/>
                <w:color w:val="auto"/>
              </w:rPr>
            </w:pPr>
          </w:p>
        </w:tc>
        <w:tc>
          <w:tcPr>
            <w:tcW w:w="1060" w:type="dxa"/>
            <w:vAlign w:val="bottom"/>
            <w:tcBorders>
              <w:right w:val="single" w:sz="8" w:color="0061AF"/>
            </w:tcBorders>
          </w:tcPr>
          <w:p>
            <w:pPr>
              <w:spacing w:after="0"/>
              <w:rPr>
                <w:sz w:val="13"/>
                <w:szCs w:val="13"/>
                <w:color w:val="auto"/>
              </w:rPr>
            </w:pPr>
          </w:p>
        </w:tc>
        <w:tc>
          <w:tcPr>
            <w:tcW w:w="1660" w:type="dxa"/>
            <w:vAlign w:val="bottom"/>
            <w:tcBorders>
              <w:right w:val="single" w:sz="8" w:color="0061AF"/>
            </w:tcBorders>
          </w:tcPr>
          <w:p>
            <w:pPr>
              <w:spacing w:after="0"/>
              <w:rPr>
                <w:sz w:val="13"/>
                <w:szCs w:val="13"/>
                <w:color w:val="auto"/>
              </w:rPr>
            </w:pPr>
          </w:p>
        </w:tc>
        <w:tc>
          <w:tcPr>
            <w:tcW w:w="1640" w:type="dxa"/>
            <w:vAlign w:val="bottom"/>
            <w:tcBorders>
              <w:right w:val="single" w:sz="8" w:color="0061AF"/>
            </w:tcBorders>
          </w:tcPr>
          <w:p>
            <w:pPr>
              <w:jc w:val="center"/>
              <w:ind w:left="5"/>
              <w:spacing w:after="0" w:line="157" w:lineRule="exact"/>
              <w:rPr>
                <w:sz w:val="20"/>
                <w:szCs w:val="20"/>
                <w:color w:val="auto"/>
              </w:rPr>
            </w:pPr>
            <w:r>
              <w:rPr>
                <w:rFonts w:ascii="Arial" w:cs="Arial" w:eastAsia="Arial" w:hAnsi="Arial"/>
                <w:sz w:val="15"/>
                <w:szCs w:val="15"/>
                <w:b w:val="1"/>
                <w:bCs w:val="1"/>
                <w:color w:val="auto"/>
              </w:rPr>
              <w:t>vesting, subject to</w:t>
            </w:r>
          </w:p>
        </w:tc>
        <w:tc>
          <w:tcPr>
            <w:tcW w:w="4580" w:type="dxa"/>
            <w:vAlign w:val="bottom"/>
          </w:tcPr>
          <w:p>
            <w:pPr>
              <w:ind w:left="240"/>
              <w:spacing w:after="0" w:line="157" w:lineRule="exact"/>
              <w:rPr>
                <w:sz w:val="20"/>
                <w:szCs w:val="20"/>
                <w:color w:val="auto"/>
              </w:rPr>
            </w:pPr>
            <w:r>
              <w:rPr>
                <w:rFonts w:ascii="Arial" w:cs="Arial" w:eastAsia="Arial" w:hAnsi="Arial"/>
                <w:sz w:val="15"/>
                <w:szCs w:val="15"/>
                <w:color w:val="auto"/>
              </w:rPr>
              <w:t>net income generation</w:t>
            </w:r>
          </w:p>
        </w:tc>
        <w:tc>
          <w:tcPr>
            <w:tcW w:w="2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0061AF"/>
              <w:right w:val="single" w:sz="8" w:color="0061AF"/>
            </w:tcBorders>
            <w:shd w:val="clear" w:color="auto" w:fill="D8E7F3"/>
          </w:tcPr>
          <w:p>
            <w:pPr>
              <w:spacing w:after="0"/>
              <w:rPr>
                <w:sz w:val="15"/>
                <w:szCs w:val="15"/>
                <w:color w:val="auto"/>
              </w:rPr>
            </w:pPr>
          </w:p>
        </w:tc>
        <w:tc>
          <w:tcPr>
            <w:tcW w:w="1060" w:type="dxa"/>
            <w:vAlign w:val="bottom"/>
            <w:tcBorders>
              <w:right w:val="single" w:sz="8" w:color="0061AF"/>
            </w:tcBorders>
          </w:tcPr>
          <w:p>
            <w:pPr>
              <w:spacing w:after="0"/>
              <w:rPr>
                <w:sz w:val="15"/>
                <w:szCs w:val="15"/>
                <w:color w:val="auto"/>
              </w:rPr>
            </w:pPr>
          </w:p>
        </w:tc>
        <w:tc>
          <w:tcPr>
            <w:tcW w:w="1660" w:type="dxa"/>
            <w:vAlign w:val="bottom"/>
            <w:tcBorders>
              <w:right w:val="single" w:sz="8" w:color="0061AF"/>
            </w:tcBorders>
          </w:tcPr>
          <w:p>
            <w:pPr>
              <w:spacing w:after="0"/>
              <w:rPr>
                <w:sz w:val="15"/>
                <w:szCs w:val="15"/>
                <w:color w:val="auto"/>
              </w:rPr>
            </w:pPr>
          </w:p>
        </w:tc>
        <w:tc>
          <w:tcPr>
            <w:tcW w:w="1640" w:type="dxa"/>
            <w:vAlign w:val="bottom"/>
            <w:tcBorders>
              <w:right w:val="single" w:sz="8" w:color="0061AF"/>
            </w:tcBorders>
          </w:tcPr>
          <w:p>
            <w:pPr>
              <w:jc w:val="center"/>
              <w:ind w:left="5"/>
              <w:spacing w:after="0"/>
              <w:rPr>
                <w:sz w:val="20"/>
                <w:szCs w:val="20"/>
                <w:color w:val="auto"/>
              </w:rPr>
            </w:pPr>
            <w:r>
              <w:rPr>
                <w:rFonts w:ascii="Arial" w:cs="Arial" w:eastAsia="Arial" w:hAnsi="Arial"/>
                <w:sz w:val="15"/>
                <w:szCs w:val="15"/>
                <w:b w:val="1"/>
                <w:bCs w:val="1"/>
                <w:color w:val="auto"/>
              </w:rPr>
              <w:t>absolute corporate</w:t>
            </w:r>
          </w:p>
        </w:tc>
        <w:tc>
          <w:tcPr>
            <w:tcW w:w="4580" w:type="dxa"/>
            <w:vAlign w:val="bottom"/>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b w:val="1"/>
                <w:bCs w:val="1"/>
                <w:color w:val="0061AF"/>
              </w:rPr>
              <w:t xml:space="preserve"> NEW: </w:t>
            </w:r>
            <w:r>
              <w:rPr>
                <w:rFonts w:ascii="Arial" w:cs="Arial" w:eastAsia="Arial" w:hAnsi="Arial"/>
                <w:sz w:val="15"/>
                <w:szCs w:val="15"/>
                <w:color w:val="000000"/>
              </w:rPr>
              <w:t>Beginning in 2021, PSU performance will be linked</w:t>
            </w:r>
          </w:p>
        </w:tc>
        <w:tc>
          <w:tcPr>
            <w:tcW w:w="20" w:type="dxa"/>
            <w:vAlign w:val="bottom"/>
            <w:shd w:val="clear" w:color="auto" w:fill="0061A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80" w:type="dxa"/>
            <w:vAlign w:val="bottom"/>
            <w:tcBorders>
              <w:left w:val="single" w:sz="8" w:color="0061AF"/>
              <w:bottom w:val="single" w:sz="8" w:color="D8E7F3"/>
              <w:right w:val="single" w:sz="8" w:color="0061AF"/>
            </w:tcBorders>
            <w:shd w:val="clear" w:color="auto" w:fill="D8E7F3"/>
          </w:tcPr>
          <w:p>
            <w:pPr>
              <w:spacing w:after="0"/>
              <w:rPr>
                <w:sz w:val="19"/>
                <w:szCs w:val="19"/>
                <w:color w:val="auto"/>
              </w:rPr>
            </w:pPr>
          </w:p>
        </w:tc>
        <w:tc>
          <w:tcPr>
            <w:tcW w:w="1060" w:type="dxa"/>
            <w:vAlign w:val="bottom"/>
            <w:tcBorders>
              <w:right w:val="single" w:sz="8" w:color="0061AF"/>
            </w:tcBorders>
          </w:tcPr>
          <w:p>
            <w:pPr>
              <w:spacing w:after="0"/>
              <w:rPr>
                <w:sz w:val="19"/>
                <w:szCs w:val="19"/>
                <w:color w:val="auto"/>
              </w:rPr>
            </w:pPr>
          </w:p>
        </w:tc>
        <w:tc>
          <w:tcPr>
            <w:tcW w:w="166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i w:val="1"/>
                <w:iCs w:val="1"/>
                <w:color w:val="auto"/>
              </w:rPr>
              <w:t>Performance Share</w:t>
            </w:r>
          </w:p>
        </w:tc>
        <w:tc>
          <w:tcPr>
            <w:tcW w:w="1640" w:type="dxa"/>
            <w:vAlign w:val="bottom"/>
            <w:tcBorders>
              <w:bottom w:val="single" w:sz="8" w:color="0061AF"/>
              <w:right w:val="single" w:sz="8" w:color="0061AF"/>
            </w:tcBorders>
          </w:tcPr>
          <w:p>
            <w:pPr>
              <w:jc w:val="center"/>
              <w:spacing w:after="0"/>
              <w:rPr>
                <w:sz w:val="20"/>
                <w:szCs w:val="20"/>
                <w:color w:val="auto"/>
              </w:rPr>
            </w:pPr>
            <w:r>
              <w:rPr>
                <w:rFonts w:ascii="Arial" w:cs="Arial" w:eastAsia="Arial" w:hAnsi="Arial"/>
                <w:sz w:val="15"/>
                <w:szCs w:val="15"/>
                <w:b w:val="1"/>
                <w:bCs w:val="1"/>
                <w:color w:val="auto"/>
                <w:w w:val="99"/>
              </w:rPr>
              <w:t>performance</w:t>
            </w:r>
          </w:p>
        </w:tc>
        <w:tc>
          <w:tcPr>
            <w:tcW w:w="4580" w:type="dxa"/>
            <w:vAlign w:val="bottom"/>
            <w:tcBorders>
              <w:bottom w:val="single" w:sz="8" w:color="0061AF"/>
            </w:tcBorders>
          </w:tcPr>
          <w:p>
            <w:pPr>
              <w:ind w:left="240"/>
              <w:spacing w:after="0"/>
              <w:rPr>
                <w:sz w:val="20"/>
                <w:szCs w:val="20"/>
                <w:color w:val="auto"/>
              </w:rPr>
            </w:pPr>
            <w:r>
              <w:rPr>
                <w:rFonts w:ascii="Arial" w:cs="Arial" w:eastAsia="Arial" w:hAnsi="Arial"/>
                <w:sz w:val="15"/>
                <w:szCs w:val="15"/>
                <w:color w:val="auto"/>
              </w:rPr>
              <w:t>to cumulative utility EPS</w:t>
            </w:r>
          </w:p>
        </w:tc>
        <w:tc>
          <w:tcPr>
            <w:tcW w:w="20" w:type="dxa"/>
            <w:vAlign w:val="bottom"/>
            <w:tcBorders>
              <w:bottom w:val="single" w:sz="8" w:color="0061AF"/>
            </w:tcBorders>
            <w:shd w:val="clear" w:color="auto" w:fill="0061AF"/>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780" w:type="dxa"/>
            <w:vAlign w:val="bottom"/>
            <w:tcBorders>
              <w:left w:val="single" w:sz="8" w:color="0061AF"/>
              <w:right w:val="single" w:sz="8" w:color="0061AF"/>
            </w:tcBorders>
            <w:vMerge w:val="restart"/>
            <w:shd w:val="clear" w:color="auto" w:fill="D8E7F3"/>
          </w:tcPr>
          <w:p>
            <w:pPr>
              <w:ind w:left="160"/>
              <w:spacing w:after="0"/>
              <w:rPr>
                <w:sz w:val="20"/>
                <w:szCs w:val="20"/>
                <w:color w:val="auto"/>
              </w:rPr>
            </w:pPr>
            <w:r>
              <w:rPr>
                <w:rFonts w:ascii="Arial" w:cs="Arial" w:eastAsia="Arial" w:hAnsi="Arial"/>
                <w:sz w:val="15"/>
                <w:szCs w:val="15"/>
                <w:b w:val="1"/>
                <w:bCs w:val="1"/>
                <w:i w:val="1"/>
                <w:iCs w:val="1"/>
                <w:color w:val="auto"/>
              </w:rPr>
              <w:t>At Risk</w:t>
            </w:r>
          </w:p>
        </w:tc>
        <w:tc>
          <w:tcPr>
            <w:tcW w:w="1060" w:type="dxa"/>
            <w:vAlign w:val="bottom"/>
            <w:tcBorders>
              <w:right w:val="single" w:sz="8" w:color="0061AF"/>
            </w:tcBorders>
          </w:tcPr>
          <w:p>
            <w:pPr>
              <w:spacing w:after="0"/>
              <w:rPr>
                <w:sz w:val="4"/>
                <w:szCs w:val="4"/>
                <w:color w:val="auto"/>
              </w:rPr>
            </w:pPr>
          </w:p>
        </w:tc>
        <w:tc>
          <w:tcPr>
            <w:tcW w:w="1660" w:type="dxa"/>
            <w:vAlign w:val="bottom"/>
            <w:tcBorders>
              <w:right w:val="single" w:sz="8" w:color="0061AF"/>
            </w:tcBorders>
            <w:vMerge w:val="continue"/>
          </w:tcPr>
          <w:p>
            <w:pPr>
              <w:spacing w:after="0"/>
              <w:rPr>
                <w:sz w:val="4"/>
                <w:szCs w:val="4"/>
                <w:color w:val="auto"/>
              </w:rPr>
            </w:pPr>
          </w:p>
        </w:tc>
        <w:tc>
          <w:tcPr>
            <w:tcW w:w="1640" w:type="dxa"/>
            <w:vAlign w:val="bottom"/>
            <w:tcBorders>
              <w:right w:val="single" w:sz="8" w:color="0061AF"/>
            </w:tcBorders>
          </w:tcPr>
          <w:p>
            <w:pPr>
              <w:spacing w:after="0"/>
              <w:rPr>
                <w:sz w:val="4"/>
                <w:szCs w:val="4"/>
                <w:color w:val="auto"/>
              </w:rPr>
            </w:pPr>
          </w:p>
        </w:tc>
        <w:tc>
          <w:tcPr>
            <w:tcW w:w="4580" w:type="dxa"/>
            <w:vAlign w:val="bottom"/>
            <w:vMerge w:val="restart"/>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color w:val="auto"/>
              </w:rPr>
              <w:t xml:space="preserve"> Incentivizes Company outperformance relative to peer</w:t>
            </w:r>
          </w:p>
        </w:tc>
        <w:tc>
          <w:tcPr>
            <w:tcW w:w="20" w:type="dxa"/>
            <w:vAlign w:val="bottom"/>
            <w:shd w:val="clear" w:color="auto" w:fill="0061AF"/>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780" w:type="dxa"/>
            <w:vAlign w:val="bottom"/>
            <w:tcBorders>
              <w:left w:val="single" w:sz="8" w:color="0061AF"/>
              <w:right w:val="single" w:sz="8" w:color="0061AF"/>
            </w:tcBorders>
            <w:vMerge w:val="continue"/>
            <w:shd w:val="clear" w:color="auto" w:fill="D8E7F3"/>
          </w:tcPr>
          <w:p>
            <w:pPr>
              <w:spacing w:after="0"/>
              <w:rPr>
                <w:sz w:val="10"/>
                <w:szCs w:val="10"/>
                <w:color w:val="auto"/>
              </w:rPr>
            </w:pPr>
          </w:p>
        </w:tc>
        <w:tc>
          <w:tcPr>
            <w:tcW w:w="1060" w:type="dxa"/>
            <w:vAlign w:val="bottom"/>
            <w:tcBorders>
              <w:right w:val="single" w:sz="8" w:color="0061AF"/>
            </w:tcBorders>
          </w:tcPr>
          <w:p>
            <w:pPr>
              <w:spacing w:after="0"/>
              <w:rPr>
                <w:sz w:val="10"/>
                <w:szCs w:val="10"/>
                <w:color w:val="auto"/>
              </w:rPr>
            </w:pPr>
          </w:p>
        </w:tc>
        <w:tc>
          <w:tcPr>
            <w:tcW w:w="1660" w:type="dxa"/>
            <w:vAlign w:val="bottom"/>
            <w:tcBorders>
              <w:right w:val="single" w:sz="8" w:color="0061AF"/>
            </w:tcBorders>
            <w:vMerge w:val="restart"/>
          </w:tcPr>
          <w:p>
            <w:pPr>
              <w:jc w:val="center"/>
              <w:spacing w:after="0" w:line="167" w:lineRule="exact"/>
              <w:rPr>
                <w:sz w:val="20"/>
                <w:szCs w:val="20"/>
                <w:color w:val="auto"/>
              </w:rPr>
            </w:pPr>
            <w:r>
              <w:rPr>
                <w:rFonts w:ascii="Arial" w:cs="Arial" w:eastAsia="Arial" w:hAnsi="Arial"/>
                <w:sz w:val="15"/>
                <w:szCs w:val="15"/>
                <w:b w:val="1"/>
                <w:bCs w:val="1"/>
                <w:i w:val="1"/>
                <w:iCs w:val="1"/>
                <w:color w:val="auto"/>
              </w:rPr>
              <w:t>Units (“PSUs”)</w:t>
            </w:r>
          </w:p>
        </w:tc>
        <w:tc>
          <w:tcPr>
            <w:tcW w:w="1640" w:type="dxa"/>
            <w:vAlign w:val="bottom"/>
            <w:tcBorders>
              <w:right w:val="single" w:sz="8" w:color="0061AF"/>
            </w:tcBorders>
            <w:vMerge w:val="restart"/>
          </w:tcPr>
          <w:p>
            <w:pPr>
              <w:jc w:val="center"/>
              <w:ind w:left="5"/>
              <w:spacing w:after="0"/>
              <w:rPr>
                <w:sz w:val="20"/>
                <w:szCs w:val="20"/>
                <w:color w:val="auto"/>
              </w:rPr>
            </w:pPr>
            <w:r>
              <w:rPr>
                <w:rFonts w:ascii="Arial" w:cs="Arial" w:eastAsia="Arial" w:hAnsi="Arial"/>
                <w:sz w:val="15"/>
                <w:szCs w:val="15"/>
                <w:b w:val="1"/>
                <w:bCs w:val="1"/>
                <w:color w:val="auto"/>
              </w:rPr>
              <w:t>Three-year cliff</w:t>
            </w:r>
          </w:p>
        </w:tc>
        <w:tc>
          <w:tcPr>
            <w:tcW w:w="4580" w:type="dxa"/>
            <w:vAlign w:val="bottom"/>
            <w:vMerge w:val="continue"/>
          </w:tcPr>
          <w:p>
            <w:pPr>
              <w:spacing w:after="0"/>
              <w:rPr>
                <w:sz w:val="10"/>
                <w:szCs w:val="10"/>
                <w:color w:val="auto"/>
              </w:rPr>
            </w:pPr>
          </w:p>
        </w:tc>
        <w:tc>
          <w:tcPr>
            <w:tcW w:w="20" w:type="dxa"/>
            <w:vAlign w:val="bottom"/>
            <w:shd w:val="clear" w:color="auto" w:fill="0061AF"/>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780" w:type="dxa"/>
            <w:vAlign w:val="bottom"/>
            <w:tcBorders>
              <w:left w:val="single" w:sz="8" w:color="0061AF"/>
              <w:right w:val="single" w:sz="8" w:color="0061AF"/>
            </w:tcBorders>
            <w:shd w:val="clear" w:color="auto" w:fill="D8E7F3"/>
          </w:tcPr>
          <w:p>
            <w:pPr>
              <w:spacing w:after="0"/>
              <w:rPr>
                <w:sz w:val="3"/>
                <w:szCs w:val="3"/>
                <w:color w:val="auto"/>
              </w:rPr>
            </w:pPr>
          </w:p>
        </w:tc>
        <w:tc>
          <w:tcPr>
            <w:tcW w:w="1060" w:type="dxa"/>
            <w:vAlign w:val="bottom"/>
            <w:tcBorders>
              <w:right w:val="single" w:sz="8" w:color="0061AF"/>
            </w:tcBorders>
          </w:tcPr>
          <w:p>
            <w:pPr>
              <w:spacing w:after="0"/>
              <w:rPr>
                <w:sz w:val="3"/>
                <w:szCs w:val="3"/>
                <w:color w:val="auto"/>
              </w:rPr>
            </w:pPr>
          </w:p>
        </w:tc>
        <w:tc>
          <w:tcPr>
            <w:tcW w:w="1660" w:type="dxa"/>
            <w:vAlign w:val="bottom"/>
            <w:tcBorders>
              <w:right w:val="single" w:sz="8" w:color="0061AF"/>
            </w:tcBorders>
            <w:vMerge w:val="continue"/>
          </w:tcPr>
          <w:p>
            <w:pPr>
              <w:spacing w:after="0"/>
              <w:rPr>
                <w:sz w:val="3"/>
                <w:szCs w:val="3"/>
                <w:color w:val="auto"/>
              </w:rPr>
            </w:pPr>
          </w:p>
        </w:tc>
        <w:tc>
          <w:tcPr>
            <w:tcW w:w="1640" w:type="dxa"/>
            <w:vAlign w:val="bottom"/>
            <w:tcBorders>
              <w:right w:val="single" w:sz="8" w:color="0061AF"/>
            </w:tcBorders>
            <w:vMerge w:val="continue"/>
          </w:tcPr>
          <w:p>
            <w:pPr>
              <w:spacing w:after="0"/>
              <w:rPr>
                <w:sz w:val="3"/>
                <w:szCs w:val="3"/>
                <w:color w:val="auto"/>
              </w:rPr>
            </w:pPr>
          </w:p>
        </w:tc>
        <w:tc>
          <w:tcPr>
            <w:tcW w:w="4580" w:type="dxa"/>
            <w:vAlign w:val="bottom"/>
            <w:vMerge w:val="restart"/>
          </w:tcPr>
          <w:p>
            <w:pPr>
              <w:ind w:left="240"/>
              <w:spacing w:after="0"/>
              <w:rPr>
                <w:sz w:val="20"/>
                <w:szCs w:val="20"/>
                <w:color w:val="auto"/>
              </w:rPr>
            </w:pPr>
            <w:r>
              <w:rPr>
                <w:rFonts w:ascii="Arial" w:cs="Arial" w:eastAsia="Arial" w:hAnsi="Arial"/>
                <w:sz w:val="15"/>
                <w:szCs w:val="15"/>
                <w:color w:val="auto"/>
              </w:rPr>
              <w:t>companies</w:t>
            </w:r>
          </w:p>
        </w:tc>
        <w:tc>
          <w:tcPr>
            <w:tcW w:w="20" w:type="dxa"/>
            <w:vAlign w:val="bottom"/>
            <w:shd w:val="clear" w:color="auto" w:fill="0061AF"/>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780" w:type="dxa"/>
            <w:vAlign w:val="bottom"/>
            <w:tcBorders>
              <w:left w:val="single" w:sz="8" w:color="0061AF"/>
              <w:right w:val="single" w:sz="8" w:color="0061AF"/>
            </w:tcBorders>
            <w:shd w:val="clear" w:color="auto" w:fill="D8E7F3"/>
          </w:tcPr>
          <w:p>
            <w:pPr>
              <w:spacing w:after="0"/>
              <w:rPr>
                <w:sz w:val="11"/>
                <w:szCs w:val="11"/>
                <w:color w:val="auto"/>
              </w:rPr>
            </w:pPr>
          </w:p>
        </w:tc>
        <w:tc>
          <w:tcPr>
            <w:tcW w:w="1060" w:type="dxa"/>
            <w:vAlign w:val="bottom"/>
            <w:tcBorders>
              <w:right w:val="single" w:sz="8" w:color="0061AF"/>
            </w:tcBorders>
          </w:tcPr>
          <w:p>
            <w:pPr>
              <w:spacing w:after="0"/>
              <w:rPr>
                <w:sz w:val="11"/>
                <w:szCs w:val="11"/>
                <w:color w:val="auto"/>
              </w:rPr>
            </w:pPr>
          </w:p>
        </w:tc>
        <w:tc>
          <w:tcPr>
            <w:tcW w:w="1660" w:type="dxa"/>
            <w:vAlign w:val="bottom"/>
            <w:tcBorders>
              <w:right w:val="single" w:sz="8" w:color="0061AF"/>
            </w:tcBorders>
          </w:tcPr>
          <w:p>
            <w:pPr>
              <w:jc w:val="center"/>
              <w:spacing w:after="0" w:line="133" w:lineRule="exact"/>
              <w:rPr>
                <w:sz w:val="20"/>
                <w:szCs w:val="20"/>
                <w:color w:val="auto"/>
              </w:rPr>
            </w:pPr>
            <w:r>
              <w:rPr>
                <w:rFonts w:ascii="Arial" w:cs="Arial" w:eastAsia="Arial" w:hAnsi="Arial"/>
                <w:sz w:val="15"/>
                <w:szCs w:val="15"/>
                <w:b w:val="1"/>
                <w:bCs w:val="1"/>
                <w:i w:val="1"/>
                <w:iCs w:val="1"/>
                <w:color w:val="auto"/>
                <w:w w:val="99"/>
              </w:rPr>
              <w:t>70%</w:t>
            </w:r>
          </w:p>
        </w:tc>
        <w:tc>
          <w:tcPr>
            <w:tcW w:w="1640" w:type="dxa"/>
            <w:vAlign w:val="bottom"/>
            <w:tcBorders>
              <w:right w:val="single" w:sz="8" w:color="0061AF"/>
            </w:tcBorders>
            <w:vMerge w:val="continue"/>
          </w:tcPr>
          <w:p>
            <w:pPr>
              <w:spacing w:after="0"/>
              <w:rPr>
                <w:sz w:val="11"/>
                <w:szCs w:val="11"/>
                <w:color w:val="auto"/>
              </w:rPr>
            </w:pPr>
          </w:p>
        </w:tc>
        <w:tc>
          <w:tcPr>
            <w:tcW w:w="4580" w:type="dxa"/>
            <w:vAlign w:val="bottom"/>
            <w:vMerge w:val="continue"/>
          </w:tcPr>
          <w:p>
            <w:pPr>
              <w:spacing w:after="0"/>
              <w:rPr>
                <w:sz w:val="11"/>
                <w:szCs w:val="11"/>
                <w:color w:val="auto"/>
              </w:rPr>
            </w:pPr>
          </w:p>
        </w:tc>
        <w:tc>
          <w:tcPr>
            <w:tcW w:w="20" w:type="dxa"/>
            <w:vAlign w:val="bottom"/>
            <w:shd w:val="clear" w:color="auto" w:fill="0061A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80" w:type="dxa"/>
            <w:vAlign w:val="bottom"/>
            <w:tcBorders>
              <w:left w:val="single" w:sz="8" w:color="0061AF"/>
              <w:right w:val="single" w:sz="8" w:color="0061AF"/>
            </w:tcBorders>
            <w:shd w:val="clear" w:color="auto" w:fill="D8E7F3"/>
          </w:tcPr>
          <w:p>
            <w:pPr>
              <w:spacing w:after="0"/>
              <w:rPr>
                <w:sz w:val="13"/>
                <w:szCs w:val="13"/>
                <w:color w:val="auto"/>
              </w:rPr>
            </w:pPr>
          </w:p>
        </w:tc>
        <w:tc>
          <w:tcPr>
            <w:tcW w:w="1060" w:type="dxa"/>
            <w:vAlign w:val="bottom"/>
            <w:tcBorders>
              <w:right w:val="single" w:sz="8" w:color="0061AF"/>
            </w:tcBorders>
          </w:tcPr>
          <w:p>
            <w:pPr>
              <w:spacing w:after="0"/>
              <w:rPr>
                <w:sz w:val="13"/>
                <w:szCs w:val="13"/>
                <w:color w:val="auto"/>
              </w:rPr>
            </w:pPr>
          </w:p>
        </w:tc>
        <w:tc>
          <w:tcPr>
            <w:tcW w:w="1660" w:type="dxa"/>
            <w:vAlign w:val="bottom"/>
            <w:tcBorders>
              <w:right w:val="single" w:sz="8" w:color="0061AF"/>
            </w:tcBorders>
          </w:tcPr>
          <w:p>
            <w:pPr>
              <w:spacing w:after="0"/>
              <w:rPr>
                <w:sz w:val="13"/>
                <w:szCs w:val="13"/>
                <w:color w:val="auto"/>
              </w:rPr>
            </w:pPr>
          </w:p>
        </w:tc>
        <w:tc>
          <w:tcPr>
            <w:tcW w:w="1640" w:type="dxa"/>
            <w:vAlign w:val="bottom"/>
            <w:tcBorders>
              <w:right w:val="single" w:sz="8" w:color="0061AF"/>
            </w:tcBorders>
          </w:tcPr>
          <w:p>
            <w:pPr>
              <w:jc w:val="center"/>
              <w:ind w:left="5"/>
              <w:spacing w:after="0" w:line="152" w:lineRule="exact"/>
              <w:rPr>
                <w:sz w:val="20"/>
                <w:szCs w:val="20"/>
                <w:color w:val="auto"/>
              </w:rPr>
            </w:pPr>
            <w:r>
              <w:rPr>
                <w:rFonts w:ascii="Arial" w:cs="Arial" w:eastAsia="Arial" w:hAnsi="Arial"/>
                <w:sz w:val="15"/>
                <w:szCs w:val="15"/>
                <w:b w:val="1"/>
                <w:bCs w:val="1"/>
                <w:color w:val="auto"/>
              </w:rPr>
              <w:t>vesting, subject to</w:t>
            </w:r>
          </w:p>
        </w:tc>
        <w:tc>
          <w:tcPr>
            <w:tcW w:w="4580" w:type="dxa"/>
            <w:vAlign w:val="bottom"/>
          </w:tcPr>
          <w:p>
            <w:pPr>
              <w:ind w:left="100"/>
              <w:spacing w:after="0" w:line="152"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color w:val="auto"/>
              </w:rPr>
              <w:t xml:space="preserve"> Aligns with shareholder interests</w:t>
            </w:r>
          </w:p>
        </w:tc>
        <w:tc>
          <w:tcPr>
            <w:tcW w:w="2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80" w:type="dxa"/>
            <w:vAlign w:val="bottom"/>
            <w:tcBorders>
              <w:left w:val="single" w:sz="8" w:color="0061AF"/>
              <w:right w:val="single" w:sz="8" w:color="0061AF"/>
            </w:tcBorders>
            <w:shd w:val="clear" w:color="auto" w:fill="D8E7F3"/>
          </w:tcPr>
          <w:p>
            <w:pPr>
              <w:spacing w:after="0"/>
              <w:rPr>
                <w:sz w:val="15"/>
                <w:szCs w:val="15"/>
                <w:color w:val="auto"/>
              </w:rPr>
            </w:pPr>
          </w:p>
        </w:tc>
        <w:tc>
          <w:tcPr>
            <w:tcW w:w="106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color w:val="auto"/>
                <w:w w:val="99"/>
              </w:rPr>
              <w:t>Long-Term</w:t>
            </w:r>
          </w:p>
        </w:tc>
        <w:tc>
          <w:tcPr>
            <w:tcW w:w="1660" w:type="dxa"/>
            <w:vAlign w:val="bottom"/>
            <w:tcBorders>
              <w:right w:val="single" w:sz="8" w:color="0061AF"/>
            </w:tcBorders>
          </w:tcPr>
          <w:p>
            <w:pPr>
              <w:spacing w:after="0"/>
              <w:rPr>
                <w:sz w:val="15"/>
                <w:szCs w:val="15"/>
                <w:color w:val="auto"/>
              </w:rPr>
            </w:pPr>
          </w:p>
        </w:tc>
        <w:tc>
          <w:tcPr>
            <w:tcW w:w="1640" w:type="dxa"/>
            <w:vAlign w:val="bottom"/>
            <w:tcBorders>
              <w:right w:val="single" w:sz="8" w:color="0061AF"/>
            </w:tcBorders>
          </w:tcPr>
          <w:p>
            <w:pPr>
              <w:jc w:val="center"/>
              <w:ind w:left="5"/>
              <w:spacing w:after="0"/>
              <w:rPr>
                <w:sz w:val="20"/>
                <w:szCs w:val="20"/>
                <w:color w:val="auto"/>
              </w:rPr>
            </w:pPr>
            <w:r>
              <w:rPr>
                <w:rFonts w:ascii="Arial" w:cs="Arial" w:eastAsia="Arial" w:hAnsi="Arial"/>
                <w:sz w:val="15"/>
                <w:szCs w:val="15"/>
                <w:b w:val="1"/>
                <w:bCs w:val="1"/>
                <w:color w:val="auto"/>
              </w:rPr>
              <w:t>relative stock</w:t>
            </w:r>
          </w:p>
        </w:tc>
        <w:tc>
          <w:tcPr>
            <w:tcW w:w="4580" w:type="dxa"/>
            <w:vAlign w:val="bottom"/>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b w:val="1"/>
                <w:bCs w:val="1"/>
                <w:color w:val="0061AF"/>
              </w:rPr>
              <w:t xml:space="preserve"> NEW </w:t>
            </w:r>
            <w:r>
              <w:rPr>
                <w:rFonts w:ascii="Arial" w:cs="Arial" w:eastAsia="Arial" w:hAnsi="Arial"/>
                <w:sz w:val="15"/>
                <w:szCs w:val="15"/>
                <w:color w:val="000000"/>
              </w:rPr>
              <w:t>: Beginning in 2021, PSUs will represent 75% of</w:t>
            </w:r>
          </w:p>
        </w:tc>
        <w:tc>
          <w:tcPr>
            <w:tcW w:w="20" w:type="dxa"/>
            <w:vAlign w:val="bottom"/>
            <w:shd w:val="clear" w:color="auto" w:fill="0061A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780" w:type="dxa"/>
            <w:vAlign w:val="bottom"/>
            <w:tcBorders>
              <w:left w:val="single" w:sz="8" w:color="0061AF"/>
              <w:right w:val="single" w:sz="8" w:color="0061AF"/>
            </w:tcBorders>
            <w:shd w:val="clear" w:color="auto" w:fill="D8E7F3"/>
          </w:tcPr>
          <w:p>
            <w:pPr>
              <w:spacing w:after="0"/>
              <w:rPr>
                <w:sz w:val="7"/>
                <w:szCs w:val="7"/>
                <w:color w:val="auto"/>
              </w:rPr>
            </w:pPr>
          </w:p>
        </w:tc>
        <w:tc>
          <w:tcPr>
            <w:tcW w:w="1060" w:type="dxa"/>
            <w:vAlign w:val="bottom"/>
            <w:tcBorders>
              <w:right w:val="single" w:sz="8" w:color="0061AF"/>
            </w:tcBorders>
            <w:vMerge w:val="continue"/>
          </w:tcPr>
          <w:p>
            <w:pPr>
              <w:spacing w:after="0"/>
              <w:rPr>
                <w:sz w:val="7"/>
                <w:szCs w:val="7"/>
                <w:color w:val="auto"/>
              </w:rPr>
            </w:pPr>
          </w:p>
        </w:tc>
        <w:tc>
          <w:tcPr>
            <w:tcW w:w="1660" w:type="dxa"/>
            <w:vAlign w:val="bottom"/>
            <w:tcBorders>
              <w:right w:val="single" w:sz="8" w:color="0061AF"/>
            </w:tcBorders>
          </w:tcPr>
          <w:p>
            <w:pPr>
              <w:spacing w:after="0"/>
              <w:rPr>
                <w:sz w:val="7"/>
                <w:szCs w:val="7"/>
                <w:color w:val="auto"/>
              </w:rPr>
            </w:pPr>
          </w:p>
        </w:tc>
        <w:tc>
          <w:tcPr>
            <w:tcW w:w="164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color w:val="auto"/>
                <w:w w:val="99"/>
              </w:rPr>
              <w:t>performance</w:t>
            </w:r>
          </w:p>
        </w:tc>
        <w:tc>
          <w:tcPr>
            <w:tcW w:w="4580" w:type="dxa"/>
            <w:vAlign w:val="bottom"/>
            <w:vMerge w:val="restart"/>
          </w:tcPr>
          <w:p>
            <w:pPr>
              <w:ind w:left="240"/>
              <w:spacing w:after="0"/>
              <w:rPr>
                <w:sz w:val="20"/>
                <w:szCs w:val="20"/>
                <w:color w:val="auto"/>
              </w:rPr>
            </w:pPr>
            <w:r>
              <w:rPr>
                <w:rFonts w:ascii="Arial" w:cs="Arial" w:eastAsia="Arial" w:hAnsi="Arial"/>
                <w:sz w:val="15"/>
                <w:szCs w:val="15"/>
                <w:color w:val="auto"/>
              </w:rPr>
              <w:t>total  award  value  with  45%  based  on  relative  TSR</w:t>
            </w:r>
          </w:p>
        </w:tc>
        <w:tc>
          <w:tcPr>
            <w:tcW w:w="20" w:type="dxa"/>
            <w:vAlign w:val="bottom"/>
            <w:shd w:val="clear" w:color="auto" w:fill="0061A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780" w:type="dxa"/>
            <w:vAlign w:val="bottom"/>
            <w:tcBorders>
              <w:left w:val="single" w:sz="8" w:color="0061AF"/>
              <w:right w:val="single" w:sz="8" w:color="0061AF"/>
            </w:tcBorders>
            <w:shd w:val="clear" w:color="auto" w:fill="D8E7F3"/>
          </w:tcPr>
          <w:p>
            <w:pPr>
              <w:spacing w:after="0"/>
              <w:rPr>
                <w:sz w:val="9"/>
                <w:szCs w:val="9"/>
                <w:color w:val="auto"/>
              </w:rPr>
            </w:pPr>
          </w:p>
        </w:tc>
        <w:tc>
          <w:tcPr>
            <w:tcW w:w="1060" w:type="dxa"/>
            <w:vAlign w:val="bottom"/>
            <w:tcBorders>
              <w:right w:val="single" w:sz="8" w:color="0061AF"/>
            </w:tcBorders>
            <w:vMerge w:val="restart"/>
          </w:tcPr>
          <w:p>
            <w:pPr>
              <w:jc w:val="center"/>
              <w:spacing w:after="0" w:line="154" w:lineRule="exact"/>
              <w:rPr>
                <w:sz w:val="20"/>
                <w:szCs w:val="20"/>
                <w:color w:val="auto"/>
              </w:rPr>
            </w:pPr>
            <w:r>
              <w:rPr>
                <w:rFonts w:ascii="Arial" w:cs="Arial" w:eastAsia="Arial" w:hAnsi="Arial"/>
                <w:sz w:val="15"/>
                <w:szCs w:val="15"/>
                <w:b w:val="1"/>
                <w:bCs w:val="1"/>
                <w:color w:val="auto"/>
              </w:rPr>
              <w:t>Incentives</w:t>
            </w:r>
          </w:p>
        </w:tc>
        <w:tc>
          <w:tcPr>
            <w:tcW w:w="1660" w:type="dxa"/>
            <w:vAlign w:val="bottom"/>
            <w:tcBorders>
              <w:right w:val="single" w:sz="8" w:color="0061AF"/>
            </w:tcBorders>
          </w:tcPr>
          <w:p>
            <w:pPr>
              <w:spacing w:after="0"/>
              <w:rPr>
                <w:sz w:val="9"/>
                <w:szCs w:val="9"/>
                <w:color w:val="auto"/>
              </w:rPr>
            </w:pPr>
          </w:p>
        </w:tc>
        <w:tc>
          <w:tcPr>
            <w:tcW w:w="1640" w:type="dxa"/>
            <w:vAlign w:val="bottom"/>
            <w:tcBorders>
              <w:right w:val="single" w:sz="8" w:color="0061AF"/>
            </w:tcBorders>
            <w:vMerge w:val="continue"/>
          </w:tcPr>
          <w:p>
            <w:pPr>
              <w:spacing w:after="0"/>
              <w:rPr>
                <w:sz w:val="9"/>
                <w:szCs w:val="9"/>
                <w:color w:val="auto"/>
              </w:rPr>
            </w:pPr>
          </w:p>
        </w:tc>
        <w:tc>
          <w:tcPr>
            <w:tcW w:w="4580" w:type="dxa"/>
            <w:vAlign w:val="bottom"/>
            <w:vMerge w:val="continue"/>
          </w:tcPr>
          <w:p>
            <w:pPr>
              <w:spacing w:after="0"/>
              <w:rPr>
                <w:sz w:val="9"/>
                <w:szCs w:val="9"/>
                <w:color w:val="auto"/>
              </w:rPr>
            </w:pPr>
          </w:p>
        </w:tc>
        <w:tc>
          <w:tcPr>
            <w:tcW w:w="20" w:type="dxa"/>
            <w:vAlign w:val="bottom"/>
            <w:shd w:val="clear" w:color="auto" w:fill="0061AF"/>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780" w:type="dxa"/>
            <w:vAlign w:val="bottom"/>
            <w:tcBorders>
              <w:left w:val="single" w:sz="8" w:color="0061AF"/>
              <w:right w:val="single" w:sz="8" w:color="0061AF"/>
            </w:tcBorders>
            <w:shd w:val="clear" w:color="auto" w:fill="D8E7F3"/>
          </w:tcPr>
          <w:p>
            <w:pPr>
              <w:spacing w:after="0"/>
              <w:rPr>
                <w:sz w:val="3"/>
                <w:szCs w:val="3"/>
                <w:color w:val="auto"/>
              </w:rPr>
            </w:pPr>
          </w:p>
        </w:tc>
        <w:tc>
          <w:tcPr>
            <w:tcW w:w="1060" w:type="dxa"/>
            <w:vAlign w:val="bottom"/>
            <w:tcBorders>
              <w:right w:val="single" w:sz="8" w:color="0061AF"/>
            </w:tcBorders>
            <w:vMerge w:val="continue"/>
          </w:tcPr>
          <w:p>
            <w:pPr>
              <w:spacing w:after="0"/>
              <w:rPr>
                <w:sz w:val="3"/>
                <w:szCs w:val="3"/>
                <w:color w:val="auto"/>
              </w:rPr>
            </w:pPr>
          </w:p>
        </w:tc>
        <w:tc>
          <w:tcPr>
            <w:tcW w:w="1660" w:type="dxa"/>
            <w:vAlign w:val="bottom"/>
            <w:tcBorders>
              <w:right w:val="single" w:sz="8" w:color="0061AF"/>
            </w:tcBorders>
          </w:tcPr>
          <w:p>
            <w:pPr>
              <w:spacing w:after="0"/>
              <w:rPr>
                <w:sz w:val="3"/>
                <w:szCs w:val="3"/>
                <w:color w:val="auto"/>
              </w:rPr>
            </w:pPr>
          </w:p>
        </w:tc>
        <w:tc>
          <w:tcPr>
            <w:tcW w:w="1640" w:type="dxa"/>
            <w:vAlign w:val="bottom"/>
            <w:tcBorders>
              <w:right w:val="single" w:sz="8" w:color="0061AF"/>
            </w:tcBorders>
          </w:tcPr>
          <w:p>
            <w:pPr>
              <w:spacing w:after="0"/>
              <w:rPr>
                <w:sz w:val="3"/>
                <w:szCs w:val="3"/>
                <w:color w:val="auto"/>
              </w:rPr>
            </w:pPr>
          </w:p>
        </w:tc>
        <w:tc>
          <w:tcPr>
            <w:tcW w:w="4580" w:type="dxa"/>
            <w:vAlign w:val="bottom"/>
            <w:vMerge w:val="continue"/>
          </w:tcPr>
          <w:p>
            <w:pPr>
              <w:spacing w:after="0"/>
              <w:rPr>
                <w:sz w:val="3"/>
                <w:szCs w:val="3"/>
                <w:color w:val="auto"/>
              </w:rPr>
            </w:pPr>
          </w:p>
        </w:tc>
        <w:tc>
          <w:tcPr>
            <w:tcW w:w="20" w:type="dxa"/>
            <w:vAlign w:val="bottom"/>
            <w:shd w:val="clear" w:color="auto" w:fill="0061A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Borders>
              <w:left w:val="single" w:sz="8" w:color="0061AF"/>
              <w:bottom w:val="single" w:sz="8" w:color="D8E7F3"/>
              <w:right w:val="single" w:sz="8" w:color="0061AF"/>
            </w:tcBorders>
            <w:shd w:val="clear" w:color="auto" w:fill="D8E7F3"/>
          </w:tcPr>
          <w:p>
            <w:pPr>
              <w:spacing w:after="0"/>
              <w:rPr>
                <w:sz w:val="13"/>
                <w:szCs w:val="13"/>
                <w:color w:val="auto"/>
              </w:rPr>
            </w:pPr>
          </w:p>
        </w:tc>
        <w:tc>
          <w:tcPr>
            <w:tcW w:w="1060" w:type="dxa"/>
            <w:vAlign w:val="bottom"/>
            <w:tcBorders>
              <w:right w:val="single" w:sz="8" w:color="0061AF"/>
            </w:tcBorders>
          </w:tcPr>
          <w:p>
            <w:pPr>
              <w:spacing w:after="0"/>
              <w:rPr>
                <w:sz w:val="13"/>
                <w:szCs w:val="13"/>
                <w:color w:val="auto"/>
              </w:rPr>
            </w:pPr>
          </w:p>
        </w:tc>
        <w:tc>
          <w:tcPr>
            <w:tcW w:w="1660" w:type="dxa"/>
            <w:vAlign w:val="bottom"/>
            <w:tcBorders>
              <w:bottom w:val="single" w:sz="8" w:color="0061AF"/>
              <w:right w:val="single" w:sz="8" w:color="0061AF"/>
            </w:tcBorders>
          </w:tcPr>
          <w:p>
            <w:pPr>
              <w:spacing w:after="0"/>
              <w:rPr>
                <w:sz w:val="13"/>
                <w:szCs w:val="13"/>
                <w:color w:val="auto"/>
              </w:rPr>
            </w:pPr>
          </w:p>
        </w:tc>
        <w:tc>
          <w:tcPr>
            <w:tcW w:w="1640" w:type="dxa"/>
            <w:vAlign w:val="bottom"/>
            <w:tcBorders>
              <w:bottom w:val="single" w:sz="8" w:color="0061AF"/>
              <w:right w:val="single" w:sz="8" w:color="0061AF"/>
            </w:tcBorders>
          </w:tcPr>
          <w:p>
            <w:pPr>
              <w:spacing w:after="0"/>
              <w:rPr>
                <w:sz w:val="13"/>
                <w:szCs w:val="13"/>
                <w:color w:val="auto"/>
              </w:rPr>
            </w:pPr>
          </w:p>
        </w:tc>
        <w:tc>
          <w:tcPr>
            <w:tcW w:w="4580" w:type="dxa"/>
            <w:vAlign w:val="bottom"/>
            <w:tcBorders>
              <w:bottom w:val="single" w:sz="8" w:color="0061AF"/>
            </w:tcBorders>
          </w:tcPr>
          <w:p>
            <w:pPr>
              <w:ind w:left="240"/>
              <w:spacing w:after="0" w:line="155" w:lineRule="exact"/>
              <w:rPr>
                <w:sz w:val="20"/>
                <w:szCs w:val="20"/>
                <w:color w:val="auto"/>
              </w:rPr>
            </w:pPr>
            <w:r>
              <w:rPr>
                <w:rFonts w:ascii="Arial" w:cs="Arial" w:eastAsia="Arial" w:hAnsi="Arial"/>
                <w:sz w:val="15"/>
                <w:szCs w:val="15"/>
                <w:color w:val="auto"/>
              </w:rPr>
              <w:t>performance and 30% linked to cumulative utility EPS</w:t>
            </w:r>
          </w:p>
        </w:tc>
        <w:tc>
          <w:tcPr>
            <w:tcW w:w="20" w:type="dxa"/>
            <w:vAlign w:val="bottom"/>
            <w:tcBorders>
              <w:bottom w:val="single" w:sz="8" w:color="0061AF"/>
            </w:tcBorders>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80" w:type="dxa"/>
            <w:vAlign w:val="bottom"/>
            <w:tcBorders>
              <w:left w:val="single" w:sz="8" w:color="0061AF"/>
              <w:right w:val="single" w:sz="8" w:color="0061AF"/>
            </w:tcBorders>
            <w:shd w:val="clear" w:color="auto" w:fill="D8E7F3"/>
          </w:tcPr>
          <w:p>
            <w:pPr>
              <w:spacing w:after="0"/>
              <w:rPr>
                <w:sz w:val="15"/>
                <w:szCs w:val="15"/>
                <w:color w:val="auto"/>
              </w:rPr>
            </w:pPr>
          </w:p>
        </w:tc>
        <w:tc>
          <w:tcPr>
            <w:tcW w:w="1060" w:type="dxa"/>
            <w:vAlign w:val="bottom"/>
            <w:tcBorders>
              <w:right w:val="single" w:sz="8" w:color="0061AF"/>
            </w:tcBorders>
          </w:tcPr>
          <w:p>
            <w:pPr>
              <w:spacing w:after="0"/>
              <w:rPr>
                <w:sz w:val="15"/>
                <w:szCs w:val="15"/>
                <w:color w:val="auto"/>
              </w:rPr>
            </w:pPr>
          </w:p>
        </w:tc>
        <w:tc>
          <w:tcPr>
            <w:tcW w:w="1660" w:type="dxa"/>
            <w:vAlign w:val="bottom"/>
            <w:tcBorders>
              <w:right w:val="single" w:sz="8" w:color="0061AF"/>
            </w:tcBorders>
          </w:tcPr>
          <w:p>
            <w:pPr>
              <w:spacing w:after="0"/>
              <w:rPr>
                <w:sz w:val="15"/>
                <w:szCs w:val="15"/>
                <w:color w:val="auto"/>
              </w:rPr>
            </w:pPr>
          </w:p>
        </w:tc>
        <w:tc>
          <w:tcPr>
            <w:tcW w:w="1640" w:type="dxa"/>
            <w:vAlign w:val="bottom"/>
            <w:tcBorders>
              <w:right w:val="single" w:sz="8" w:color="0061AF"/>
            </w:tcBorders>
          </w:tcPr>
          <w:p>
            <w:pPr>
              <w:spacing w:after="0"/>
              <w:rPr>
                <w:sz w:val="15"/>
                <w:szCs w:val="15"/>
                <w:color w:val="auto"/>
              </w:rPr>
            </w:pPr>
          </w:p>
        </w:tc>
        <w:tc>
          <w:tcPr>
            <w:tcW w:w="4580" w:type="dxa"/>
            <w:vAlign w:val="bottom"/>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color w:val="auto"/>
              </w:rPr>
              <w:t xml:space="preserve"> Promotes  retention,  facilitates  stock  ownership  and</w:t>
            </w:r>
          </w:p>
        </w:tc>
        <w:tc>
          <w:tcPr>
            <w:tcW w:w="20" w:type="dxa"/>
            <w:vAlign w:val="bottom"/>
            <w:shd w:val="clear" w:color="auto" w:fill="0061A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0" w:type="dxa"/>
            <w:vAlign w:val="bottom"/>
            <w:tcBorders>
              <w:left w:val="single" w:sz="8" w:color="0061AF"/>
              <w:right w:val="single" w:sz="8" w:color="0061AF"/>
            </w:tcBorders>
            <w:shd w:val="clear" w:color="auto" w:fill="D8E7F3"/>
          </w:tcPr>
          <w:p>
            <w:pPr>
              <w:spacing w:after="0"/>
              <w:rPr>
                <w:sz w:val="12"/>
                <w:szCs w:val="12"/>
                <w:color w:val="auto"/>
              </w:rPr>
            </w:pPr>
          </w:p>
        </w:tc>
        <w:tc>
          <w:tcPr>
            <w:tcW w:w="1060" w:type="dxa"/>
            <w:vAlign w:val="bottom"/>
            <w:tcBorders>
              <w:right w:val="single" w:sz="8" w:color="0061AF"/>
            </w:tcBorders>
          </w:tcPr>
          <w:p>
            <w:pPr>
              <w:spacing w:after="0"/>
              <w:rPr>
                <w:sz w:val="12"/>
                <w:szCs w:val="12"/>
                <w:color w:val="auto"/>
              </w:rPr>
            </w:pPr>
          </w:p>
        </w:tc>
        <w:tc>
          <w:tcPr>
            <w:tcW w:w="1660" w:type="dxa"/>
            <w:vAlign w:val="bottom"/>
            <w:tcBorders>
              <w:right w:val="single" w:sz="8" w:color="0061AF"/>
            </w:tcBorders>
          </w:tcPr>
          <w:p>
            <w:pPr>
              <w:spacing w:after="0"/>
              <w:rPr>
                <w:sz w:val="12"/>
                <w:szCs w:val="12"/>
                <w:color w:val="auto"/>
              </w:rPr>
            </w:pPr>
          </w:p>
        </w:tc>
        <w:tc>
          <w:tcPr>
            <w:tcW w:w="1640" w:type="dxa"/>
            <w:vAlign w:val="bottom"/>
            <w:tcBorders>
              <w:right w:val="single" w:sz="8" w:color="0061AF"/>
            </w:tcBorders>
            <w:vMerge w:val="restart"/>
          </w:tcPr>
          <w:p>
            <w:pPr>
              <w:jc w:val="center"/>
              <w:ind w:left="5"/>
              <w:spacing w:after="0"/>
              <w:rPr>
                <w:sz w:val="20"/>
                <w:szCs w:val="20"/>
                <w:color w:val="auto"/>
              </w:rPr>
            </w:pPr>
            <w:r>
              <w:rPr>
                <w:rFonts w:ascii="Arial" w:cs="Arial" w:eastAsia="Arial" w:hAnsi="Arial"/>
                <w:sz w:val="15"/>
                <w:szCs w:val="15"/>
                <w:b w:val="1"/>
                <w:bCs w:val="1"/>
                <w:color w:val="auto"/>
              </w:rPr>
              <w:t>Three-year cliff</w:t>
            </w:r>
          </w:p>
        </w:tc>
        <w:tc>
          <w:tcPr>
            <w:tcW w:w="4580" w:type="dxa"/>
            <w:vAlign w:val="bottom"/>
          </w:tcPr>
          <w:p>
            <w:pPr>
              <w:ind w:left="240"/>
              <w:spacing w:after="0" w:line="139" w:lineRule="exact"/>
              <w:rPr>
                <w:sz w:val="20"/>
                <w:szCs w:val="20"/>
                <w:color w:val="auto"/>
              </w:rPr>
            </w:pPr>
            <w:r>
              <w:rPr>
                <w:rFonts w:ascii="Arial" w:cs="Arial" w:eastAsia="Arial" w:hAnsi="Arial"/>
                <w:sz w:val="15"/>
                <w:szCs w:val="15"/>
                <w:color w:val="auto"/>
              </w:rPr>
              <w:t>supports succession planning</w:t>
            </w:r>
          </w:p>
        </w:tc>
        <w:tc>
          <w:tcPr>
            <w:tcW w:w="2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80" w:type="dxa"/>
            <w:vAlign w:val="bottom"/>
            <w:tcBorders>
              <w:left w:val="single" w:sz="8" w:color="0061AF"/>
              <w:right w:val="single" w:sz="8" w:color="0061AF"/>
            </w:tcBorders>
            <w:shd w:val="clear" w:color="auto" w:fill="D8E7F3"/>
          </w:tcPr>
          <w:p>
            <w:pPr>
              <w:spacing w:after="0"/>
              <w:rPr>
                <w:sz w:val="9"/>
                <w:szCs w:val="9"/>
                <w:color w:val="auto"/>
              </w:rPr>
            </w:pPr>
          </w:p>
        </w:tc>
        <w:tc>
          <w:tcPr>
            <w:tcW w:w="1060" w:type="dxa"/>
            <w:vAlign w:val="bottom"/>
            <w:tcBorders>
              <w:right w:val="single" w:sz="8" w:color="0061AF"/>
            </w:tcBorders>
          </w:tcPr>
          <w:p>
            <w:pPr>
              <w:spacing w:after="0"/>
              <w:rPr>
                <w:sz w:val="9"/>
                <w:szCs w:val="9"/>
                <w:color w:val="auto"/>
              </w:rPr>
            </w:pPr>
          </w:p>
        </w:tc>
        <w:tc>
          <w:tcPr>
            <w:tcW w:w="166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i w:val="1"/>
                <w:iCs w:val="1"/>
                <w:color w:val="auto"/>
              </w:rPr>
              <w:t>Restricted Stock</w:t>
            </w:r>
          </w:p>
        </w:tc>
        <w:tc>
          <w:tcPr>
            <w:tcW w:w="1640" w:type="dxa"/>
            <w:vAlign w:val="bottom"/>
            <w:tcBorders>
              <w:right w:val="single" w:sz="8" w:color="0061AF"/>
            </w:tcBorders>
            <w:vMerge w:val="continue"/>
          </w:tcPr>
          <w:p>
            <w:pPr>
              <w:spacing w:after="0"/>
              <w:rPr>
                <w:sz w:val="9"/>
                <w:szCs w:val="9"/>
                <w:color w:val="auto"/>
              </w:rPr>
            </w:pPr>
          </w:p>
        </w:tc>
        <w:tc>
          <w:tcPr>
            <w:tcW w:w="4580" w:type="dxa"/>
            <w:vAlign w:val="bottom"/>
            <w:vMerge w:val="restart"/>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color w:val="auto"/>
              </w:rPr>
              <w:t xml:space="preserve"> Aligns with long-term shareholder interests</w:t>
            </w:r>
          </w:p>
        </w:tc>
        <w:tc>
          <w:tcPr>
            <w:tcW w:w="20" w:type="dxa"/>
            <w:vAlign w:val="bottom"/>
            <w:shd w:val="clear" w:color="auto" w:fill="0061A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780" w:type="dxa"/>
            <w:vAlign w:val="bottom"/>
            <w:tcBorders>
              <w:left w:val="single" w:sz="8" w:color="0061AF"/>
              <w:right w:val="single" w:sz="8" w:color="0061AF"/>
            </w:tcBorders>
            <w:shd w:val="clear" w:color="auto" w:fill="D8E7F3"/>
          </w:tcPr>
          <w:p>
            <w:pPr>
              <w:spacing w:after="0"/>
              <w:rPr>
                <w:sz w:val="7"/>
                <w:szCs w:val="7"/>
                <w:color w:val="auto"/>
              </w:rPr>
            </w:pPr>
          </w:p>
        </w:tc>
        <w:tc>
          <w:tcPr>
            <w:tcW w:w="1060" w:type="dxa"/>
            <w:vAlign w:val="bottom"/>
            <w:tcBorders>
              <w:right w:val="single" w:sz="8" w:color="0061AF"/>
            </w:tcBorders>
          </w:tcPr>
          <w:p>
            <w:pPr>
              <w:spacing w:after="0"/>
              <w:rPr>
                <w:sz w:val="7"/>
                <w:szCs w:val="7"/>
                <w:color w:val="auto"/>
              </w:rPr>
            </w:pPr>
          </w:p>
        </w:tc>
        <w:tc>
          <w:tcPr>
            <w:tcW w:w="1660" w:type="dxa"/>
            <w:vAlign w:val="bottom"/>
            <w:tcBorders>
              <w:right w:val="single" w:sz="8" w:color="0061AF"/>
            </w:tcBorders>
            <w:vMerge w:val="continue"/>
          </w:tcPr>
          <w:p>
            <w:pPr>
              <w:spacing w:after="0"/>
              <w:rPr>
                <w:sz w:val="7"/>
                <w:szCs w:val="7"/>
                <w:color w:val="auto"/>
              </w:rPr>
            </w:pPr>
          </w:p>
        </w:tc>
        <w:tc>
          <w:tcPr>
            <w:tcW w:w="1640" w:type="dxa"/>
            <w:vAlign w:val="bottom"/>
            <w:tcBorders>
              <w:right w:val="single" w:sz="8" w:color="0061AF"/>
            </w:tcBorders>
            <w:vMerge w:val="restart"/>
          </w:tcPr>
          <w:p>
            <w:pPr>
              <w:jc w:val="center"/>
              <w:ind w:left="5"/>
              <w:spacing w:after="0" w:line="167" w:lineRule="exact"/>
              <w:rPr>
                <w:sz w:val="20"/>
                <w:szCs w:val="20"/>
                <w:color w:val="auto"/>
              </w:rPr>
            </w:pPr>
            <w:r>
              <w:rPr>
                <w:rFonts w:ascii="Arial" w:cs="Arial" w:eastAsia="Arial" w:hAnsi="Arial"/>
                <w:sz w:val="15"/>
                <w:szCs w:val="15"/>
                <w:b w:val="1"/>
                <w:bCs w:val="1"/>
                <w:color w:val="auto"/>
              </w:rPr>
              <w:t>vesting, subject to</w:t>
            </w:r>
          </w:p>
        </w:tc>
        <w:tc>
          <w:tcPr>
            <w:tcW w:w="4580" w:type="dxa"/>
            <w:vAlign w:val="bottom"/>
            <w:vMerge w:val="continue"/>
          </w:tcPr>
          <w:p>
            <w:pPr>
              <w:spacing w:after="0"/>
              <w:rPr>
                <w:sz w:val="7"/>
                <w:szCs w:val="7"/>
                <w:color w:val="auto"/>
              </w:rPr>
            </w:pPr>
          </w:p>
        </w:tc>
        <w:tc>
          <w:tcPr>
            <w:tcW w:w="20" w:type="dxa"/>
            <w:vAlign w:val="bottom"/>
            <w:shd w:val="clear" w:color="auto" w:fill="0061AF"/>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780" w:type="dxa"/>
            <w:vAlign w:val="bottom"/>
            <w:tcBorders>
              <w:left w:val="single" w:sz="8" w:color="0061AF"/>
              <w:right w:val="single" w:sz="8" w:color="0061AF"/>
            </w:tcBorders>
            <w:shd w:val="clear" w:color="auto" w:fill="D8E7F3"/>
          </w:tcPr>
          <w:p>
            <w:pPr>
              <w:spacing w:after="0"/>
              <w:rPr>
                <w:sz w:val="7"/>
                <w:szCs w:val="7"/>
                <w:color w:val="auto"/>
              </w:rPr>
            </w:pPr>
          </w:p>
        </w:tc>
        <w:tc>
          <w:tcPr>
            <w:tcW w:w="1060" w:type="dxa"/>
            <w:vAlign w:val="bottom"/>
            <w:tcBorders>
              <w:right w:val="single" w:sz="8" w:color="0061AF"/>
            </w:tcBorders>
          </w:tcPr>
          <w:p>
            <w:pPr>
              <w:spacing w:after="0"/>
              <w:rPr>
                <w:sz w:val="7"/>
                <w:szCs w:val="7"/>
                <w:color w:val="auto"/>
              </w:rPr>
            </w:pPr>
          </w:p>
        </w:tc>
        <w:tc>
          <w:tcPr>
            <w:tcW w:w="1660" w:type="dxa"/>
            <w:vAlign w:val="bottom"/>
            <w:tcBorders>
              <w:right w:val="single" w:sz="8" w:color="0061AF"/>
            </w:tcBorders>
            <w:vMerge w:val="restart"/>
          </w:tcPr>
          <w:p>
            <w:pPr>
              <w:jc w:val="center"/>
              <w:spacing w:after="0"/>
              <w:rPr>
                <w:sz w:val="20"/>
                <w:szCs w:val="20"/>
                <w:color w:val="auto"/>
              </w:rPr>
            </w:pPr>
            <w:r>
              <w:rPr>
                <w:rFonts w:ascii="Arial" w:cs="Arial" w:eastAsia="Arial" w:hAnsi="Arial"/>
                <w:sz w:val="15"/>
                <w:szCs w:val="15"/>
                <w:b w:val="1"/>
                <w:bCs w:val="1"/>
                <w:i w:val="1"/>
                <w:iCs w:val="1"/>
                <w:color w:val="auto"/>
              </w:rPr>
              <w:t>Units (“RSUs”)</w:t>
            </w:r>
          </w:p>
        </w:tc>
        <w:tc>
          <w:tcPr>
            <w:tcW w:w="1640" w:type="dxa"/>
            <w:vAlign w:val="bottom"/>
            <w:tcBorders>
              <w:right w:val="single" w:sz="8" w:color="0061AF"/>
            </w:tcBorders>
            <w:vMerge w:val="continue"/>
          </w:tcPr>
          <w:p>
            <w:pPr>
              <w:spacing w:after="0"/>
              <w:rPr>
                <w:sz w:val="7"/>
                <w:szCs w:val="7"/>
                <w:color w:val="auto"/>
              </w:rPr>
            </w:pPr>
          </w:p>
        </w:tc>
        <w:tc>
          <w:tcPr>
            <w:tcW w:w="4580" w:type="dxa"/>
            <w:vAlign w:val="bottom"/>
            <w:vMerge w:val="restart"/>
          </w:tcPr>
          <w:p>
            <w:pPr>
              <w:ind w:left="100"/>
              <w:spacing w:after="0" w:line="173" w:lineRule="exact"/>
              <w:rPr>
                <w:sz w:val="20"/>
                <w:szCs w:val="20"/>
                <w:color w:val="auto"/>
              </w:rPr>
            </w:pPr>
            <w:r>
              <w:rPr>
                <w:rFonts w:ascii="MS PGothic" w:cs="MS PGothic" w:eastAsia="MS PGothic" w:hAnsi="MS PGothic"/>
                <w:sz w:val="15"/>
                <w:szCs w:val="15"/>
                <w:color w:val="0061AF"/>
              </w:rPr>
              <w:t>✓</w:t>
            </w:r>
            <w:r>
              <w:rPr>
                <w:rFonts w:ascii="Arial" w:cs="Arial" w:eastAsia="Arial" w:hAnsi="Arial"/>
                <w:sz w:val="15"/>
                <w:szCs w:val="15"/>
                <w:b w:val="1"/>
                <w:bCs w:val="1"/>
                <w:color w:val="0061AF"/>
              </w:rPr>
              <w:t xml:space="preserve"> NEW: </w:t>
            </w:r>
            <w:r>
              <w:rPr>
                <w:rFonts w:ascii="Arial" w:cs="Arial" w:eastAsia="Arial" w:hAnsi="Arial"/>
                <w:sz w:val="15"/>
                <w:szCs w:val="15"/>
                <w:color w:val="000000"/>
              </w:rPr>
              <w:t>Beginning in 2021, RSUs will represent 25% of total</w:t>
            </w:r>
          </w:p>
        </w:tc>
        <w:tc>
          <w:tcPr>
            <w:tcW w:w="20" w:type="dxa"/>
            <w:vAlign w:val="bottom"/>
            <w:shd w:val="clear" w:color="auto" w:fill="0061A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780" w:type="dxa"/>
            <w:vAlign w:val="bottom"/>
            <w:tcBorders>
              <w:left w:val="single" w:sz="8" w:color="0061AF"/>
              <w:right w:val="single" w:sz="8" w:color="0061AF"/>
            </w:tcBorders>
            <w:shd w:val="clear" w:color="auto" w:fill="D8E7F3"/>
          </w:tcPr>
          <w:p>
            <w:pPr>
              <w:spacing w:after="0"/>
              <w:rPr>
                <w:sz w:val="13"/>
                <w:szCs w:val="13"/>
                <w:color w:val="auto"/>
              </w:rPr>
            </w:pPr>
          </w:p>
        </w:tc>
        <w:tc>
          <w:tcPr>
            <w:tcW w:w="1060" w:type="dxa"/>
            <w:vAlign w:val="bottom"/>
            <w:tcBorders>
              <w:right w:val="single" w:sz="8" w:color="0061AF"/>
            </w:tcBorders>
          </w:tcPr>
          <w:p>
            <w:pPr>
              <w:spacing w:after="0"/>
              <w:rPr>
                <w:sz w:val="13"/>
                <w:szCs w:val="13"/>
                <w:color w:val="auto"/>
              </w:rPr>
            </w:pPr>
          </w:p>
        </w:tc>
        <w:tc>
          <w:tcPr>
            <w:tcW w:w="1660" w:type="dxa"/>
            <w:vAlign w:val="bottom"/>
            <w:tcBorders>
              <w:right w:val="single" w:sz="8" w:color="0061AF"/>
            </w:tcBorders>
            <w:vMerge w:val="continue"/>
          </w:tcPr>
          <w:p>
            <w:pPr>
              <w:spacing w:after="0"/>
              <w:rPr>
                <w:sz w:val="13"/>
                <w:szCs w:val="13"/>
                <w:color w:val="auto"/>
              </w:rPr>
            </w:pPr>
          </w:p>
        </w:tc>
        <w:tc>
          <w:tcPr>
            <w:tcW w:w="1640" w:type="dxa"/>
            <w:vAlign w:val="bottom"/>
            <w:tcBorders>
              <w:right w:val="single" w:sz="8" w:color="0061AF"/>
            </w:tcBorders>
          </w:tcPr>
          <w:p>
            <w:pPr>
              <w:jc w:val="center"/>
              <w:ind w:left="5"/>
              <w:spacing w:after="0" w:line="154" w:lineRule="exact"/>
              <w:rPr>
                <w:sz w:val="20"/>
                <w:szCs w:val="20"/>
                <w:color w:val="auto"/>
              </w:rPr>
            </w:pPr>
            <w:r>
              <w:rPr>
                <w:rFonts w:ascii="Arial" w:cs="Arial" w:eastAsia="Arial" w:hAnsi="Arial"/>
                <w:sz w:val="15"/>
                <w:szCs w:val="15"/>
                <w:b w:val="1"/>
                <w:bCs w:val="1"/>
                <w:color w:val="auto"/>
              </w:rPr>
              <w:t>continued</w:t>
            </w:r>
          </w:p>
        </w:tc>
        <w:tc>
          <w:tcPr>
            <w:tcW w:w="4580" w:type="dxa"/>
            <w:vAlign w:val="bottom"/>
            <w:vMerge w:val="continue"/>
          </w:tcPr>
          <w:p>
            <w:pPr>
              <w:spacing w:after="0"/>
              <w:rPr>
                <w:sz w:val="13"/>
                <w:szCs w:val="13"/>
                <w:color w:val="auto"/>
              </w:rPr>
            </w:pPr>
          </w:p>
        </w:tc>
        <w:tc>
          <w:tcPr>
            <w:tcW w:w="2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80" w:type="dxa"/>
            <w:vAlign w:val="bottom"/>
            <w:tcBorders>
              <w:left w:val="single" w:sz="8" w:color="0061AF"/>
              <w:right w:val="single" w:sz="8" w:color="0061AF"/>
            </w:tcBorders>
            <w:shd w:val="clear" w:color="auto" w:fill="D8E7F3"/>
          </w:tcPr>
          <w:p>
            <w:pPr>
              <w:spacing w:after="0"/>
              <w:rPr>
                <w:sz w:val="14"/>
                <w:szCs w:val="14"/>
                <w:color w:val="auto"/>
              </w:rPr>
            </w:pPr>
          </w:p>
        </w:tc>
        <w:tc>
          <w:tcPr>
            <w:tcW w:w="1060" w:type="dxa"/>
            <w:vAlign w:val="bottom"/>
            <w:tcBorders>
              <w:right w:val="single" w:sz="8" w:color="0061AF"/>
            </w:tcBorders>
          </w:tcPr>
          <w:p>
            <w:pPr>
              <w:spacing w:after="0"/>
              <w:rPr>
                <w:sz w:val="14"/>
                <w:szCs w:val="14"/>
                <w:color w:val="auto"/>
              </w:rPr>
            </w:pPr>
          </w:p>
        </w:tc>
        <w:tc>
          <w:tcPr>
            <w:tcW w:w="1660" w:type="dxa"/>
            <w:vAlign w:val="bottom"/>
            <w:tcBorders>
              <w:right w:val="single" w:sz="8" w:color="0061AF"/>
            </w:tcBorders>
          </w:tcPr>
          <w:p>
            <w:pPr>
              <w:jc w:val="center"/>
              <w:spacing w:after="0" w:line="167" w:lineRule="exact"/>
              <w:rPr>
                <w:sz w:val="20"/>
                <w:szCs w:val="20"/>
                <w:color w:val="auto"/>
              </w:rPr>
            </w:pPr>
            <w:r>
              <w:rPr>
                <w:rFonts w:ascii="Arial" w:cs="Arial" w:eastAsia="Arial" w:hAnsi="Arial"/>
                <w:sz w:val="15"/>
                <w:szCs w:val="15"/>
                <w:b w:val="1"/>
                <w:bCs w:val="1"/>
                <w:i w:val="1"/>
                <w:iCs w:val="1"/>
                <w:color w:val="auto"/>
                <w:w w:val="99"/>
              </w:rPr>
              <w:t>30%</w:t>
            </w:r>
          </w:p>
        </w:tc>
        <w:tc>
          <w:tcPr>
            <w:tcW w:w="1640" w:type="dxa"/>
            <w:vAlign w:val="bottom"/>
            <w:tcBorders>
              <w:right w:val="single" w:sz="8" w:color="0061AF"/>
            </w:tcBorders>
          </w:tcPr>
          <w:p>
            <w:pPr>
              <w:jc w:val="center"/>
              <w:spacing w:after="0" w:line="167" w:lineRule="exact"/>
              <w:rPr>
                <w:sz w:val="20"/>
                <w:szCs w:val="20"/>
                <w:color w:val="auto"/>
              </w:rPr>
            </w:pPr>
            <w:r>
              <w:rPr>
                <w:rFonts w:ascii="Arial" w:cs="Arial" w:eastAsia="Arial" w:hAnsi="Arial"/>
                <w:sz w:val="15"/>
                <w:szCs w:val="15"/>
                <w:b w:val="1"/>
                <w:bCs w:val="1"/>
                <w:color w:val="auto"/>
              </w:rPr>
              <w:t>employment</w:t>
            </w:r>
          </w:p>
        </w:tc>
        <w:tc>
          <w:tcPr>
            <w:tcW w:w="4580" w:type="dxa"/>
            <w:vAlign w:val="bottom"/>
          </w:tcPr>
          <w:p>
            <w:pPr>
              <w:ind w:left="240"/>
              <w:spacing w:after="0" w:line="167" w:lineRule="exact"/>
              <w:rPr>
                <w:sz w:val="20"/>
                <w:szCs w:val="20"/>
                <w:color w:val="auto"/>
              </w:rPr>
            </w:pPr>
            <w:r>
              <w:rPr>
                <w:rFonts w:ascii="Arial" w:cs="Arial" w:eastAsia="Arial" w:hAnsi="Arial"/>
                <w:sz w:val="15"/>
                <w:szCs w:val="15"/>
                <w:color w:val="auto"/>
              </w:rPr>
              <w:t>award value and will vest only if CenterPoint Energy</w:t>
            </w:r>
          </w:p>
        </w:tc>
        <w:tc>
          <w:tcPr>
            <w:tcW w:w="2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Borders>
              <w:left w:val="single" w:sz="8" w:color="0061AF"/>
              <w:right w:val="single" w:sz="8" w:color="0061AF"/>
            </w:tcBorders>
            <w:shd w:val="clear" w:color="auto" w:fill="D8E7F3"/>
          </w:tcPr>
          <w:p>
            <w:pPr>
              <w:spacing w:after="0"/>
              <w:rPr>
                <w:sz w:val="12"/>
                <w:szCs w:val="12"/>
                <w:color w:val="auto"/>
              </w:rPr>
            </w:pPr>
          </w:p>
        </w:tc>
        <w:tc>
          <w:tcPr>
            <w:tcW w:w="1060" w:type="dxa"/>
            <w:vAlign w:val="bottom"/>
            <w:tcBorders>
              <w:right w:val="single" w:sz="8" w:color="0061AF"/>
            </w:tcBorders>
          </w:tcPr>
          <w:p>
            <w:pPr>
              <w:spacing w:after="0"/>
              <w:rPr>
                <w:sz w:val="12"/>
                <w:szCs w:val="12"/>
                <w:color w:val="auto"/>
              </w:rPr>
            </w:pPr>
          </w:p>
        </w:tc>
        <w:tc>
          <w:tcPr>
            <w:tcW w:w="1660" w:type="dxa"/>
            <w:vAlign w:val="bottom"/>
            <w:tcBorders>
              <w:right w:val="single" w:sz="8" w:color="0061AF"/>
            </w:tcBorders>
          </w:tcPr>
          <w:p>
            <w:pPr>
              <w:spacing w:after="0"/>
              <w:rPr>
                <w:sz w:val="12"/>
                <w:szCs w:val="12"/>
                <w:color w:val="auto"/>
              </w:rPr>
            </w:pPr>
          </w:p>
        </w:tc>
        <w:tc>
          <w:tcPr>
            <w:tcW w:w="1640" w:type="dxa"/>
            <w:vAlign w:val="bottom"/>
            <w:tcBorders>
              <w:right w:val="single" w:sz="8" w:color="0061AF"/>
            </w:tcBorders>
          </w:tcPr>
          <w:p>
            <w:pPr>
              <w:spacing w:after="0"/>
              <w:rPr>
                <w:sz w:val="12"/>
                <w:szCs w:val="12"/>
                <w:color w:val="auto"/>
              </w:rPr>
            </w:pPr>
          </w:p>
        </w:tc>
        <w:tc>
          <w:tcPr>
            <w:tcW w:w="4580" w:type="dxa"/>
            <w:vAlign w:val="bottom"/>
          </w:tcPr>
          <w:p>
            <w:pPr>
              <w:ind w:left="240"/>
              <w:spacing w:after="0" w:line="149" w:lineRule="exact"/>
              <w:rPr>
                <w:sz w:val="20"/>
                <w:szCs w:val="20"/>
                <w:color w:val="auto"/>
              </w:rPr>
            </w:pPr>
            <w:r>
              <w:rPr>
                <w:rFonts w:ascii="Arial" w:cs="Arial" w:eastAsia="Arial" w:hAnsi="Arial"/>
                <w:sz w:val="15"/>
                <w:szCs w:val="15"/>
                <w:color w:val="auto"/>
              </w:rPr>
              <w:t>achieves positive operating income in the last full calendar</w:t>
            </w:r>
          </w:p>
        </w:tc>
        <w:tc>
          <w:tcPr>
            <w:tcW w:w="2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0" w:type="dxa"/>
            <w:vAlign w:val="bottom"/>
            <w:tcBorders>
              <w:left w:val="single" w:sz="8" w:color="0061AF"/>
              <w:bottom w:val="single" w:sz="8" w:color="0061AF"/>
              <w:right w:val="single" w:sz="8" w:color="0061AF"/>
            </w:tcBorders>
            <w:shd w:val="clear" w:color="auto" w:fill="D8E7F3"/>
          </w:tcPr>
          <w:p>
            <w:pPr>
              <w:spacing w:after="0"/>
              <w:rPr>
                <w:sz w:val="15"/>
                <w:szCs w:val="15"/>
                <w:color w:val="auto"/>
              </w:rPr>
            </w:pPr>
          </w:p>
        </w:tc>
        <w:tc>
          <w:tcPr>
            <w:tcW w:w="1060" w:type="dxa"/>
            <w:vAlign w:val="bottom"/>
            <w:tcBorders>
              <w:bottom w:val="single" w:sz="8" w:color="0061AF"/>
              <w:right w:val="single" w:sz="8" w:color="0061AF"/>
            </w:tcBorders>
          </w:tcPr>
          <w:p>
            <w:pPr>
              <w:spacing w:after="0"/>
              <w:rPr>
                <w:sz w:val="15"/>
                <w:szCs w:val="15"/>
                <w:color w:val="auto"/>
              </w:rPr>
            </w:pPr>
          </w:p>
        </w:tc>
        <w:tc>
          <w:tcPr>
            <w:tcW w:w="1660" w:type="dxa"/>
            <w:vAlign w:val="bottom"/>
            <w:tcBorders>
              <w:bottom w:val="single" w:sz="8" w:color="0061AF"/>
              <w:right w:val="single" w:sz="8" w:color="0061AF"/>
            </w:tcBorders>
          </w:tcPr>
          <w:p>
            <w:pPr>
              <w:spacing w:after="0"/>
              <w:rPr>
                <w:sz w:val="15"/>
                <w:szCs w:val="15"/>
                <w:color w:val="auto"/>
              </w:rPr>
            </w:pPr>
          </w:p>
        </w:tc>
        <w:tc>
          <w:tcPr>
            <w:tcW w:w="1640" w:type="dxa"/>
            <w:vAlign w:val="bottom"/>
            <w:tcBorders>
              <w:bottom w:val="single" w:sz="8" w:color="0061AF"/>
              <w:right w:val="single" w:sz="8" w:color="0061AF"/>
            </w:tcBorders>
          </w:tcPr>
          <w:p>
            <w:pPr>
              <w:spacing w:after="0"/>
              <w:rPr>
                <w:sz w:val="15"/>
                <w:szCs w:val="15"/>
                <w:color w:val="auto"/>
              </w:rPr>
            </w:pPr>
          </w:p>
        </w:tc>
        <w:tc>
          <w:tcPr>
            <w:tcW w:w="4580" w:type="dxa"/>
            <w:vAlign w:val="bottom"/>
            <w:tcBorders>
              <w:bottom w:val="single" w:sz="8" w:color="0061AF"/>
            </w:tcBorders>
          </w:tcPr>
          <w:p>
            <w:pPr>
              <w:ind w:left="240"/>
              <w:spacing w:after="0"/>
              <w:rPr>
                <w:sz w:val="20"/>
                <w:szCs w:val="20"/>
                <w:color w:val="auto"/>
              </w:rPr>
            </w:pPr>
            <w:r>
              <w:rPr>
                <w:rFonts w:ascii="Arial" w:cs="Arial" w:eastAsia="Arial" w:hAnsi="Arial"/>
                <w:sz w:val="15"/>
                <w:szCs w:val="15"/>
                <w:color w:val="auto"/>
              </w:rPr>
              <w:t>year of the restricted period</w:t>
            </w:r>
          </w:p>
        </w:tc>
        <w:tc>
          <w:tcPr>
            <w:tcW w:w="20" w:type="dxa"/>
            <w:vAlign w:val="bottom"/>
            <w:tcBorders>
              <w:bottom w:val="single" w:sz="8" w:color="0061AF"/>
            </w:tcBorders>
            <w:shd w:val="clear" w:color="auto" w:fill="0061AF"/>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Pay For Performance</w:t>
      </w:r>
    </w:p>
    <w:p>
      <w:pPr>
        <w:spacing w:after="0" w:line="108"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 guiding principle of our compensation philosophy is that the interests of executives and shareholders should be aligned and that pay should be based on performance. Our program provides upside and downside potential, depending on actual results, as compared to predetermined measures of success.</w:t>
      </w:r>
    </w:p>
    <w:p>
      <w:pPr>
        <w:spacing w:after="0" w:line="18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A significant portion of our named executive officers’ total direct compensation, which includes base salary in addition to the short-term and long-term incentive components, as applicable, is conditioned upon achieving results that are key to our long-term success and increasing shareholder value.</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40"/>
          </w:cols>
          <w:pgMar w:left="1080" w:top="305" w:right="1079" w:bottom="1440" w:gutter="0" w:footer="0" w:header="0"/>
        </w:sectPr>
      </w:pPr>
    </w:p>
    <w:bookmarkStart w:id="45" w:name="page46"/>
    <w:bookmarkEnd w:id="45"/>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following graphics reflect the components of the target total direct compensation opportunities provided to our named executive officers.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TARGET COMPENSATION MIX AS OF DECEMBER 31, 2020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133350</wp:posOffset>
            </wp:positionV>
            <wp:extent cx="4511040" cy="2085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11040"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graphic represents the average size of each component as a percentage of each named executive officer’s (other than the Chief Executive Officer’s and former senior executive officers’) target total direct compensation opportunities (approved by the Compensation Committee in 2020).</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2020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2020 Target Compensation Opportunities for Named Executive Officers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Prior to our shareholder engagement effort, the overall objectives and structure of our executive compensation program for our named executive officers remained largely unchanged in 2020 as compared to 2019. In February 2020, or, for our new executive officers, prior to their employment, the Compensation Committee reviewed the base salary and short-term and long-term incentive targets, as applicable, for each of our named executive officers and certain of our named executive officers serving in interim positions in 2020, and determined their respective base salaries and short-term and long-term incentive targets, as applicable, to provide each officer a competitive total direct compensation opportunity as shown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shd w:val="clear" w:color="auto" w:fill="0061AF"/>
          </w:tcPr>
          <w:p>
            <w:pPr>
              <w:spacing w:after="0"/>
              <w:rPr>
                <w:sz w:val="12"/>
                <w:szCs w:val="12"/>
                <w:color w:val="auto"/>
              </w:rPr>
            </w:pPr>
          </w:p>
        </w:tc>
        <w:tc>
          <w:tcPr>
            <w:tcW w:w="116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11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6"/>
              </w:rPr>
              <w:t>2020</w:t>
            </w:r>
          </w:p>
        </w:tc>
        <w:tc>
          <w:tcPr>
            <w:tcW w:w="480" w:type="dxa"/>
            <w:vAlign w:val="bottom"/>
            <w:shd w:val="clear" w:color="auto" w:fill="0061AF"/>
          </w:tcPr>
          <w:p>
            <w:pPr>
              <w:spacing w:after="0"/>
              <w:rPr>
                <w:sz w:val="12"/>
                <w:szCs w:val="12"/>
                <w:color w:val="auto"/>
              </w:rPr>
            </w:pPr>
          </w:p>
        </w:tc>
        <w:tc>
          <w:tcPr>
            <w:tcW w:w="840" w:type="dxa"/>
            <w:vAlign w:val="bottom"/>
            <w:shd w:val="clear" w:color="auto" w:fill="0061AF"/>
          </w:tcPr>
          <w:p>
            <w:pPr>
              <w:spacing w:after="0"/>
              <w:rPr>
                <w:sz w:val="12"/>
                <w:szCs w:val="12"/>
                <w:color w:val="auto"/>
              </w:rPr>
            </w:pPr>
          </w:p>
        </w:tc>
        <w:tc>
          <w:tcPr>
            <w:tcW w:w="11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6"/>
              </w:rPr>
              <w:t>2020</w:t>
            </w:r>
          </w:p>
        </w:tc>
        <w:tc>
          <w:tcPr>
            <w:tcW w:w="300" w:type="dxa"/>
            <w:vAlign w:val="bottom"/>
            <w:shd w:val="clear" w:color="auto" w:fill="0061AF"/>
          </w:tcPr>
          <w:p>
            <w:pPr>
              <w:spacing w:after="0"/>
              <w:rPr>
                <w:sz w:val="12"/>
                <w:szCs w:val="12"/>
                <w:color w:val="auto"/>
              </w:rPr>
            </w:pPr>
          </w:p>
        </w:tc>
        <w:tc>
          <w:tcPr>
            <w:tcW w:w="700" w:type="dxa"/>
            <w:vAlign w:val="bottom"/>
            <w:shd w:val="clear" w:color="auto" w:fill="0061AF"/>
          </w:tcPr>
          <w:p>
            <w:pPr>
              <w:spacing w:after="0"/>
              <w:rPr>
                <w:sz w:val="12"/>
                <w:szCs w:val="12"/>
                <w:color w:val="auto"/>
              </w:rPr>
            </w:pPr>
          </w:p>
        </w:tc>
        <w:tc>
          <w:tcPr>
            <w:tcW w:w="460" w:type="dxa"/>
            <w:vAlign w:val="bottom"/>
            <w:shd w:val="clear" w:color="auto" w:fill="0061AF"/>
          </w:tcPr>
          <w:p>
            <w:pPr>
              <w:spacing w:after="0"/>
              <w:rPr>
                <w:sz w:val="12"/>
                <w:szCs w:val="12"/>
                <w:color w:val="auto"/>
              </w:rPr>
            </w:pPr>
          </w:p>
        </w:tc>
        <w:tc>
          <w:tcPr>
            <w:tcW w:w="740" w:type="dxa"/>
            <w:vAlign w:val="bottom"/>
            <w:shd w:val="clear" w:color="auto" w:fill="0061AF"/>
          </w:tcPr>
          <w:p>
            <w:pPr>
              <w:spacing w:after="0"/>
              <w:rPr>
                <w:sz w:val="12"/>
                <w:szCs w:val="12"/>
                <w:color w:val="auto"/>
              </w:rPr>
            </w:pPr>
          </w:p>
        </w:tc>
      </w:tr>
      <w:tr>
        <w:trPr>
          <w:trHeight w:val="143"/>
        </w:trPr>
        <w:tc>
          <w:tcPr>
            <w:tcW w:w="2120" w:type="dxa"/>
            <w:vAlign w:val="bottom"/>
            <w:shd w:val="clear" w:color="auto" w:fill="0061AF"/>
          </w:tcPr>
          <w:p>
            <w:pPr>
              <w:spacing w:after="0"/>
              <w:rPr>
                <w:sz w:val="12"/>
                <w:szCs w:val="12"/>
                <w:color w:val="auto"/>
              </w:rPr>
            </w:pPr>
          </w:p>
        </w:tc>
        <w:tc>
          <w:tcPr>
            <w:tcW w:w="116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11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9"/>
              </w:rPr>
              <w:t>Short-</w:t>
            </w:r>
          </w:p>
        </w:tc>
        <w:tc>
          <w:tcPr>
            <w:tcW w:w="480" w:type="dxa"/>
            <w:vAlign w:val="bottom"/>
            <w:shd w:val="clear" w:color="auto" w:fill="0061AF"/>
          </w:tcPr>
          <w:p>
            <w:pPr>
              <w:spacing w:after="0"/>
              <w:rPr>
                <w:sz w:val="12"/>
                <w:szCs w:val="12"/>
                <w:color w:val="auto"/>
              </w:rPr>
            </w:pPr>
          </w:p>
        </w:tc>
        <w:tc>
          <w:tcPr>
            <w:tcW w:w="840" w:type="dxa"/>
            <w:vAlign w:val="bottom"/>
            <w:shd w:val="clear" w:color="auto" w:fill="0061AF"/>
          </w:tcPr>
          <w:p>
            <w:pPr>
              <w:spacing w:after="0"/>
              <w:rPr>
                <w:sz w:val="12"/>
                <w:szCs w:val="12"/>
                <w:color w:val="auto"/>
              </w:rPr>
            </w:pPr>
          </w:p>
        </w:tc>
        <w:tc>
          <w:tcPr>
            <w:tcW w:w="11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9"/>
              </w:rPr>
              <w:t>Long-</w:t>
            </w:r>
          </w:p>
        </w:tc>
        <w:tc>
          <w:tcPr>
            <w:tcW w:w="300" w:type="dxa"/>
            <w:vAlign w:val="bottom"/>
            <w:shd w:val="clear" w:color="auto" w:fill="0061AF"/>
          </w:tcPr>
          <w:p>
            <w:pPr>
              <w:spacing w:after="0"/>
              <w:rPr>
                <w:sz w:val="12"/>
                <w:szCs w:val="12"/>
                <w:color w:val="auto"/>
              </w:rPr>
            </w:pPr>
          </w:p>
        </w:tc>
        <w:tc>
          <w:tcPr>
            <w:tcW w:w="700" w:type="dxa"/>
            <w:vAlign w:val="bottom"/>
            <w:shd w:val="clear" w:color="auto" w:fill="0061AF"/>
          </w:tcPr>
          <w:p>
            <w:pPr>
              <w:jc w:val="center"/>
              <w:ind w:right="237"/>
              <w:spacing w:after="0" w:line="143" w:lineRule="exact"/>
              <w:rPr>
                <w:sz w:val="20"/>
                <w:szCs w:val="20"/>
                <w:color w:val="auto"/>
              </w:rPr>
            </w:pPr>
            <w:r>
              <w:rPr>
                <w:rFonts w:ascii="Arial" w:cs="Arial" w:eastAsia="Arial" w:hAnsi="Arial"/>
                <w:sz w:val="13"/>
                <w:szCs w:val="13"/>
                <w:b w:val="1"/>
                <w:bCs w:val="1"/>
                <w:color w:val="FFFFFF"/>
                <w:w w:val="96"/>
              </w:rPr>
              <w:t>2020</w:t>
            </w:r>
          </w:p>
        </w:tc>
        <w:tc>
          <w:tcPr>
            <w:tcW w:w="460" w:type="dxa"/>
            <w:vAlign w:val="bottom"/>
            <w:shd w:val="clear" w:color="auto" w:fill="0061AF"/>
          </w:tcPr>
          <w:p>
            <w:pPr>
              <w:spacing w:after="0"/>
              <w:rPr>
                <w:sz w:val="12"/>
                <w:szCs w:val="12"/>
                <w:color w:val="auto"/>
              </w:rPr>
            </w:pPr>
          </w:p>
        </w:tc>
        <w:tc>
          <w:tcPr>
            <w:tcW w:w="740" w:type="dxa"/>
            <w:vAlign w:val="bottom"/>
            <w:shd w:val="clear" w:color="auto" w:fill="0061AF"/>
          </w:tcPr>
          <w:p>
            <w:pPr>
              <w:jc w:val="center"/>
              <w:ind w:right="357"/>
              <w:spacing w:after="0" w:line="143" w:lineRule="exact"/>
              <w:rPr>
                <w:sz w:val="20"/>
                <w:szCs w:val="20"/>
                <w:color w:val="auto"/>
              </w:rPr>
            </w:pPr>
            <w:r>
              <w:rPr>
                <w:rFonts w:ascii="Arial" w:cs="Arial" w:eastAsia="Arial" w:hAnsi="Arial"/>
                <w:sz w:val="13"/>
                <w:szCs w:val="13"/>
                <w:b w:val="1"/>
                <w:bCs w:val="1"/>
                <w:color w:val="FFFFFF"/>
                <w:w w:val="96"/>
              </w:rPr>
              <w:t>2020</w:t>
            </w:r>
          </w:p>
        </w:tc>
      </w:tr>
      <w:tr>
        <w:trPr>
          <w:trHeight w:val="143"/>
        </w:trPr>
        <w:tc>
          <w:tcPr>
            <w:tcW w:w="2120" w:type="dxa"/>
            <w:vAlign w:val="bottom"/>
            <w:shd w:val="clear" w:color="auto" w:fill="0061AF"/>
          </w:tcPr>
          <w:p>
            <w:pPr>
              <w:spacing w:after="0"/>
              <w:rPr>
                <w:sz w:val="12"/>
                <w:szCs w:val="12"/>
                <w:color w:val="auto"/>
              </w:rPr>
            </w:pPr>
          </w:p>
        </w:tc>
        <w:tc>
          <w:tcPr>
            <w:tcW w:w="116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11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term Incentive</w:t>
            </w:r>
          </w:p>
        </w:tc>
        <w:tc>
          <w:tcPr>
            <w:tcW w:w="480" w:type="dxa"/>
            <w:vAlign w:val="bottom"/>
            <w:shd w:val="clear" w:color="auto" w:fill="0061AF"/>
          </w:tcPr>
          <w:p>
            <w:pPr>
              <w:spacing w:after="0"/>
              <w:rPr>
                <w:sz w:val="12"/>
                <w:szCs w:val="12"/>
                <w:color w:val="auto"/>
              </w:rPr>
            </w:pPr>
          </w:p>
        </w:tc>
        <w:tc>
          <w:tcPr>
            <w:tcW w:w="840" w:type="dxa"/>
            <w:vAlign w:val="bottom"/>
            <w:shd w:val="clear" w:color="auto" w:fill="0061AF"/>
          </w:tcPr>
          <w:p>
            <w:pPr>
              <w:ind w:left="40"/>
              <w:spacing w:after="0" w:line="143" w:lineRule="exact"/>
              <w:rPr>
                <w:sz w:val="20"/>
                <w:szCs w:val="20"/>
                <w:color w:val="auto"/>
              </w:rPr>
            </w:pPr>
            <w:r>
              <w:rPr>
                <w:rFonts w:ascii="Arial" w:cs="Arial" w:eastAsia="Arial" w:hAnsi="Arial"/>
                <w:sz w:val="13"/>
                <w:szCs w:val="13"/>
                <w:b w:val="1"/>
                <w:bCs w:val="1"/>
                <w:color w:val="FFFFFF"/>
              </w:rPr>
              <w:t>2020</w:t>
            </w:r>
          </w:p>
        </w:tc>
        <w:tc>
          <w:tcPr>
            <w:tcW w:w="11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term Incentive</w:t>
            </w:r>
          </w:p>
        </w:tc>
        <w:tc>
          <w:tcPr>
            <w:tcW w:w="1000" w:type="dxa"/>
            <w:vAlign w:val="bottom"/>
            <w:gridSpan w:val="2"/>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Long-term</w:t>
            </w:r>
          </w:p>
        </w:tc>
        <w:tc>
          <w:tcPr>
            <w:tcW w:w="1200" w:type="dxa"/>
            <w:vAlign w:val="bottom"/>
            <w:gridSpan w:val="2"/>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Total Direct</w:t>
            </w:r>
          </w:p>
        </w:tc>
      </w:tr>
      <w:tr>
        <w:trPr>
          <w:trHeight w:val="143"/>
        </w:trPr>
        <w:tc>
          <w:tcPr>
            <w:tcW w:w="2120" w:type="dxa"/>
            <w:vAlign w:val="bottom"/>
            <w:shd w:val="clear" w:color="auto" w:fill="0061AF"/>
          </w:tcPr>
          <w:p>
            <w:pPr>
              <w:spacing w:after="0"/>
              <w:rPr>
                <w:sz w:val="12"/>
                <w:szCs w:val="12"/>
                <w:color w:val="auto"/>
              </w:rPr>
            </w:pPr>
          </w:p>
        </w:tc>
        <w:tc>
          <w:tcPr>
            <w:tcW w:w="1160" w:type="dxa"/>
            <w:vAlign w:val="bottom"/>
            <w:shd w:val="clear" w:color="auto" w:fill="0061AF"/>
          </w:tcPr>
          <w:p>
            <w:pPr>
              <w:spacing w:after="0"/>
              <w:rPr>
                <w:sz w:val="12"/>
                <w:szCs w:val="12"/>
                <w:color w:val="auto"/>
              </w:rPr>
            </w:pPr>
          </w:p>
        </w:tc>
        <w:tc>
          <w:tcPr>
            <w:tcW w:w="680" w:type="dxa"/>
            <w:vAlign w:val="bottom"/>
            <w:shd w:val="clear" w:color="auto" w:fill="0061AF"/>
          </w:tcPr>
          <w:p>
            <w:pPr>
              <w:jc w:val="right"/>
              <w:ind w:right="317"/>
              <w:spacing w:after="0" w:line="143" w:lineRule="exact"/>
              <w:rPr>
                <w:sz w:val="20"/>
                <w:szCs w:val="20"/>
                <w:color w:val="auto"/>
              </w:rPr>
            </w:pPr>
            <w:r>
              <w:rPr>
                <w:rFonts w:ascii="Arial" w:cs="Arial" w:eastAsia="Arial" w:hAnsi="Arial"/>
                <w:sz w:val="13"/>
                <w:szCs w:val="13"/>
                <w:b w:val="1"/>
                <w:bCs w:val="1"/>
                <w:color w:val="FFFFFF"/>
                <w:w w:val="96"/>
              </w:rPr>
              <w:t>2020</w:t>
            </w:r>
          </w:p>
        </w:tc>
        <w:tc>
          <w:tcPr>
            <w:tcW w:w="11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Target</w:t>
            </w:r>
          </w:p>
        </w:tc>
        <w:tc>
          <w:tcPr>
            <w:tcW w:w="1320" w:type="dxa"/>
            <w:vAlign w:val="bottom"/>
            <w:gridSpan w:val="2"/>
            <w:shd w:val="clear" w:color="auto" w:fill="0061AF"/>
          </w:tcPr>
          <w:p>
            <w:pPr>
              <w:ind w:left="140"/>
              <w:spacing w:after="0" w:line="143" w:lineRule="exact"/>
              <w:rPr>
                <w:sz w:val="20"/>
                <w:szCs w:val="20"/>
                <w:color w:val="auto"/>
              </w:rPr>
            </w:pPr>
            <w:r>
              <w:rPr>
                <w:rFonts w:ascii="Arial" w:cs="Arial" w:eastAsia="Arial" w:hAnsi="Arial"/>
                <w:sz w:val="13"/>
                <w:szCs w:val="13"/>
                <w:b w:val="1"/>
                <w:bCs w:val="1"/>
                <w:color w:val="FFFFFF"/>
              </w:rPr>
              <w:t>Short-term Target</w:t>
            </w:r>
          </w:p>
        </w:tc>
        <w:tc>
          <w:tcPr>
            <w:tcW w:w="11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Target</w:t>
            </w:r>
          </w:p>
        </w:tc>
        <w:tc>
          <w:tcPr>
            <w:tcW w:w="300" w:type="dxa"/>
            <w:vAlign w:val="bottom"/>
            <w:shd w:val="clear" w:color="auto" w:fill="0061AF"/>
          </w:tcPr>
          <w:p>
            <w:pPr>
              <w:spacing w:after="0"/>
              <w:rPr>
                <w:sz w:val="12"/>
                <w:szCs w:val="12"/>
                <w:color w:val="auto"/>
              </w:rPr>
            </w:pPr>
          </w:p>
        </w:tc>
        <w:tc>
          <w:tcPr>
            <w:tcW w:w="700" w:type="dxa"/>
            <w:vAlign w:val="bottom"/>
            <w:shd w:val="clear" w:color="auto" w:fill="0061AF"/>
          </w:tcPr>
          <w:p>
            <w:pPr>
              <w:jc w:val="center"/>
              <w:ind w:right="257"/>
              <w:spacing w:after="0" w:line="143" w:lineRule="exact"/>
              <w:rPr>
                <w:sz w:val="20"/>
                <w:szCs w:val="20"/>
                <w:color w:val="auto"/>
              </w:rPr>
            </w:pPr>
            <w:r>
              <w:rPr>
                <w:rFonts w:ascii="Arial" w:cs="Arial" w:eastAsia="Arial" w:hAnsi="Arial"/>
                <w:sz w:val="13"/>
                <w:szCs w:val="13"/>
                <w:b w:val="1"/>
                <w:bCs w:val="1"/>
                <w:color w:val="FFFFFF"/>
                <w:w w:val="95"/>
              </w:rPr>
              <w:t>Target</w:t>
            </w:r>
          </w:p>
        </w:tc>
        <w:tc>
          <w:tcPr>
            <w:tcW w:w="1200" w:type="dxa"/>
            <w:vAlign w:val="bottom"/>
            <w:gridSpan w:val="2"/>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Target</w:t>
            </w:r>
          </w:p>
        </w:tc>
      </w:tr>
      <w:tr>
        <w:trPr>
          <w:trHeight w:val="194"/>
        </w:trPr>
        <w:tc>
          <w:tcPr>
            <w:tcW w:w="2120" w:type="dxa"/>
            <w:vAlign w:val="bottom"/>
            <w:tcBorders>
              <w:bottom w:val="single" w:sz="8" w:color="0061AF"/>
            </w:tcBorders>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1840" w:type="dxa"/>
            <w:vAlign w:val="bottom"/>
            <w:tcBorders>
              <w:bottom w:val="single" w:sz="8" w:color="0061AF"/>
            </w:tcBorders>
            <w:gridSpan w:val="2"/>
            <w:shd w:val="clear" w:color="auto" w:fill="0061AF"/>
          </w:tcPr>
          <w:p>
            <w:pPr>
              <w:jc w:val="right"/>
              <w:ind w:right="97"/>
              <w:spacing w:after="0"/>
              <w:rPr>
                <w:sz w:val="20"/>
                <w:szCs w:val="20"/>
                <w:color w:val="auto"/>
              </w:rPr>
            </w:pPr>
            <w:r>
              <w:rPr>
                <w:rFonts w:ascii="Arial" w:cs="Arial" w:eastAsia="Arial" w:hAnsi="Arial"/>
                <w:sz w:val="13"/>
                <w:szCs w:val="13"/>
                <w:b w:val="1"/>
                <w:bCs w:val="1"/>
                <w:color w:val="FFFFFF"/>
              </w:rPr>
              <w:t>Base Salary</w:t>
            </w:r>
          </w:p>
        </w:tc>
        <w:tc>
          <w:tcPr>
            <w:tcW w:w="1120" w:type="dxa"/>
            <w:vAlign w:val="bottom"/>
            <w:tcBorders>
              <w:bottom w:val="single" w:sz="8" w:color="0061AF"/>
            </w:tcBorders>
            <w:shd w:val="clear" w:color="auto" w:fill="0061AF"/>
          </w:tcPr>
          <w:p>
            <w:pPr>
              <w:jc w:val="center"/>
              <w:spacing w:after="0"/>
              <w:rPr>
                <w:sz w:val="20"/>
                <w:szCs w:val="20"/>
                <w:color w:val="auto"/>
              </w:rPr>
            </w:pPr>
            <w:r>
              <w:rPr>
                <w:rFonts w:ascii="Arial" w:cs="Arial" w:eastAsia="Arial" w:hAnsi="Arial"/>
                <w:sz w:val="13"/>
                <w:szCs w:val="13"/>
                <w:b w:val="1"/>
                <w:bCs w:val="1"/>
                <w:color w:val="FFFFFF"/>
                <w:w w:val="96"/>
              </w:rPr>
              <w:t>(% of Salary)</w:t>
            </w:r>
          </w:p>
        </w:tc>
        <w:tc>
          <w:tcPr>
            <w:tcW w:w="1320" w:type="dxa"/>
            <w:vAlign w:val="bottom"/>
            <w:tcBorders>
              <w:bottom w:val="single" w:sz="8" w:color="0061AF"/>
            </w:tcBorders>
            <w:gridSpan w:val="2"/>
            <w:shd w:val="clear" w:color="auto" w:fill="0061AF"/>
          </w:tcPr>
          <w:p>
            <w:pPr>
              <w:ind w:left="300"/>
              <w:spacing w:after="0"/>
              <w:rPr>
                <w:sz w:val="20"/>
                <w:szCs w:val="20"/>
                <w:color w:val="auto"/>
              </w:rPr>
            </w:pPr>
            <w:r>
              <w:rPr>
                <w:rFonts w:ascii="Arial" w:cs="Arial" w:eastAsia="Arial" w:hAnsi="Arial"/>
                <w:sz w:val="13"/>
                <w:szCs w:val="13"/>
                <w:b w:val="1"/>
                <w:bCs w:val="1"/>
                <w:color w:val="FFFFFF"/>
              </w:rPr>
              <w:t>Opportunity</w:t>
            </w:r>
          </w:p>
        </w:tc>
        <w:tc>
          <w:tcPr>
            <w:tcW w:w="1120" w:type="dxa"/>
            <w:vAlign w:val="bottom"/>
            <w:tcBorders>
              <w:bottom w:val="single" w:sz="8" w:color="0061AF"/>
            </w:tcBorders>
            <w:shd w:val="clear" w:color="auto" w:fill="0061AF"/>
          </w:tcPr>
          <w:p>
            <w:pPr>
              <w:jc w:val="center"/>
              <w:spacing w:after="0"/>
              <w:rPr>
                <w:sz w:val="20"/>
                <w:szCs w:val="20"/>
                <w:color w:val="auto"/>
              </w:rPr>
            </w:pPr>
            <w:r>
              <w:rPr>
                <w:rFonts w:ascii="Arial" w:cs="Arial" w:eastAsia="Arial" w:hAnsi="Arial"/>
                <w:sz w:val="13"/>
                <w:szCs w:val="13"/>
                <w:b w:val="1"/>
                <w:bCs w:val="1"/>
                <w:color w:val="FFFFFF"/>
                <w:w w:val="96"/>
              </w:rPr>
              <w:t>(% of Salary)</w:t>
            </w:r>
          </w:p>
        </w:tc>
        <w:tc>
          <w:tcPr>
            <w:tcW w:w="1000" w:type="dxa"/>
            <w:vAlign w:val="bottom"/>
            <w:tcBorders>
              <w:bottom w:val="single" w:sz="8" w:color="0061AF"/>
            </w:tcBorders>
            <w:gridSpan w:val="2"/>
            <w:shd w:val="clear" w:color="auto" w:fill="0061AF"/>
          </w:tcPr>
          <w:p>
            <w:pPr>
              <w:jc w:val="center"/>
              <w:spacing w:after="0"/>
              <w:rPr>
                <w:sz w:val="20"/>
                <w:szCs w:val="20"/>
                <w:color w:val="auto"/>
              </w:rPr>
            </w:pPr>
            <w:r>
              <w:rPr>
                <w:rFonts w:ascii="Arial" w:cs="Arial" w:eastAsia="Arial" w:hAnsi="Arial"/>
                <w:sz w:val="13"/>
                <w:szCs w:val="13"/>
                <w:b w:val="1"/>
                <w:bCs w:val="1"/>
                <w:color w:val="FFFFFF"/>
                <w:w w:val="99"/>
              </w:rPr>
              <w:t>Opportunity</w:t>
            </w:r>
          </w:p>
        </w:tc>
        <w:tc>
          <w:tcPr>
            <w:tcW w:w="1200" w:type="dxa"/>
            <w:vAlign w:val="bottom"/>
            <w:tcBorders>
              <w:bottom w:val="single" w:sz="8" w:color="0061AF"/>
            </w:tcBorders>
            <w:gridSpan w:val="2"/>
            <w:shd w:val="clear" w:color="auto" w:fill="0061AF"/>
          </w:tcPr>
          <w:p>
            <w:pPr>
              <w:jc w:val="right"/>
              <w:ind w:right="117"/>
              <w:spacing w:after="0"/>
              <w:rPr>
                <w:sz w:val="20"/>
                <w:szCs w:val="20"/>
                <w:color w:val="auto"/>
              </w:rPr>
            </w:pPr>
            <w:r>
              <w:rPr>
                <w:rFonts w:ascii="Arial" w:cs="Arial" w:eastAsia="Arial" w:hAnsi="Arial"/>
                <w:sz w:val="13"/>
                <w:szCs w:val="13"/>
                <w:b w:val="1"/>
                <w:bCs w:val="1"/>
                <w:color w:val="FFFFFF"/>
              </w:rPr>
              <w:t>Compensation</w:t>
            </w:r>
          </w:p>
        </w:tc>
      </w:tr>
      <w:tr>
        <w:trPr>
          <w:trHeight w:val="143"/>
        </w:trPr>
        <w:tc>
          <w:tcPr>
            <w:tcW w:w="2120" w:type="dxa"/>
            <w:vAlign w:val="bottom"/>
          </w:tcPr>
          <w:p>
            <w:pPr>
              <w:spacing w:after="0" w:line="143" w:lineRule="exact"/>
              <w:rPr>
                <w:sz w:val="20"/>
                <w:szCs w:val="20"/>
                <w:color w:val="auto"/>
              </w:rPr>
            </w:pPr>
            <w:r>
              <w:rPr>
                <w:rFonts w:ascii="Arial" w:cs="Arial" w:eastAsia="Arial" w:hAnsi="Arial"/>
                <w:sz w:val="13"/>
                <w:szCs w:val="13"/>
                <w:b w:val="1"/>
                <w:bCs w:val="1"/>
                <w:color w:val="auto"/>
              </w:rPr>
              <w:t>David J. Lesar*</w:t>
            </w:r>
          </w:p>
        </w:tc>
        <w:tc>
          <w:tcPr>
            <w:tcW w:w="1840" w:type="dxa"/>
            <w:vAlign w:val="bottom"/>
            <w:gridSpan w:val="2"/>
          </w:tcPr>
          <w:p>
            <w:pPr>
              <w:jc w:val="right"/>
              <w:ind w:right="97"/>
              <w:spacing w:after="0" w:line="143" w:lineRule="exact"/>
              <w:rPr>
                <w:sz w:val="20"/>
                <w:szCs w:val="20"/>
                <w:color w:val="auto"/>
              </w:rPr>
            </w:pPr>
            <w:r>
              <w:rPr>
                <w:rFonts w:ascii="Arial" w:cs="Arial" w:eastAsia="Arial" w:hAnsi="Arial"/>
                <w:sz w:val="13"/>
                <w:szCs w:val="13"/>
                <w:color w:val="auto"/>
              </w:rPr>
              <w:t>$1,350,000</w:t>
            </w:r>
          </w:p>
        </w:tc>
        <w:tc>
          <w:tcPr>
            <w:tcW w:w="11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125%</w:t>
            </w:r>
          </w:p>
        </w:tc>
        <w:tc>
          <w:tcPr>
            <w:tcW w:w="1320" w:type="dxa"/>
            <w:vAlign w:val="bottom"/>
            <w:gridSpan w:val="2"/>
          </w:tcPr>
          <w:p>
            <w:pPr>
              <w:ind w:left="340"/>
              <w:spacing w:after="0" w:line="143" w:lineRule="exact"/>
              <w:rPr>
                <w:sz w:val="20"/>
                <w:szCs w:val="20"/>
                <w:color w:val="auto"/>
              </w:rPr>
            </w:pPr>
            <w:r>
              <w:rPr>
                <w:rFonts w:ascii="Arial" w:cs="Arial" w:eastAsia="Arial" w:hAnsi="Arial"/>
                <w:sz w:val="13"/>
                <w:szCs w:val="13"/>
                <w:color w:val="auto"/>
              </w:rPr>
              <w:t>$1,687,500</w:t>
            </w:r>
          </w:p>
        </w:tc>
        <w:tc>
          <w:tcPr>
            <w:tcW w:w="1120" w:type="dxa"/>
            <w:vAlign w:val="bottom"/>
          </w:tcPr>
          <w:p>
            <w:pPr>
              <w:jc w:val="center"/>
              <w:spacing w:after="0" w:line="143" w:lineRule="exact"/>
              <w:rPr>
                <w:sz w:val="20"/>
                <w:szCs w:val="20"/>
                <w:color w:val="auto"/>
              </w:rPr>
            </w:pPr>
            <w:r>
              <w:rPr>
                <w:rFonts w:ascii="Arial" w:cs="Arial" w:eastAsia="Arial" w:hAnsi="Arial"/>
                <w:sz w:val="13"/>
                <w:szCs w:val="13"/>
                <w:color w:val="auto"/>
                <w:w w:val="96"/>
              </w:rPr>
              <w:t>520%</w:t>
            </w:r>
          </w:p>
        </w:tc>
        <w:tc>
          <w:tcPr>
            <w:tcW w:w="1000" w:type="dxa"/>
            <w:vAlign w:val="bottom"/>
            <w:gridSpan w:val="2"/>
          </w:tcPr>
          <w:p>
            <w:pPr>
              <w:jc w:val="right"/>
              <w:ind w:right="77"/>
              <w:spacing w:after="0" w:line="143" w:lineRule="exact"/>
              <w:rPr>
                <w:sz w:val="20"/>
                <w:szCs w:val="20"/>
                <w:color w:val="auto"/>
              </w:rPr>
            </w:pPr>
            <w:r>
              <w:rPr>
                <w:rFonts w:ascii="Arial" w:cs="Arial" w:eastAsia="Arial" w:hAnsi="Arial"/>
                <w:sz w:val="13"/>
                <w:szCs w:val="13"/>
                <w:color w:val="auto"/>
              </w:rPr>
              <w:t>$7,020,000</w:t>
            </w:r>
          </w:p>
        </w:tc>
        <w:tc>
          <w:tcPr>
            <w:tcW w:w="1200" w:type="dxa"/>
            <w:vAlign w:val="bottom"/>
            <w:gridSpan w:val="2"/>
          </w:tcPr>
          <w:p>
            <w:pPr>
              <w:jc w:val="right"/>
              <w:ind w:right="37"/>
              <w:spacing w:after="0" w:line="143" w:lineRule="exact"/>
              <w:rPr>
                <w:sz w:val="20"/>
                <w:szCs w:val="20"/>
                <w:color w:val="auto"/>
              </w:rPr>
            </w:pPr>
            <w:r>
              <w:rPr>
                <w:rFonts w:ascii="Arial" w:cs="Arial" w:eastAsia="Arial" w:hAnsi="Arial"/>
                <w:sz w:val="13"/>
                <w:szCs w:val="13"/>
                <w:color w:val="auto"/>
              </w:rPr>
              <w:t>$10,057,500</w:t>
            </w:r>
          </w:p>
        </w:tc>
      </w:tr>
      <w:tr>
        <w:trPr>
          <w:trHeight w:val="143"/>
        </w:trPr>
        <w:tc>
          <w:tcPr>
            <w:tcW w:w="2120" w:type="dxa"/>
            <w:vAlign w:val="bottom"/>
            <w:shd w:val="clear" w:color="auto" w:fill="D8E7F3"/>
          </w:tcPr>
          <w:p>
            <w:pPr>
              <w:spacing w:after="0" w:line="143" w:lineRule="exact"/>
              <w:rPr>
                <w:sz w:val="20"/>
                <w:szCs w:val="20"/>
                <w:color w:val="auto"/>
              </w:rPr>
            </w:pPr>
            <w:r>
              <w:rPr>
                <w:rFonts w:ascii="Arial" w:cs="Arial" w:eastAsia="Arial" w:hAnsi="Arial"/>
                <w:sz w:val="13"/>
                <w:szCs w:val="13"/>
                <w:b w:val="1"/>
                <w:bCs w:val="1"/>
                <w:color w:val="auto"/>
              </w:rPr>
              <w:t>Jason P. Wells*</w:t>
            </w:r>
          </w:p>
        </w:tc>
        <w:tc>
          <w:tcPr>
            <w:tcW w:w="11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650,000</w:t>
            </w:r>
          </w:p>
        </w:tc>
        <w:tc>
          <w:tcPr>
            <w:tcW w:w="11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75%</w:t>
            </w:r>
          </w:p>
        </w:tc>
        <w:tc>
          <w:tcPr>
            <w:tcW w:w="480" w:type="dxa"/>
            <w:vAlign w:val="bottom"/>
            <w:shd w:val="clear" w:color="auto" w:fill="D8E7F3"/>
          </w:tcPr>
          <w:p>
            <w:pPr>
              <w:ind w:left="340"/>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487,500</w:t>
            </w:r>
          </w:p>
        </w:tc>
        <w:tc>
          <w:tcPr>
            <w:tcW w:w="112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6"/>
              </w:rPr>
              <w:t>250%</w:t>
            </w:r>
          </w:p>
        </w:tc>
        <w:tc>
          <w:tcPr>
            <w:tcW w:w="1000" w:type="dxa"/>
            <w:vAlign w:val="bottom"/>
            <w:gridSpan w:val="2"/>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$1,625,000</w:t>
            </w:r>
          </w:p>
        </w:tc>
        <w:tc>
          <w:tcPr>
            <w:tcW w:w="4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2,762,500</w:t>
            </w:r>
          </w:p>
        </w:tc>
      </w:tr>
      <w:tr>
        <w:trPr>
          <w:trHeight w:val="143"/>
        </w:trPr>
        <w:tc>
          <w:tcPr>
            <w:tcW w:w="2120" w:type="dxa"/>
            <w:vAlign w:val="bottom"/>
          </w:tcPr>
          <w:p>
            <w:pPr>
              <w:spacing w:after="0" w:line="143" w:lineRule="exact"/>
              <w:rPr>
                <w:sz w:val="20"/>
                <w:szCs w:val="20"/>
                <w:color w:val="auto"/>
              </w:rPr>
            </w:pPr>
            <w:r>
              <w:rPr>
                <w:rFonts w:ascii="Arial" w:cs="Arial" w:eastAsia="Arial" w:hAnsi="Arial"/>
                <w:sz w:val="13"/>
                <w:szCs w:val="13"/>
                <w:b w:val="1"/>
                <w:bCs w:val="1"/>
                <w:color w:val="auto"/>
              </w:rPr>
              <w:t>Milton Carroll</w:t>
            </w:r>
          </w:p>
        </w:tc>
        <w:tc>
          <w:tcPr>
            <w:tcW w:w="11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7"/>
              <w:spacing w:after="0" w:line="143" w:lineRule="exact"/>
              <w:rPr>
                <w:sz w:val="20"/>
                <w:szCs w:val="20"/>
                <w:color w:val="auto"/>
              </w:rPr>
            </w:pPr>
            <w:r>
              <w:rPr>
                <w:rFonts w:ascii="Arial" w:cs="Arial" w:eastAsia="Arial" w:hAnsi="Arial"/>
                <w:sz w:val="13"/>
                <w:szCs w:val="13"/>
                <w:color w:val="auto"/>
              </w:rPr>
              <w:t>820,000</w:t>
            </w:r>
          </w:p>
        </w:tc>
        <w:tc>
          <w:tcPr>
            <w:tcW w:w="1120" w:type="dxa"/>
            <w:vAlign w:val="bottom"/>
          </w:tcPr>
          <w:p>
            <w:pPr>
              <w:jc w:val="center"/>
              <w:spacing w:after="0" w:line="143" w:lineRule="exact"/>
              <w:rPr>
                <w:sz w:val="20"/>
                <w:szCs w:val="20"/>
                <w:color w:val="auto"/>
              </w:rPr>
            </w:pPr>
            <w:r>
              <w:rPr>
                <w:rFonts w:ascii="Arial" w:cs="Arial" w:eastAsia="Arial" w:hAnsi="Arial"/>
                <w:sz w:val="13"/>
                <w:szCs w:val="13"/>
                <w:color w:val="auto"/>
                <w:w w:val="96"/>
              </w:rPr>
              <w:t>Not eligible**</w:t>
            </w:r>
          </w:p>
        </w:tc>
        <w:tc>
          <w:tcPr>
            <w:tcW w:w="132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Not eligible**</w:t>
            </w:r>
          </w:p>
        </w:tc>
        <w:tc>
          <w:tcPr>
            <w:tcW w:w="1120" w:type="dxa"/>
            <w:vAlign w:val="bottom"/>
          </w:tcPr>
          <w:p>
            <w:pPr>
              <w:jc w:val="center"/>
              <w:spacing w:after="0" w:line="143" w:lineRule="exact"/>
              <w:rPr>
                <w:sz w:val="20"/>
                <w:szCs w:val="20"/>
                <w:color w:val="auto"/>
              </w:rPr>
            </w:pPr>
            <w:r>
              <w:rPr>
                <w:rFonts w:ascii="Arial" w:cs="Arial" w:eastAsia="Arial" w:hAnsi="Arial"/>
                <w:sz w:val="13"/>
                <w:szCs w:val="13"/>
                <w:color w:val="auto"/>
                <w:w w:val="96"/>
              </w:rPr>
              <w:t>325%</w:t>
            </w:r>
          </w:p>
        </w:tc>
        <w:tc>
          <w:tcPr>
            <w:tcW w:w="1000" w:type="dxa"/>
            <w:vAlign w:val="bottom"/>
            <w:gridSpan w:val="2"/>
          </w:tcPr>
          <w:p>
            <w:pPr>
              <w:jc w:val="right"/>
              <w:ind w:right="77"/>
              <w:spacing w:after="0" w:line="143" w:lineRule="exact"/>
              <w:rPr>
                <w:sz w:val="20"/>
                <w:szCs w:val="20"/>
                <w:color w:val="auto"/>
              </w:rPr>
            </w:pPr>
            <w:r>
              <w:rPr>
                <w:rFonts w:ascii="Arial" w:cs="Arial" w:eastAsia="Arial" w:hAnsi="Arial"/>
                <w:sz w:val="13"/>
                <w:szCs w:val="13"/>
                <w:color w:val="auto"/>
              </w:rPr>
              <w:t>$2,665,000</w:t>
            </w:r>
          </w:p>
        </w:tc>
        <w:tc>
          <w:tcPr>
            <w:tcW w:w="4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3,485,000</w:t>
            </w:r>
          </w:p>
        </w:tc>
      </w:tr>
      <w:tr>
        <w:trPr>
          <w:trHeight w:val="143"/>
        </w:trPr>
        <w:tc>
          <w:tcPr>
            <w:tcW w:w="2120" w:type="dxa"/>
            <w:vAlign w:val="bottom"/>
            <w:shd w:val="clear" w:color="auto" w:fill="D8E7F3"/>
          </w:tcPr>
          <w:p>
            <w:pPr>
              <w:spacing w:after="0" w:line="143" w:lineRule="exact"/>
              <w:rPr>
                <w:sz w:val="20"/>
                <w:szCs w:val="20"/>
                <w:color w:val="auto"/>
              </w:rPr>
            </w:pPr>
            <w:r>
              <w:rPr>
                <w:rFonts w:ascii="Arial" w:cs="Arial" w:eastAsia="Arial" w:hAnsi="Arial"/>
                <w:sz w:val="13"/>
                <w:szCs w:val="13"/>
                <w:b w:val="1"/>
                <w:bCs w:val="1"/>
                <w:color w:val="auto"/>
              </w:rPr>
              <w:t>Kristie L. Colvin*</w:t>
            </w:r>
          </w:p>
        </w:tc>
        <w:tc>
          <w:tcPr>
            <w:tcW w:w="11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380,000</w:t>
            </w:r>
          </w:p>
        </w:tc>
        <w:tc>
          <w:tcPr>
            <w:tcW w:w="11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55%</w:t>
            </w:r>
          </w:p>
        </w:tc>
        <w:tc>
          <w:tcPr>
            <w:tcW w:w="480" w:type="dxa"/>
            <w:vAlign w:val="bottom"/>
            <w:shd w:val="clear" w:color="auto" w:fill="D8E7F3"/>
          </w:tcPr>
          <w:p>
            <w:pPr>
              <w:ind w:left="340"/>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209,000</w:t>
            </w:r>
          </w:p>
        </w:tc>
        <w:tc>
          <w:tcPr>
            <w:tcW w:w="112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6"/>
              </w:rPr>
              <w:t>100%</w:t>
            </w:r>
          </w:p>
        </w:tc>
        <w:tc>
          <w:tcPr>
            <w:tcW w:w="3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380,000</w:t>
            </w:r>
          </w:p>
        </w:tc>
        <w:tc>
          <w:tcPr>
            <w:tcW w:w="4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969,000</w:t>
            </w:r>
          </w:p>
        </w:tc>
      </w:tr>
      <w:tr>
        <w:trPr>
          <w:trHeight w:val="143"/>
        </w:trPr>
        <w:tc>
          <w:tcPr>
            <w:tcW w:w="2120" w:type="dxa"/>
            <w:vAlign w:val="bottom"/>
          </w:tcPr>
          <w:p>
            <w:pPr>
              <w:spacing w:after="0" w:line="143" w:lineRule="exact"/>
              <w:rPr>
                <w:sz w:val="20"/>
                <w:szCs w:val="20"/>
                <w:color w:val="auto"/>
              </w:rPr>
            </w:pPr>
            <w:r>
              <w:rPr>
                <w:rFonts w:ascii="Arial" w:cs="Arial" w:eastAsia="Arial" w:hAnsi="Arial"/>
                <w:sz w:val="13"/>
                <w:szCs w:val="13"/>
                <w:b w:val="1"/>
                <w:bCs w:val="1"/>
                <w:color w:val="auto"/>
              </w:rPr>
              <w:t>Scott E. Doyle</w:t>
            </w:r>
          </w:p>
        </w:tc>
        <w:tc>
          <w:tcPr>
            <w:tcW w:w="11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7"/>
              <w:spacing w:after="0" w:line="143" w:lineRule="exact"/>
              <w:rPr>
                <w:sz w:val="20"/>
                <w:szCs w:val="20"/>
                <w:color w:val="auto"/>
              </w:rPr>
            </w:pPr>
            <w:r>
              <w:rPr>
                <w:rFonts w:ascii="Arial" w:cs="Arial" w:eastAsia="Arial" w:hAnsi="Arial"/>
                <w:sz w:val="13"/>
                <w:szCs w:val="13"/>
                <w:color w:val="auto"/>
              </w:rPr>
              <w:t>500,000</w:t>
            </w:r>
          </w:p>
        </w:tc>
        <w:tc>
          <w:tcPr>
            <w:tcW w:w="11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65%</w:t>
            </w:r>
          </w:p>
        </w:tc>
        <w:tc>
          <w:tcPr>
            <w:tcW w:w="480" w:type="dxa"/>
            <w:vAlign w:val="bottom"/>
          </w:tcPr>
          <w:p>
            <w:pPr>
              <w:ind w:left="340"/>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ind w:left="40"/>
              <w:spacing w:after="0" w:line="143" w:lineRule="exact"/>
              <w:rPr>
                <w:sz w:val="20"/>
                <w:szCs w:val="20"/>
                <w:color w:val="auto"/>
              </w:rPr>
            </w:pPr>
            <w:r>
              <w:rPr>
                <w:rFonts w:ascii="Arial" w:cs="Arial" w:eastAsia="Arial" w:hAnsi="Arial"/>
                <w:sz w:val="13"/>
                <w:szCs w:val="13"/>
                <w:color w:val="auto"/>
              </w:rPr>
              <w:t>325,000</w:t>
            </w:r>
          </w:p>
        </w:tc>
        <w:tc>
          <w:tcPr>
            <w:tcW w:w="1120" w:type="dxa"/>
            <w:vAlign w:val="bottom"/>
          </w:tcPr>
          <w:p>
            <w:pPr>
              <w:jc w:val="center"/>
              <w:spacing w:after="0" w:line="143" w:lineRule="exact"/>
              <w:rPr>
                <w:sz w:val="20"/>
                <w:szCs w:val="20"/>
                <w:color w:val="auto"/>
              </w:rPr>
            </w:pPr>
            <w:r>
              <w:rPr>
                <w:rFonts w:ascii="Arial" w:cs="Arial" w:eastAsia="Arial" w:hAnsi="Arial"/>
                <w:sz w:val="13"/>
                <w:szCs w:val="13"/>
                <w:color w:val="auto"/>
                <w:w w:val="96"/>
              </w:rPr>
              <w:t>170%</w:t>
            </w:r>
          </w:p>
        </w:tc>
        <w:tc>
          <w:tcPr>
            <w:tcW w:w="3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43" w:lineRule="exact"/>
              <w:rPr>
                <w:sz w:val="20"/>
                <w:szCs w:val="20"/>
                <w:color w:val="auto"/>
              </w:rPr>
            </w:pPr>
            <w:r>
              <w:rPr>
                <w:rFonts w:ascii="Arial" w:cs="Arial" w:eastAsia="Arial" w:hAnsi="Arial"/>
                <w:sz w:val="13"/>
                <w:szCs w:val="13"/>
                <w:color w:val="auto"/>
              </w:rPr>
              <w:t>850,000</w:t>
            </w:r>
          </w:p>
        </w:tc>
        <w:tc>
          <w:tcPr>
            <w:tcW w:w="4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1,675,000</w:t>
            </w:r>
          </w:p>
        </w:tc>
      </w:tr>
      <w:tr>
        <w:trPr>
          <w:trHeight w:val="143"/>
        </w:trPr>
        <w:tc>
          <w:tcPr>
            <w:tcW w:w="2120" w:type="dxa"/>
            <w:vAlign w:val="bottom"/>
            <w:shd w:val="clear" w:color="auto" w:fill="D8E7F3"/>
          </w:tcPr>
          <w:p>
            <w:pPr>
              <w:spacing w:after="0" w:line="143" w:lineRule="exact"/>
              <w:rPr>
                <w:sz w:val="20"/>
                <w:szCs w:val="20"/>
                <w:color w:val="auto"/>
              </w:rPr>
            </w:pPr>
            <w:r>
              <w:rPr>
                <w:rFonts w:ascii="Arial" w:cs="Arial" w:eastAsia="Arial" w:hAnsi="Arial"/>
                <w:sz w:val="13"/>
                <w:szCs w:val="13"/>
                <w:b w:val="1"/>
                <w:bCs w:val="1"/>
                <w:color w:val="auto"/>
              </w:rPr>
              <w:t>Gregory E. Knight*</w:t>
            </w:r>
          </w:p>
        </w:tc>
        <w:tc>
          <w:tcPr>
            <w:tcW w:w="11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485,000</w:t>
            </w:r>
          </w:p>
        </w:tc>
        <w:tc>
          <w:tcPr>
            <w:tcW w:w="11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65%</w:t>
            </w:r>
          </w:p>
        </w:tc>
        <w:tc>
          <w:tcPr>
            <w:tcW w:w="480" w:type="dxa"/>
            <w:vAlign w:val="bottom"/>
            <w:shd w:val="clear" w:color="auto" w:fill="D8E7F3"/>
          </w:tcPr>
          <w:p>
            <w:pPr>
              <w:ind w:left="340"/>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315,250</w:t>
            </w:r>
          </w:p>
        </w:tc>
        <w:tc>
          <w:tcPr>
            <w:tcW w:w="112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6"/>
              </w:rPr>
              <w:t>160%</w:t>
            </w:r>
          </w:p>
        </w:tc>
        <w:tc>
          <w:tcPr>
            <w:tcW w:w="3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776,000</w:t>
            </w:r>
          </w:p>
        </w:tc>
        <w:tc>
          <w:tcPr>
            <w:tcW w:w="4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1,576,250</w:t>
            </w:r>
          </w:p>
        </w:tc>
      </w:tr>
    </w:tbl>
    <w:p>
      <w:pPr>
        <w:spacing w:after="0" w:line="111" w:lineRule="exact"/>
        <w:rPr>
          <w:sz w:val="20"/>
          <w:szCs w:val="20"/>
          <w:color w:val="auto"/>
        </w:rPr>
      </w:pPr>
    </w:p>
    <w:p>
      <w:pPr>
        <w:ind w:left="300" w:hanging="291"/>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reflect annualized base salary, short-term and long-term incentive opportunities</w:t>
      </w:r>
    </w:p>
    <w:p>
      <w:pPr>
        <w:spacing w:after="0" w:line="53" w:lineRule="exact"/>
        <w:rPr>
          <w:sz w:val="20"/>
          <w:szCs w:val="20"/>
          <w:color w:val="auto"/>
        </w:rPr>
      </w:pPr>
    </w:p>
    <w:p>
      <w:pPr>
        <w:ind w:left="300" w:hanging="291"/>
        <w:spacing w:after="0" w:line="237" w:lineRule="auto"/>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Beginning with the 2021 plan year, Mr. Carroll will be eligible to participate in the short-term incentive plan. For further information, please see “—Short-Term Incentive Plan” below.</w:t>
      </w:r>
    </w:p>
    <w:p>
      <w:pPr>
        <w:spacing w:after="0" w:line="174" w:lineRule="exact"/>
        <w:rPr>
          <w:sz w:val="20"/>
          <w:szCs w:val="20"/>
          <w:color w:val="auto"/>
        </w:rPr>
      </w:pPr>
    </w:p>
    <w:p>
      <w:pPr>
        <w:ind w:left="400" w:hanging="391"/>
        <w:spacing w:after="0"/>
        <w:tabs>
          <w:tab w:leader="none" w:pos="400" w:val="left"/>
        </w:tabs>
        <w:numPr>
          <w:ilvl w:val="0"/>
          <w:numId w:val="44"/>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46" w:name="page47"/>
    <w:bookmarkEnd w:id="46"/>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Executive Officer Departures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Departure of Former President and Chief Executive Officer, Scott Prochazka</w:t>
      </w:r>
    </w:p>
    <w:p>
      <w:pPr>
        <w:spacing w:after="0" w:line="10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part of our leadership transition, our former President and Chief Executive Officer Scott Prochazka departed the organization in February 2020. In connection with his departure, the Company entered into a separation and release agreement with Mr. Prochazka and approved a one-time payment in exchange for a release of claims and protective covenants such as a non-solicitation agreement. This separation and release agreement and the associated one-time payment were enacted to support business continuity and a smooth transition following his departure.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Upon executing the release, Mr. Prochazka received the following:</w:t>
      </w:r>
    </w:p>
    <w:p>
      <w:pPr>
        <w:spacing w:after="0" w:line="102" w:lineRule="exact"/>
        <w:rPr>
          <w:sz w:val="20"/>
          <w:szCs w:val="20"/>
          <w:color w:val="auto"/>
        </w:rPr>
      </w:pPr>
    </w:p>
    <w:p>
      <w:pPr>
        <w:jc w:val="both"/>
        <w:ind w:left="860" w:hanging="470"/>
        <w:spacing w:after="0" w:line="237" w:lineRule="auto"/>
        <w:tabs>
          <w:tab w:leader="none" w:pos="860" w:val="left"/>
        </w:tabs>
        <w:numPr>
          <w:ilvl w:val="0"/>
          <w:numId w:val="45"/>
        </w:numPr>
        <w:rPr>
          <w:rFonts w:ascii="Arial" w:cs="Arial" w:eastAsia="Arial" w:hAnsi="Arial"/>
          <w:sz w:val="16"/>
          <w:szCs w:val="16"/>
          <w:color w:val="0061AF"/>
        </w:rPr>
      </w:pPr>
      <w:r>
        <w:rPr>
          <w:rFonts w:ascii="Arial" w:cs="Arial" w:eastAsia="Arial" w:hAnsi="Arial"/>
          <w:sz w:val="16"/>
          <w:szCs w:val="16"/>
          <w:color w:val="auto"/>
        </w:rPr>
        <w:t>Lump-sum cash payment of $7,348,584, which represented two years of annual base salary and short-term incentive plan awards at target and included an amount equal to his short-term incentive plan award for the 2019 performance year at 92% of funding;</w:t>
      </w:r>
    </w:p>
    <w:p>
      <w:pPr>
        <w:spacing w:after="0" w:line="97" w:lineRule="exact"/>
        <w:rPr>
          <w:rFonts w:ascii="Arial" w:cs="Arial" w:eastAsia="Arial" w:hAnsi="Arial"/>
          <w:sz w:val="16"/>
          <w:szCs w:val="16"/>
          <w:color w:val="0061AF"/>
        </w:rPr>
      </w:pPr>
    </w:p>
    <w:p>
      <w:pPr>
        <w:ind w:left="860" w:hanging="470"/>
        <w:spacing w:after="0"/>
        <w:tabs>
          <w:tab w:leader="none" w:pos="860" w:val="left"/>
        </w:tabs>
        <w:numPr>
          <w:ilvl w:val="0"/>
          <w:numId w:val="45"/>
        </w:numPr>
        <w:rPr>
          <w:rFonts w:ascii="Arial" w:cs="Arial" w:eastAsia="Arial" w:hAnsi="Arial"/>
          <w:sz w:val="16"/>
          <w:szCs w:val="16"/>
          <w:color w:val="0061AF"/>
        </w:rPr>
      </w:pPr>
      <w:r>
        <w:rPr>
          <w:rFonts w:ascii="Arial" w:cs="Arial" w:eastAsia="Arial" w:hAnsi="Arial"/>
          <w:sz w:val="16"/>
          <w:szCs w:val="16"/>
          <w:color w:val="auto"/>
        </w:rPr>
        <w:t>Full vesting of his outstanding 2017, 2018 and 2019 stock awards, including dividend equivalents; and</w:t>
      </w:r>
    </w:p>
    <w:p>
      <w:pPr>
        <w:spacing w:after="0" w:line="101" w:lineRule="exact"/>
        <w:rPr>
          <w:rFonts w:ascii="Arial" w:cs="Arial" w:eastAsia="Arial" w:hAnsi="Arial"/>
          <w:sz w:val="16"/>
          <w:szCs w:val="16"/>
          <w:color w:val="0061AF"/>
        </w:rPr>
      </w:pPr>
    </w:p>
    <w:p>
      <w:pPr>
        <w:ind w:left="860" w:hanging="470"/>
        <w:spacing w:after="0"/>
        <w:tabs>
          <w:tab w:leader="none" w:pos="860" w:val="left"/>
        </w:tabs>
        <w:numPr>
          <w:ilvl w:val="0"/>
          <w:numId w:val="45"/>
        </w:numPr>
        <w:rPr>
          <w:rFonts w:ascii="Arial" w:cs="Arial" w:eastAsia="Arial" w:hAnsi="Arial"/>
          <w:sz w:val="16"/>
          <w:szCs w:val="16"/>
          <w:color w:val="0061AF"/>
        </w:rPr>
      </w:pPr>
      <w:r>
        <w:rPr>
          <w:rFonts w:ascii="Arial" w:cs="Arial" w:eastAsia="Arial" w:hAnsi="Arial"/>
          <w:sz w:val="16"/>
          <w:szCs w:val="16"/>
          <w:color w:val="auto"/>
        </w:rPr>
        <w:t>Continued vesting of his 2018 and 2019 performance share unit awards, including dividend equivalents, subject to the achievement of the relevant performance metrics in accordance with the terms of the awards.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Additionally, Mr. Prochazka was eligible for 18 months of COBRA at active employee rates, and, until December 31, 2020, he received financial planning services, which are available to the Company’s senior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Former Interim President and Chief Executive Officer, John Somerhalder II</w:t>
      </w:r>
    </w:p>
    <w:p>
      <w:pPr>
        <w:spacing w:after="0" w:line="10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During the interim period following Mr. Prochazka’s departure and prior to Mr. Lesar’s hire date, John Somerhalder II filled the role of Interim President and Chief Executive Officer. As a retired utility chief executive officer, Mr. Somerhalder provided leadership at a crucial time for the Company—during the initial height of the COVID-19 pandemic and unprecedented market reaction thereto—and his leadership supported continuous operations of the Company’s essential electric and natural gas distribution services. In connection with his role in this interim capacity, Mr. Somerhalder received the following compensation intended to reflect the uncertain and short timeframe of his service to the Company:</w:t>
      </w:r>
    </w:p>
    <w:p>
      <w:pPr>
        <w:spacing w:after="0" w:line="97" w:lineRule="exact"/>
        <w:rPr>
          <w:sz w:val="20"/>
          <w:szCs w:val="20"/>
          <w:color w:val="auto"/>
        </w:rPr>
      </w:pPr>
    </w:p>
    <w:p>
      <w:pPr>
        <w:ind w:left="860" w:hanging="470"/>
        <w:spacing w:after="0"/>
        <w:tabs>
          <w:tab w:leader="none" w:pos="860" w:val="left"/>
        </w:tabs>
        <w:numPr>
          <w:ilvl w:val="0"/>
          <w:numId w:val="46"/>
        </w:numPr>
        <w:rPr>
          <w:rFonts w:ascii="Arial" w:cs="Arial" w:eastAsia="Arial" w:hAnsi="Arial"/>
          <w:sz w:val="16"/>
          <w:szCs w:val="16"/>
          <w:color w:val="0061AF"/>
        </w:rPr>
      </w:pPr>
      <w:r>
        <w:rPr>
          <w:rFonts w:ascii="Arial" w:cs="Arial" w:eastAsia="Arial" w:hAnsi="Arial"/>
          <w:sz w:val="16"/>
          <w:szCs w:val="16"/>
          <w:color w:val="auto"/>
        </w:rPr>
        <w:t>Annualized base salary of $1,000,000 while serving as Interim President and Chief Executive Officer;</w:t>
      </w:r>
    </w:p>
    <w:p>
      <w:pPr>
        <w:spacing w:after="0" w:line="101" w:lineRule="exact"/>
        <w:rPr>
          <w:rFonts w:ascii="Arial" w:cs="Arial" w:eastAsia="Arial" w:hAnsi="Arial"/>
          <w:sz w:val="16"/>
          <w:szCs w:val="16"/>
          <w:color w:val="0061AF"/>
        </w:rPr>
      </w:pPr>
    </w:p>
    <w:p>
      <w:pPr>
        <w:ind w:left="860" w:hanging="470"/>
        <w:spacing w:after="0"/>
        <w:tabs>
          <w:tab w:leader="none" w:pos="860" w:val="left"/>
        </w:tabs>
        <w:numPr>
          <w:ilvl w:val="0"/>
          <w:numId w:val="46"/>
        </w:numPr>
        <w:rPr>
          <w:rFonts w:ascii="Arial" w:cs="Arial" w:eastAsia="Arial" w:hAnsi="Arial"/>
          <w:sz w:val="16"/>
          <w:szCs w:val="16"/>
          <w:color w:val="0061AF"/>
        </w:rPr>
      </w:pPr>
      <w:r>
        <w:rPr>
          <w:rFonts w:ascii="Arial" w:cs="Arial" w:eastAsia="Arial" w:hAnsi="Arial"/>
          <w:sz w:val="16"/>
          <w:szCs w:val="16"/>
          <w:color w:val="auto"/>
        </w:rPr>
        <w:t>Annualized target cash incentive of $1,000,000, payable pro-rata at the end of his term as Interim President and Chief Executive Officer, the payout of which was subject to the Compensation Committee’s discretion; and</w:t>
      </w:r>
    </w:p>
    <w:p>
      <w:pPr>
        <w:spacing w:after="0" w:line="96" w:lineRule="exact"/>
        <w:rPr>
          <w:rFonts w:ascii="Arial" w:cs="Arial" w:eastAsia="Arial" w:hAnsi="Arial"/>
          <w:sz w:val="16"/>
          <w:szCs w:val="16"/>
          <w:color w:val="0061AF"/>
        </w:rPr>
      </w:pPr>
    </w:p>
    <w:p>
      <w:pPr>
        <w:jc w:val="both"/>
        <w:ind w:left="860" w:hanging="470"/>
        <w:spacing w:after="0" w:line="236" w:lineRule="auto"/>
        <w:tabs>
          <w:tab w:leader="none" w:pos="860" w:val="left"/>
        </w:tabs>
        <w:numPr>
          <w:ilvl w:val="0"/>
          <w:numId w:val="46"/>
        </w:numPr>
        <w:rPr>
          <w:rFonts w:ascii="Arial" w:cs="Arial" w:eastAsia="Arial" w:hAnsi="Arial"/>
          <w:sz w:val="16"/>
          <w:szCs w:val="16"/>
          <w:color w:val="0061AF"/>
        </w:rPr>
      </w:pPr>
      <w:r>
        <w:rPr>
          <w:rFonts w:ascii="Arial" w:cs="Arial" w:eastAsia="Arial" w:hAnsi="Arial"/>
          <w:sz w:val="16"/>
          <w:szCs w:val="16"/>
          <w:color w:val="auto"/>
        </w:rPr>
        <w:t>Quarterly grants of fully-vested stock unit awards, each with a value at grant date equal to $1,375,000 beginning in March 2020 until the end of his term as Interim President and Chief Executive Officer, not to exceed four quarterly grants. As of his resignation from his interim officer and director positions on June 30, 2020, Mr. Somerhalder had received two of these quarterly grants, and the underlying shares were paid upon Mr. Somerhalder’s resignation.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Departure of Former Executive Vice President and Chief Financial Officer, Xia Liu</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Our former Executive Vice President and Chief Financial Officer, Ms. Liu, resigned from the organization in April 2020. Ms. Liu did not receive any additional compensation associated with her departure.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Departure of Former Senior Vice President, Energy Services, Joseph Vortherms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On October 2, 2020, Mr. Vortherms departed from the Company due to the elimination of his role in connection with the divestitures of certain of the Company’s competitive energy businesses, including its competitive natural gas</w:t>
      </w:r>
    </w:p>
    <w:p>
      <w:pPr>
        <w:spacing w:after="0" w:line="210"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47" w:name="page48"/>
    <w:bookmarkEnd w:id="4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marketing and infrastructure services businesses, as part of the Company’s strategic transition to focus on its regulated utility businesses. The Compensation Committee approved a severance payment to Mr. Vortherms of $ 925,000 and elected to vest Mr. Vortherms’ outstanding equity awards under CenterPoint Energy’s long-term incentive plan pursuant to certain vesting provisions under the applicable equity award agreements such that his outstanding awards fully vested upon his departure, subject, in the case of performance share unit awards, to achievement of the relevant performance metrics in accordance with the terms of the award agreements. Please refer to “Executive Compensation Tables—Equity Incentive Plan Awards – Additional Information—Additional Information Regarding Our Equity Incentive Plan Awards” for further discussion regarding application of the termination provisions under the Company’s long-term incentive plan. Additionally, Mr. Vortherms is eligible for 18 months of COBRA at active employee rates, and, until December 31, 2020, he received financial planning services, which are available to the Company’s senior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Base Salary</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Base salary is the foundation of total compensation. Base salary recognizes the job being performed and the value of 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The Compensation Committee generally seeks to position the base salary for our most senior executives near the 50th percentile of base salaries in the peer group and published compensation surveys.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Adjustments to base salary primarily reflect either changes or responses to changes in market data or increased experience and individual contribution of the employee. The typical date for making these adjustments is April 1 of each year; however, adjustments may occur at other times during the year to recognize new responsibilities or new data regarding the market value of the job being performed.</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February 2020, the Compensation Committee reviewed the base salary for each of our named executive officers, with the exception of Messrs. Lesar, Knight and Wells, who were appointed to their positions in July, August and September 2020, respectively, and certain of our named executive officers serving in interim positions in 2020, and determined their respective base salaries in recognition of the scope of their respective roles and to align their base salaries with market benchmarks for our peer group.</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920" w:type="dxa"/>
            <w:vAlign w:val="bottom"/>
            <w:shd w:val="clear" w:color="auto" w:fill="0061AF"/>
          </w:tcPr>
          <w:p>
            <w:pPr>
              <w:ind w:left="1420"/>
              <w:spacing w:after="0"/>
              <w:rPr>
                <w:sz w:val="20"/>
                <w:szCs w:val="20"/>
                <w:color w:val="auto"/>
              </w:rPr>
            </w:pPr>
            <w:r>
              <w:rPr>
                <w:rFonts w:ascii="Arial" w:cs="Arial" w:eastAsia="Arial" w:hAnsi="Arial"/>
                <w:sz w:val="13"/>
                <w:szCs w:val="13"/>
                <w:b w:val="1"/>
                <w:bCs w:val="1"/>
                <w:color w:val="FFFFFF"/>
              </w:rPr>
              <w:t>NAME</w:t>
            </w:r>
          </w:p>
        </w:tc>
        <w:tc>
          <w:tcPr>
            <w:tcW w:w="3380" w:type="dxa"/>
            <w:vAlign w:val="bottom"/>
            <w:shd w:val="clear" w:color="auto" w:fill="0061AF"/>
          </w:tcPr>
          <w:p>
            <w:pPr>
              <w:jc w:val="center"/>
              <w:ind w:left="377"/>
              <w:spacing w:after="0"/>
              <w:rPr>
                <w:sz w:val="20"/>
                <w:szCs w:val="20"/>
                <w:color w:val="auto"/>
              </w:rPr>
            </w:pPr>
            <w:r>
              <w:rPr>
                <w:rFonts w:ascii="Arial" w:cs="Arial" w:eastAsia="Arial" w:hAnsi="Arial"/>
                <w:sz w:val="13"/>
                <w:szCs w:val="13"/>
                <w:b w:val="1"/>
                <w:bCs w:val="1"/>
                <w:color w:val="FFFFFF"/>
                <w:w w:val="97"/>
              </w:rPr>
              <w:t>2020 BASE SALARY</w:t>
            </w:r>
          </w:p>
        </w:tc>
      </w:tr>
      <w:tr>
        <w:trPr>
          <w:trHeight w:val="143"/>
        </w:trPr>
        <w:tc>
          <w:tcPr>
            <w:tcW w:w="292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David J. Lesar*</w:t>
            </w:r>
          </w:p>
        </w:tc>
        <w:tc>
          <w:tcPr>
            <w:tcW w:w="3380" w:type="dxa"/>
            <w:vAlign w:val="bottom"/>
          </w:tcPr>
          <w:p>
            <w:pPr>
              <w:jc w:val="center"/>
              <w:ind w:left="377"/>
              <w:spacing w:after="0" w:line="143" w:lineRule="exact"/>
              <w:rPr>
                <w:sz w:val="20"/>
                <w:szCs w:val="20"/>
                <w:color w:val="auto"/>
              </w:rPr>
            </w:pPr>
            <w:r>
              <w:rPr>
                <w:rFonts w:ascii="Arial" w:cs="Arial" w:eastAsia="Arial" w:hAnsi="Arial"/>
                <w:sz w:val="13"/>
                <w:szCs w:val="13"/>
                <w:color w:val="auto"/>
                <w:w w:val="95"/>
              </w:rPr>
              <w:t>$1,350,000</w:t>
            </w:r>
          </w:p>
        </w:tc>
      </w:tr>
      <w:tr>
        <w:trPr>
          <w:trHeight w:val="143"/>
        </w:trPr>
        <w:tc>
          <w:tcPr>
            <w:tcW w:w="292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Jason P. Wells*</w:t>
            </w:r>
          </w:p>
        </w:tc>
        <w:tc>
          <w:tcPr>
            <w:tcW w:w="3380" w:type="dxa"/>
            <w:vAlign w:val="bottom"/>
            <w:shd w:val="clear" w:color="auto" w:fill="D8E7F3"/>
          </w:tcPr>
          <w:p>
            <w:pPr>
              <w:jc w:val="center"/>
              <w:ind w:left="377"/>
              <w:spacing w:after="0" w:line="143" w:lineRule="exact"/>
              <w:rPr>
                <w:sz w:val="20"/>
                <w:szCs w:val="20"/>
                <w:color w:val="auto"/>
              </w:rPr>
            </w:pPr>
            <w:r>
              <w:rPr>
                <w:rFonts w:ascii="Arial" w:cs="Arial" w:eastAsia="Arial" w:hAnsi="Arial"/>
                <w:sz w:val="13"/>
                <w:szCs w:val="13"/>
                <w:color w:val="auto"/>
                <w:w w:val="99"/>
              </w:rPr>
              <w:t>$650,000</w:t>
            </w:r>
          </w:p>
        </w:tc>
      </w:tr>
      <w:tr>
        <w:trPr>
          <w:trHeight w:val="147"/>
        </w:trPr>
        <w:tc>
          <w:tcPr>
            <w:tcW w:w="292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Milton Carroll</w:t>
            </w:r>
          </w:p>
        </w:tc>
        <w:tc>
          <w:tcPr>
            <w:tcW w:w="3380" w:type="dxa"/>
            <w:vAlign w:val="bottom"/>
          </w:tcPr>
          <w:p>
            <w:pPr>
              <w:jc w:val="center"/>
              <w:ind w:left="377"/>
              <w:spacing w:after="0" w:line="147" w:lineRule="exact"/>
              <w:rPr>
                <w:sz w:val="20"/>
                <w:szCs w:val="20"/>
                <w:color w:val="auto"/>
              </w:rPr>
            </w:pPr>
            <w:r>
              <w:rPr>
                <w:rFonts w:ascii="Arial" w:cs="Arial" w:eastAsia="Arial" w:hAnsi="Arial"/>
                <w:sz w:val="13"/>
                <w:szCs w:val="13"/>
                <w:color w:val="auto"/>
                <w:w w:val="99"/>
              </w:rPr>
              <w:t>$820,000</w:t>
            </w:r>
          </w:p>
        </w:tc>
      </w:tr>
      <w:tr>
        <w:trPr>
          <w:trHeight w:val="151"/>
        </w:trPr>
        <w:tc>
          <w:tcPr>
            <w:tcW w:w="2920" w:type="dxa"/>
            <w:vAlign w:val="bottom"/>
          </w:tcPr>
          <w:p>
            <w:pPr>
              <w:spacing w:after="0"/>
              <w:rPr>
                <w:sz w:val="13"/>
                <w:szCs w:val="13"/>
                <w:color w:val="auto"/>
              </w:rPr>
            </w:pPr>
          </w:p>
        </w:tc>
        <w:tc>
          <w:tcPr>
            <w:tcW w:w="3380" w:type="dxa"/>
            <w:vAlign w:val="bottom"/>
          </w:tcPr>
          <w:p>
            <w:pPr>
              <w:jc w:val="center"/>
              <w:ind w:left="377"/>
              <w:spacing w:after="0"/>
              <w:rPr>
                <w:sz w:val="20"/>
                <w:szCs w:val="20"/>
                <w:color w:val="auto"/>
              </w:rPr>
            </w:pPr>
            <w:r>
              <w:rPr>
                <w:rFonts w:ascii="Arial" w:cs="Arial" w:eastAsia="Arial" w:hAnsi="Arial"/>
                <w:sz w:val="13"/>
                <w:szCs w:val="13"/>
                <w:color w:val="auto"/>
                <w:w w:val="98"/>
              </w:rPr>
              <w:t>(increase of 8% from 2019)</w:t>
            </w:r>
          </w:p>
        </w:tc>
      </w:tr>
      <w:tr>
        <w:trPr>
          <w:trHeight w:val="143"/>
        </w:trPr>
        <w:tc>
          <w:tcPr>
            <w:tcW w:w="292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Kristie L. Colvin*</w:t>
            </w:r>
          </w:p>
        </w:tc>
        <w:tc>
          <w:tcPr>
            <w:tcW w:w="3380" w:type="dxa"/>
            <w:vAlign w:val="bottom"/>
            <w:shd w:val="clear" w:color="auto" w:fill="D8E7F3"/>
          </w:tcPr>
          <w:p>
            <w:pPr>
              <w:jc w:val="center"/>
              <w:ind w:left="377"/>
              <w:spacing w:after="0" w:line="143" w:lineRule="exact"/>
              <w:rPr>
                <w:sz w:val="20"/>
                <w:szCs w:val="20"/>
                <w:color w:val="auto"/>
              </w:rPr>
            </w:pPr>
            <w:r>
              <w:rPr>
                <w:rFonts w:ascii="Arial" w:cs="Arial" w:eastAsia="Arial" w:hAnsi="Arial"/>
                <w:sz w:val="13"/>
                <w:szCs w:val="13"/>
                <w:color w:val="auto"/>
                <w:w w:val="99"/>
              </w:rPr>
              <w:t>$380,000</w:t>
            </w:r>
          </w:p>
        </w:tc>
      </w:tr>
      <w:tr>
        <w:trPr>
          <w:trHeight w:val="147"/>
        </w:trPr>
        <w:tc>
          <w:tcPr>
            <w:tcW w:w="292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Scott E. Doyle</w:t>
            </w:r>
          </w:p>
        </w:tc>
        <w:tc>
          <w:tcPr>
            <w:tcW w:w="3380" w:type="dxa"/>
            <w:vAlign w:val="bottom"/>
          </w:tcPr>
          <w:p>
            <w:pPr>
              <w:jc w:val="center"/>
              <w:ind w:left="377"/>
              <w:spacing w:after="0" w:line="147" w:lineRule="exact"/>
              <w:rPr>
                <w:sz w:val="20"/>
                <w:szCs w:val="20"/>
                <w:color w:val="auto"/>
              </w:rPr>
            </w:pPr>
            <w:r>
              <w:rPr>
                <w:rFonts w:ascii="Arial" w:cs="Arial" w:eastAsia="Arial" w:hAnsi="Arial"/>
                <w:sz w:val="13"/>
                <w:szCs w:val="13"/>
                <w:color w:val="auto"/>
                <w:w w:val="99"/>
              </w:rPr>
              <w:t>$500,000</w:t>
            </w:r>
          </w:p>
        </w:tc>
      </w:tr>
      <w:tr>
        <w:trPr>
          <w:trHeight w:val="151"/>
        </w:trPr>
        <w:tc>
          <w:tcPr>
            <w:tcW w:w="2920" w:type="dxa"/>
            <w:vAlign w:val="bottom"/>
          </w:tcPr>
          <w:p>
            <w:pPr>
              <w:spacing w:after="0"/>
              <w:rPr>
                <w:sz w:val="13"/>
                <w:szCs w:val="13"/>
                <w:color w:val="auto"/>
              </w:rPr>
            </w:pPr>
          </w:p>
        </w:tc>
        <w:tc>
          <w:tcPr>
            <w:tcW w:w="3380" w:type="dxa"/>
            <w:vAlign w:val="bottom"/>
          </w:tcPr>
          <w:p>
            <w:pPr>
              <w:jc w:val="center"/>
              <w:ind w:left="357"/>
              <w:spacing w:after="0"/>
              <w:rPr>
                <w:sz w:val="20"/>
                <w:szCs w:val="20"/>
                <w:color w:val="auto"/>
              </w:rPr>
            </w:pPr>
            <w:r>
              <w:rPr>
                <w:rFonts w:ascii="Arial" w:cs="Arial" w:eastAsia="Arial" w:hAnsi="Arial"/>
                <w:sz w:val="13"/>
                <w:szCs w:val="13"/>
                <w:color w:val="auto"/>
                <w:w w:val="97"/>
              </w:rPr>
              <w:t>(increase of 11% from 2019)</w:t>
            </w:r>
          </w:p>
        </w:tc>
      </w:tr>
      <w:tr>
        <w:trPr>
          <w:trHeight w:val="143"/>
        </w:trPr>
        <w:tc>
          <w:tcPr>
            <w:tcW w:w="292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Gregory E. Knight*</w:t>
            </w:r>
          </w:p>
        </w:tc>
        <w:tc>
          <w:tcPr>
            <w:tcW w:w="3380" w:type="dxa"/>
            <w:vAlign w:val="bottom"/>
            <w:shd w:val="clear" w:color="auto" w:fill="D8E7F3"/>
          </w:tcPr>
          <w:p>
            <w:pPr>
              <w:jc w:val="center"/>
              <w:ind w:left="377"/>
              <w:spacing w:after="0" w:line="143" w:lineRule="exact"/>
              <w:rPr>
                <w:sz w:val="20"/>
                <w:szCs w:val="20"/>
                <w:color w:val="auto"/>
              </w:rPr>
            </w:pPr>
            <w:r>
              <w:rPr>
                <w:rFonts w:ascii="Arial" w:cs="Arial" w:eastAsia="Arial" w:hAnsi="Arial"/>
                <w:sz w:val="13"/>
                <w:szCs w:val="13"/>
                <w:color w:val="auto"/>
                <w:w w:val="99"/>
              </w:rPr>
              <w:t>$485,000</w:t>
            </w:r>
          </w:p>
        </w:tc>
      </w:tr>
      <w:tr>
        <w:trPr>
          <w:trHeight w:val="147"/>
        </w:trPr>
        <w:tc>
          <w:tcPr>
            <w:tcW w:w="2920" w:type="dxa"/>
            <w:vAlign w:val="bottom"/>
          </w:tcPr>
          <w:p>
            <w:pPr>
              <w:ind w:left="60"/>
              <w:spacing w:after="0" w:line="147" w:lineRule="exact"/>
              <w:rPr>
                <w:sz w:val="20"/>
                <w:szCs w:val="20"/>
                <w:color w:val="auto"/>
              </w:rPr>
            </w:pPr>
            <w:r>
              <w:rPr>
                <w:rFonts w:ascii="Arial" w:cs="Arial" w:eastAsia="Arial" w:hAnsi="Arial"/>
                <w:sz w:val="13"/>
                <w:szCs w:val="13"/>
                <w:b w:val="1"/>
                <w:bCs w:val="1"/>
                <w:color w:val="auto"/>
              </w:rPr>
              <w:t>Scott M. Prochazka**</w:t>
            </w:r>
          </w:p>
        </w:tc>
        <w:tc>
          <w:tcPr>
            <w:tcW w:w="3380" w:type="dxa"/>
            <w:vAlign w:val="bottom"/>
          </w:tcPr>
          <w:p>
            <w:pPr>
              <w:jc w:val="center"/>
              <w:ind w:left="377"/>
              <w:spacing w:after="0" w:line="147" w:lineRule="exact"/>
              <w:rPr>
                <w:sz w:val="20"/>
                <w:szCs w:val="20"/>
                <w:color w:val="auto"/>
              </w:rPr>
            </w:pPr>
            <w:r>
              <w:rPr>
                <w:rFonts w:ascii="Arial" w:cs="Arial" w:eastAsia="Arial" w:hAnsi="Arial"/>
                <w:sz w:val="13"/>
                <w:szCs w:val="13"/>
                <w:color w:val="auto"/>
                <w:w w:val="95"/>
              </w:rPr>
              <w:t>$1,323,000</w:t>
            </w:r>
          </w:p>
        </w:tc>
      </w:tr>
      <w:tr>
        <w:trPr>
          <w:trHeight w:val="151"/>
        </w:trPr>
        <w:tc>
          <w:tcPr>
            <w:tcW w:w="2920" w:type="dxa"/>
            <w:vAlign w:val="bottom"/>
          </w:tcPr>
          <w:p>
            <w:pPr>
              <w:spacing w:after="0"/>
              <w:rPr>
                <w:sz w:val="13"/>
                <w:szCs w:val="13"/>
                <w:color w:val="auto"/>
              </w:rPr>
            </w:pPr>
          </w:p>
        </w:tc>
        <w:tc>
          <w:tcPr>
            <w:tcW w:w="3380" w:type="dxa"/>
            <w:vAlign w:val="bottom"/>
          </w:tcPr>
          <w:p>
            <w:pPr>
              <w:jc w:val="center"/>
              <w:ind w:left="357"/>
              <w:spacing w:after="0"/>
              <w:rPr>
                <w:sz w:val="20"/>
                <w:szCs w:val="20"/>
                <w:color w:val="auto"/>
              </w:rPr>
            </w:pPr>
            <w:r>
              <w:rPr>
                <w:rFonts w:ascii="Arial" w:cs="Arial" w:eastAsia="Arial" w:hAnsi="Arial"/>
                <w:sz w:val="13"/>
                <w:szCs w:val="13"/>
                <w:color w:val="auto"/>
                <w:w w:val="97"/>
              </w:rPr>
              <w:t>(no change)</w:t>
            </w:r>
          </w:p>
        </w:tc>
      </w:tr>
      <w:tr>
        <w:trPr>
          <w:trHeight w:val="147"/>
        </w:trPr>
        <w:tc>
          <w:tcPr>
            <w:tcW w:w="2920" w:type="dxa"/>
            <w:vAlign w:val="bottom"/>
            <w:shd w:val="clear" w:color="auto" w:fill="D8E7F3"/>
          </w:tcPr>
          <w:p>
            <w:pPr>
              <w:ind w:left="60"/>
              <w:spacing w:after="0" w:line="147" w:lineRule="exact"/>
              <w:rPr>
                <w:sz w:val="20"/>
                <w:szCs w:val="20"/>
                <w:color w:val="auto"/>
              </w:rPr>
            </w:pPr>
            <w:r>
              <w:rPr>
                <w:rFonts w:ascii="Arial" w:cs="Arial" w:eastAsia="Arial" w:hAnsi="Arial"/>
                <w:sz w:val="13"/>
                <w:szCs w:val="13"/>
                <w:b w:val="1"/>
                <w:bCs w:val="1"/>
                <w:color w:val="auto"/>
              </w:rPr>
              <w:t>Xia Liu**</w:t>
            </w:r>
          </w:p>
        </w:tc>
        <w:tc>
          <w:tcPr>
            <w:tcW w:w="3380" w:type="dxa"/>
            <w:vAlign w:val="bottom"/>
            <w:shd w:val="clear" w:color="auto" w:fill="D8E7F3"/>
          </w:tcPr>
          <w:p>
            <w:pPr>
              <w:jc w:val="center"/>
              <w:ind w:left="377"/>
              <w:spacing w:after="0" w:line="147" w:lineRule="exact"/>
              <w:rPr>
                <w:sz w:val="20"/>
                <w:szCs w:val="20"/>
                <w:color w:val="auto"/>
              </w:rPr>
            </w:pPr>
            <w:r>
              <w:rPr>
                <w:rFonts w:ascii="Arial" w:cs="Arial" w:eastAsia="Arial" w:hAnsi="Arial"/>
                <w:sz w:val="13"/>
                <w:szCs w:val="13"/>
                <w:color w:val="auto"/>
                <w:w w:val="99"/>
              </w:rPr>
              <w:t>$620,000</w:t>
            </w:r>
          </w:p>
        </w:tc>
      </w:tr>
      <w:tr>
        <w:trPr>
          <w:trHeight w:val="151"/>
        </w:trPr>
        <w:tc>
          <w:tcPr>
            <w:tcW w:w="2920" w:type="dxa"/>
            <w:vAlign w:val="bottom"/>
            <w:shd w:val="clear" w:color="auto" w:fill="D8E7F3"/>
          </w:tcPr>
          <w:p>
            <w:pPr>
              <w:spacing w:after="0"/>
              <w:rPr>
                <w:sz w:val="13"/>
                <w:szCs w:val="13"/>
                <w:color w:val="auto"/>
              </w:rPr>
            </w:pPr>
          </w:p>
        </w:tc>
        <w:tc>
          <w:tcPr>
            <w:tcW w:w="3380" w:type="dxa"/>
            <w:vAlign w:val="bottom"/>
            <w:shd w:val="clear" w:color="auto" w:fill="D8E7F3"/>
          </w:tcPr>
          <w:p>
            <w:pPr>
              <w:jc w:val="center"/>
              <w:ind w:left="357"/>
              <w:spacing w:after="0"/>
              <w:rPr>
                <w:sz w:val="20"/>
                <w:szCs w:val="20"/>
                <w:color w:val="auto"/>
              </w:rPr>
            </w:pPr>
            <w:r>
              <w:rPr>
                <w:rFonts w:ascii="Arial" w:cs="Arial" w:eastAsia="Arial" w:hAnsi="Arial"/>
                <w:sz w:val="13"/>
                <w:szCs w:val="13"/>
                <w:color w:val="auto"/>
                <w:w w:val="97"/>
              </w:rPr>
              <w:t>(increase of 13% from 2019)</w:t>
            </w:r>
          </w:p>
        </w:tc>
      </w:tr>
      <w:tr>
        <w:trPr>
          <w:trHeight w:val="169"/>
        </w:trPr>
        <w:tc>
          <w:tcPr>
            <w:tcW w:w="2920" w:type="dxa"/>
            <w:vAlign w:val="bottom"/>
          </w:tcPr>
          <w:p>
            <w:pPr>
              <w:ind w:left="60"/>
              <w:spacing w:after="0"/>
              <w:rPr>
                <w:sz w:val="20"/>
                <w:szCs w:val="20"/>
                <w:color w:val="auto"/>
              </w:rPr>
            </w:pPr>
            <w:r>
              <w:rPr>
                <w:rFonts w:ascii="Arial" w:cs="Arial" w:eastAsia="Arial" w:hAnsi="Arial"/>
                <w:sz w:val="13"/>
                <w:szCs w:val="13"/>
                <w:b w:val="1"/>
                <w:bCs w:val="1"/>
                <w:color w:val="auto"/>
              </w:rPr>
              <w:t>Joseph J. Vortherms**</w:t>
            </w:r>
          </w:p>
        </w:tc>
        <w:tc>
          <w:tcPr>
            <w:tcW w:w="3380" w:type="dxa"/>
            <w:vAlign w:val="bottom"/>
          </w:tcPr>
          <w:p>
            <w:pPr>
              <w:jc w:val="center"/>
              <w:ind w:left="377"/>
              <w:spacing w:after="0"/>
              <w:rPr>
                <w:sz w:val="20"/>
                <w:szCs w:val="20"/>
                <w:color w:val="auto"/>
              </w:rPr>
            </w:pPr>
            <w:r>
              <w:rPr>
                <w:rFonts w:ascii="Arial" w:cs="Arial" w:eastAsia="Arial" w:hAnsi="Arial"/>
                <w:sz w:val="13"/>
                <w:szCs w:val="13"/>
                <w:color w:val="auto"/>
                <w:w w:val="99"/>
              </w:rPr>
              <w:t>$400,000</w:t>
            </w:r>
          </w:p>
        </w:tc>
      </w:tr>
    </w:tbl>
    <w:p>
      <w:pPr>
        <w:spacing w:after="0" w:line="85" w:lineRule="exact"/>
        <w:rPr>
          <w:sz w:val="20"/>
          <w:szCs w:val="20"/>
          <w:color w:val="auto"/>
        </w:rPr>
      </w:pPr>
    </w:p>
    <w:p>
      <w:pPr>
        <w:ind w:left="1940" w:hanging="194"/>
        <w:spacing w:after="0"/>
        <w:tabs>
          <w:tab w:leader="none" w:pos="19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annualized base salary, as authorized by the Compensation Committee upon appointment</w:t>
      </w:r>
    </w:p>
    <w:p>
      <w:pPr>
        <w:spacing w:after="0" w:line="53"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  Departed from their respective positions with the Company during 2020; see above for further information</w:t>
      </w:r>
    </w:p>
    <w:p>
      <w:pPr>
        <w:spacing w:after="0" w:line="177" w:lineRule="exact"/>
        <w:rPr>
          <w:sz w:val="20"/>
          <w:szCs w:val="20"/>
          <w:color w:val="auto"/>
        </w:rPr>
      </w:pPr>
    </w:p>
    <w:p>
      <w:pPr>
        <w:ind w:left="400" w:hanging="391"/>
        <w:spacing w:after="0"/>
        <w:tabs>
          <w:tab w:leader="none" w:pos="400" w:val="left"/>
        </w:tabs>
        <w:numPr>
          <w:ilvl w:val="0"/>
          <w:numId w:val="48"/>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48" w:name="page49"/>
    <w:bookmarkEnd w:id="4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Short-Term Incentive Plan</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short-term incentive plan provides an annual cash award that is designed to link each employee’s annual compensation to the achievement of annual performance objectives for CenterPoint Energy as well as to recognize the employee’s performance during the year. The target award for each employee is expressed as a percentage of base salary earned during the year.</w:t>
      </w:r>
    </w:p>
    <w:p>
      <w:pPr>
        <w:spacing w:after="0" w:line="18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Compensation Committee generally determines each senior executive officer’s short-term incentive target based on the competitive market data developed by its compensation consultant and recommendations from the Chief Executive Officer for officers other than himself. In light of the Company’s strong 2020 performance, in February 2021, the Compensation Committee recognized Mr. Lesar’s performance and key contributions with a short-term incentive plan payment for 2020 based on his annualized full year salary. Historically, our Executive Chairman was not eligible to participate in our short-term incentive plan. Due to Mr. Carroll’s significant contributions to the Company during the aforementioned leadership transitions in 2020, his role in the development of the Company’s strategic initiatives and new strategy, as well as his increased responsibilities and involvement with management and the operations of the Company to drive both short-term and long-term Company performance, in February 2021, the Compensation Committee determined that Mr. Carroll will be eligible to participate in the short-term incentive plan beginning with the 2021 plan year, with a short-term incentive compensation target of 75% of base salary. In recognition of Mr. Carroll’s significant contributions and performance throughout 2020 that, in part, played a key role in the Company’s 2020 performance, in February 2021, the Compensation Committee also approved a cash bonus to Mr. Carroll of $881,475, payable in 2021, which is the amount he would have received under the short-term incentive plan had he been eligible to participate in 2020.</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Each year, our Compensation Committee identifies incentive plan metrics that align with our strategy and with the interests of, and our commitments to, our shareholders. The Compensation Committee establishes and approves the specific performance objectives under the short-term incentive plan based on financial and operational factors determined to be critical to achieving our desired business plans and designed to reflect goals and objectives to be accomplished over a 12-month measurement period. After the end of the year, the Compensation Committee compares the actual results to the pre-established performance objectives and certifies the extent to which the objectives are achieved under the plan.</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entirety of each individual award is subject to the Compensation Committee’s discretion, consistent with the Company’s philosophy to pay for performance. In determining whether to exercise its discretion, the Compensation Committee may assess an individual executive’s contribution to the achievement of the performance objectives and any special circumstances and may also consider the input of our Chief Executive Officer on the amount to be awarded to each of the other senior executive officers.</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49" w:name="page50"/>
    <w:bookmarkEnd w:id="4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short-term incentive plan metrics for the 2020 performance year, along with the description of each metric and its critical linkage to our strategy for value creation, are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129540</wp:posOffset>
            </wp:positionV>
            <wp:extent cx="6166485" cy="3175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66485" cy="31750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p>
      <w:pPr>
        <w:spacing w:after="0" w:line="323" w:lineRule="exact"/>
        <w:rPr>
          <w:sz w:val="20"/>
          <w:szCs w:val="20"/>
          <w:color w:val="auto"/>
        </w:rPr>
      </w:pPr>
    </w:p>
    <w:p>
      <w:pPr>
        <w:jc w:val="center"/>
        <w:ind w:left="560"/>
        <w:spacing w:after="0"/>
        <w:rPr>
          <w:sz w:val="20"/>
          <w:szCs w:val="20"/>
          <w:color w:val="auto"/>
        </w:rPr>
      </w:pPr>
      <w:r>
        <w:rPr>
          <w:rFonts w:ascii="Arial" w:cs="Arial" w:eastAsia="Arial" w:hAnsi="Arial"/>
          <w:sz w:val="12"/>
          <w:szCs w:val="12"/>
          <w:b w:val="1"/>
          <w:bCs w:val="1"/>
          <w:color w:val="FFFFFF"/>
        </w:rPr>
        <w:t>PERFORMANCE</w:t>
      </w: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3"/>
          <w:szCs w:val="13"/>
          <w:b w:val="1"/>
          <w:bCs w:val="1"/>
          <w:color w:val="FFFFFF"/>
        </w:rPr>
        <w:t>OBJECTIVES</w:t>
      </w:r>
    </w:p>
    <w:p>
      <w:pPr>
        <w:spacing w:after="0" w:line="334" w:lineRule="exact"/>
        <w:rPr>
          <w:sz w:val="20"/>
          <w:szCs w:val="20"/>
          <w:color w:val="auto"/>
        </w:rPr>
      </w:pPr>
    </w:p>
    <w:p>
      <w:pPr>
        <w:ind w:left="120" w:right="60"/>
        <w:spacing w:after="0" w:line="260" w:lineRule="auto"/>
        <w:rPr>
          <w:sz w:val="20"/>
          <w:szCs w:val="20"/>
          <w:color w:val="auto"/>
        </w:rPr>
      </w:pPr>
      <w:r>
        <w:rPr>
          <w:rFonts w:ascii="Arial" w:cs="Arial" w:eastAsia="Arial" w:hAnsi="Arial"/>
          <w:sz w:val="13"/>
          <w:szCs w:val="13"/>
          <w:b w:val="1"/>
          <w:bCs w:val="1"/>
          <w:color w:val="auto"/>
        </w:rPr>
        <w:t>Overall Company Core Net Income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WEIGHTING</w:t>
      </w: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35%</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left="-219"/>
        <w:spacing w:after="0"/>
        <w:rPr>
          <w:sz w:val="20"/>
          <w:szCs w:val="20"/>
          <w:color w:val="auto"/>
        </w:rPr>
      </w:pPr>
      <w:r>
        <w:rPr>
          <w:rFonts w:ascii="Arial" w:cs="Arial" w:eastAsia="Arial" w:hAnsi="Arial"/>
          <w:sz w:val="13"/>
          <w:szCs w:val="13"/>
          <w:b w:val="1"/>
          <w:bCs w:val="1"/>
          <w:color w:val="FFFFFF"/>
        </w:rPr>
        <w:t>DESCRIPTION</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CenterPoint Energy’s core net income is determined by adjusting GAAP reported net income to remove the effect of specified items, either positive or negative, to reflect what we consider to be our fundamental business performance in the period being measured, which also excludes the net income from our midstream investments business segment. *</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FFFFFF"/>
        </w:rPr>
        <w:t>STRATEGY ALIGNMENT</w:t>
      </w:r>
    </w:p>
    <w:p>
      <w:pPr>
        <w:spacing w:after="0" w:line="378" w:lineRule="exact"/>
        <w:rPr>
          <w:sz w:val="20"/>
          <w:szCs w:val="20"/>
          <w:color w:val="auto"/>
        </w:rPr>
      </w:pPr>
    </w:p>
    <w:p>
      <w:pPr>
        <w:jc w:val="both"/>
        <w:ind w:right="360"/>
        <w:spacing w:after="0" w:line="234" w:lineRule="auto"/>
        <w:rPr>
          <w:sz w:val="20"/>
          <w:szCs w:val="20"/>
          <w:color w:val="auto"/>
        </w:rPr>
      </w:pPr>
      <w:r>
        <w:rPr>
          <w:rFonts w:ascii="Arial" w:cs="Arial" w:eastAsia="Arial" w:hAnsi="Arial"/>
          <w:sz w:val="13"/>
          <w:szCs w:val="13"/>
          <w:color w:val="auto"/>
        </w:rPr>
        <w:t>A critical component of our strategy for success is strong financial performance as measured by our core net income.</w:t>
      </w:r>
    </w:p>
    <w:p>
      <w:pPr>
        <w:spacing w:after="0" w:line="246" w:lineRule="exact"/>
        <w:rPr>
          <w:sz w:val="20"/>
          <w:szCs w:val="20"/>
          <w:color w:val="auto"/>
        </w:rPr>
      </w:pPr>
    </w:p>
    <w:p>
      <w:pPr>
        <w:sectPr>
          <w:pgSz w:w="11900" w:h="16838" w:orient="portrait"/>
          <w:cols w:equalWidth="0" w:num="4">
            <w:col w:w="1560" w:space="520"/>
            <w:col w:w="740" w:space="100"/>
            <w:col w:w="3400" w:space="260"/>
            <w:col w:w="3140"/>
          </w:cols>
          <w:pgMar w:left="1080" w:top="305" w:right="109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780" w:type="dxa"/>
            <w:vAlign w:val="bottom"/>
            <w:shd w:val="clear" w:color="auto" w:fill="D8E7F3"/>
          </w:tcPr>
          <w:p>
            <w:pPr>
              <w:spacing w:after="0"/>
              <w:rPr>
                <w:sz w:val="13"/>
                <w:szCs w:val="13"/>
                <w:color w:val="auto"/>
              </w:rPr>
            </w:pPr>
          </w:p>
        </w:tc>
        <w:tc>
          <w:tcPr>
            <w:tcW w:w="960" w:type="dxa"/>
            <w:vAlign w:val="bottom"/>
            <w:shd w:val="clear" w:color="auto" w:fill="D8E7F3"/>
          </w:tcPr>
          <w:p>
            <w:pPr>
              <w:spacing w:after="0"/>
              <w:rPr>
                <w:sz w:val="13"/>
                <w:szCs w:val="13"/>
                <w:color w:val="auto"/>
              </w:rPr>
            </w:pPr>
          </w:p>
        </w:tc>
        <w:tc>
          <w:tcPr>
            <w:tcW w:w="3800" w:type="dxa"/>
            <w:vAlign w:val="bottom"/>
            <w:shd w:val="clear" w:color="auto" w:fill="D8E7F3"/>
          </w:tcPr>
          <w:p>
            <w:pPr>
              <w:ind w:left="180"/>
              <w:spacing w:after="0"/>
              <w:rPr>
                <w:sz w:val="20"/>
                <w:szCs w:val="20"/>
                <w:color w:val="auto"/>
              </w:rPr>
            </w:pPr>
            <w:r>
              <w:rPr>
                <w:rFonts w:ascii="Arial" w:cs="Arial" w:eastAsia="Arial" w:hAnsi="Arial"/>
                <w:sz w:val="13"/>
                <w:szCs w:val="13"/>
                <w:color w:val="auto"/>
              </w:rPr>
              <w:t>Utility diluted EPS represents CenterPoint Energy’s utility net</w:t>
            </w:r>
          </w:p>
        </w:tc>
        <w:tc>
          <w:tcPr>
            <w:tcW w:w="3180" w:type="dxa"/>
            <w:vAlign w:val="bottom"/>
            <w:shd w:val="clear" w:color="auto" w:fill="D8E7F3"/>
          </w:tcPr>
          <w:p>
            <w:pPr>
              <w:ind w:left="40"/>
              <w:spacing w:after="0"/>
              <w:rPr>
                <w:sz w:val="20"/>
                <w:szCs w:val="20"/>
                <w:color w:val="auto"/>
              </w:rPr>
            </w:pPr>
            <w:r>
              <w:rPr>
                <w:rFonts w:ascii="Arial" w:cs="Arial" w:eastAsia="Arial" w:hAnsi="Arial"/>
                <w:sz w:val="13"/>
                <w:szCs w:val="13"/>
                <w:color w:val="auto"/>
              </w:rPr>
              <w:t>An EPS measure aligns with our commitment to</w:t>
            </w:r>
          </w:p>
        </w:tc>
        <w:tc>
          <w:tcPr>
            <w:tcW w:w="0" w:type="dxa"/>
            <w:vAlign w:val="bottom"/>
          </w:tcPr>
          <w:p>
            <w:pPr>
              <w:spacing w:after="0"/>
              <w:rPr>
                <w:sz w:val="1"/>
                <w:szCs w:val="1"/>
                <w:color w:val="auto"/>
              </w:rPr>
            </w:pPr>
          </w:p>
        </w:tc>
      </w:tr>
      <w:tr>
        <w:trPr>
          <w:trHeight w:val="143"/>
        </w:trPr>
        <w:tc>
          <w:tcPr>
            <w:tcW w:w="1780" w:type="dxa"/>
            <w:vAlign w:val="bottom"/>
            <w:shd w:val="clear" w:color="auto" w:fill="D8E7F3"/>
          </w:tcPr>
          <w:p>
            <w:pPr>
              <w:spacing w:after="0"/>
              <w:rPr>
                <w:sz w:val="12"/>
                <w:szCs w:val="12"/>
                <w:color w:val="auto"/>
              </w:rPr>
            </w:pPr>
          </w:p>
        </w:tc>
        <w:tc>
          <w:tcPr>
            <w:tcW w:w="960" w:type="dxa"/>
            <w:vAlign w:val="bottom"/>
            <w:shd w:val="clear" w:color="auto" w:fill="D8E7F3"/>
          </w:tcPr>
          <w:p>
            <w:pPr>
              <w:spacing w:after="0"/>
              <w:rPr>
                <w:sz w:val="12"/>
                <w:szCs w:val="12"/>
                <w:color w:val="auto"/>
              </w:rPr>
            </w:pPr>
          </w:p>
        </w:tc>
        <w:tc>
          <w:tcPr>
            <w:tcW w:w="3800" w:type="dxa"/>
            <w:vAlign w:val="bottom"/>
            <w:shd w:val="clear" w:color="auto" w:fill="D8E7F3"/>
          </w:tcPr>
          <w:p>
            <w:pPr>
              <w:ind w:left="180"/>
              <w:spacing w:after="0" w:line="143" w:lineRule="exact"/>
              <w:rPr>
                <w:sz w:val="20"/>
                <w:szCs w:val="20"/>
                <w:color w:val="auto"/>
              </w:rPr>
            </w:pPr>
            <w:r>
              <w:rPr>
                <w:rFonts w:ascii="Arial" w:cs="Arial" w:eastAsia="Arial" w:hAnsi="Arial"/>
                <w:sz w:val="13"/>
                <w:szCs w:val="13"/>
                <w:color w:val="auto"/>
              </w:rPr>
              <w:t>income divided by the weighted average diluted shares</w:t>
            </w:r>
          </w:p>
        </w:tc>
        <w:tc>
          <w:tcPr>
            <w:tcW w:w="318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return value to investors through earnings and</w:t>
            </w:r>
          </w:p>
        </w:tc>
        <w:tc>
          <w:tcPr>
            <w:tcW w:w="0" w:type="dxa"/>
            <w:vAlign w:val="bottom"/>
          </w:tcPr>
          <w:p>
            <w:pPr>
              <w:spacing w:after="0"/>
              <w:rPr>
                <w:sz w:val="1"/>
                <w:szCs w:val="1"/>
                <w:color w:val="auto"/>
              </w:rPr>
            </w:pPr>
          </w:p>
        </w:tc>
      </w:tr>
      <w:tr>
        <w:trPr>
          <w:trHeight w:val="143"/>
        </w:trPr>
        <w:tc>
          <w:tcPr>
            <w:tcW w:w="1780" w:type="dxa"/>
            <w:vAlign w:val="bottom"/>
            <w:vMerge w:val="restart"/>
            <w:shd w:val="clear" w:color="auto" w:fill="D8E7F3"/>
          </w:tcPr>
          <w:p>
            <w:pPr>
              <w:ind w:left="120"/>
              <w:spacing w:after="0"/>
              <w:rPr>
                <w:sz w:val="20"/>
                <w:szCs w:val="20"/>
                <w:color w:val="auto"/>
              </w:rPr>
            </w:pPr>
            <w:r>
              <w:rPr>
                <w:rFonts w:ascii="Arial" w:cs="Arial" w:eastAsia="Arial" w:hAnsi="Arial"/>
                <w:sz w:val="13"/>
                <w:szCs w:val="13"/>
                <w:b w:val="1"/>
                <w:bCs w:val="1"/>
                <w:color w:val="auto"/>
              </w:rPr>
              <w:t>Utility Diluted EPS</w:t>
            </w:r>
          </w:p>
        </w:tc>
        <w:tc>
          <w:tcPr>
            <w:tcW w:w="960" w:type="dxa"/>
            <w:vAlign w:val="bottom"/>
            <w:vMerge w:val="restart"/>
            <w:shd w:val="clear" w:color="auto" w:fill="D8E7F3"/>
          </w:tcPr>
          <w:p>
            <w:pPr>
              <w:jc w:val="right"/>
              <w:ind w:right="97"/>
              <w:spacing w:after="0"/>
              <w:rPr>
                <w:sz w:val="20"/>
                <w:szCs w:val="20"/>
                <w:color w:val="auto"/>
              </w:rPr>
            </w:pPr>
            <w:r>
              <w:rPr>
                <w:rFonts w:ascii="Arial" w:cs="Arial" w:eastAsia="Arial" w:hAnsi="Arial"/>
                <w:sz w:val="13"/>
                <w:szCs w:val="13"/>
                <w:b w:val="1"/>
                <w:bCs w:val="1"/>
                <w:color w:val="auto"/>
              </w:rPr>
              <w:t>10%</w:t>
            </w:r>
          </w:p>
        </w:tc>
        <w:tc>
          <w:tcPr>
            <w:tcW w:w="3800" w:type="dxa"/>
            <w:vAlign w:val="bottom"/>
            <w:shd w:val="clear" w:color="auto" w:fill="D8E7F3"/>
          </w:tcPr>
          <w:p>
            <w:pPr>
              <w:ind w:left="180"/>
              <w:spacing w:after="0" w:line="143" w:lineRule="exact"/>
              <w:rPr>
                <w:sz w:val="20"/>
                <w:szCs w:val="20"/>
                <w:color w:val="auto"/>
              </w:rPr>
            </w:pPr>
            <w:r>
              <w:rPr>
                <w:rFonts w:ascii="Arial" w:cs="Arial" w:eastAsia="Arial" w:hAnsi="Arial"/>
                <w:sz w:val="13"/>
                <w:szCs w:val="13"/>
                <w:color w:val="auto"/>
              </w:rPr>
              <w:t>outstanding during the year and then adjusted for unusual or</w:t>
            </w:r>
          </w:p>
        </w:tc>
        <w:tc>
          <w:tcPr>
            <w:tcW w:w="318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dividends paid. This measure is focused on utility</w:t>
            </w:r>
          </w:p>
        </w:tc>
        <w:tc>
          <w:tcPr>
            <w:tcW w:w="0" w:type="dxa"/>
            <w:vAlign w:val="bottom"/>
          </w:tcPr>
          <w:p>
            <w:pPr>
              <w:spacing w:after="0"/>
              <w:rPr>
                <w:sz w:val="1"/>
                <w:szCs w:val="1"/>
                <w:color w:val="auto"/>
              </w:rPr>
            </w:pPr>
          </w:p>
        </w:tc>
      </w:tr>
      <w:tr>
        <w:trPr>
          <w:trHeight w:val="143"/>
        </w:trPr>
        <w:tc>
          <w:tcPr>
            <w:tcW w:w="1780" w:type="dxa"/>
            <w:vAlign w:val="bottom"/>
            <w:vMerge w:val="continue"/>
            <w:shd w:val="clear" w:color="auto" w:fill="D8E7F3"/>
          </w:tcPr>
          <w:p>
            <w:pPr>
              <w:spacing w:after="0"/>
              <w:rPr>
                <w:sz w:val="12"/>
                <w:szCs w:val="12"/>
                <w:color w:val="auto"/>
              </w:rPr>
            </w:pPr>
          </w:p>
        </w:tc>
        <w:tc>
          <w:tcPr>
            <w:tcW w:w="960" w:type="dxa"/>
            <w:vAlign w:val="bottom"/>
            <w:vMerge w:val="continue"/>
            <w:shd w:val="clear" w:color="auto" w:fill="D8E7F3"/>
          </w:tcPr>
          <w:p>
            <w:pPr>
              <w:spacing w:after="0"/>
              <w:rPr>
                <w:sz w:val="12"/>
                <w:szCs w:val="12"/>
                <w:color w:val="auto"/>
              </w:rPr>
            </w:pPr>
          </w:p>
        </w:tc>
        <w:tc>
          <w:tcPr>
            <w:tcW w:w="3800" w:type="dxa"/>
            <w:vAlign w:val="bottom"/>
            <w:shd w:val="clear" w:color="auto" w:fill="D8E7F3"/>
          </w:tcPr>
          <w:p>
            <w:pPr>
              <w:ind w:left="180"/>
              <w:spacing w:after="0" w:line="143" w:lineRule="exact"/>
              <w:rPr>
                <w:sz w:val="20"/>
                <w:szCs w:val="20"/>
                <w:color w:val="auto"/>
              </w:rPr>
            </w:pPr>
            <w:r>
              <w:rPr>
                <w:rFonts w:ascii="Arial" w:cs="Arial" w:eastAsia="Arial" w:hAnsi="Arial"/>
                <w:sz w:val="13"/>
                <w:szCs w:val="13"/>
                <w:color w:val="auto"/>
              </w:rPr>
              <w:t>one-time items. This measure includes after-tax operating</w:t>
            </w:r>
          </w:p>
        </w:tc>
        <w:tc>
          <w:tcPr>
            <w:tcW w:w="318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EPS, which excludes the net income from our</w:t>
            </w:r>
          </w:p>
        </w:tc>
        <w:tc>
          <w:tcPr>
            <w:tcW w:w="0" w:type="dxa"/>
            <w:vAlign w:val="bottom"/>
          </w:tcPr>
          <w:p>
            <w:pPr>
              <w:spacing w:after="0"/>
              <w:rPr>
                <w:sz w:val="1"/>
                <w:szCs w:val="1"/>
                <w:color w:val="auto"/>
              </w:rPr>
            </w:pPr>
          </w:p>
        </w:tc>
      </w:tr>
      <w:tr>
        <w:trPr>
          <w:trHeight w:val="143"/>
        </w:trPr>
        <w:tc>
          <w:tcPr>
            <w:tcW w:w="1780" w:type="dxa"/>
            <w:vAlign w:val="bottom"/>
            <w:shd w:val="clear" w:color="auto" w:fill="D8E7F3"/>
          </w:tcPr>
          <w:p>
            <w:pPr>
              <w:spacing w:after="0"/>
              <w:rPr>
                <w:sz w:val="12"/>
                <w:szCs w:val="12"/>
                <w:color w:val="auto"/>
              </w:rPr>
            </w:pPr>
          </w:p>
        </w:tc>
        <w:tc>
          <w:tcPr>
            <w:tcW w:w="960" w:type="dxa"/>
            <w:vAlign w:val="bottom"/>
            <w:shd w:val="clear" w:color="auto" w:fill="D8E7F3"/>
          </w:tcPr>
          <w:p>
            <w:pPr>
              <w:spacing w:after="0"/>
              <w:rPr>
                <w:sz w:val="12"/>
                <w:szCs w:val="12"/>
                <w:color w:val="auto"/>
              </w:rPr>
            </w:pPr>
          </w:p>
        </w:tc>
        <w:tc>
          <w:tcPr>
            <w:tcW w:w="3800" w:type="dxa"/>
            <w:vAlign w:val="bottom"/>
            <w:shd w:val="clear" w:color="auto" w:fill="D8E7F3"/>
          </w:tcPr>
          <w:p>
            <w:pPr>
              <w:ind w:left="180"/>
              <w:spacing w:after="0" w:line="143" w:lineRule="exact"/>
              <w:rPr>
                <w:sz w:val="20"/>
                <w:szCs w:val="20"/>
                <w:color w:val="auto"/>
              </w:rPr>
            </w:pPr>
            <w:r>
              <w:rPr>
                <w:rFonts w:ascii="Arial" w:cs="Arial" w:eastAsia="Arial" w:hAnsi="Arial"/>
                <w:sz w:val="13"/>
                <w:szCs w:val="13"/>
                <w:color w:val="auto"/>
                <w:w w:val="97"/>
              </w:rPr>
              <w:t>income from our Corporate and Other business segment as well</w:t>
            </w:r>
          </w:p>
        </w:tc>
        <w:tc>
          <w:tcPr>
            <w:tcW w:w="318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midstream investments business segment, because</w:t>
            </w:r>
          </w:p>
        </w:tc>
        <w:tc>
          <w:tcPr>
            <w:tcW w:w="0" w:type="dxa"/>
            <w:vAlign w:val="bottom"/>
          </w:tcPr>
          <w:p>
            <w:pPr>
              <w:spacing w:after="0"/>
              <w:rPr>
                <w:sz w:val="1"/>
                <w:szCs w:val="1"/>
                <w:color w:val="auto"/>
              </w:rPr>
            </w:pPr>
          </w:p>
        </w:tc>
      </w:tr>
      <w:tr>
        <w:trPr>
          <w:trHeight w:val="143"/>
        </w:trPr>
        <w:tc>
          <w:tcPr>
            <w:tcW w:w="1780" w:type="dxa"/>
            <w:vAlign w:val="bottom"/>
            <w:shd w:val="clear" w:color="auto" w:fill="D8E7F3"/>
          </w:tcPr>
          <w:p>
            <w:pPr>
              <w:spacing w:after="0"/>
              <w:rPr>
                <w:sz w:val="12"/>
                <w:szCs w:val="12"/>
                <w:color w:val="auto"/>
              </w:rPr>
            </w:pPr>
          </w:p>
        </w:tc>
        <w:tc>
          <w:tcPr>
            <w:tcW w:w="960" w:type="dxa"/>
            <w:vAlign w:val="bottom"/>
            <w:shd w:val="clear" w:color="auto" w:fill="D8E7F3"/>
          </w:tcPr>
          <w:p>
            <w:pPr>
              <w:spacing w:after="0"/>
              <w:rPr>
                <w:sz w:val="12"/>
                <w:szCs w:val="12"/>
                <w:color w:val="auto"/>
              </w:rPr>
            </w:pPr>
          </w:p>
        </w:tc>
        <w:tc>
          <w:tcPr>
            <w:tcW w:w="3800" w:type="dxa"/>
            <w:vAlign w:val="bottom"/>
            <w:shd w:val="clear" w:color="auto" w:fill="D8E7F3"/>
          </w:tcPr>
          <w:p>
            <w:pPr>
              <w:ind w:left="180"/>
              <w:spacing w:after="0" w:line="143" w:lineRule="exact"/>
              <w:rPr>
                <w:sz w:val="20"/>
                <w:szCs w:val="20"/>
                <w:color w:val="auto"/>
              </w:rPr>
            </w:pPr>
            <w:r>
              <w:rPr>
                <w:rFonts w:ascii="Arial" w:cs="Arial" w:eastAsia="Arial" w:hAnsi="Arial"/>
                <w:sz w:val="13"/>
                <w:szCs w:val="13"/>
                <w:color w:val="auto"/>
              </w:rPr>
              <w:t>as an allocation of corporate overhead based on our utility</w:t>
            </w:r>
          </w:p>
        </w:tc>
        <w:tc>
          <w:tcPr>
            <w:tcW w:w="318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we view our utility operations as the principal driver of</w:t>
            </w:r>
          </w:p>
        </w:tc>
        <w:tc>
          <w:tcPr>
            <w:tcW w:w="0" w:type="dxa"/>
            <w:vAlign w:val="bottom"/>
          </w:tcPr>
          <w:p>
            <w:pPr>
              <w:spacing w:after="0"/>
              <w:rPr>
                <w:sz w:val="1"/>
                <w:szCs w:val="1"/>
                <w:color w:val="auto"/>
              </w:rPr>
            </w:pPr>
          </w:p>
        </w:tc>
      </w:tr>
      <w:tr>
        <w:trPr>
          <w:trHeight w:val="153"/>
        </w:trPr>
        <w:tc>
          <w:tcPr>
            <w:tcW w:w="1780" w:type="dxa"/>
            <w:vAlign w:val="bottom"/>
            <w:shd w:val="clear" w:color="auto" w:fill="D8E7F3"/>
          </w:tcPr>
          <w:p>
            <w:pPr>
              <w:spacing w:after="0"/>
              <w:rPr>
                <w:sz w:val="13"/>
                <w:szCs w:val="13"/>
                <w:color w:val="auto"/>
              </w:rPr>
            </w:pPr>
          </w:p>
        </w:tc>
        <w:tc>
          <w:tcPr>
            <w:tcW w:w="960" w:type="dxa"/>
            <w:vAlign w:val="bottom"/>
            <w:shd w:val="clear" w:color="auto" w:fill="D8E7F3"/>
          </w:tcPr>
          <w:p>
            <w:pPr>
              <w:spacing w:after="0"/>
              <w:rPr>
                <w:sz w:val="13"/>
                <w:szCs w:val="13"/>
                <w:color w:val="auto"/>
              </w:rPr>
            </w:pPr>
          </w:p>
        </w:tc>
        <w:tc>
          <w:tcPr>
            <w:tcW w:w="3800" w:type="dxa"/>
            <w:vAlign w:val="bottom"/>
            <w:shd w:val="clear" w:color="auto" w:fill="D8E7F3"/>
          </w:tcPr>
          <w:p>
            <w:pPr>
              <w:ind w:left="180"/>
              <w:spacing w:after="0"/>
              <w:rPr>
                <w:sz w:val="20"/>
                <w:szCs w:val="20"/>
                <w:color w:val="auto"/>
              </w:rPr>
            </w:pPr>
            <w:r>
              <w:rPr>
                <w:rFonts w:ascii="Arial" w:cs="Arial" w:eastAsia="Arial" w:hAnsi="Arial"/>
                <w:sz w:val="13"/>
                <w:szCs w:val="13"/>
                <w:color w:val="auto"/>
              </w:rPr>
              <w:t>business segments’ relative earnings contributions. *</w:t>
            </w:r>
          </w:p>
        </w:tc>
        <w:tc>
          <w:tcPr>
            <w:tcW w:w="3180" w:type="dxa"/>
            <w:vAlign w:val="bottom"/>
            <w:shd w:val="clear" w:color="auto" w:fill="D8E7F3"/>
          </w:tcPr>
          <w:p>
            <w:pPr>
              <w:ind w:left="40"/>
              <w:spacing w:after="0"/>
              <w:rPr>
                <w:sz w:val="20"/>
                <w:szCs w:val="20"/>
                <w:color w:val="auto"/>
              </w:rPr>
            </w:pPr>
            <w:r>
              <w:rPr>
                <w:rFonts w:ascii="Arial" w:cs="Arial" w:eastAsia="Arial" w:hAnsi="Arial"/>
                <w:sz w:val="13"/>
                <w:szCs w:val="13"/>
                <w:color w:val="auto"/>
              </w:rPr>
              <w:t>overall financial performance.</w:t>
            </w:r>
          </w:p>
        </w:tc>
        <w:tc>
          <w:tcPr>
            <w:tcW w:w="0" w:type="dxa"/>
            <w:vAlign w:val="bottom"/>
          </w:tcPr>
          <w:p>
            <w:pPr>
              <w:spacing w:after="0"/>
              <w:rPr>
                <w:sz w:val="1"/>
                <w:szCs w:val="1"/>
                <w:color w:val="auto"/>
              </w:rPr>
            </w:pPr>
          </w:p>
        </w:tc>
      </w:tr>
      <w:tr>
        <w:trPr>
          <w:trHeight w:val="33"/>
        </w:trPr>
        <w:tc>
          <w:tcPr>
            <w:tcW w:w="1780" w:type="dxa"/>
            <w:vAlign w:val="bottom"/>
            <w:shd w:val="clear" w:color="auto" w:fill="D8E7F3"/>
          </w:tcPr>
          <w:p>
            <w:pPr>
              <w:spacing w:after="0"/>
              <w:rPr>
                <w:sz w:val="2"/>
                <w:szCs w:val="2"/>
                <w:color w:val="auto"/>
              </w:rPr>
            </w:pPr>
          </w:p>
        </w:tc>
        <w:tc>
          <w:tcPr>
            <w:tcW w:w="960" w:type="dxa"/>
            <w:vAlign w:val="bottom"/>
            <w:shd w:val="clear" w:color="auto" w:fill="D8E7F3"/>
          </w:tcPr>
          <w:p>
            <w:pPr>
              <w:spacing w:after="0"/>
              <w:rPr>
                <w:sz w:val="2"/>
                <w:szCs w:val="2"/>
                <w:color w:val="auto"/>
              </w:rPr>
            </w:pPr>
          </w:p>
        </w:tc>
        <w:tc>
          <w:tcPr>
            <w:tcW w:w="3800" w:type="dxa"/>
            <w:vAlign w:val="bottom"/>
            <w:shd w:val="clear" w:color="auto" w:fill="D8E7F3"/>
          </w:tcPr>
          <w:p>
            <w:pPr>
              <w:spacing w:after="0"/>
              <w:rPr>
                <w:sz w:val="2"/>
                <w:szCs w:val="2"/>
                <w:color w:val="auto"/>
              </w:rPr>
            </w:pPr>
          </w:p>
        </w:tc>
        <w:tc>
          <w:tcPr>
            <w:tcW w:w="3180" w:type="dxa"/>
            <w:vAlign w:val="bottom"/>
            <w:shd w:val="clear" w:color="auto" w:fill="D8E7F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9720"/>
          </w:cols>
          <w:pgMar w:left="1080" w:top="305" w:right="1099" w:bottom="1440" w:gutter="0" w:footer="0" w:header="0"/>
          <w:type w:val="continuous"/>
        </w:sectPr>
      </w:pPr>
    </w:p>
    <w:p>
      <w:pPr>
        <w:spacing w:after="0" w:line="4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60" w:type="dxa"/>
            <w:vAlign w:val="bottom"/>
          </w:tcPr>
          <w:p>
            <w:pPr>
              <w:spacing w:after="0"/>
              <w:rPr>
                <w:sz w:val="20"/>
                <w:szCs w:val="20"/>
                <w:color w:val="auto"/>
              </w:rPr>
            </w:pPr>
            <w:r>
              <w:rPr>
                <w:rFonts w:ascii="Arial" w:cs="Arial" w:eastAsia="Arial" w:hAnsi="Arial"/>
                <w:sz w:val="13"/>
                <w:szCs w:val="13"/>
                <w:b w:val="1"/>
                <w:bCs w:val="1"/>
                <w:color w:val="auto"/>
              </w:rPr>
              <w:t>Overall Company</w:t>
            </w:r>
          </w:p>
        </w:tc>
        <w:tc>
          <w:tcPr>
            <w:tcW w:w="860" w:type="dxa"/>
            <w:vAlign w:val="bottom"/>
          </w:tcPr>
          <w:p>
            <w:pPr>
              <w:spacing w:after="0"/>
              <w:rPr>
                <w:sz w:val="13"/>
                <w:szCs w:val="13"/>
                <w:color w:val="auto"/>
              </w:rPr>
            </w:pPr>
          </w:p>
        </w:tc>
        <w:tc>
          <w:tcPr>
            <w:tcW w:w="3760" w:type="dxa"/>
            <w:vAlign w:val="bottom"/>
          </w:tcPr>
          <w:p>
            <w:pPr>
              <w:ind w:left="180"/>
              <w:spacing w:after="0"/>
              <w:rPr>
                <w:sz w:val="20"/>
                <w:szCs w:val="20"/>
                <w:color w:val="auto"/>
              </w:rPr>
            </w:pPr>
            <w:r>
              <w:rPr>
                <w:rFonts w:ascii="Arial" w:cs="Arial" w:eastAsia="Arial" w:hAnsi="Arial"/>
                <w:sz w:val="13"/>
                <w:szCs w:val="13"/>
                <w:color w:val="auto"/>
              </w:rPr>
              <w:t>Overall Company O&amp;M expenditures is defined as all O&amp;M</w:t>
            </w:r>
          </w:p>
        </w:tc>
        <w:tc>
          <w:tcPr>
            <w:tcW w:w="0" w:type="dxa"/>
            <w:vAlign w:val="bottom"/>
          </w:tcPr>
          <w:p>
            <w:pPr>
              <w:spacing w:after="0"/>
              <w:rPr>
                <w:sz w:val="1"/>
                <w:szCs w:val="1"/>
                <w:color w:val="auto"/>
              </w:rPr>
            </w:pPr>
          </w:p>
        </w:tc>
      </w:tr>
      <w:tr>
        <w:trPr>
          <w:trHeight w:val="143"/>
        </w:trPr>
        <w:tc>
          <w:tcPr>
            <w:tcW w:w="1760" w:type="dxa"/>
            <w:vAlign w:val="bottom"/>
          </w:tcPr>
          <w:p>
            <w:pPr>
              <w:spacing w:after="0" w:line="143" w:lineRule="exact"/>
              <w:rPr>
                <w:sz w:val="20"/>
                <w:szCs w:val="20"/>
                <w:color w:val="auto"/>
              </w:rPr>
            </w:pPr>
            <w:r>
              <w:rPr>
                <w:rFonts w:ascii="Arial" w:cs="Arial" w:eastAsia="Arial" w:hAnsi="Arial"/>
                <w:sz w:val="13"/>
                <w:szCs w:val="13"/>
                <w:b w:val="1"/>
                <w:bCs w:val="1"/>
                <w:color w:val="auto"/>
              </w:rPr>
              <w:t>Operations and</w:t>
            </w: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25%</w:t>
            </w:r>
          </w:p>
        </w:tc>
        <w:tc>
          <w:tcPr>
            <w:tcW w:w="3760" w:type="dxa"/>
            <w:vAlign w:val="bottom"/>
          </w:tcPr>
          <w:p>
            <w:pPr>
              <w:ind w:left="180"/>
              <w:spacing w:after="0" w:line="143" w:lineRule="exact"/>
              <w:rPr>
                <w:sz w:val="20"/>
                <w:szCs w:val="20"/>
                <w:color w:val="auto"/>
              </w:rPr>
            </w:pPr>
            <w:r>
              <w:rPr>
                <w:rFonts w:ascii="Arial" w:cs="Arial" w:eastAsia="Arial" w:hAnsi="Arial"/>
                <w:sz w:val="13"/>
                <w:szCs w:val="13"/>
                <w:color w:val="auto"/>
                <w:w w:val="96"/>
              </w:rPr>
              <w:t>expenses (excluding transmission cost of service, stranded cost</w:t>
            </w:r>
          </w:p>
        </w:tc>
        <w:tc>
          <w:tcPr>
            <w:tcW w:w="0" w:type="dxa"/>
            <w:vAlign w:val="bottom"/>
          </w:tcPr>
          <w:p>
            <w:pPr>
              <w:spacing w:after="0"/>
              <w:rPr>
                <w:sz w:val="1"/>
                <w:szCs w:val="1"/>
                <w:color w:val="auto"/>
              </w:rPr>
            </w:pPr>
          </w:p>
        </w:tc>
      </w:tr>
      <w:tr>
        <w:trPr>
          <w:trHeight w:val="97"/>
        </w:trPr>
        <w:tc>
          <w:tcPr>
            <w:tcW w:w="1760" w:type="dxa"/>
            <w:vAlign w:val="bottom"/>
            <w:vMerge w:val="restart"/>
          </w:tcPr>
          <w:p>
            <w:pPr>
              <w:spacing w:after="0" w:line="143" w:lineRule="exact"/>
              <w:rPr>
                <w:sz w:val="20"/>
                <w:szCs w:val="20"/>
                <w:color w:val="auto"/>
              </w:rPr>
            </w:pPr>
            <w:r>
              <w:rPr>
                <w:rFonts w:ascii="Arial" w:cs="Arial" w:eastAsia="Arial" w:hAnsi="Arial"/>
                <w:sz w:val="13"/>
                <w:szCs w:val="13"/>
                <w:b w:val="1"/>
                <w:bCs w:val="1"/>
                <w:color w:val="auto"/>
              </w:rPr>
              <w:t>Maintenance (“O&amp;M”)</w:t>
            </w:r>
          </w:p>
        </w:tc>
        <w:tc>
          <w:tcPr>
            <w:tcW w:w="860" w:type="dxa"/>
            <w:vAlign w:val="bottom"/>
            <w:vMerge w:val="continue"/>
          </w:tcPr>
          <w:p>
            <w:pPr>
              <w:spacing w:after="0"/>
              <w:rPr>
                <w:sz w:val="8"/>
                <w:szCs w:val="8"/>
                <w:color w:val="auto"/>
              </w:rPr>
            </w:pPr>
          </w:p>
        </w:tc>
        <w:tc>
          <w:tcPr>
            <w:tcW w:w="3760" w:type="dxa"/>
            <w:vAlign w:val="bottom"/>
            <w:vMerge w:val="restart"/>
          </w:tcPr>
          <w:p>
            <w:pPr>
              <w:ind w:left="180"/>
              <w:spacing w:after="0" w:line="143" w:lineRule="exact"/>
              <w:rPr>
                <w:sz w:val="20"/>
                <w:szCs w:val="20"/>
                <w:color w:val="auto"/>
              </w:rPr>
            </w:pPr>
            <w:r>
              <w:rPr>
                <w:rFonts w:ascii="Arial" w:cs="Arial" w:eastAsia="Arial" w:hAnsi="Arial"/>
                <w:sz w:val="13"/>
                <w:szCs w:val="13"/>
                <w:color w:val="auto"/>
              </w:rPr>
              <w:t>recovery and system restoration bonds), with additional</w:t>
            </w:r>
          </w:p>
        </w:tc>
        <w:tc>
          <w:tcPr>
            <w:tcW w:w="0" w:type="dxa"/>
            <w:vAlign w:val="bottom"/>
          </w:tcPr>
          <w:p>
            <w:pPr>
              <w:spacing w:after="0"/>
              <w:rPr>
                <w:sz w:val="1"/>
                <w:szCs w:val="1"/>
                <w:color w:val="auto"/>
              </w:rPr>
            </w:pPr>
          </w:p>
        </w:tc>
      </w:tr>
      <w:tr>
        <w:trPr>
          <w:trHeight w:val="45"/>
        </w:trPr>
        <w:tc>
          <w:tcPr>
            <w:tcW w:w="176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3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20"/>
                <w:szCs w:val="20"/>
                <w:color w:val="auto"/>
              </w:rPr>
            </w:pPr>
            <w:r>
              <w:rPr>
                <w:rFonts w:ascii="Arial" w:cs="Arial" w:eastAsia="Arial" w:hAnsi="Arial"/>
                <w:sz w:val="13"/>
                <w:szCs w:val="13"/>
                <w:b w:val="1"/>
                <w:bCs w:val="1"/>
                <w:color w:val="auto"/>
              </w:rPr>
              <w:t>Expenditures</w:t>
            </w:r>
          </w:p>
        </w:tc>
        <w:tc>
          <w:tcPr>
            <w:tcW w:w="860" w:type="dxa"/>
            <w:vAlign w:val="bottom"/>
          </w:tcPr>
          <w:p>
            <w:pPr>
              <w:spacing w:after="0"/>
              <w:rPr>
                <w:sz w:val="14"/>
                <w:szCs w:val="14"/>
                <w:color w:val="auto"/>
              </w:rPr>
            </w:pPr>
          </w:p>
        </w:tc>
        <w:tc>
          <w:tcPr>
            <w:tcW w:w="3760" w:type="dxa"/>
            <w:vAlign w:val="bottom"/>
          </w:tcPr>
          <w:p>
            <w:pPr>
              <w:ind w:left="180"/>
              <w:spacing w:after="0"/>
              <w:rPr>
                <w:sz w:val="20"/>
                <w:szCs w:val="20"/>
                <w:color w:val="auto"/>
              </w:rPr>
            </w:pPr>
            <w:r>
              <w:rPr>
                <w:rFonts w:ascii="Arial" w:cs="Arial" w:eastAsia="Arial" w:hAnsi="Arial"/>
                <w:sz w:val="13"/>
                <w:szCs w:val="13"/>
                <w:color w:val="auto"/>
              </w:rPr>
              <w:t>adjustments.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300"/>
        <w:spacing w:after="0" w:line="232" w:lineRule="auto"/>
        <w:rPr>
          <w:sz w:val="20"/>
          <w:szCs w:val="20"/>
          <w:color w:val="auto"/>
        </w:rPr>
      </w:pPr>
      <w:r>
        <w:rPr>
          <w:rFonts w:ascii="Arial" w:cs="Arial" w:eastAsia="Arial" w:hAnsi="Arial"/>
          <w:sz w:val="13"/>
          <w:szCs w:val="13"/>
          <w:color w:val="auto"/>
        </w:rPr>
        <w:t>Consistent with our focus on financial strength and efficient operations to provide safe and reliable service to our customers, this measure of O&amp;M expenditures incentivizes the organization’s commitment to cost discipline.</w:t>
      </w:r>
    </w:p>
    <w:p>
      <w:pPr>
        <w:spacing w:after="0" w:line="32" w:lineRule="exact"/>
        <w:rPr>
          <w:sz w:val="20"/>
          <w:szCs w:val="20"/>
          <w:color w:val="auto"/>
        </w:rPr>
      </w:pPr>
    </w:p>
    <w:p>
      <w:pPr>
        <w:sectPr>
          <w:pgSz w:w="11900" w:h="16838" w:orient="portrait"/>
          <w:cols w:equalWidth="0" w:num="2">
            <w:col w:w="6500" w:space="80"/>
            <w:col w:w="3140"/>
          </w:cols>
          <w:pgMar w:left="1080" w:top="305" w:right="109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900" w:type="dxa"/>
            <w:vAlign w:val="bottom"/>
            <w:shd w:val="clear" w:color="auto" w:fill="D8E7F3"/>
          </w:tcPr>
          <w:p>
            <w:pPr>
              <w:spacing w:after="0"/>
              <w:rPr>
                <w:sz w:val="13"/>
                <w:szCs w:val="13"/>
                <w:color w:val="auto"/>
              </w:rPr>
            </w:pPr>
          </w:p>
        </w:tc>
        <w:tc>
          <w:tcPr>
            <w:tcW w:w="840" w:type="dxa"/>
            <w:vAlign w:val="bottom"/>
            <w:shd w:val="clear" w:color="auto" w:fill="D8E7F3"/>
          </w:tcPr>
          <w:p>
            <w:pPr>
              <w:spacing w:after="0"/>
              <w:rPr>
                <w:sz w:val="13"/>
                <w:szCs w:val="13"/>
                <w:color w:val="auto"/>
              </w:rPr>
            </w:pPr>
          </w:p>
        </w:tc>
        <w:tc>
          <w:tcPr>
            <w:tcW w:w="3180" w:type="dxa"/>
            <w:vAlign w:val="bottom"/>
            <w:gridSpan w:val="2"/>
            <w:vMerge w:val="restart"/>
            <w:shd w:val="clear" w:color="auto" w:fill="D8E7F3"/>
          </w:tcPr>
          <w:p>
            <w:pPr>
              <w:ind w:left="180"/>
              <w:spacing w:after="0"/>
              <w:rPr>
                <w:sz w:val="20"/>
                <w:szCs w:val="20"/>
                <w:color w:val="auto"/>
              </w:rPr>
            </w:pPr>
            <w:r>
              <w:rPr>
                <w:rFonts w:ascii="Arial" w:cs="Arial" w:eastAsia="Arial" w:hAnsi="Arial"/>
                <w:sz w:val="13"/>
                <w:szCs w:val="13"/>
                <w:color w:val="auto"/>
              </w:rPr>
              <w:t>Customer satisfaction composite includes:</w:t>
            </w:r>
          </w:p>
        </w:tc>
        <w:tc>
          <w:tcPr>
            <w:tcW w:w="3800" w:type="dxa"/>
            <w:vAlign w:val="bottom"/>
            <w:shd w:val="clear" w:color="auto" w:fill="D8E7F3"/>
          </w:tcPr>
          <w:p>
            <w:pPr>
              <w:ind w:left="660"/>
              <w:spacing w:after="0"/>
              <w:rPr>
                <w:sz w:val="20"/>
                <w:szCs w:val="20"/>
                <w:color w:val="auto"/>
              </w:rPr>
            </w:pPr>
            <w:r>
              <w:rPr>
                <w:rFonts w:ascii="Arial" w:cs="Arial" w:eastAsia="Arial" w:hAnsi="Arial"/>
                <w:sz w:val="13"/>
                <w:szCs w:val="13"/>
                <w:color w:val="auto"/>
              </w:rPr>
              <w:t>Customer satisfaction and reliability measures</w:t>
            </w:r>
          </w:p>
        </w:tc>
        <w:tc>
          <w:tcPr>
            <w:tcW w:w="0" w:type="dxa"/>
            <w:vAlign w:val="bottom"/>
          </w:tcPr>
          <w:p>
            <w:pPr>
              <w:spacing w:after="0"/>
              <w:rPr>
                <w:sz w:val="1"/>
                <w:szCs w:val="1"/>
                <w:color w:val="auto"/>
              </w:rPr>
            </w:pPr>
          </w:p>
        </w:tc>
      </w:tr>
      <w:tr>
        <w:trPr>
          <w:trHeight w:val="60"/>
        </w:trPr>
        <w:tc>
          <w:tcPr>
            <w:tcW w:w="1900" w:type="dxa"/>
            <w:vAlign w:val="bottom"/>
            <w:vMerge w:val="restart"/>
            <w:shd w:val="clear" w:color="auto" w:fill="D8E7F3"/>
          </w:tcPr>
          <w:p>
            <w:pPr>
              <w:ind w:left="120"/>
              <w:spacing w:after="0"/>
              <w:rPr>
                <w:sz w:val="20"/>
                <w:szCs w:val="20"/>
                <w:color w:val="auto"/>
              </w:rPr>
            </w:pPr>
            <w:r>
              <w:rPr>
                <w:rFonts w:ascii="Arial" w:cs="Arial" w:eastAsia="Arial" w:hAnsi="Arial"/>
                <w:sz w:val="13"/>
                <w:szCs w:val="13"/>
                <w:b w:val="1"/>
                <w:bCs w:val="1"/>
                <w:color w:val="auto"/>
              </w:rPr>
              <w:t>Customer Satisfaction</w:t>
            </w:r>
          </w:p>
        </w:tc>
        <w:tc>
          <w:tcPr>
            <w:tcW w:w="840" w:type="dxa"/>
            <w:vAlign w:val="bottom"/>
            <w:shd w:val="clear" w:color="auto" w:fill="D8E7F3"/>
          </w:tcPr>
          <w:p>
            <w:pPr>
              <w:spacing w:after="0"/>
              <w:rPr>
                <w:sz w:val="5"/>
                <w:szCs w:val="5"/>
                <w:color w:val="auto"/>
              </w:rPr>
            </w:pPr>
          </w:p>
        </w:tc>
        <w:tc>
          <w:tcPr>
            <w:tcW w:w="3180" w:type="dxa"/>
            <w:vAlign w:val="bottom"/>
            <w:gridSpan w:val="2"/>
            <w:vMerge w:val="continue"/>
            <w:shd w:val="clear" w:color="auto" w:fill="D8E7F3"/>
          </w:tcPr>
          <w:p>
            <w:pPr>
              <w:spacing w:after="0"/>
              <w:rPr>
                <w:sz w:val="5"/>
                <w:szCs w:val="5"/>
                <w:color w:val="auto"/>
              </w:rPr>
            </w:pPr>
          </w:p>
        </w:tc>
        <w:tc>
          <w:tcPr>
            <w:tcW w:w="3800" w:type="dxa"/>
            <w:vAlign w:val="bottom"/>
            <w:vMerge w:val="restart"/>
            <w:shd w:val="clear" w:color="auto" w:fill="D8E7F3"/>
          </w:tcPr>
          <w:p>
            <w:pPr>
              <w:ind w:left="660"/>
              <w:spacing w:after="0" w:line="143" w:lineRule="exact"/>
              <w:rPr>
                <w:sz w:val="20"/>
                <w:szCs w:val="20"/>
                <w:color w:val="auto"/>
              </w:rPr>
            </w:pPr>
            <w:r>
              <w:rPr>
                <w:rFonts w:ascii="Arial" w:cs="Arial" w:eastAsia="Arial" w:hAnsi="Arial"/>
                <w:sz w:val="13"/>
                <w:szCs w:val="13"/>
                <w:color w:val="auto"/>
              </w:rPr>
              <w:t>evaluate the delivery of services provided by</w:t>
            </w:r>
          </w:p>
        </w:tc>
        <w:tc>
          <w:tcPr>
            <w:tcW w:w="0" w:type="dxa"/>
            <w:vAlign w:val="bottom"/>
          </w:tcPr>
          <w:p>
            <w:pPr>
              <w:spacing w:after="0"/>
              <w:rPr>
                <w:sz w:val="1"/>
                <w:szCs w:val="1"/>
                <w:color w:val="auto"/>
              </w:rPr>
            </w:pPr>
          </w:p>
        </w:tc>
      </w:tr>
      <w:tr>
        <w:trPr>
          <w:trHeight w:val="83"/>
        </w:trPr>
        <w:tc>
          <w:tcPr>
            <w:tcW w:w="1900" w:type="dxa"/>
            <w:vAlign w:val="bottom"/>
            <w:vMerge w:val="continue"/>
            <w:shd w:val="clear" w:color="auto" w:fill="D8E7F3"/>
          </w:tcPr>
          <w:p>
            <w:pPr>
              <w:spacing w:after="0"/>
              <w:rPr>
                <w:sz w:val="7"/>
                <w:szCs w:val="7"/>
                <w:color w:val="auto"/>
              </w:rPr>
            </w:pPr>
          </w:p>
        </w:tc>
        <w:tc>
          <w:tcPr>
            <w:tcW w:w="840" w:type="dxa"/>
            <w:vAlign w:val="bottom"/>
            <w:vMerge w:val="restart"/>
            <w:shd w:val="clear" w:color="auto" w:fill="D8E7F3"/>
          </w:tcPr>
          <w:p>
            <w:pPr>
              <w:jc w:val="right"/>
              <w:ind w:right="97"/>
              <w:spacing w:after="0"/>
              <w:rPr>
                <w:sz w:val="20"/>
                <w:szCs w:val="20"/>
                <w:color w:val="auto"/>
              </w:rPr>
            </w:pPr>
            <w:r>
              <w:rPr>
                <w:rFonts w:ascii="Arial" w:cs="Arial" w:eastAsia="Arial" w:hAnsi="Arial"/>
                <w:sz w:val="13"/>
                <w:szCs w:val="13"/>
                <w:b w:val="1"/>
                <w:bCs w:val="1"/>
                <w:color w:val="auto"/>
              </w:rPr>
              <w:t>15%</w:t>
            </w:r>
          </w:p>
        </w:tc>
        <w:tc>
          <w:tcPr>
            <w:tcW w:w="300" w:type="dxa"/>
            <w:vAlign w:val="bottom"/>
            <w:vMerge w:val="restart"/>
            <w:shd w:val="clear" w:color="auto" w:fill="D8E7F3"/>
          </w:tcPr>
          <w:p>
            <w:pPr>
              <w:ind w:left="180"/>
              <w:spacing w:after="0" w:line="139" w:lineRule="exact"/>
              <w:rPr>
                <w:sz w:val="20"/>
                <w:szCs w:val="20"/>
                <w:color w:val="auto"/>
              </w:rPr>
            </w:pPr>
            <w:r>
              <w:rPr>
                <w:rFonts w:ascii="Arial" w:cs="Arial" w:eastAsia="Arial" w:hAnsi="Arial"/>
                <w:sz w:val="13"/>
                <w:szCs w:val="13"/>
                <w:color w:val="auto"/>
              </w:rPr>
              <w:t>-</w:t>
            </w:r>
          </w:p>
        </w:tc>
        <w:tc>
          <w:tcPr>
            <w:tcW w:w="2880" w:type="dxa"/>
            <w:vAlign w:val="bottom"/>
            <w:vMerge w:val="restart"/>
            <w:shd w:val="clear" w:color="auto" w:fill="D8E7F3"/>
          </w:tcPr>
          <w:p>
            <w:pPr>
              <w:ind w:left="100"/>
              <w:spacing w:after="0" w:line="139" w:lineRule="exact"/>
              <w:rPr>
                <w:sz w:val="20"/>
                <w:szCs w:val="20"/>
                <w:color w:val="auto"/>
              </w:rPr>
            </w:pPr>
            <w:r>
              <w:rPr>
                <w:rFonts w:ascii="Arial" w:cs="Arial" w:eastAsia="Arial" w:hAnsi="Arial"/>
                <w:sz w:val="13"/>
                <w:szCs w:val="13"/>
                <w:color w:val="auto"/>
              </w:rPr>
              <w:t>Customer Surveys</w:t>
            </w:r>
          </w:p>
        </w:tc>
        <w:tc>
          <w:tcPr>
            <w:tcW w:w="3800" w:type="dxa"/>
            <w:vAlign w:val="bottom"/>
            <w:vMerge w:val="continue"/>
            <w:shd w:val="clear" w:color="auto" w:fill="D8E7F3"/>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900" w:type="dxa"/>
            <w:vAlign w:val="bottom"/>
            <w:vMerge w:val="continue"/>
            <w:shd w:val="clear" w:color="auto" w:fill="D8E7F3"/>
          </w:tcPr>
          <w:p>
            <w:pPr>
              <w:spacing w:after="0"/>
              <w:rPr>
                <w:sz w:val="4"/>
                <w:szCs w:val="4"/>
                <w:color w:val="auto"/>
              </w:rPr>
            </w:pPr>
          </w:p>
        </w:tc>
        <w:tc>
          <w:tcPr>
            <w:tcW w:w="840" w:type="dxa"/>
            <w:vAlign w:val="bottom"/>
            <w:vMerge w:val="continue"/>
            <w:shd w:val="clear" w:color="auto" w:fill="D8E7F3"/>
          </w:tcPr>
          <w:p>
            <w:pPr>
              <w:spacing w:after="0"/>
              <w:rPr>
                <w:sz w:val="4"/>
                <w:szCs w:val="4"/>
                <w:color w:val="auto"/>
              </w:rPr>
            </w:pPr>
          </w:p>
        </w:tc>
        <w:tc>
          <w:tcPr>
            <w:tcW w:w="300" w:type="dxa"/>
            <w:vAlign w:val="bottom"/>
            <w:vMerge w:val="continue"/>
            <w:shd w:val="clear" w:color="auto" w:fill="D8E7F3"/>
          </w:tcPr>
          <w:p>
            <w:pPr>
              <w:spacing w:after="0"/>
              <w:rPr>
                <w:sz w:val="4"/>
                <w:szCs w:val="4"/>
                <w:color w:val="auto"/>
              </w:rPr>
            </w:pPr>
          </w:p>
        </w:tc>
        <w:tc>
          <w:tcPr>
            <w:tcW w:w="2880" w:type="dxa"/>
            <w:vAlign w:val="bottom"/>
            <w:vMerge w:val="continue"/>
            <w:shd w:val="clear" w:color="auto" w:fill="D8E7F3"/>
          </w:tcPr>
          <w:p>
            <w:pPr>
              <w:spacing w:after="0"/>
              <w:rPr>
                <w:sz w:val="4"/>
                <w:szCs w:val="4"/>
                <w:color w:val="auto"/>
              </w:rPr>
            </w:pPr>
          </w:p>
        </w:tc>
        <w:tc>
          <w:tcPr>
            <w:tcW w:w="3800" w:type="dxa"/>
            <w:vAlign w:val="bottom"/>
            <w:vMerge w:val="restart"/>
            <w:shd w:val="clear" w:color="auto" w:fill="D8E7F3"/>
          </w:tcPr>
          <w:p>
            <w:pPr>
              <w:ind w:left="660"/>
              <w:spacing w:after="0" w:line="143" w:lineRule="exact"/>
              <w:rPr>
                <w:sz w:val="20"/>
                <w:szCs w:val="20"/>
                <w:color w:val="auto"/>
              </w:rPr>
            </w:pPr>
            <w:r>
              <w:rPr>
                <w:rFonts w:ascii="Arial" w:cs="Arial" w:eastAsia="Arial" w:hAnsi="Arial"/>
                <w:sz w:val="13"/>
                <w:szCs w:val="13"/>
                <w:color w:val="auto"/>
              </w:rPr>
              <w:t>CenterPoint Energy and its subsidiaries, which has a</w:t>
            </w:r>
          </w:p>
        </w:tc>
        <w:tc>
          <w:tcPr>
            <w:tcW w:w="0" w:type="dxa"/>
            <w:vAlign w:val="bottom"/>
          </w:tcPr>
          <w:p>
            <w:pPr>
              <w:spacing w:after="0"/>
              <w:rPr>
                <w:sz w:val="1"/>
                <w:szCs w:val="1"/>
                <w:color w:val="auto"/>
              </w:rPr>
            </w:pPr>
          </w:p>
        </w:tc>
      </w:tr>
      <w:tr>
        <w:trPr>
          <w:trHeight w:val="87"/>
        </w:trPr>
        <w:tc>
          <w:tcPr>
            <w:tcW w:w="1900" w:type="dxa"/>
            <w:vAlign w:val="bottom"/>
            <w:vMerge w:val="restart"/>
            <w:shd w:val="clear" w:color="auto" w:fill="D8E7F3"/>
          </w:tcPr>
          <w:p>
            <w:pPr>
              <w:ind w:left="120"/>
              <w:spacing w:after="0" w:line="147" w:lineRule="exact"/>
              <w:rPr>
                <w:sz w:val="20"/>
                <w:szCs w:val="20"/>
                <w:color w:val="auto"/>
              </w:rPr>
            </w:pPr>
            <w:r>
              <w:rPr>
                <w:rFonts w:ascii="Arial" w:cs="Arial" w:eastAsia="Arial" w:hAnsi="Arial"/>
                <w:sz w:val="13"/>
                <w:szCs w:val="13"/>
                <w:b w:val="1"/>
                <w:bCs w:val="1"/>
                <w:color w:val="auto"/>
              </w:rPr>
              <w:t>Composite</w:t>
            </w:r>
          </w:p>
        </w:tc>
        <w:tc>
          <w:tcPr>
            <w:tcW w:w="840" w:type="dxa"/>
            <w:vAlign w:val="bottom"/>
            <w:vMerge w:val="continue"/>
            <w:shd w:val="clear" w:color="auto" w:fill="D8E7F3"/>
          </w:tcPr>
          <w:p>
            <w:pPr>
              <w:spacing w:after="0"/>
              <w:rPr>
                <w:sz w:val="7"/>
                <w:szCs w:val="7"/>
                <w:color w:val="auto"/>
              </w:rPr>
            </w:pPr>
          </w:p>
        </w:tc>
        <w:tc>
          <w:tcPr>
            <w:tcW w:w="300" w:type="dxa"/>
            <w:vAlign w:val="bottom"/>
            <w:vMerge w:val="restart"/>
            <w:shd w:val="clear" w:color="auto" w:fill="D8E7F3"/>
          </w:tcPr>
          <w:p>
            <w:pPr>
              <w:ind w:left="180"/>
              <w:spacing w:after="0" w:line="147" w:lineRule="exact"/>
              <w:rPr>
                <w:sz w:val="20"/>
                <w:szCs w:val="20"/>
                <w:color w:val="auto"/>
              </w:rPr>
            </w:pPr>
            <w:r>
              <w:rPr>
                <w:rFonts w:ascii="Arial" w:cs="Arial" w:eastAsia="Arial" w:hAnsi="Arial"/>
                <w:sz w:val="13"/>
                <w:szCs w:val="13"/>
                <w:color w:val="auto"/>
              </w:rPr>
              <w:t>-</w:t>
            </w:r>
          </w:p>
        </w:tc>
        <w:tc>
          <w:tcPr>
            <w:tcW w:w="2880" w:type="dxa"/>
            <w:vAlign w:val="bottom"/>
            <w:vMerge w:val="restart"/>
            <w:shd w:val="clear" w:color="auto" w:fill="D8E7F3"/>
          </w:tcPr>
          <w:p>
            <w:pPr>
              <w:ind w:left="100"/>
              <w:spacing w:after="0" w:line="147" w:lineRule="exact"/>
              <w:rPr>
                <w:sz w:val="20"/>
                <w:szCs w:val="20"/>
                <w:color w:val="auto"/>
              </w:rPr>
            </w:pPr>
            <w:r>
              <w:rPr>
                <w:rFonts w:ascii="Arial" w:cs="Arial" w:eastAsia="Arial" w:hAnsi="Arial"/>
                <w:sz w:val="13"/>
                <w:szCs w:val="13"/>
                <w:color w:val="auto"/>
              </w:rPr>
              <w:t>Power Alert Service Surveys</w:t>
            </w:r>
          </w:p>
        </w:tc>
        <w:tc>
          <w:tcPr>
            <w:tcW w:w="3800" w:type="dxa"/>
            <w:vAlign w:val="bottom"/>
            <w:vMerge w:val="continue"/>
            <w:shd w:val="clear" w:color="auto" w:fill="D8E7F3"/>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900" w:type="dxa"/>
            <w:vAlign w:val="bottom"/>
            <w:vMerge w:val="continue"/>
            <w:shd w:val="clear" w:color="auto" w:fill="D8E7F3"/>
          </w:tcPr>
          <w:p>
            <w:pPr>
              <w:spacing w:after="0"/>
              <w:rPr>
                <w:sz w:val="5"/>
                <w:szCs w:val="5"/>
                <w:color w:val="auto"/>
              </w:rPr>
            </w:pPr>
          </w:p>
        </w:tc>
        <w:tc>
          <w:tcPr>
            <w:tcW w:w="840" w:type="dxa"/>
            <w:vAlign w:val="bottom"/>
            <w:shd w:val="clear" w:color="auto" w:fill="D8E7F3"/>
          </w:tcPr>
          <w:p>
            <w:pPr>
              <w:spacing w:after="0"/>
              <w:rPr>
                <w:sz w:val="5"/>
                <w:szCs w:val="5"/>
                <w:color w:val="auto"/>
              </w:rPr>
            </w:pPr>
          </w:p>
        </w:tc>
        <w:tc>
          <w:tcPr>
            <w:tcW w:w="300" w:type="dxa"/>
            <w:vAlign w:val="bottom"/>
            <w:vMerge w:val="continue"/>
            <w:shd w:val="clear" w:color="auto" w:fill="D8E7F3"/>
          </w:tcPr>
          <w:p>
            <w:pPr>
              <w:spacing w:after="0"/>
              <w:rPr>
                <w:sz w:val="5"/>
                <w:szCs w:val="5"/>
                <w:color w:val="auto"/>
              </w:rPr>
            </w:pPr>
          </w:p>
        </w:tc>
        <w:tc>
          <w:tcPr>
            <w:tcW w:w="2880" w:type="dxa"/>
            <w:vAlign w:val="bottom"/>
            <w:vMerge w:val="continue"/>
            <w:shd w:val="clear" w:color="auto" w:fill="D8E7F3"/>
          </w:tcPr>
          <w:p>
            <w:pPr>
              <w:spacing w:after="0"/>
              <w:rPr>
                <w:sz w:val="5"/>
                <w:szCs w:val="5"/>
                <w:color w:val="auto"/>
              </w:rPr>
            </w:pPr>
          </w:p>
        </w:tc>
        <w:tc>
          <w:tcPr>
            <w:tcW w:w="3800" w:type="dxa"/>
            <w:vAlign w:val="bottom"/>
            <w:vMerge w:val="restart"/>
            <w:shd w:val="clear" w:color="auto" w:fill="D8E7F3"/>
          </w:tcPr>
          <w:p>
            <w:pPr>
              <w:ind w:left="660"/>
              <w:spacing w:after="0" w:line="143" w:lineRule="exact"/>
              <w:rPr>
                <w:sz w:val="20"/>
                <w:szCs w:val="20"/>
                <w:color w:val="auto"/>
              </w:rPr>
            </w:pPr>
            <w:r>
              <w:rPr>
                <w:rFonts w:ascii="Arial" w:cs="Arial" w:eastAsia="Arial" w:hAnsi="Arial"/>
                <w:sz w:val="13"/>
                <w:szCs w:val="13"/>
                <w:color w:val="auto"/>
              </w:rPr>
              <w:t>significant impact on our ability to deliver consistent</w:t>
            </w:r>
          </w:p>
        </w:tc>
        <w:tc>
          <w:tcPr>
            <w:tcW w:w="0" w:type="dxa"/>
            <w:vAlign w:val="bottom"/>
          </w:tcPr>
          <w:p>
            <w:pPr>
              <w:spacing w:after="0"/>
              <w:rPr>
                <w:sz w:val="1"/>
                <w:szCs w:val="1"/>
                <w:color w:val="auto"/>
              </w:rPr>
            </w:pPr>
          </w:p>
        </w:tc>
      </w:tr>
      <w:tr>
        <w:trPr>
          <w:trHeight w:val="83"/>
        </w:trPr>
        <w:tc>
          <w:tcPr>
            <w:tcW w:w="1900" w:type="dxa"/>
            <w:vAlign w:val="bottom"/>
            <w:shd w:val="clear" w:color="auto" w:fill="D8E7F3"/>
          </w:tcPr>
          <w:p>
            <w:pPr>
              <w:spacing w:after="0"/>
              <w:rPr>
                <w:sz w:val="7"/>
                <w:szCs w:val="7"/>
                <w:color w:val="auto"/>
              </w:rPr>
            </w:pPr>
          </w:p>
        </w:tc>
        <w:tc>
          <w:tcPr>
            <w:tcW w:w="840" w:type="dxa"/>
            <w:vAlign w:val="bottom"/>
            <w:shd w:val="clear" w:color="auto" w:fill="D8E7F3"/>
          </w:tcPr>
          <w:p>
            <w:pPr>
              <w:spacing w:after="0"/>
              <w:rPr>
                <w:sz w:val="7"/>
                <w:szCs w:val="7"/>
                <w:color w:val="auto"/>
              </w:rPr>
            </w:pPr>
          </w:p>
        </w:tc>
        <w:tc>
          <w:tcPr>
            <w:tcW w:w="300" w:type="dxa"/>
            <w:vAlign w:val="bottom"/>
            <w:vMerge w:val="restart"/>
            <w:shd w:val="clear" w:color="auto" w:fill="D8E7F3"/>
          </w:tcPr>
          <w:p>
            <w:pPr>
              <w:ind w:left="180"/>
              <w:spacing w:after="0"/>
              <w:rPr>
                <w:sz w:val="20"/>
                <w:szCs w:val="20"/>
                <w:color w:val="auto"/>
              </w:rPr>
            </w:pPr>
            <w:r>
              <w:rPr>
                <w:rFonts w:ascii="Arial" w:cs="Arial" w:eastAsia="Arial" w:hAnsi="Arial"/>
                <w:sz w:val="13"/>
                <w:szCs w:val="13"/>
                <w:color w:val="auto"/>
              </w:rPr>
              <w:t>-</w:t>
            </w:r>
          </w:p>
        </w:tc>
        <w:tc>
          <w:tcPr>
            <w:tcW w:w="2880" w:type="dxa"/>
            <w:vAlign w:val="bottom"/>
            <w:vMerge w:val="restart"/>
            <w:shd w:val="clear" w:color="auto" w:fill="D8E7F3"/>
          </w:tcPr>
          <w:p>
            <w:pPr>
              <w:ind w:left="100"/>
              <w:spacing w:after="0"/>
              <w:rPr>
                <w:sz w:val="20"/>
                <w:szCs w:val="20"/>
                <w:color w:val="auto"/>
              </w:rPr>
            </w:pPr>
            <w:r>
              <w:rPr>
                <w:rFonts w:ascii="Arial" w:cs="Arial" w:eastAsia="Arial" w:hAnsi="Arial"/>
                <w:sz w:val="13"/>
                <w:szCs w:val="13"/>
                <w:color w:val="auto"/>
              </w:rPr>
              <w:t>Reliability Metrics</w:t>
            </w:r>
          </w:p>
        </w:tc>
        <w:tc>
          <w:tcPr>
            <w:tcW w:w="3800" w:type="dxa"/>
            <w:vAlign w:val="bottom"/>
            <w:vMerge w:val="continue"/>
            <w:shd w:val="clear" w:color="auto" w:fill="D8E7F3"/>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900" w:type="dxa"/>
            <w:vAlign w:val="bottom"/>
            <w:shd w:val="clear" w:color="auto" w:fill="D8E7F3"/>
          </w:tcPr>
          <w:p>
            <w:pPr>
              <w:spacing w:after="0"/>
              <w:rPr>
                <w:sz w:val="6"/>
                <w:szCs w:val="6"/>
                <w:color w:val="auto"/>
              </w:rPr>
            </w:pPr>
          </w:p>
        </w:tc>
        <w:tc>
          <w:tcPr>
            <w:tcW w:w="840" w:type="dxa"/>
            <w:vAlign w:val="bottom"/>
            <w:shd w:val="clear" w:color="auto" w:fill="D8E7F3"/>
          </w:tcPr>
          <w:p>
            <w:pPr>
              <w:spacing w:after="0"/>
              <w:rPr>
                <w:sz w:val="6"/>
                <w:szCs w:val="6"/>
                <w:color w:val="auto"/>
              </w:rPr>
            </w:pPr>
          </w:p>
        </w:tc>
        <w:tc>
          <w:tcPr>
            <w:tcW w:w="300" w:type="dxa"/>
            <w:vAlign w:val="bottom"/>
            <w:vMerge w:val="continue"/>
            <w:shd w:val="clear" w:color="auto" w:fill="D8E7F3"/>
          </w:tcPr>
          <w:p>
            <w:pPr>
              <w:spacing w:after="0"/>
              <w:rPr>
                <w:sz w:val="6"/>
                <w:szCs w:val="6"/>
                <w:color w:val="auto"/>
              </w:rPr>
            </w:pPr>
          </w:p>
        </w:tc>
        <w:tc>
          <w:tcPr>
            <w:tcW w:w="2880" w:type="dxa"/>
            <w:vAlign w:val="bottom"/>
            <w:vMerge w:val="continue"/>
            <w:shd w:val="clear" w:color="auto" w:fill="D8E7F3"/>
          </w:tcPr>
          <w:p>
            <w:pPr>
              <w:spacing w:after="0"/>
              <w:rPr>
                <w:sz w:val="6"/>
                <w:szCs w:val="6"/>
                <w:color w:val="auto"/>
              </w:rPr>
            </w:pPr>
          </w:p>
        </w:tc>
        <w:tc>
          <w:tcPr>
            <w:tcW w:w="3800" w:type="dxa"/>
            <w:vAlign w:val="bottom"/>
            <w:vMerge w:val="restart"/>
            <w:shd w:val="clear" w:color="auto" w:fill="D8E7F3"/>
          </w:tcPr>
          <w:p>
            <w:pPr>
              <w:ind w:left="660"/>
              <w:spacing w:after="0"/>
              <w:rPr>
                <w:sz w:val="20"/>
                <w:szCs w:val="20"/>
                <w:color w:val="auto"/>
              </w:rPr>
            </w:pPr>
            <w:r>
              <w:rPr>
                <w:rFonts w:ascii="Arial" w:cs="Arial" w:eastAsia="Arial" w:hAnsi="Arial"/>
                <w:sz w:val="13"/>
                <w:szCs w:val="13"/>
                <w:color w:val="auto"/>
              </w:rPr>
              <w:t>and strong customer growth.</w:t>
            </w:r>
          </w:p>
        </w:tc>
        <w:tc>
          <w:tcPr>
            <w:tcW w:w="0" w:type="dxa"/>
            <w:vAlign w:val="bottom"/>
          </w:tcPr>
          <w:p>
            <w:pPr>
              <w:spacing w:after="0"/>
              <w:rPr>
                <w:sz w:val="1"/>
                <w:szCs w:val="1"/>
                <w:color w:val="auto"/>
              </w:rPr>
            </w:pPr>
          </w:p>
        </w:tc>
      </w:tr>
      <w:tr>
        <w:trPr>
          <w:trHeight w:val="83"/>
        </w:trPr>
        <w:tc>
          <w:tcPr>
            <w:tcW w:w="1900" w:type="dxa"/>
            <w:vAlign w:val="bottom"/>
            <w:shd w:val="clear" w:color="auto" w:fill="D8E7F3"/>
          </w:tcPr>
          <w:p>
            <w:pPr>
              <w:spacing w:after="0"/>
              <w:rPr>
                <w:sz w:val="7"/>
                <w:szCs w:val="7"/>
                <w:color w:val="auto"/>
              </w:rPr>
            </w:pPr>
          </w:p>
        </w:tc>
        <w:tc>
          <w:tcPr>
            <w:tcW w:w="840" w:type="dxa"/>
            <w:vAlign w:val="bottom"/>
            <w:shd w:val="clear" w:color="auto" w:fill="D8E7F3"/>
          </w:tcPr>
          <w:p>
            <w:pPr>
              <w:spacing w:after="0"/>
              <w:rPr>
                <w:sz w:val="7"/>
                <w:szCs w:val="7"/>
                <w:color w:val="auto"/>
              </w:rPr>
            </w:pPr>
          </w:p>
        </w:tc>
        <w:tc>
          <w:tcPr>
            <w:tcW w:w="300" w:type="dxa"/>
            <w:vAlign w:val="bottom"/>
            <w:shd w:val="clear" w:color="auto" w:fill="D8E7F3"/>
          </w:tcPr>
          <w:p>
            <w:pPr>
              <w:spacing w:after="0"/>
              <w:rPr>
                <w:sz w:val="7"/>
                <w:szCs w:val="7"/>
                <w:color w:val="auto"/>
              </w:rPr>
            </w:pPr>
          </w:p>
        </w:tc>
        <w:tc>
          <w:tcPr>
            <w:tcW w:w="2880" w:type="dxa"/>
            <w:vAlign w:val="bottom"/>
            <w:shd w:val="clear" w:color="auto" w:fill="D8E7F3"/>
          </w:tcPr>
          <w:p>
            <w:pPr>
              <w:spacing w:after="0"/>
              <w:rPr>
                <w:sz w:val="7"/>
                <w:szCs w:val="7"/>
                <w:color w:val="auto"/>
              </w:rPr>
            </w:pPr>
          </w:p>
        </w:tc>
        <w:tc>
          <w:tcPr>
            <w:tcW w:w="3800" w:type="dxa"/>
            <w:vAlign w:val="bottom"/>
            <w:vMerge w:val="continue"/>
            <w:shd w:val="clear" w:color="auto" w:fill="D8E7F3"/>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900" w:type="dxa"/>
            <w:vAlign w:val="bottom"/>
            <w:shd w:val="clear" w:color="auto" w:fill="D8E7F3"/>
          </w:tcPr>
          <w:p>
            <w:pPr>
              <w:spacing w:after="0"/>
              <w:rPr>
                <w:sz w:val="2"/>
                <w:szCs w:val="2"/>
                <w:color w:val="auto"/>
              </w:rPr>
            </w:pPr>
          </w:p>
        </w:tc>
        <w:tc>
          <w:tcPr>
            <w:tcW w:w="840" w:type="dxa"/>
            <w:vAlign w:val="bottom"/>
            <w:shd w:val="clear" w:color="auto" w:fill="D8E7F3"/>
          </w:tcPr>
          <w:p>
            <w:pPr>
              <w:spacing w:after="0"/>
              <w:rPr>
                <w:sz w:val="2"/>
                <w:szCs w:val="2"/>
                <w:color w:val="auto"/>
              </w:rPr>
            </w:pPr>
          </w:p>
        </w:tc>
        <w:tc>
          <w:tcPr>
            <w:tcW w:w="300" w:type="dxa"/>
            <w:vAlign w:val="bottom"/>
            <w:shd w:val="clear" w:color="auto" w:fill="D8E7F3"/>
          </w:tcPr>
          <w:p>
            <w:pPr>
              <w:spacing w:after="0"/>
              <w:rPr>
                <w:sz w:val="2"/>
                <w:szCs w:val="2"/>
                <w:color w:val="auto"/>
              </w:rPr>
            </w:pPr>
          </w:p>
        </w:tc>
        <w:tc>
          <w:tcPr>
            <w:tcW w:w="2880" w:type="dxa"/>
            <w:vAlign w:val="bottom"/>
            <w:shd w:val="clear" w:color="auto" w:fill="D8E7F3"/>
          </w:tcPr>
          <w:p>
            <w:pPr>
              <w:spacing w:after="0"/>
              <w:rPr>
                <w:sz w:val="2"/>
                <w:szCs w:val="2"/>
                <w:color w:val="auto"/>
              </w:rPr>
            </w:pPr>
          </w:p>
        </w:tc>
        <w:tc>
          <w:tcPr>
            <w:tcW w:w="3800" w:type="dxa"/>
            <w:vAlign w:val="bottom"/>
            <w:shd w:val="clear" w:color="auto" w:fill="D8E7F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9720"/>
          </w:cols>
          <w:pgMar w:left="1080" w:top="305" w:right="1099" w:bottom="1440" w:gutter="0" w:footer="0" w:header="0"/>
          <w:type w:val="continuous"/>
        </w:sectPr>
      </w:pPr>
    </w:p>
    <w:p>
      <w:pPr>
        <w:spacing w:after="0" w:line="12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Safety composite includes:</w:t>
      </w:r>
    </w:p>
    <w:p>
      <w:pPr>
        <w:ind w:left="2920"/>
        <w:spacing w:after="0" w:line="217" w:lineRule="auto"/>
        <w:tabs>
          <w:tab w:leader="none" w:pos="3120" w:val="left"/>
        </w:tabs>
        <w:rPr>
          <w:sz w:val="20"/>
          <w:szCs w:val="20"/>
          <w:color w:val="auto"/>
        </w:rPr>
      </w:pPr>
      <w:r>
        <w:rPr>
          <w:rFonts w:ascii="Arial" w:cs="Arial" w:eastAsia="Arial" w:hAnsi="Arial"/>
          <w:sz w:val="8"/>
          <w:szCs w:val="8"/>
          <w:color w:val="auto"/>
        </w:rPr>
        <w:t>-</w:t>
      </w:r>
      <w:r>
        <w:rPr>
          <w:sz w:val="20"/>
          <w:szCs w:val="20"/>
          <w:color w:val="auto"/>
        </w:rPr>
        <w:tab/>
      </w:r>
      <w:r>
        <w:rPr>
          <w:rFonts w:ascii="Arial" w:cs="Arial" w:eastAsia="Arial" w:hAnsi="Arial"/>
          <w:sz w:val="8"/>
          <w:szCs w:val="8"/>
          <w:color w:val="auto"/>
        </w:rPr>
        <w:t>Days Away, Restricted or Transferred</w:t>
      </w:r>
    </w:p>
    <w:p>
      <w:pPr>
        <w:ind w:left="120"/>
        <w:spacing w:after="0"/>
        <w:tabs>
          <w:tab w:leader="none" w:pos="2300" w:val="left"/>
          <w:tab w:leader="none" w:pos="2900" w:val="left"/>
          <w:tab w:leader="none" w:pos="3120" w:val="left"/>
        </w:tabs>
        <w:rPr>
          <w:sz w:val="20"/>
          <w:szCs w:val="20"/>
          <w:color w:val="auto"/>
        </w:rPr>
      </w:pPr>
      <w:r>
        <w:rPr>
          <w:rFonts w:ascii="Arial" w:cs="Arial" w:eastAsia="Arial" w:hAnsi="Arial"/>
          <w:sz w:val="23"/>
          <w:szCs w:val="23"/>
          <w:b w:val="1"/>
          <w:bCs w:val="1"/>
          <w:color w:val="auto"/>
          <w:vertAlign w:val="superscript"/>
        </w:rPr>
        <w:t>Safety Composite</w:t>
      </w:r>
      <w:r>
        <w:rPr>
          <w:sz w:val="20"/>
          <w:szCs w:val="20"/>
          <w:color w:val="auto"/>
        </w:rPr>
        <w:tab/>
      </w:r>
      <w:r>
        <w:rPr>
          <w:rFonts w:ascii="Arial" w:cs="Arial" w:eastAsia="Arial" w:hAnsi="Arial"/>
          <w:sz w:val="23"/>
          <w:szCs w:val="23"/>
          <w:b w:val="1"/>
          <w:bCs w:val="1"/>
          <w:color w:val="auto"/>
          <w:vertAlign w:val="superscript"/>
        </w:rPr>
        <w:t>15%</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Leadership Safety Engagement Rate</w:t>
      </w:r>
    </w:p>
    <w:p>
      <w:pPr>
        <w:spacing w:after="0" w:line="1" w:lineRule="exact"/>
        <w:rPr>
          <w:sz w:val="20"/>
          <w:szCs w:val="20"/>
          <w:color w:val="auto"/>
        </w:rPr>
      </w:pPr>
    </w:p>
    <w:p>
      <w:pPr>
        <w:jc w:val="both"/>
        <w:ind w:left="2920"/>
        <w:spacing w:after="0"/>
        <w:tabs>
          <w:tab w:leader="none" w:pos="3120" w:val="left"/>
        </w:tabs>
        <w:rPr>
          <w:sz w:val="20"/>
          <w:szCs w:val="20"/>
          <w:color w:val="auto"/>
        </w:rPr>
      </w:pPr>
      <w:r>
        <w:rPr>
          <w:rFonts w:ascii="Arial" w:cs="Arial" w:eastAsia="Arial" w:hAnsi="Arial"/>
          <w:sz w:val="13"/>
          <w:szCs w:val="13"/>
          <w:color w:val="auto"/>
        </w:rPr>
        <w:t>-</w:t>
        <w:tab/>
        <w:t>Preventable Vehicle Collision Incident Rate</w:t>
      </w:r>
    </w:p>
    <w:p>
      <w:pPr>
        <w:spacing w:after="0" w:line="20" w:lineRule="exact"/>
        <w:rPr>
          <w:sz w:val="20"/>
          <w:szCs w:val="20"/>
          <w:color w:val="auto"/>
        </w:rPr>
      </w:pPr>
      <w:r>
        <w:rPr>
          <w:sz w:val="20"/>
          <w:szCs w:val="20"/>
          <w:color w:val="auto"/>
        </w:rPr>
        <w:br w:type="column"/>
      </w:r>
    </w:p>
    <w:p>
      <w:pPr>
        <w:ind w:right="140"/>
        <w:spacing w:after="0" w:line="253" w:lineRule="auto"/>
        <w:rPr>
          <w:sz w:val="20"/>
          <w:szCs w:val="20"/>
          <w:color w:val="auto"/>
        </w:rPr>
      </w:pPr>
      <w:r>
        <w:rPr>
          <w:rFonts w:ascii="Arial" w:cs="Arial" w:eastAsia="Arial" w:hAnsi="Arial"/>
          <w:sz w:val="12"/>
          <w:szCs w:val="12"/>
          <w:color w:val="auto"/>
        </w:rPr>
        <w:t>We are committed to the safety and wellbeing of our employees, contractors, customers and communities, and the safety composite measures the effectiveness of our safety protocols and leadership on safety initiatives as well as communicates the importance of safe operations to all participants.</w:t>
      </w:r>
    </w:p>
    <w:p>
      <w:pPr>
        <w:spacing w:after="0" w:line="27" w:lineRule="exact"/>
        <w:rPr>
          <w:sz w:val="20"/>
          <w:szCs w:val="20"/>
          <w:color w:val="auto"/>
        </w:rPr>
      </w:pPr>
    </w:p>
    <w:p>
      <w:pPr>
        <w:sectPr>
          <w:pgSz w:w="11900" w:h="16838" w:orient="portrait"/>
          <w:cols w:equalWidth="0" w:num="2">
            <w:col w:w="5860" w:space="720"/>
            <w:col w:w="3140"/>
          </w:cols>
          <w:pgMar w:left="1080" w:top="305" w:right="109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1720" w:type="dxa"/>
            <w:vAlign w:val="bottom"/>
            <w:shd w:val="clear" w:color="auto" w:fill="D8E7F3"/>
          </w:tcPr>
          <w:p>
            <w:pPr>
              <w:ind w:left="120"/>
              <w:spacing w:after="0"/>
              <w:rPr>
                <w:sz w:val="20"/>
                <w:szCs w:val="20"/>
                <w:color w:val="auto"/>
              </w:rPr>
            </w:pPr>
            <w:r>
              <w:rPr>
                <w:rFonts w:ascii="Arial" w:cs="Arial" w:eastAsia="Arial" w:hAnsi="Arial"/>
                <w:sz w:val="13"/>
                <w:szCs w:val="13"/>
                <w:b w:val="1"/>
                <w:bCs w:val="1"/>
                <w:color w:val="auto"/>
              </w:rPr>
              <w:t>Total Weightings</w:t>
            </w:r>
          </w:p>
        </w:tc>
        <w:tc>
          <w:tcPr>
            <w:tcW w:w="8000" w:type="dxa"/>
            <w:vAlign w:val="bottom"/>
            <w:shd w:val="clear" w:color="auto" w:fill="D8E7F3"/>
          </w:tcPr>
          <w:p>
            <w:pPr>
              <w:jc w:val="right"/>
              <w:ind w:right="7037"/>
              <w:spacing w:after="0"/>
              <w:rPr>
                <w:sz w:val="20"/>
                <w:szCs w:val="20"/>
                <w:color w:val="auto"/>
              </w:rPr>
            </w:pPr>
            <w:r>
              <w:rPr>
                <w:rFonts w:ascii="Arial" w:cs="Arial" w:eastAsia="Arial" w:hAnsi="Arial"/>
                <w:sz w:val="13"/>
                <w:szCs w:val="13"/>
                <w:b w:val="1"/>
                <w:bCs w:val="1"/>
                <w:color w:val="auto"/>
              </w:rPr>
              <w:t>100%</w:t>
            </w:r>
          </w:p>
        </w:tc>
      </w:tr>
      <w:tr>
        <w:trPr>
          <w:trHeight w:val="22"/>
        </w:trPr>
        <w:tc>
          <w:tcPr>
            <w:tcW w:w="1720" w:type="dxa"/>
            <w:vAlign w:val="bottom"/>
            <w:shd w:val="clear" w:color="auto" w:fill="D8E7F3"/>
          </w:tcPr>
          <w:p>
            <w:pPr>
              <w:spacing w:after="0" w:line="20" w:lineRule="exact"/>
              <w:rPr>
                <w:sz w:val="1"/>
                <w:szCs w:val="1"/>
                <w:color w:val="auto"/>
              </w:rPr>
            </w:pPr>
          </w:p>
        </w:tc>
        <w:tc>
          <w:tcPr>
            <w:tcW w:w="8000" w:type="dxa"/>
            <w:vAlign w:val="bottom"/>
            <w:shd w:val="clear" w:color="auto" w:fill="D8E7F3"/>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Adjustments are detailed as part of the “Executive Compensation Tables – Non-Equity Incentive Plan Awards”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Establishing Performance Measures and Target Ranges</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Compensation Committee establishes annual performance measures that align with our business strategy and contribute to our long-term shareholder value proposition. The Compensation Committee establishes performance measures and the scaling of the levels necessary to achieve threshold, target and maximum performance, and, for certain financial metrics in 2020, exceptional performance, based on strategic priorities for the organization and an assessment of expected business performance during the measurement period. Generally, the target level for financial metrics is based on our 2020 business plan as approved by the Board of Directors. For the Customer Satisfaction and Safety composites, threshold, target and maximum goals are determined with consideration to historical performance, industry standards and the incremental performance we would expect to see as part of our approach to continuous improvement.</w:t>
      </w:r>
    </w:p>
    <w:p>
      <w:pPr>
        <w:spacing w:after="0" w:line="181" w:lineRule="exact"/>
        <w:rPr>
          <w:sz w:val="20"/>
          <w:szCs w:val="20"/>
          <w:color w:val="auto"/>
        </w:rPr>
      </w:pPr>
    </w:p>
    <w:p>
      <w:pPr>
        <w:ind w:left="400" w:hanging="391"/>
        <w:spacing w:after="0"/>
        <w:tabs>
          <w:tab w:leader="none" w:pos="400" w:val="left"/>
        </w:tabs>
        <w:numPr>
          <w:ilvl w:val="0"/>
          <w:numId w:val="49"/>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type w:val="continuous"/>
        </w:sectPr>
      </w:pPr>
    </w:p>
    <w:bookmarkStart w:id="50" w:name="page51"/>
    <w:bookmarkEnd w:id="5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2"/>
          <w:szCs w:val="12"/>
          <w:i w:val="1"/>
          <w:iCs w:val="1"/>
          <w:color w:val="auto"/>
        </w:rPr>
        <w:t>Compensation Discussion and Analysis (continued)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2020 Short-Term Incentive Plan Results</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table below illustrates CenterPoint Energy’s 2020 performance against the pre-established short-term incentive plan measures. The Compensation Committee considered the formulaic results and, in light of the Company’s strong performance against the backdrop of a challenging year, determined not to apply discretion to adjust the formulaic outcome. The overall payout under the short-term incentive plan for our named executive officers was calculated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shd w:val="clear" w:color="auto" w:fill="0061AF"/>
          </w:tcPr>
          <w:p>
            <w:pPr>
              <w:spacing w:after="0"/>
              <w:rPr>
                <w:sz w:val="13"/>
                <w:szCs w:val="13"/>
                <w:color w:val="auto"/>
              </w:rPr>
            </w:pPr>
          </w:p>
        </w:tc>
        <w:tc>
          <w:tcPr>
            <w:tcW w:w="980" w:type="dxa"/>
            <w:vAlign w:val="bottom"/>
            <w:gridSpan w:val="2"/>
            <w:shd w:val="clear" w:color="auto" w:fill="0061AF"/>
          </w:tcPr>
          <w:p>
            <w:pPr>
              <w:jc w:val="right"/>
              <w:ind w:right="157"/>
              <w:spacing w:after="0"/>
              <w:rPr>
                <w:sz w:val="20"/>
                <w:szCs w:val="20"/>
                <w:color w:val="auto"/>
              </w:rPr>
            </w:pPr>
            <w:r>
              <w:rPr>
                <w:rFonts w:ascii="Arial" w:cs="Arial" w:eastAsia="Arial" w:hAnsi="Arial"/>
                <w:sz w:val="13"/>
                <w:szCs w:val="13"/>
                <w:b w:val="1"/>
                <w:bCs w:val="1"/>
                <w:color w:val="FFFFFF"/>
              </w:rPr>
              <w:t>Threshold</w:t>
            </w:r>
          </w:p>
        </w:tc>
        <w:tc>
          <w:tcPr>
            <w:tcW w:w="860" w:type="dxa"/>
            <w:vAlign w:val="bottom"/>
            <w:gridSpan w:val="2"/>
            <w:shd w:val="clear" w:color="auto" w:fill="0061AF"/>
          </w:tcPr>
          <w:p>
            <w:pPr>
              <w:jc w:val="right"/>
              <w:ind w:right="197"/>
              <w:spacing w:after="0"/>
              <w:rPr>
                <w:sz w:val="20"/>
                <w:szCs w:val="20"/>
                <w:color w:val="auto"/>
              </w:rPr>
            </w:pPr>
            <w:r>
              <w:rPr>
                <w:rFonts w:ascii="Arial" w:cs="Arial" w:eastAsia="Arial" w:hAnsi="Arial"/>
                <w:sz w:val="13"/>
                <w:szCs w:val="13"/>
                <w:b w:val="1"/>
                <w:bCs w:val="1"/>
                <w:color w:val="FFFFFF"/>
              </w:rPr>
              <w:t>Target</w:t>
            </w:r>
          </w:p>
        </w:tc>
        <w:tc>
          <w:tcPr>
            <w:tcW w:w="1020" w:type="dxa"/>
            <w:vAlign w:val="bottom"/>
            <w:gridSpan w:val="2"/>
            <w:shd w:val="clear" w:color="auto" w:fill="0061AF"/>
          </w:tcPr>
          <w:p>
            <w:pPr>
              <w:jc w:val="right"/>
              <w:ind w:right="197"/>
              <w:spacing w:after="0"/>
              <w:rPr>
                <w:sz w:val="20"/>
                <w:szCs w:val="20"/>
                <w:color w:val="auto"/>
              </w:rPr>
            </w:pPr>
            <w:r>
              <w:rPr>
                <w:rFonts w:ascii="Arial" w:cs="Arial" w:eastAsia="Arial" w:hAnsi="Arial"/>
                <w:sz w:val="13"/>
                <w:szCs w:val="13"/>
                <w:b w:val="1"/>
                <w:bCs w:val="1"/>
                <w:color w:val="FFFFFF"/>
              </w:rPr>
              <w:t>Maximum</w:t>
            </w:r>
          </w:p>
        </w:tc>
        <w:tc>
          <w:tcPr>
            <w:tcW w:w="1100" w:type="dxa"/>
            <w:vAlign w:val="bottom"/>
            <w:gridSpan w:val="2"/>
            <w:shd w:val="clear" w:color="auto" w:fill="0061AF"/>
          </w:tcPr>
          <w:p>
            <w:pPr>
              <w:jc w:val="right"/>
              <w:ind w:right="117"/>
              <w:spacing w:after="0"/>
              <w:rPr>
                <w:sz w:val="20"/>
                <w:szCs w:val="20"/>
                <w:color w:val="auto"/>
              </w:rPr>
            </w:pPr>
            <w:r>
              <w:rPr>
                <w:rFonts w:ascii="Arial" w:cs="Arial" w:eastAsia="Arial" w:hAnsi="Arial"/>
                <w:sz w:val="13"/>
                <w:szCs w:val="13"/>
                <w:b w:val="1"/>
                <w:bCs w:val="1"/>
                <w:color w:val="FFFFFF"/>
              </w:rPr>
              <w:t>Exceptional</w:t>
            </w:r>
          </w:p>
        </w:tc>
        <w:tc>
          <w:tcPr>
            <w:tcW w:w="820" w:type="dxa"/>
            <w:vAlign w:val="bottom"/>
            <w:gridSpan w:val="2"/>
            <w:shd w:val="clear" w:color="auto" w:fill="0061AF"/>
          </w:tcPr>
          <w:p>
            <w:pPr>
              <w:jc w:val="right"/>
              <w:ind w:right="137"/>
              <w:spacing w:after="0"/>
              <w:rPr>
                <w:sz w:val="20"/>
                <w:szCs w:val="20"/>
                <w:color w:val="auto"/>
              </w:rPr>
            </w:pPr>
            <w:r>
              <w:rPr>
                <w:rFonts w:ascii="Arial" w:cs="Arial" w:eastAsia="Arial" w:hAnsi="Arial"/>
                <w:sz w:val="13"/>
                <w:szCs w:val="13"/>
                <w:b w:val="1"/>
                <w:bCs w:val="1"/>
                <w:color w:val="FFFFFF"/>
              </w:rPr>
              <w:t>Actual</w:t>
            </w:r>
          </w:p>
        </w:tc>
        <w:tc>
          <w:tcPr>
            <w:tcW w:w="1120" w:type="dxa"/>
            <w:vAlign w:val="bottom"/>
            <w:shd w:val="clear" w:color="auto" w:fill="0061AF"/>
          </w:tcPr>
          <w:p>
            <w:pPr>
              <w:jc w:val="right"/>
              <w:ind w:right="337"/>
              <w:spacing w:after="0"/>
              <w:rPr>
                <w:sz w:val="20"/>
                <w:szCs w:val="20"/>
                <w:color w:val="auto"/>
              </w:rPr>
            </w:pPr>
            <w:r>
              <w:rPr>
                <w:rFonts w:ascii="Arial" w:cs="Arial" w:eastAsia="Arial" w:hAnsi="Arial"/>
                <w:sz w:val="13"/>
                <w:szCs w:val="13"/>
                <w:b w:val="1"/>
                <w:bCs w:val="1"/>
                <w:color w:val="FFFFFF"/>
              </w:rPr>
              <w:t>Actual</w:t>
            </w:r>
          </w:p>
        </w:tc>
        <w:tc>
          <w:tcPr>
            <w:tcW w:w="100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Performance Objectives</w:t>
            </w:r>
          </w:p>
        </w:tc>
        <w:tc>
          <w:tcPr>
            <w:tcW w:w="980" w:type="dxa"/>
            <w:vAlign w:val="bottom"/>
            <w:gridSpan w:val="2"/>
            <w:shd w:val="clear" w:color="auto" w:fill="0061AF"/>
          </w:tcPr>
          <w:p>
            <w:pPr>
              <w:ind w:left="300"/>
              <w:spacing w:after="0"/>
              <w:rPr>
                <w:sz w:val="20"/>
                <w:szCs w:val="20"/>
                <w:color w:val="auto"/>
              </w:rPr>
            </w:pPr>
            <w:r>
              <w:rPr>
                <w:rFonts w:ascii="Arial" w:cs="Arial" w:eastAsia="Arial" w:hAnsi="Arial"/>
                <w:sz w:val="13"/>
                <w:szCs w:val="13"/>
                <w:b w:val="1"/>
                <w:bCs w:val="1"/>
                <w:color w:val="FFFFFF"/>
              </w:rPr>
              <w:t>(50%)</w:t>
            </w:r>
          </w:p>
        </w:tc>
        <w:tc>
          <w:tcPr>
            <w:tcW w:w="860" w:type="dxa"/>
            <w:vAlign w:val="bottom"/>
            <w:gridSpan w:val="2"/>
            <w:shd w:val="clear" w:color="auto" w:fill="0061AF"/>
          </w:tcPr>
          <w:p>
            <w:pPr>
              <w:ind w:left="200"/>
              <w:spacing w:after="0"/>
              <w:rPr>
                <w:sz w:val="20"/>
                <w:szCs w:val="20"/>
                <w:color w:val="auto"/>
              </w:rPr>
            </w:pPr>
            <w:r>
              <w:rPr>
                <w:rFonts w:ascii="Arial" w:cs="Arial" w:eastAsia="Arial" w:hAnsi="Arial"/>
                <w:sz w:val="13"/>
                <w:szCs w:val="13"/>
                <w:b w:val="1"/>
                <w:bCs w:val="1"/>
                <w:color w:val="FFFFFF"/>
              </w:rPr>
              <w:t>(100%)</w:t>
            </w:r>
          </w:p>
        </w:tc>
        <w:tc>
          <w:tcPr>
            <w:tcW w:w="1020" w:type="dxa"/>
            <w:vAlign w:val="bottom"/>
            <w:gridSpan w:val="2"/>
            <w:shd w:val="clear" w:color="auto" w:fill="0061AF"/>
          </w:tcPr>
          <w:p>
            <w:pPr>
              <w:jc w:val="right"/>
              <w:ind w:right="277"/>
              <w:spacing w:after="0"/>
              <w:rPr>
                <w:sz w:val="20"/>
                <w:szCs w:val="20"/>
                <w:color w:val="auto"/>
              </w:rPr>
            </w:pPr>
            <w:r>
              <w:rPr>
                <w:rFonts w:ascii="Arial" w:cs="Arial" w:eastAsia="Arial" w:hAnsi="Arial"/>
                <w:sz w:val="13"/>
                <w:szCs w:val="13"/>
                <w:b w:val="1"/>
                <w:bCs w:val="1"/>
                <w:color w:val="FFFFFF"/>
              </w:rPr>
              <w:t>(150%)</w:t>
            </w:r>
          </w:p>
        </w:tc>
        <w:tc>
          <w:tcPr>
            <w:tcW w:w="1100" w:type="dxa"/>
            <w:vAlign w:val="bottom"/>
            <w:gridSpan w:val="2"/>
            <w:shd w:val="clear" w:color="auto" w:fill="0061AF"/>
          </w:tcPr>
          <w:p>
            <w:pPr>
              <w:jc w:val="right"/>
              <w:ind w:right="237"/>
              <w:spacing w:after="0"/>
              <w:rPr>
                <w:sz w:val="20"/>
                <w:szCs w:val="20"/>
                <w:color w:val="auto"/>
              </w:rPr>
            </w:pPr>
            <w:r>
              <w:rPr>
                <w:rFonts w:ascii="Arial" w:cs="Arial" w:eastAsia="Arial" w:hAnsi="Arial"/>
                <w:sz w:val="13"/>
                <w:szCs w:val="13"/>
                <w:b w:val="1"/>
                <w:bCs w:val="1"/>
                <w:color w:val="FFFFFF"/>
              </w:rPr>
              <w:t>(200%)*</w:t>
            </w:r>
          </w:p>
        </w:tc>
        <w:tc>
          <w:tcPr>
            <w:tcW w:w="820" w:type="dxa"/>
            <w:vAlign w:val="bottom"/>
            <w:gridSpan w:val="2"/>
            <w:shd w:val="clear" w:color="auto" w:fill="0061AF"/>
          </w:tcPr>
          <w:p>
            <w:pPr>
              <w:ind w:left="200"/>
              <w:spacing w:after="0"/>
              <w:rPr>
                <w:sz w:val="20"/>
                <w:szCs w:val="20"/>
                <w:color w:val="auto"/>
              </w:rPr>
            </w:pPr>
            <w:r>
              <w:rPr>
                <w:rFonts w:ascii="Arial" w:cs="Arial" w:eastAsia="Arial" w:hAnsi="Arial"/>
                <w:sz w:val="13"/>
                <w:szCs w:val="13"/>
                <w:b w:val="1"/>
                <w:bCs w:val="1"/>
                <w:color w:val="FFFFFF"/>
              </w:rPr>
              <w:t>Results</w:t>
            </w:r>
          </w:p>
        </w:tc>
        <w:tc>
          <w:tcPr>
            <w:tcW w:w="1120" w:type="dxa"/>
            <w:vAlign w:val="bottom"/>
            <w:shd w:val="clear" w:color="auto" w:fill="0061AF"/>
          </w:tcPr>
          <w:p>
            <w:pPr>
              <w:jc w:val="right"/>
              <w:ind w:right="137"/>
              <w:spacing w:after="0"/>
              <w:rPr>
                <w:sz w:val="20"/>
                <w:szCs w:val="20"/>
                <w:color w:val="auto"/>
              </w:rPr>
            </w:pPr>
            <w:r>
              <w:rPr>
                <w:rFonts w:ascii="Arial" w:cs="Arial" w:eastAsia="Arial" w:hAnsi="Arial"/>
                <w:sz w:val="13"/>
                <w:szCs w:val="13"/>
                <w:b w:val="1"/>
                <w:bCs w:val="1"/>
                <w:color w:val="FFFFFF"/>
              </w:rPr>
              <w:t>Achievement</w:t>
            </w:r>
          </w:p>
        </w:tc>
        <w:tc>
          <w:tcPr>
            <w:tcW w:w="1000" w:type="dxa"/>
            <w:vAlign w:val="bottom"/>
            <w:shd w:val="clear" w:color="auto" w:fill="0061AF"/>
          </w:tcPr>
          <w:p>
            <w:pPr>
              <w:jc w:val="right"/>
              <w:ind w:right="137"/>
              <w:spacing w:after="0"/>
              <w:rPr>
                <w:sz w:val="20"/>
                <w:szCs w:val="20"/>
                <w:color w:val="auto"/>
              </w:rPr>
            </w:pPr>
            <w:r>
              <w:rPr>
                <w:rFonts w:ascii="Arial" w:cs="Arial" w:eastAsia="Arial" w:hAnsi="Arial"/>
                <w:sz w:val="13"/>
                <w:szCs w:val="13"/>
                <w:b w:val="1"/>
                <w:bCs w:val="1"/>
                <w:color w:val="FFFFFF"/>
              </w:rPr>
              <w:t>Weighting</w:t>
            </w:r>
          </w:p>
        </w:tc>
        <w:tc>
          <w:tcPr>
            <w:tcW w:w="0" w:type="dxa"/>
            <w:vAlign w:val="bottom"/>
          </w:tcPr>
          <w:p>
            <w:pPr>
              <w:spacing w:after="0"/>
              <w:rPr>
                <w:sz w:val="1"/>
                <w:szCs w:val="1"/>
                <w:color w:val="auto"/>
              </w:rPr>
            </w:pPr>
          </w:p>
        </w:tc>
      </w:tr>
      <w:tr>
        <w:trPr>
          <w:trHeight w:val="143"/>
        </w:trPr>
        <w:tc>
          <w:tcPr>
            <w:tcW w:w="282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Overall Company Core Net Income ($MM)</w:t>
            </w:r>
          </w:p>
        </w:tc>
        <w:tc>
          <w:tcPr>
            <w:tcW w:w="360" w:type="dxa"/>
            <w:vAlign w:val="bottom"/>
          </w:tcPr>
          <w:p>
            <w:pPr>
              <w:ind w:left="280"/>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497</w:t>
            </w:r>
          </w:p>
        </w:tc>
        <w:tc>
          <w:tcPr>
            <w:tcW w:w="260" w:type="dxa"/>
            <w:vAlign w:val="bottom"/>
          </w:tcPr>
          <w:p>
            <w:pPr>
              <w:ind w:left="180"/>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534</w:t>
            </w: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553</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571</w:t>
            </w:r>
          </w:p>
        </w:tc>
        <w:tc>
          <w:tcPr>
            <w:tcW w:w="280" w:type="dxa"/>
            <w:vAlign w:val="bottom"/>
          </w:tcPr>
          <w:p>
            <w:pPr>
              <w:ind w:left="200"/>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ind w:right="157"/>
              <w:spacing w:after="0" w:line="143" w:lineRule="exact"/>
              <w:rPr>
                <w:sz w:val="20"/>
                <w:szCs w:val="20"/>
                <w:color w:val="auto"/>
              </w:rPr>
            </w:pPr>
            <w:r>
              <w:rPr>
                <w:rFonts w:ascii="Arial" w:cs="Arial" w:eastAsia="Arial" w:hAnsi="Arial"/>
                <w:sz w:val="13"/>
                <w:szCs w:val="13"/>
                <w:color w:val="auto"/>
              </w:rPr>
              <w:t>592</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200%</w:t>
            </w:r>
          </w:p>
        </w:tc>
        <w:tc>
          <w:tcPr>
            <w:tcW w:w="100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43"/>
        </w:trPr>
        <w:tc>
          <w:tcPr>
            <w:tcW w:w="28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b w:val="1"/>
                <w:bCs w:val="1"/>
                <w:color w:val="auto"/>
              </w:rPr>
              <w:t>Utility Diluted Earnings Per Share</w:t>
            </w:r>
          </w:p>
        </w:tc>
        <w:tc>
          <w:tcPr>
            <w:tcW w:w="360" w:type="dxa"/>
            <w:vAlign w:val="bottom"/>
            <w:shd w:val="clear" w:color="auto" w:fill="D8E7F3"/>
          </w:tcPr>
          <w:p>
            <w:pPr>
              <w:ind w:left="280"/>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1.06</w:t>
            </w:r>
          </w:p>
        </w:tc>
        <w:tc>
          <w:tcPr>
            <w:tcW w:w="260" w:type="dxa"/>
            <w:vAlign w:val="bottom"/>
            <w:shd w:val="clear" w:color="auto" w:fill="D8E7F3"/>
          </w:tcPr>
          <w:p>
            <w:pPr>
              <w:ind w:left="180"/>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1.14</w:t>
            </w:r>
          </w:p>
        </w:tc>
        <w:tc>
          <w:tcPr>
            <w:tcW w:w="3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6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1.18</w:t>
            </w:r>
          </w:p>
        </w:tc>
        <w:tc>
          <w:tcPr>
            <w:tcW w:w="4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6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1.22</w:t>
            </w:r>
          </w:p>
        </w:tc>
        <w:tc>
          <w:tcPr>
            <w:tcW w:w="280" w:type="dxa"/>
            <w:vAlign w:val="bottom"/>
            <w:shd w:val="clear" w:color="auto" w:fill="D8E7F3"/>
          </w:tcPr>
          <w:p>
            <w:pPr>
              <w:ind w:left="200"/>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D8E7F3"/>
          </w:tcPr>
          <w:p>
            <w:pPr>
              <w:jc w:val="right"/>
              <w:ind w:right="157"/>
              <w:spacing w:after="0" w:line="143" w:lineRule="exact"/>
              <w:rPr>
                <w:sz w:val="20"/>
                <w:szCs w:val="20"/>
                <w:color w:val="auto"/>
              </w:rPr>
            </w:pPr>
            <w:r>
              <w:rPr>
                <w:rFonts w:ascii="Arial" w:cs="Arial" w:eastAsia="Arial" w:hAnsi="Arial"/>
                <w:sz w:val="13"/>
                <w:szCs w:val="13"/>
                <w:color w:val="auto"/>
              </w:rPr>
              <w:t>1.15</w:t>
            </w:r>
          </w:p>
        </w:tc>
        <w:tc>
          <w:tcPr>
            <w:tcW w:w="112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113%</w:t>
            </w:r>
          </w:p>
        </w:tc>
        <w:tc>
          <w:tcPr>
            <w:tcW w:w="100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1"/>
        </w:trPr>
        <w:tc>
          <w:tcPr>
            <w:tcW w:w="2820" w:type="dxa"/>
            <w:vAlign w:val="bottom"/>
          </w:tcPr>
          <w:p>
            <w:pPr>
              <w:ind w:left="80"/>
              <w:spacing w:after="0" w:line="131" w:lineRule="exact"/>
              <w:rPr>
                <w:sz w:val="20"/>
                <w:szCs w:val="20"/>
                <w:color w:val="auto"/>
              </w:rPr>
            </w:pPr>
            <w:r>
              <w:rPr>
                <w:rFonts w:ascii="Arial" w:cs="Arial" w:eastAsia="Arial" w:hAnsi="Arial"/>
                <w:sz w:val="13"/>
                <w:szCs w:val="13"/>
                <w:b w:val="1"/>
                <w:bCs w:val="1"/>
                <w:color w:val="auto"/>
              </w:rPr>
              <w:t>Overall Company Operations and</w:t>
            </w:r>
          </w:p>
        </w:tc>
        <w:tc>
          <w:tcPr>
            <w:tcW w:w="980" w:type="dxa"/>
            <w:vAlign w:val="bottom"/>
            <w:gridSpan w:val="2"/>
            <w:vMerge w:val="restart"/>
          </w:tcPr>
          <w:p>
            <w:pPr>
              <w:jc w:val="right"/>
              <w:ind w:right="237"/>
              <w:spacing w:after="0"/>
              <w:rPr>
                <w:sz w:val="20"/>
                <w:szCs w:val="20"/>
                <w:color w:val="auto"/>
              </w:rPr>
            </w:pPr>
            <w:r>
              <w:rPr>
                <w:rFonts w:ascii="Arial" w:cs="Arial" w:eastAsia="Arial" w:hAnsi="Arial"/>
                <w:sz w:val="13"/>
                <w:szCs w:val="13"/>
                <w:color w:val="auto"/>
              </w:rPr>
              <w:t>$1,602</w:t>
            </w:r>
          </w:p>
        </w:tc>
        <w:tc>
          <w:tcPr>
            <w:tcW w:w="86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$1,540</w:t>
            </w:r>
          </w:p>
        </w:tc>
        <w:tc>
          <w:tcPr>
            <w:tcW w:w="1020" w:type="dxa"/>
            <w:vAlign w:val="bottom"/>
            <w:gridSpan w:val="2"/>
            <w:vMerge w:val="restart"/>
          </w:tcPr>
          <w:p>
            <w:pPr>
              <w:jc w:val="right"/>
              <w:ind w:right="277"/>
              <w:spacing w:after="0"/>
              <w:rPr>
                <w:sz w:val="20"/>
                <w:szCs w:val="20"/>
                <w:color w:val="auto"/>
              </w:rPr>
            </w:pPr>
            <w:r>
              <w:rPr>
                <w:rFonts w:ascii="Arial" w:cs="Arial" w:eastAsia="Arial" w:hAnsi="Arial"/>
                <w:sz w:val="13"/>
                <w:szCs w:val="13"/>
                <w:color w:val="auto"/>
              </w:rPr>
              <w:t>$1,478</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277"/>
              <w:spacing w:after="0"/>
              <w:rPr>
                <w:sz w:val="20"/>
                <w:szCs w:val="20"/>
                <w:color w:val="auto"/>
              </w:rPr>
            </w:pPr>
            <w:r>
              <w:rPr>
                <w:rFonts w:ascii="Arial" w:cs="Arial" w:eastAsia="Arial" w:hAnsi="Arial"/>
                <w:sz w:val="13"/>
                <w:szCs w:val="13"/>
                <w:color w:val="auto"/>
                <w:w w:val="92"/>
              </w:rPr>
              <w:t>1,417</w:t>
            </w:r>
          </w:p>
        </w:tc>
        <w:tc>
          <w:tcPr>
            <w:tcW w:w="82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$1,449</w:t>
            </w:r>
          </w:p>
        </w:tc>
        <w:tc>
          <w:tcPr>
            <w:tcW w:w="1120" w:type="dxa"/>
            <w:vAlign w:val="bottom"/>
            <w:vMerge w:val="restart"/>
          </w:tcPr>
          <w:p>
            <w:pPr>
              <w:jc w:val="right"/>
              <w:ind w:right="297"/>
              <w:spacing w:after="0"/>
              <w:rPr>
                <w:sz w:val="20"/>
                <w:szCs w:val="20"/>
                <w:color w:val="auto"/>
              </w:rPr>
            </w:pPr>
            <w:r>
              <w:rPr>
                <w:rFonts w:ascii="Arial" w:cs="Arial" w:eastAsia="Arial" w:hAnsi="Arial"/>
                <w:sz w:val="13"/>
                <w:szCs w:val="13"/>
                <w:color w:val="auto"/>
              </w:rPr>
              <w:t>174%</w:t>
            </w:r>
          </w:p>
        </w:tc>
        <w:tc>
          <w:tcPr>
            <w:tcW w:w="1000" w:type="dxa"/>
            <w:vAlign w:val="bottom"/>
            <w:vMerge w:val="restart"/>
          </w:tcPr>
          <w:p>
            <w:pPr>
              <w:jc w:val="right"/>
              <w:ind w:right="337"/>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97"/>
        </w:trPr>
        <w:tc>
          <w:tcPr>
            <w:tcW w:w="2820" w:type="dxa"/>
            <w:vAlign w:val="bottom"/>
            <w:vMerge w:val="restart"/>
          </w:tcPr>
          <w:p>
            <w:pPr>
              <w:jc w:val="right"/>
              <w:ind w:right="617"/>
              <w:spacing w:after="0"/>
              <w:rPr>
                <w:sz w:val="20"/>
                <w:szCs w:val="20"/>
                <w:color w:val="auto"/>
              </w:rPr>
            </w:pPr>
            <w:r>
              <w:rPr>
                <w:rFonts w:ascii="Arial" w:cs="Arial" w:eastAsia="Arial" w:hAnsi="Arial"/>
                <w:sz w:val="13"/>
                <w:szCs w:val="13"/>
                <w:b w:val="1"/>
                <w:bCs w:val="1"/>
                <w:color w:val="auto"/>
              </w:rPr>
              <w:t>Maintenance Expenditures ($MM)</w:t>
            </w:r>
          </w:p>
        </w:tc>
        <w:tc>
          <w:tcPr>
            <w:tcW w:w="98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8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b w:val="1"/>
                <w:bCs w:val="1"/>
                <w:color w:val="auto"/>
              </w:rPr>
              <w:t>Customer Satisfaction Composite</w:t>
            </w:r>
          </w:p>
        </w:tc>
        <w:tc>
          <w:tcPr>
            <w:tcW w:w="360" w:type="dxa"/>
            <w:vAlign w:val="bottom"/>
            <w:shd w:val="clear" w:color="auto" w:fill="D8E7F3"/>
          </w:tcPr>
          <w:p>
            <w:pPr>
              <w:spacing w:after="0"/>
              <w:rPr>
                <w:sz w:val="12"/>
                <w:szCs w:val="12"/>
                <w:color w:val="auto"/>
              </w:rPr>
            </w:pPr>
          </w:p>
        </w:tc>
        <w:tc>
          <w:tcPr>
            <w:tcW w:w="620" w:type="dxa"/>
            <w:vAlign w:val="bottom"/>
            <w:shd w:val="clear" w:color="auto" w:fill="D8E7F3"/>
          </w:tcPr>
          <w:p>
            <w:pPr>
              <w:spacing w:after="0"/>
              <w:rPr>
                <w:sz w:val="12"/>
                <w:szCs w:val="12"/>
                <w:color w:val="auto"/>
              </w:rPr>
            </w:pPr>
          </w:p>
        </w:tc>
        <w:tc>
          <w:tcPr>
            <w:tcW w:w="260" w:type="dxa"/>
            <w:vAlign w:val="bottom"/>
            <w:shd w:val="clear" w:color="auto" w:fill="D8E7F3"/>
          </w:tcPr>
          <w:p>
            <w:pPr>
              <w:spacing w:after="0"/>
              <w:rPr>
                <w:sz w:val="12"/>
                <w:szCs w:val="12"/>
                <w:color w:val="auto"/>
              </w:rPr>
            </w:pPr>
          </w:p>
        </w:tc>
        <w:tc>
          <w:tcPr>
            <w:tcW w:w="600" w:type="dxa"/>
            <w:vAlign w:val="bottom"/>
            <w:shd w:val="clear" w:color="auto" w:fill="D8E7F3"/>
          </w:tcPr>
          <w:p>
            <w:pPr>
              <w:spacing w:after="0"/>
              <w:rPr>
                <w:sz w:val="12"/>
                <w:szCs w:val="12"/>
                <w:color w:val="auto"/>
              </w:rPr>
            </w:pPr>
          </w:p>
        </w:tc>
        <w:tc>
          <w:tcPr>
            <w:tcW w:w="36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280" w:type="dxa"/>
            <w:vAlign w:val="bottom"/>
            <w:shd w:val="clear" w:color="auto" w:fill="D8E7F3"/>
          </w:tcPr>
          <w:p>
            <w:pPr>
              <w:spacing w:after="0"/>
              <w:rPr>
                <w:sz w:val="12"/>
                <w:szCs w:val="12"/>
                <w:color w:val="auto"/>
              </w:rPr>
            </w:pPr>
          </w:p>
        </w:tc>
        <w:tc>
          <w:tcPr>
            <w:tcW w:w="540" w:type="dxa"/>
            <w:vAlign w:val="bottom"/>
            <w:shd w:val="clear" w:color="auto" w:fill="D8E7F3"/>
          </w:tcPr>
          <w:p>
            <w:pPr>
              <w:spacing w:after="0"/>
              <w:rPr>
                <w:sz w:val="12"/>
                <w:szCs w:val="12"/>
                <w:color w:val="auto"/>
              </w:rPr>
            </w:pPr>
          </w:p>
        </w:tc>
        <w:tc>
          <w:tcPr>
            <w:tcW w:w="112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119%</w:t>
            </w:r>
          </w:p>
        </w:tc>
        <w:tc>
          <w:tcPr>
            <w:tcW w:w="100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7"/>
        </w:trPr>
        <w:tc>
          <w:tcPr>
            <w:tcW w:w="2820" w:type="dxa"/>
            <w:vAlign w:val="bottom"/>
          </w:tcPr>
          <w:p>
            <w:pPr>
              <w:jc w:val="right"/>
              <w:ind w:right="97"/>
              <w:spacing w:after="0" w:line="147" w:lineRule="exact"/>
              <w:rPr>
                <w:sz w:val="20"/>
                <w:szCs w:val="20"/>
                <w:color w:val="auto"/>
              </w:rPr>
            </w:pPr>
            <w:r>
              <w:rPr>
                <w:rFonts w:ascii="Arial" w:cs="Arial" w:eastAsia="Arial" w:hAnsi="Arial"/>
                <w:sz w:val="13"/>
                <w:szCs w:val="13"/>
                <w:color w:val="auto"/>
              </w:rPr>
              <w:t>Customer Survey – Legacy CNP Gas</w:t>
            </w:r>
          </w:p>
        </w:tc>
        <w:tc>
          <w:tcPr>
            <w:tcW w:w="360" w:type="dxa"/>
            <w:vAlign w:val="bottom"/>
          </w:tcPr>
          <w:p>
            <w:pPr>
              <w:spacing w:after="0"/>
              <w:rPr>
                <w:sz w:val="12"/>
                <w:szCs w:val="12"/>
                <w:color w:val="auto"/>
              </w:rPr>
            </w:pPr>
          </w:p>
        </w:tc>
        <w:tc>
          <w:tcPr>
            <w:tcW w:w="620" w:type="dxa"/>
            <w:vAlign w:val="bottom"/>
            <w:vMerge w:val="restart"/>
          </w:tcPr>
          <w:p>
            <w:pPr>
              <w:jc w:val="right"/>
              <w:ind w:right="237"/>
              <w:spacing w:after="0"/>
              <w:rPr>
                <w:sz w:val="20"/>
                <w:szCs w:val="20"/>
                <w:color w:val="auto"/>
              </w:rPr>
            </w:pPr>
            <w:r>
              <w:rPr>
                <w:rFonts w:ascii="Arial" w:cs="Arial" w:eastAsia="Arial" w:hAnsi="Arial"/>
                <w:sz w:val="13"/>
                <w:szCs w:val="13"/>
                <w:color w:val="auto"/>
              </w:rPr>
              <w:t>4.36</w:t>
            </w:r>
          </w:p>
        </w:tc>
        <w:tc>
          <w:tcPr>
            <w:tcW w:w="260" w:type="dxa"/>
            <w:vAlign w:val="bottom"/>
          </w:tcPr>
          <w:p>
            <w:pPr>
              <w:spacing w:after="0"/>
              <w:rPr>
                <w:sz w:val="12"/>
                <w:szCs w:val="12"/>
                <w:color w:val="auto"/>
              </w:rPr>
            </w:pPr>
          </w:p>
        </w:tc>
        <w:tc>
          <w:tcPr>
            <w:tcW w:w="600" w:type="dxa"/>
            <w:vAlign w:val="bottom"/>
            <w:vMerge w:val="restart"/>
          </w:tcPr>
          <w:p>
            <w:pPr>
              <w:jc w:val="right"/>
              <w:ind w:right="217"/>
              <w:spacing w:after="0"/>
              <w:rPr>
                <w:sz w:val="20"/>
                <w:szCs w:val="20"/>
                <w:color w:val="auto"/>
              </w:rPr>
            </w:pPr>
            <w:r>
              <w:rPr>
                <w:rFonts w:ascii="Arial" w:cs="Arial" w:eastAsia="Arial" w:hAnsi="Arial"/>
                <w:sz w:val="13"/>
                <w:szCs w:val="13"/>
                <w:color w:val="auto"/>
              </w:rPr>
              <w:t>4.47</w:t>
            </w:r>
          </w:p>
        </w:tc>
        <w:tc>
          <w:tcPr>
            <w:tcW w:w="360" w:type="dxa"/>
            <w:vAlign w:val="bottom"/>
          </w:tcPr>
          <w:p>
            <w:pPr>
              <w:spacing w:after="0"/>
              <w:rPr>
                <w:sz w:val="12"/>
                <w:szCs w:val="12"/>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3"/>
                <w:szCs w:val="13"/>
                <w:color w:val="auto"/>
              </w:rPr>
              <w:t>4.56</w:t>
            </w:r>
          </w:p>
        </w:tc>
        <w:tc>
          <w:tcPr>
            <w:tcW w:w="440" w:type="dxa"/>
            <w:vAlign w:val="bottom"/>
          </w:tcPr>
          <w:p>
            <w:pPr>
              <w:spacing w:after="0"/>
              <w:rPr>
                <w:sz w:val="12"/>
                <w:szCs w:val="12"/>
                <w:color w:val="auto"/>
              </w:rPr>
            </w:pPr>
          </w:p>
        </w:tc>
        <w:tc>
          <w:tcPr>
            <w:tcW w:w="660" w:type="dxa"/>
            <w:vAlign w:val="bottom"/>
            <w:vMerge w:val="restart"/>
          </w:tcPr>
          <w:p>
            <w:pPr>
              <w:jc w:val="right"/>
              <w:ind w:right="317"/>
              <w:spacing w:after="0"/>
              <w:rPr>
                <w:sz w:val="20"/>
                <w:szCs w:val="20"/>
                <w:color w:val="auto"/>
              </w:rPr>
            </w:pPr>
            <w:r>
              <w:rPr>
                <w:rFonts w:ascii="Arial" w:cs="Arial" w:eastAsia="Arial" w:hAnsi="Arial"/>
                <w:sz w:val="13"/>
                <w:szCs w:val="13"/>
                <w:color w:val="auto"/>
              </w:rPr>
              <w:t>N/A</w:t>
            </w:r>
          </w:p>
        </w:tc>
        <w:tc>
          <w:tcPr>
            <w:tcW w:w="280" w:type="dxa"/>
            <w:vAlign w:val="bottom"/>
          </w:tcPr>
          <w:p>
            <w:pPr>
              <w:spacing w:after="0"/>
              <w:rPr>
                <w:sz w:val="12"/>
                <w:szCs w:val="12"/>
                <w:color w:val="auto"/>
              </w:rPr>
            </w:pPr>
          </w:p>
        </w:tc>
        <w:tc>
          <w:tcPr>
            <w:tcW w:w="540" w:type="dxa"/>
            <w:vAlign w:val="bottom"/>
            <w:vMerge w:val="restart"/>
          </w:tcPr>
          <w:p>
            <w:pPr>
              <w:jc w:val="right"/>
              <w:ind w:right="157"/>
              <w:spacing w:after="0"/>
              <w:rPr>
                <w:sz w:val="20"/>
                <w:szCs w:val="20"/>
                <w:color w:val="auto"/>
              </w:rPr>
            </w:pPr>
            <w:r>
              <w:rPr>
                <w:rFonts w:ascii="Arial" w:cs="Arial" w:eastAsia="Arial" w:hAnsi="Arial"/>
                <w:sz w:val="13"/>
                <w:szCs w:val="13"/>
                <w:color w:val="auto"/>
              </w:rPr>
              <w:t>4.55</w:t>
            </w:r>
          </w:p>
        </w:tc>
        <w:tc>
          <w:tcPr>
            <w:tcW w:w="1120" w:type="dxa"/>
            <w:vAlign w:val="bottom"/>
            <w:vMerge w:val="restart"/>
          </w:tcPr>
          <w:p>
            <w:pPr>
              <w:jc w:val="right"/>
              <w:ind w:right="297"/>
              <w:spacing w:after="0"/>
              <w:rPr>
                <w:sz w:val="20"/>
                <w:szCs w:val="20"/>
                <w:color w:val="auto"/>
              </w:rPr>
            </w:pPr>
            <w:r>
              <w:rPr>
                <w:rFonts w:ascii="Arial" w:cs="Arial" w:eastAsia="Arial" w:hAnsi="Arial"/>
                <w:sz w:val="13"/>
                <w:szCs w:val="13"/>
                <w:color w:val="auto"/>
              </w:rPr>
              <w:t>144%</w:t>
            </w: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81"/>
        </w:trPr>
        <w:tc>
          <w:tcPr>
            <w:tcW w:w="2820" w:type="dxa"/>
            <w:vAlign w:val="bottom"/>
            <w:vMerge w:val="restart"/>
          </w:tcPr>
          <w:p>
            <w:pPr>
              <w:jc w:val="right"/>
              <w:ind w:right="97"/>
              <w:spacing w:after="0" w:line="143" w:lineRule="exact"/>
              <w:rPr>
                <w:sz w:val="20"/>
                <w:szCs w:val="20"/>
                <w:color w:val="auto"/>
              </w:rPr>
            </w:pPr>
            <w:r>
              <w:rPr>
                <w:rFonts w:ascii="Arial" w:cs="Arial" w:eastAsia="Arial" w:hAnsi="Arial"/>
                <w:sz w:val="13"/>
                <w:szCs w:val="13"/>
                <w:color w:val="auto"/>
              </w:rPr>
              <w:t>Operations / Home Service Plus</w:t>
            </w:r>
          </w:p>
        </w:tc>
        <w:tc>
          <w:tcPr>
            <w:tcW w:w="3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Customer Survey – Houston Electric</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Operations</w:t>
            </w:r>
          </w:p>
        </w:tc>
        <w:tc>
          <w:tcPr>
            <w:tcW w:w="360" w:type="dxa"/>
            <w:vAlign w:val="bottom"/>
          </w:tcPr>
          <w:p>
            <w:pPr>
              <w:spacing w:after="0"/>
              <w:rPr>
                <w:sz w:val="12"/>
                <w:szCs w:val="12"/>
                <w:color w:val="auto"/>
              </w:rPr>
            </w:pPr>
          </w:p>
        </w:tc>
        <w:tc>
          <w:tcPr>
            <w:tcW w:w="62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3.86</w:t>
            </w:r>
          </w:p>
        </w:tc>
        <w:tc>
          <w:tcPr>
            <w:tcW w:w="260" w:type="dxa"/>
            <w:vAlign w:val="bottom"/>
          </w:tcPr>
          <w:p>
            <w:pPr>
              <w:spacing w:after="0"/>
              <w:rPr>
                <w:sz w:val="12"/>
                <w:szCs w:val="12"/>
                <w:color w:val="auto"/>
              </w:rPr>
            </w:pPr>
          </w:p>
        </w:tc>
        <w:tc>
          <w:tcPr>
            <w:tcW w:w="60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3.96</w:t>
            </w:r>
          </w:p>
        </w:tc>
        <w:tc>
          <w:tcPr>
            <w:tcW w:w="360" w:type="dxa"/>
            <w:vAlign w:val="bottom"/>
          </w:tcPr>
          <w:p>
            <w:pPr>
              <w:spacing w:after="0"/>
              <w:rPr>
                <w:sz w:val="12"/>
                <w:szCs w:val="12"/>
                <w:color w:val="auto"/>
              </w:rPr>
            </w:pPr>
          </w:p>
        </w:tc>
        <w:tc>
          <w:tcPr>
            <w:tcW w:w="66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4.04</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57"/>
              <w:spacing w:after="0" w:line="143" w:lineRule="exact"/>
              <w:rPr>
                <w:sz w:val="20"/>
                <w:szCs w:val="20"/>
                <w:color w:val="auto"/>
              </w:rPr>
            </w:pPr>
            <w:r>
              <w:rPr>
                <w:rFonts w:ascii="Arial" w:cs="Arial" w:eastAsia="Arial" w:hAnsi="Arial"/>
                <w:sz w:val="13"/>
                <w:szCs w:val="13"/>
                <w:color w:val="auto"/>
              </w:rPr>
              <w:t>4.07</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150%</w:t>
            </w:r>
          </w:p>
        </w:tc>
        <w:tc>
          <w:tcPr>
            <w:tcW w:w="10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w w:val="98"/>
              </w:rPr>
              <w:t>Power Alert Service Survey – Houston Electric</w:t>
            </w:r>
          </w:p>
        </w:tc>
        <w:tc>
          <w:tcPr>
            <w:tcW w:w="360" w:type="dxa"/>
            <w:vAlign w:val="bottom"/>
          </w:tcPr>
          <w:p>
            <w:pPr>
              <w:spacing w:after="0"/>
              <w:rPr>
                <w:sz w:val="12"/>
                <w:szCs w:val="12"/>
                <w:color w:val="auto"/>
              </w:rPr>
            </w:pPr>
          </w:p>
        </w:tc>
        <w:tc>
          <w:tcPr>
            <w:tcW w:w="620" w:type="dxa"/>
            <w:vAlign w:val="bottom"/>
            <w:vMerge w:val="restart"/>
          </w:tcPr>
          <w:p>
            <w:pPr>
              <w:jc w:val="right"/>
              <w:ind w:right="237"/>
              <w:spacing w:after="0"/>
              <w:rPr>
                <w:sz w:val="20"/>
                <w:szCs w:val="20"/>
                <w:color w:val="auto"/>
              </w:rPr>
            </w:pPr>
            <w:r>
              <w:rPr>
                <w:rFonts w:ascii="Arial" w:cs="Arial" w:eastAsia="Arial" w:hAnsi="Arial"/>
                <w:sz w:val="13"/>
                <w:szCs w:val="13"/>
                <w:color w:val="auto"/>
              </w:rPr>
              <w:t>4.36</w:t>
            </w:r>
          </w:p>
        </w:tc>
        <w:tc>
          <w:tcPr>
            <w:tcW w:w="260" w:type="dxa"/>
            <w:vAlign w:val="bottom"/>
          </w:tcPr>
          <w:p>
            <w:pPr>
              <w:spacing w:after="0"/>
              <w:rPr>
                <w:sz w:val="12"/>
                <w:szCs w:val="12"/>
                <w:color w:val="auto"/>
              </w:rPr>
            </w:pPr>
          </w:p>
        </w:tc>
        <w:tc>
          <w:tcPr>
            <w:tcW w:w="600" w:type="dxa"/>
            <w:vAlign w:val="bottom"/>
            <w:vMerge w:val="restart"/>
          </w:tcPr>
          <w:p>
            <w:pPr>
              <w:jc w:val="right"/>
              <w:ind w:right="217"/>
              <w:spacing w:after="0"/>
              <w:rPr>
                <w:sz w:val="20"/>
                <w:szCs w:val="20"/>
                <w:color w:val="auto"/>
              </w:rPr>
            </w:pPr>
            <w:r>
              <w:rPr>
                <w:rFonts w:ascii="Arial" w:cs="Arial" w:eastAsia="Arial" w:hAnsi="Arial"/>
                <w:sz w:val="13"/>
                <w:szCs w:val="13"/>
                <w:color w:val="auto"/>
              </w:rPr>
              <w:t>4.47</w:t>
            </w:r>
          </w:p>
        </w:tc>
        <w:tc>
          <w:tcPr>
            <w:tcW w:w="360" w:type="dxa"/>
            <w:vAlign w:val="bottom"/>
          </w:tcPr>
          <w:p>
            <w:pPr>
              <w:spacing w:after="0"/>
              <w:rPr>
                <w:sz w:val="12"/>
                <w:szCs w:val="12"/>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3"/>
                <w:szCs w:val="13"/>
                <w:color w:val="auto"/>
              </w:rPr>
              <w:t>4.56</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vMerge w:val="restart"/>
          </w:tcPr>
          <w:p>
            <w:pPr>
              <w:jc w:val="right"/>
              <w:ind w:right="157"/>
              <w:spacing w:after="0"/>
              <w:rPr>
                <w:sz w:val="20"/>
                <w:szCs w:val="20"/>
                <w:color w:val="auto"/>
              </w:rPr>
            </w:pPr>
            <w:r>
              <w:rPr>
                <w:rFonts w:ascii="Arial" w:cs="Arial" w:eastAsia="Arial" w:hAnsi="Arial"/>
                <w:sz w:val="13"/>
                <w:szCs w:val="13"/>
                <w:color w:val="auto"/>
              </w:rPr>
              <w:t>4.47</w:t>
            </w:r>
          </w:p>
        </w:tc>
        <w:tc>
          <w:tcPr>
            <w:tcW w:w="1120" w:type="dxa"/>
            <w:vAlign w:val="bottom"/>
            <w:vMerge w:val="restart"/>
          </w:tcPr>
          <w:p>
            <w:pPr>
              <w:jc w:val="right"/>
              <w:ind w:right="297"/>
              <w:spacing w:after="0"/>
              <w:rPr>
                <w:sz w:val="20"/>
                <w:szCs w:val="20"/>
                <w:color w:val="auto"/>
              </w:rPr>
            </w:pPr>
            <w:r>
              <w:rPr>
                <w:rFonts w:ascii="Arial" w:cs="Arial" w:eastAsia="Arial" w:hAnsi="Arial"/>
                <w:sz w:val="13"/>
                <w:szCs w:val="13"/>
                <w:color w:val="auto"/>
              </w:rPr>
              <w:t>100%</w:t>
            </w: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81"/>
        </w:trPr>
        <w:tc>
          <w:tcPr>
            <w:tcW w:w="2820" w:type="dxa"/>
            <w:vAlign w:val="bottom"/>
            <w:vMerge w:val="restart"/>
          </w:tcPr>
          <w:p>
            <w:pPr>
              <w:jc w:val="right"/>
              <w:ind w:right="97"/>
              <w:spacing w:after="0" w:line="143" w:lineRule="exact"/>
              <w:rPr>
                <w:sz w:val="20"/>
                <w:szCs w:val="20"/>
                <w:color w:val="auto"/>
              </w:rPr>
            </w:pPr>
            <w:r>
              <w:rPr>
                <w:rFonts w:ascii="Arial" w:cs="Arial" w:eastAsia="Arial" w:hAnsi="Arial"/>
                <w:sz w:val="13"/>
                <w:szCs w:val="13"/>
                <w:color w:val="auto"/>
              </w:rPr>
              <w:t>Operations</w:t>
            </w:r>
          </w:p>
        </w:tc>
        <w:tc>
          <w:tcPr>
            <w:tcW w:w="3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Reliability – Blue Sky System Average</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81"/>
        </w:trPr>
        <w:tc>
          <w:tcPr>
            <w:tcW w:w="2820" w:type="dxa"/>
            <w:vAlign w:val="bottom"/>
            <w:vMerge w:val="restart"/>
          </w:tcPr>
          <w:p>
            <w:pPr>
              <w:jc w:val="right"/>
              <w:ind w:right="97"/>
              <w:spacing w:after="0" w:line="143" w:lineRule="exact"/>
              <w:rPr>
                <w:sz w:val="20"/>
                <w:szCs w:val="20"/>
                <w:color w:val="auto"/>
              </w:rPr>
            </w:pPr>
            <w:r>
              <w:rPr>
                <w:rFonts w:ascii="Arial" w:cs="Arial" w:eastAsia="Arial" w:hAnsi="Arial"/>
                <w:sz w:val="13"/>
                <w:szCs w:val="13"/>
                <w:color w:val="auto"/>
              </w:rPr>
              <w:t>Interruption Duration Index (SAIDI)</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First Quarter</w:t>
            </w:r>
          </w:p>
        </w:tc>
        <w:tc>
          <w:tcPr>
            <w:tcW w:w="360" w:type="dxa"/>
            <w:vAlign w:val="bottom"/>
          </w:tcPr>
          <w:p>
            <w:pPr>
              <w:spacing w:after="0"/>
              <w:rPr>
                <w:sz w:val="12"/>
                <w:szCs w:val="12"/>
                <w:color w:val="auto"/>
              </w:rPr>
            </w:pPr>
          </w:p>
        </w:tc>
        <w:tc>
          <w:tcPr>
            <w:tcW w:w="620" w:type="dxa"/>
            <w:vAlign w:val="bottom"/>
          </w:tcPr>
          <w:p>
            <w:pPr>
              <w:jc w:val="right"/>
              <w:ind w:right="237"/>
              <w:spacing w:after="0" w:line="143" w:lineRule="exact"/>
              <w:rPr>
                <w:sz w:val="20"/>
                <w:szCs w:val="20"/>
                <w:color w:val="auto"/>
              </w:rPr>
            </w:pPr>
            <w:r>
              <w:rPr>
                <w:rFonts w:ascii="Arial" w:cs="Arial" w:eastAsia="Arial" w:hAnsi="Arial"/>
                <w:sz w:val="13"/>
                <w:szCs w:val="13"/>
                <w:color w:val="auto"/>
                <w:w w:val="92"/>
              </w:rPr>
              <w:t>13.38</w:t>
            </w:r>
          </w:p>
        </w:tc>
        <w:tc>
          <w:tcPr>
            <w:tcW w:w="260" w:type="dxa"/>
            <w:vAlign w:val="bottom"/>
          </w:tcPr>
          <w:p>
            <w:pPr>
              <w:spacing w:after="0"/>
              <w:rPr>
                <w:sz w:val="12"/>
                <w:szCs w:val="12"/>
                <w:color w:val="auto"/>
              </w:rPr>
            </w:pPr>
          </w:p>
        </w:tc>
        <w:tc>
          <w:tcPr>
            <w:tcW w:w="600" w:type="dxa"/>
            <w:vAlign w:val="bottom"/>
          </w:tcPr>
          <w:p>
            <w:pPr>
              <w:jc w:val="right"/>
              <w:ind w:right="217"/>
              <w:spacing w:after="0" w:line="143" w:lineRule="exact"/>
              <w:rPr>
                <w:sz w:val="20"/>
                <w:szCs w:val="20"/>
                <w:color w:val="auto"/>
              </w:rPr>
            </w:pPr>
            <w:r>
              <w:rPr>
                <w:rFonts w:ascii="Arial" w:cs="Arial" w:eastAsia="Arial" w:hAnsi="Arial"/>
                <w:sz w:val="13"/>
                <w:szCs w:val="13"/>
                <w:color w:val="auto"/>
                <w:w w:val="92"/>
              </w:rPr>
              <w:t>12.86</w:t>
            </w:r>
          </w:p>
        </w:tc>
        <w:tc>
          <w:tcPr>
            <w:tcW w:w="360" w:type="dxa"/>
            <w:vAlign w:val="bottom"/>
          </w:tcPr>
          <w:p>
            <w:pPr>
              <w:spacing w:after="0"/>
              <w:rPr>
                <w:sz w:val="12"/>
                <w:szCs w:val="12"/>
                <w:color w:val="auto"/>
              </w:rPr>
            </w:pPr>
          </w:p>
        </w:tc>
        <w:tc>
          <w:tcPr>
            <w:tcW w:w="660" w:type="dxa"/>
            <w:vAlign w:val="bottom"/>
          </w:tcPr>
          <w:p>
            <w:pPr>
              <w:jc w:val="right"/>
              <w:ind w:right="277"/>
              <w:spacing w:after="0" w:line="143" w:lineRule="exact"/>
              <w:rPr>
                <w:sz w:val="20"/>
                <w:szCs w:val="20"/>
                <w:color w:val="auto"/>
              </w:rPr>
            </w:pPr>
            <w:r>
              <w:rPr>
                <w:rFonts w:ascii="Arial" w:cs="Arial" w:eastAsia="Arial" w:hAnsi="Arial"/>
                <w:sz w:val="13"/>
                <w:szCs w:val="13"/>
                <w:color w:val="auto"/>
                <w:w w:val="92"/>
              </w:rPr>
              <w:t>12.34</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57"/>
              <w:spacing w:after="0" w:line="143" w:lineRule="exact"/>
              <w:rPr>
                <w:sz w:val="20"/>
                <w:szCs w:val="20"/>
                <w:color w:val="auto"/>
              </w:rPr>
            </w:pPr>
            <w:r>
              <w:rPr>
                <w:rFonts w:ascii="Arial" w:cs="Arial" w:eastAsia="Arial" w:hAnsi="Arial"/>
                <w:sz w:val="13"/>
                <w:szCs w:val="13"/>
                <w:color w:val="auto"/>
                <w:w w:val="92"/>
              </w:rPr>
              <w:t>13.69</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0%</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Second Quarter</w:t>
            </w:r>
          </w:p>
        </w:tc>
        <w:tc>
          <w:tcPr>
            <w:tcW w:w="360" w:type="dxa"/>
            <w:vAlign w:val="bottom"/>
          </w:tcPr>
          <w:p>
            <w:pPr>
              <w:spacing w:after="0"/>
              <w:rPr>
                <w:sz w:val="12"/>
                <w:szCs w:val="12"/>
                <w:color w:val="auto"/>
              </w:rPr>
            </w:pPr>
          </w:p>
        </w:tc>
        <w:tc>
          <w:tcPr>
            <w:tcW w:w="620" w:type="dxa"/>
            <w:vAlign w:val="bottom"/>
          </w:tcPr>
          <w:p>
            <w:pPr>
              <w:jc w:val="right"/>
              <w:ind w:right="237"/>
              <w:spacing w:after="0" w:line="143" w:lineRule="exact"/>
              <w:rPr>
                <w:sz w:val="20"/>
                <w:szCs w:val="20"/>
                <w:color w:val="auto"/>
              </w:rPr>
            </w:pPr>
            <w:r>
              <w:rPr>
                <w:rFonts w:ascii="Arial" w:cs="Arial" w:eastAsia="Arial" w:hAnsi="Arial"/>
                <w:sz w:val="13"/>
                <w:szCs w:val="13"/>
                <w:color w:val="auto"/>
                <w:w w:val="92"/>
              </w:rPr>
              <w:t>27.05</w:t>
            </w:r>
          </w:p>
        </w:tc>
        <w:tc>
          <w:tcPr>
            <w:tcW w:w="260" w:type="dxa"/>
            <w:vAlign w:val="bottom"/>
          </w:tcPr>
          <w:p>
            <w:pPr>
              <w:spacing w:after="0"/>
              <w:rPr>
                <w:sz w:val="12"/>
                <w:szCs w:val="12"/>
                <w:color w:val="auto"/>
              </w:rPr>
            </w:pPr>
          </w:p>
        </w:tc>
        <w:tc>
          <w:tcPr>
            <w:tcW w:w="600" w:type="dxa"/>
            <w:vAlign w:val="bottom"/>
          </w:tcPr>
          <w:p>
            <w:pPr>
              <w:jc w:val="right"/>
              <w:ind w:right="217"/>
              <w:spacing w:after="0" w:line="143" w:lineRule="exact"/>
              <w:rPr>
                <w:sz w:val="20"/>
                <w:szCs w:val="20"/>
                <w:color w:val="auto"/>
              </w:rPr>
            </w:pPr>
            <w:r>
              <w:rPr>
                <w:rFonts w:ascii="Arial" w:cs="Arial" w:eastAsia="Arial" w:hAnsi="Arial"/>
                <w:sz w:val="13"/>
                <w:szCs w:val="13"/>
                <w:color w:val="auto"/>
                <w:w w:val="92"/>
              </w:rPr>
              <w:t>25.98</w:t>
            </w:r>
          </w:p>
        </w:tc>
        <w:tc>
          <w:tcPr>
            <w:tcW w:w="360" w:type="dxa"/>
            <w:vAlign w:val="bottom"/>
          </w:tcPr>
          <w:p>
            <w:pPr>
              <w:spacing w:after="0"/>
              <w:rPr>
                <w:sz w:val="12"/>
                <w:szCs w:val="12"/>
                <w:color w:val="auto"/>
              </w:rPr>
            </w:pPr>
          </w:p>
        </w:tc>
        <w:tc>
          <w:tcPr>
            <w:tcW w:w="660" w:type="dxa"/>
            <w:vAlign w:val="bottom"/>
          </w:tcPr>
          <w:p>
            <w:pPr>
              <w:jc w:val="right"/>
              <w:ind w:right="277"/>
              <w:spacing w:after="0" w:line="143" w:lineRule="exact"/>
              <w:rPr>
                <w:sz w:val="20"/>
                <w:szCs w:val="20"/>
                <w:color w:val="auto"/>
              </w:rPr>
            </w:pPr>
            <w:r>
              <w:rPr>
                <w:rFonts w:ascii="Arial" w:cs="Arial" w:eastAsia="Arial" w:hAnsi="Arial"/>
                <w:sz w:val="13"/>
                <w:szCs w:val="13"/>
                <w:color w:val="auto"/>
                <w:w w:val="92"/>
              </w:rPr>
              <w:t>24.94</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57"/>
              <w:spacing w:after="0" w:line="143" w:lineRule="exact"/>
              <w:rPr>
                <w:sz w:val="20"/>
                <w:szCs w:val="20"/>
                <w:color w:val="auto"/>
              </w:rPr>
            </w:pPr>
            <w:r>
              <w:rPr>
                <w:rFonts w:ascii="Arial" w:cs="Arial" w:eastAsia="Arial" w:hAnsi="Arial"/>
                <w:sz w:val="13"/>
                <w:szCs w:val="13"/>
                <w:color w:val="auto"/>
                <w:w w:val="92"/>
              </w:rPr>
              <w:t>22.13</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150%</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Third Quarter</w:t>
            </w:r>
          </w:p>
        </w:tc>
        <w:tc>
          <w:tcPr>
            <w:tcW w:w="360" w:type="dxa"/>
            <w:vAlign w:val="bottom"/>
          </w:tcPr>
          <w:p>
            <w:pPr>
              <w:spacing w:after="0"/>
              <w:rPr>
                <w:sz w:val="12"/>
                <w:szCs w:val="12"/>
                <w:color w:val="auto"/>
              </w:rPr>
            </w:pPr>
          </w:p>
        </w:tc>
        <w:tc>
          <w:tcPr>
            <w:tcW w:w="620" w:type="dxa"/>
            <w:vAlign w:val="bottom"/>
          </w:tcPr>
          <w:p>
            <w:pPr>
              <w:jc w:val="right"/>
              <w:ind w:right="237"/>
              <w:spacing w:after="0" w:line="143" w:lineRule="exact"/>
              <w:rPr>
                <w:sz w:val="20"/>
                <w:szCs w:val="20"/>
                <w:color w:val="auto"/>
              </w:rPr>
            </w:pPr>
            <w:r>
              <w:rPr>
                <w:rFonts w:ascii="Arial" w:cs="Arial" w:eastAsia="Arial" w:hAnsi="Arial"/>
                <w:sz w:val="13"/>
                <w:szCs w:val="13"/>
                <w:color w:val="auto"/>
                <w:w w:val="92"/>
              </w:rPr>
              <w:t>25.76</w:t>
            </w:r>
          </w:p>
        </w:tc>
        <w:tc>
          <w:tcPr>
            <w:tcW w:w="260" w:type="dxa"/>
            <w:vAlign w:val="bottom"/>
          </w:tcPr>
          <w:p>
            <w:pPr>
              <w:spacing w:after="0"/>
              <w:rPr>
                <w:sz w:val="12"/>
                <w:szCs w:val="12"/>
                <w:color w:val="auto"/>
              </w:rPr>
            </w:pPr>
          </w:p>
        </w:tc>
        <w:tc>
          <w:tcPr>
            <w:tcW w:w="600" w:type="dxa"/>
            <w:vAlign w:val="bottom"/>
          </w:tcPr>
          <w:p>
            <w:pPr>
              <w:jc w:val="right"/>
              <w:ind w:right="217"/>
              <w:spacing w:after="0" w:line="143" w:lineRule="exact"/>
              <w:rPr>
                <w:sz w:val="20"/>
                <w:szCs w:val="20"/>
                <w:color w:val="auto"/>
              </w:rPr>
            </w:pPr>
            <w:r>
              <w:rPr>
                <w:rFonts w:ascii="Arial" w:cs="Arial" w:eastAsia="Arial" w:hAnsi="Arial"/>
                <w:sz w:val="13"/>
                <w:szCs w:val="13"/>
                <w:color w:val="auto"/>
                <w:w w:val="92"/>
              </w:rPr>
              <w:t>24.75</w:t>
            </w:r>
          </w:p>
        </w:tc>
        <w:tc>
          <w:tcPr>
            <w:tcW w:w="360" w:type="dxa"/>
            <w:vAlign w:val="bottom"/>
          </w:tcPr>
          <w:p>
            <w:pPr>
              <w:spacing w:after="0"/>
              <w:rPr>
                <w:sz w:val="12"/>
                <w:szCs w:val="12"/>
                <w:color w:val="auto"/>
              </w:rPr>
            </w:pPr>
          </w:p>
        </w:tc>
        <w:tc>
          <w:tcPr>
            <w:tcW w:w="660" w:type="dxa"/>
            <w:vAlign w:val="bottom"/>
          </w:tcPr>
          <w:p>
            <w:pPr>
              <w:jc w:val="right"/>
              <w:ind w:right="277"/>
              <w:spacing w:after="0" w:line="143" w:lineRule="exact"/>
              <w:rPr>
                <w:sz w:val="20"/>
                <w:szCs w:val="20"/>
                <w:color w:val="auto"/>
              </w:rPr>
            </w:pPr>
            <w:r>
              <w:rPr>
                <w:rFonts w:ascii="Arial" w:cs="Arial" w:eastAsia="Arial" w:hAnsi="Arial"/>
                <w:sz w:val="13"/>
                <w:szCs w:val="13"/>
                <w:color w:val="auto"/>
                <w:w w:val="92"/>
              </w:rPr>
              <w:t>23.75</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57"/>
              <w:spacing w:after="0" w:line="143" w:lineRule="exact"/>
              <w:rPr>
                <w:sz w:val="20"/>
                <w:szCs w:val="20"/>
                <w:color w:val="auto"/>
              </w:rPr>
            </w:pPr>
            <w:r>
              <w:rPr>
                <w:rFonts w:ascii="Arial" w:cs="Arial" w:eastAsia="Arial" w:hAnsi="Arial"/>
                <w:sz w:val="13"/>
                <w:szCs w:val="13"/>
                <w:color w:val="auto"/>
                <w:w w:val="92"/>
              </w:rPr>
              <w:t>32.67</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0%</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Fourth Quarter</w:t>
            </w:r>
          </w:p>
        </w:tc>
        <w:tc>
          <w:tcPr>
            <w:tcW w:w="360" w:type="dxa"/>
            <w:vAlign w:val="bottom"/>
          </w:tcPr>
          <w:p>
            <w:pPr>
              <w:spacing w:after="0"/>
              <w:rPr>
                <w:sz w:val="12"/>
                <w:szCs w:val="12"/>
                <w:color w:val="auto"/>
              </w:rPr>
            </w:pPr>
          </w:p>
        </w:tc>
        <w:tc>
          <w:tcPr>
            <w:tcW w:w="620" w:type="dxa"/>
            <w:vAlign w:val="bottom"/>
          </w:tcPr>
          <w:p>
            <w:pPr>
              <w:jc w:val="right"/>
              <w:ind w:right="237"/>
              <w:spacing w:after="0" w:line="143" w:lineRule="exact"/>
              <w:rPr>
                <w:sz w:val="20"/>
                <w:szCs w:val="20"/>
                <w:color w:val="auto"/>
              </w:rPr>
            </w:pPr>
            <w:r>
              <w:rPr>
                <w:rFonts w:ascii="Arial" w:cs="Arial" w:eastAsia="Arial" w:hAnsi="Arial"/>
                <w:sz w:val="13"/>
                <w:szCs w:val="13"/>
                <w:color w:val="auto"/>
                <w:w w:val="92"/>
              </w:rPr>
              <w:t>17.75</w:t>
            </w:r>
          </w:p>
        </w:tc>
        <w:tc>
          <w:tcPr>
            <w:tcW w:w="260" w:type="dxa"/>
            <w:vAlign w:val="bottom"/>
          </w:tcPr>
          <w:p>
            <w:pPr>
              <w:spacing w:after="0"/>
              <w:rPr>
                <w:sz w:val="12"/>
                <w:szCs w:val="12"/>
                <w:color w:val="auto"/>
              </w:rPr>
            </w:pPr>
          </w:p>
        </w:tc>
        <w:tc>
          <w:tcPr>
            <w:tcW w:w="600" w:type="dxa"/>
            <w:vAlign w:val="bottom"/>
          </w:tcPr>
          <w:p>
            <w:pPr>
              <w:jc w:val="right"/>
              <w:ind w:right="217"/>
              <w:spacing w:after="0" w:line="143" w:lineRule="exact"/>
              <w:rPr>
                <w:sz w:val="20"/>
                <w:szCs w:val="20"/>
                <w:color w:val="auto"/>
              </w:rPr>
            </w:pPr>
            <w:r>
              <w:rPr>
                <w:rFonts w:ascii="Arial" w:cs="Arial" w:eastAsia="Arial" w:hAnsi="Arial"/>
                <w:sz w:val="13"/>
                <w:szCs w:val="13"/>
                <w:color w:val="auto"/>
                <w:w w:val="92"/>
              </w:rPr>
              <w:t>17.05</w:t>
            </w:r>
          </w:p>
        </w:tc>
        <w:tc>
          <w:tcPr>
            <w:tcW w:w="360" w:type="dxa"/>
            <w:vAlign w:val="bottom"/>
          </w:tcPr>
          <w:p>
            <w:pPr>
              <w:spacing w:after="0"/>
              <w:rPr>
                <w:sz w:val="12"/>
                <w:szCs w:val="12"/>
                <w:color w:val="auto"/>
              </w:rPr>
            </w:pPr>
          </w:p>
        </w:tc>
        <w:tc>
          <w:tcPr>
            <w:tcW w:w="660" w:type="dxa"/>
            <w:vAlign w:val="bottom"/>
          </w:tcPr>
          <w:p>
            <w:pPr>
              <w:jc w:val="right"/>
              <w:ind w:right="277"/>
              <w:spacing w:after="0" w:line="143" w:lineRule="exact"/>
              <w:rPr>
                <w:sz w:val="20"/>
                <w:szCs w:val="20"/>
                <w:color w:val="auto"/>
              </w:rPr>
            </w:pPr>
            <w:r>
              <w:rPr>
                <w:rFonts w:ascii="Arial" w:cs="Arial" w:eastAsia="Arial" w:hAnsi="Arial"/>
                <w:sz w:val="13"/>
                <w:szCs w:val="13"/>
                <w:color w:val="auto"/>
                <w:w w:val="92"/>
              </w:rPr>
              <w:t>16.37</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57"/>
              <w:spacing w:after="0" w:line="143" w:lineRule="exact"/>
              <w:rPr>
                <w:sz w:val="20"/>
                <w:szCs w:val="20"/>
                <w:color w:val="auto"/>
              </w:rPr>
            </w:pPr>
            <w:r>
              <w:rPr>
                <w:rFonts w:ascii="Arial" w:cs="Arial" w:eastAsia="Arial" w:hAnsi="Arial"/>
                <w:sz w:val="13"/>
                <w:szCs w:val="13"/>
                <w:color w:val="auto"/>
                <w:w w:val="92"/>
              </w:rPr>
              <w:t>20.49</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0%</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Reliability – Repeating 200% Circuits –</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Houston</w:t>
            </w:r>
          </w:p>
        </w:tc>
        <w:tc>
          <w:tcPr>
            <w:tcW w:w="360" w:type="dxa"/>
            <w:vAlign w:val="bottom"/>
          </w:tcPr>
          <w:p>
            <w:pPr>
              <w:spacing w:after="0"/>
              <w:rPr>
                <w:sz w:val="12"/>
                <w:szCs w:val="12"/>
                <w:color w:val="auto"/>
              </w:rPr>
            </w:pPr>
          </w:p>
        </w:tc>
        <w:tc>
          <w:tcPr>
            <w:tcW w:w="62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4</w:t>
            </w:r>
          </w:p>
        </w:tc>
        <w:tc>
          <w:tcPr>
            <w:tcW w:w="260" w:type="dxa"/>
            <w:vAlign w:val="bottom"/>
          </w:tcPr>
          <w:p>
            <w:pPr>
              <w:spacing w:after="0"/>
              <w:rPr>
                <w:sz w:val="12"/>
                <w:szCs w:val="12"/>
                <w:color w:val="auto"/>
              </w:rPr>
            </w:pPr>
          </w:p>
        </w:tc>
        <w:tc>
          <w:tcPr>
            <w:tcW w:w="60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2</w:t>
            </w:r>
          </w:p>
        </w:tc>
        <w:tc>
          <w:tcPr>
            <w:tcW w:w="360" w:type="dxa"/>
            <w:vAlign w:val="bottom"/>
          </w:tcPr>
          <w:p>
            <w:pPr>
              <w:spacing w:after="0"/>
              <w:rPr>
                <w:sz w:val="12"/>
                <w:szCs w:val="12"/>
                <w:color w:val="auto"/>
              </w:rPr>
            </w:pPr>
          </w:p>
        </w:tc>
        <w:tc>
          <w:tcPr>
            <w:tcW w:w="66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57"/>
              <w:spacing w:after="0" w:line="143" w:lineRule="exact"/>
              <w:rPr>
                <w:sz w:val="20"/>
                <w:szCs w:val="20"/>
                <w:color w:val="auto"/>
              </w:rPr>
            </w:pPr>
            <w:r>
              <w:rPr>
                <w:rFonts w:ascii="Arial" w:cs="Arial" w:eastAsia="Arial" w:hAnsi="Arial"/>
                <w:sz w:val="13"/>
                <w:szCs w:val="13"/>
                <w:color w:val="auto"/>
              </w:rPr>
              <w:t>4</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50%</w:t>
            </w:r>
          </w:p>
        </w:tc>
        <w:tc>
          <w:tcPr>
            <w:tcW w:w="10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Electric Operations</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Indiana and Ohio Perception Surveys</w:t>
            </w:r>
          </w:p>
        </w:tc>
        <w:tc>
          <w:tcPr>
            <w:tcW w:w="360" w:type="dxa"/>
            <w:vAlign w:val="bottom"/>
          </w:tcPr>
          <w:p>
            <w:pPr>
              <w:spacing w:after="0"/>
              <w:rPr>
                <w:sz w:val="12"/>
                <w:szCs w:val="12"/>
                <w:color w:val="auto"/>
              </w:rPr>
            </w:pPr>
          </w:p>
        </w:tc>
        <w:tc>
          <w:tcPr>
            <w:tcW w:w="62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70.3%</w:t>
            </w:r>
          </w:p>
        </w:tc>
        <w:tc>
          <w:tcPr>
            <w:tcW w:w="260" w:type="dxa"/>
            <w:vAlign w:val="bottom"/>
          </w:tcPr>
          <w:p>
            <w:pPr>
              <w:spacing w:after="0"/>
              <w:rPr>
                <w:sz w:val="12"/>
                <w:szCs w:val="12"/>
                <w:color w:val="auto"/>
              </w:rPr>
            </w:pPr>
          </w:p>
        </w:tc>
        <w:tc>
          <w:tcPr>
            <w:tcW w:w="6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74.3%</w:t>
            </w:r>
          </w:p>
        </w:tc>
        <w:tc>
          <w:tcPr>
            <w:tcW w:w="360" w:type="dxa"/>
            <w:vAlign w:val="bottom"/>
          </w:tcPr>
          <w:p>
            <w:pPr>
              <w:spacing w:after="0"/>
              <w:rPr>
                <w:sz w:val="12"/>
                <w:szCs w:val="12"/>
                <w:color w:val="auto"/>
              </w:rPr>
            </w:pPr>
          </w:p>
        </w:tc>
        <w:tc>
          <w:tcPr>
            <w:tcW w:w="660" w:type="dxa"/>
            <w:vAlign w:val="bottom"/>
          </w:tcPr>
          <w:p>
            <w:pPr>
              <w:jc w:val="right"/>
              <w:ind w:right="157"/>
              <w:spacing w:after="0" w:line="143" w:lineRule="exact"/>
              <w:rPr>
                <w:sz w:val="20"/>
                <w:szCs w:val="20"/>
                <w:color w:val="auto"/>
              </w:rPr>
            </w:pPr>
            <w:r>
              <w:rPr>
                <w:rFonts w:ascii="Arial" w:cs="Arial" w:eastAsia="Arial" w:hAnsi="Arial"/>
                <w:sz w:val="13"/>
                <w:szCs w:val="13"/>
                <w:color w:val="auto"/>
              </w:rPr>
              <w:t>78.3%</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72.7%</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80%</w:t>
            </w:r>
          </w:p>
        </w:tc>
        <w:tc>
          <w:tcPr>
            <w:tcW w:w="10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39"/>
        </w:trPr>
        <w:tc>
          <w:tcPr>
            <w:tcW w:w="2820" w:type="dxa"/>
            <w:vAlign w:val="bottom"/>
          </w:tcPr>
          <w:p>
            <w:pPr>
              <w:jc w:val="right"/>
              <w:ind w:right="97"/>
              <w:spacing w:after="0" w:line="139" w:lineRule="exact"/>
              <w:rPr>
                <w:sz w:val="20"/>
                <w:szCs w:val="20"/>
                <w:color w:val="auto"/>
              </w:rPr>
            </w:pPr>
            <w:r>
              <w:rPr>
                <w:rFonts w:ascii="Arial" w:cs="Arial" w:eastAsia="Arial" w:hAnsi="Arial"/>
                <w:sz w:val="13"/>
                <w:szCs w:val="13"/>
                <w:color w:val="auto"/>
              </w:rPr>
              <w:t>Indiana and Ohio Contact Surveys</w:t>
            </w:r>
          </w:p>
        </w:tc>
        <w:tc>
          <w:tcPr>
            <w:tcW w:w="360" w:type="dxa"/>
            <w:vAlign w:val="bottom"/>
          </w:tcPr>
          <w:p>
            <w:pPr>
              <w:spacing w:after="0"/>
              <w:rPr>
                <w:sz w:val="12"/>
                <w:szCs w:val="12"/>
                <w:color w:val="auto"/>
              </w:rPr>
            </w:pPr>
          </w:p>
        </w:tc>
        <w:tc>
          <w:tcPr>
            <w:tcW w:w="620" w:type="dxa"/>
            <w:vAlign w:val="bottom"/>
          </w:tcPr>
          <w:p>
            <w:pPr>
              <w:jc w:val="right"/>
              <w:ind w:right="137"/>
              <w:spacing w:after="0" w:line="139" w:lineRule="exact"/>
              <w:rPr>
                <w:sz w:val="20"/>
                <w:szCs w:val="20"/>
                <w:color w:val="auto"/>
              </w:rPr>
            </w:pPr>
            <w:r>
              <w:rPr>
                <w:rFonts w:ascii="Arial" w:cs="Arial" w:eastAsia="Arial" w:hAnsi="Arial"/>
                <w:sz w:val="13"/>
                <w:szCs w:val="13"/>
                <w:color w:val="auto"/>
              </w:rPr>
              <w:t>75.2%</w:t>
            </w:r>
          </w:p>
        </w:tc>
        <w:tc>
          <w:tcPr>
            <w:tcW w:w="260" w:type="dxa"/>
            <w:vAlign w:val="bottom"/>
          </w:tcPr>
          <w:p>
            <w:pPr>
              <w:spacing w:after="0"/>
              <w:rPr>
                <w:sz w:val="12"/>
                <w:szCs w:val="12"/>
                <w:color w:val="auto"/>
              </w:rPr>
            </w:pPr>
          </w:p>
        </w:tc>
        <w:tc>
          <w:tcPr>
            <w:tcW w:w="600" w:type="dxa"/>
            <w:vAlign w:val="bottom"/>
          </w:tcPr>
          <w:p>
            <w:pPr>
              <w:jc w:val="right"/>
              <w:ind w:right="117"/>
              <w:spacing w:after="0" w:line="139" w:lineRule="exact"/>
              <w:rPr>
                <w:sz w:val="20"/>
                <w:szCs w:val="20"/>
                <w:color w:val="auto"/>
              </w:rPr>
            </w:pPr>
            <w:r>
              <w:rPr>
                <w:rFonts w:ascii="Arial" w:cs="Arial" w:eastAsia="Arial" w:hAnsi="Arial"/>
                <w:sz w:val="13"/>
                <w:szCs w:val="13"/>
                <w:color w:val="auto"/>
              </w:rPr>
              <w:t>79.2%</w:t>
            </w:r>
          </w:p>
        </w:tc>
        <w:tc>
          <w:tcPr>
            <w:tcW w:w="360" w:type="dxa"/>
            <w:vAlign w:val="bottom"/>
          </w:tcPr>
          <w:p>
            <w:pPr>
              <w:spacing w:after="0"/>
              <w:rPr>
                <w:sz w:val="12"/>
                <w:szCs w:val="12"/>
                <w:color w:val="auto"/>
              </w:rPr>
            </w:pPr>
          </w:p>
        </w:tc>
        <w:tc>
          <w:tcPr>
            <w:tcW w:w="660" w:type="dxa"/>
            <w:vAlign w:val="bottom"/>
          </w:tcPr>
          <w:p>
            <w:pPr>
              <w:jc w:val="right"/>
              <w:ind w:right="157"/>
              <w:spacing w:after="0" w:line="139" w:lineRule="exact"/>
              <w:rPr>
                <w:sz w:val="20"/>
                <w:szCs w:val="20"/>
                <w:color w:val="auto"/>
              </w:rPr>
            </w:pPr>
            <w:r>
              <w:rPr>
                <w:rFonts w:ascii="Arial" w:cs="Arial" w:eastAsia="Arial" w:hAnsi="Arial"/>
                <w:sz w:val="13"/>
                <w:szCs w:val="13"/>
                <w:color w:val="auto"/>
              </w:rPr>
              <w:t>83.2%</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57"/>
              <w:spacing w:after="0" w:line="139" w:lineRule="exact"/>
              <w:rPr>
                <w:sz w:val="20"/>
                <w:szCs w:val="20"/>
                <w:color w:val="auto"/>
              </w:rPr>
            </w:pPr>
            <w:r>
              <w:rPr>
                <w:rFonts w:ascii="Arial" w:cs="Arial" w:eastAsia="Arial" w:hAnsi="Arial"/>
                <w:sz w:val="13"/>
                <w:szCs w:val="13"/>
                <w:color w:val="auto"/>
              </w:rPr>
              <w:t>80.1%</w:t>
            </w:r>
          </w:p>
        </w:tc>
        <w:tc>
          <w:tcPr>
            <w:tcW w:w="1120" w:type="dxa"/>
            <w:vAlign w:val="bottom"/>
          </w:tcPr>
          <w:p>
            <w:pPr>
              <w:jc w:val="right"/>
              <w:ind w:right="297"/>
              <w:spacing w:after="0" w:line="139" w:lineRule="exact"/>
              <w:rPr>
                <w:sz w:val="20"/>
                <w:szCs w:val="20"/>
                <w:color w:val="auto"/>
              </w:rPr>
            </w:pPr>
            <w:r>
              <w:rPr>
                <w:rFonts w:ascii="Arial" w:cs="Arial" w:eastAsia="Arial" w:hAnsi="Arial"/>
                <w:sz w:val="13"/>
                <w:szCs w:val="13"/>
                <w:color w:val="auto"/>
              </w:rPr>
              <w:t>111%</w:t>
            </w:r>
          </w:p>
        </w:tc>
        <w:tc>
          <w:tcPr>
            <w:tcW w:w="1000" w:type="dxa"/>
            <w:vAlign w:val="bottom"/>
          </w:tcPr>
          <w:p>
            <w:pPr>
              <w:jc w:val="right"/>
              <w:ind w:right="117"/>
              <w:spacing w:after="0" w:line="139"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3"/>
        </w:trPr>
        <w:tc>
          <w:tcPr>
            <w:tcW w:w="28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b w:val="1"/>
                <w:bCs w:val="1"/>
                <w:color w:val="auto"/>
              </w:rPr>
              <w:t>Safety Composite**</w:t>
            </w:r>
          </w:p>
        </w:tc>
        <w:tc>
          <w:tcPr>
            <w:tcW w:w="360" w:type="dxa"/>
            <w:vAlign w:val="bottom"/>
            <w:shd w:val="clear" w:color="auto" w:fill="D8E7F3"/>
          </w:tcPr>
          <w:p>
            <w:pPr>
              <w:spacing w:after="0"/>
              <w:rPr>
                <w:sz w:val="12"/>
                <w:szCs w:val="12"/>
                <w:color w:val="auto"/>
              </w:rPr>
            </w:pPr>
          </w:p>
        </w:tc>
        <w:tc>
          <w:tcPr>
            <w:tcW w:w="620" w:type="dxa"/>
            <w:vAlign w:val="bottom"/>
            <w:shd w:val="clear" w:color="auto" w:fill="D8E7F3"/>
          </w:tcPr>
          <w:p>
            <w:pPr>
              <w:spacing w:after="0"/>
              <w:rPr>
                <w:sz w:val="12"/>
                <w:szCs w:val="12"/>
                <w:color w:val="auto"/>
              </w:rPr>
            </w:pPr>
          </w:p>
        </w:tc>
        <w:tc>
          <w:tcPr>
            <w:tcW w:w="260" w:type="dxa"/>
            <w:vAlign w:val="bottom"/>
            <w:shd w:val="clear" w:color="auto" w:fill="D8E7F3"/>
          </w:tcPr>
          <w:p>
            <w:pPr>
              <w:spacing w:after="0"/>
              <w:rPr>
                <w:sz w:val="12"/>
                <w:szCs w:val="12"/>
                <w:color w:val="auto"/>
              </w:rPr>
            </w:pPr>
          </w:p>
        </w:tc>
        <w:tc>
          <w:tcPr>
            <w:tcW w:w="600" w:type="dxa"/>
            <w:vAlign w:val="bottom"/>
            <w:shd w:val="clear" w:color="auto" w:fill="D8E7F3"/>
          </w:tcPr>
          <w:p>
            <w:pPr>
              <w:spacing w:after="0"/>
              <w:rPr>
                <w:sz w:val="12"/>
                <w:szCs w:val="12"/>
                <w:color w:val="auto"/>
              </w:rPr>
            </w:pPr>
          </w:p>
        </w:tc>
        <w:tc>
          <w:tcPr>
            <w:tcW w:w="36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280" w:type="dxa"/>
            <w:vAlign w:val="bottom"/>
            <w:shd w:val="clear" w:color="auto" w:fill="D8E7F3"/>
          </w:tcPr>
          <w:p>
            <w:pPr>
              <w:spacing w:after="0"/>
              <w:rPr>
                <w:sz w:val="12"/>
                <w:szCs w:val="12"/>
                <w:color w:val="auto"/>
              </w:rPr>
            </w:pPr>
          </w:p>
        </w:tc>
        <w:tc>
          <w:tcPr>
            <w:tcW w:w="540" w:type="dxa"/>
            <w:vAlign w:val="bottom"/>
            <w:shd w:val="clear" w:color="auto" w:fill="D8E7F3"/>
          </w:tcPr>
          <w:p>
            <w:pPr>
              <w:spacing w:after="0"/>
              <w:rPr>
                <w:sz w:val="12"/>
                <w:szCs w:val="12"/>
                <w:color w:val="auto"/>
              </w:rPr>
            </w:pPr>
          </w:p>
        </w:tc>
        <w:tc>
          <w:tcPr>
            <w:tcW w:w="112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24%</w:t>
            </w:r>
          </w:p>
        </w:tc>
        <w:tc>
          <w:tcPr>
            <w:tcW w:w="100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7"/>
        </w:trPr>
        <w:tc>
          <w:tcPr>
            <w:tcW w:w="2820" w:type="dxa"/>
            <w:vAlign w:val="bottom"/>
          </w:tcPr>
          <w:p>
            <w:pPr>
              <w:jc w:val="right"/>
              <w:ind w:right="97"/>
              <w:spacing w:after="0" w:line="147" w:lineRule="exact"/>
              <w:rPr>
                <w:sz w:val="20"/>
                <w:szCs w:val="20"/>
                <w:color w:val="auto"/>
              </w:rPr>
            </w:pPr>
            <w:r>
              <w:rPr>
                <w:rFonts w:ascii="Arial" w:cs="Arial" w:eastAsia="Arial" w:hAnsi="Arial"/>
                <w:sz w:val="13"/>
                <w:szCs w:val="13"/>
                <w:color w:val="auto"/>
              </w:rPr>
              <w:t>Days Away, Restricted or Transferred</w:t>
            </w:r>
          </w:p>
        </w:tc>
        <w:tc>
          <w:tcPr>
            <w:tcW w:w="360" w:type="dxa"/>
            <w:vAlign w:val="bottom"/>
          </w:tcPr>
          <w:p>
            <w:pPr>
              <w:spacing w:after="0"/>
              <w:rPr>
                <w:sz w:val="12"/>
                <w:szCs w:val="12"/>
                <w:color w:val="auto"/>
              </w:rPr>
            </w:pPr>
          </w:p>
        </w:tc>
        <w:tc>
          <w:tcPr>
            <w:tcW w:w="620" w:type="dxa"/>
            <w:vAlign w:val="bottom"/>
          </w:tcPr>
          <w:p>
            <w:pPr>
              <w:jc w:val="right"/>
              <w:ind w:right="237"/>
              <w:spacing w:after="0" w:line="147" w:lineRule="exact"/>
              <w:rPr>
                <w:sz w:val="20"/>
                <w:szCs w:val="20"/>
                <w:color w:val="auto"/>
              </w:rPr>
            </w:pPr>
            <w:r>
              <w:rPr>
                <w:rFonts w:ascii="Arial" w:cs="Arial" w:eastAsia="Arial" w:hAnsi="Arial"/>
                <w:sz w:val="13"/>
                <w:szCs w:val="13"/>
                <w:color w:val="auto"/>
              </w:rPr>
              <w:t>1.00</w:t>
            </w:r>
          </w:p>
        </w:tc>
        <w:tc>
          <w:tcPr>
            <w:tcW w:w="260" w:type="dxa"/>
            <w:vAlign w:val="bottom"/>
          </w:tcPr>
          <w:p>
            <w:pPr>
              <w:spacing w:after="0"/>
              <w:rPr>
                <w:sz w:val="12"/>
                <w:szCs w:val="12"/>
                <w:color w:val="auto"/>
              </w:rPr>
            </w:pPr>
          </w:p>
        </w:tc>
        <w:tc>
          <w:tcPr>
            <w:tcW w:w="600" w:type="dxa"/>
            <w:vAlign w:val="bottom"/>
          </w:tcPr>
          <w:p>
            <w:pPr>
              <w:jc w:val="right"/>
              <w:ind w:right="217"/>
              <w:spacing w:after="0" w:line="147" w:lineRule="exact"/>
              <w:rPr>
                <w:sz w:val="20"/>
                <w:szCs w:val="20"/>
                <w:color w:val="auto"/>
              </w:rPr>
            </w:pPr>
            <w:r>
              <w:rPr>
                <w:rFonts w:ascii="Arial" w:cs="Arial" w:eastAsia="Arial" w:hAnsi="Arial"/>
                <w:sz w:val="13"/>
                <w:szCs w:val="13"/>
                <w:color w:val="auto"/>
              </w:rPr>
              <w:t>0.75</w:t>
            </w:r>
          </w:p>
        </w:tc>
        <w:tc>
          <w:tcPr>
            <w:tcW w:w="360" w:type="dxa"/>
            <w:vAlign w:val="bottom"/>
          </w:tcPr>
          <w:p>
            <w:pPr>
              <w:spacing w:after="0"/>
              <w:rPr>
                <w:sz w:val="12"/>
                <w:szCs w:val="12"/>
                <w:color w:val="auto"/>
              </w:rPr>
            </w:pPr>
          </w:p>
        </w:tc>
        <w:tc>
          <w:tcPr>
            <w:tcW w:w="660" w:type="dxa"/>
            <w:vAlign w:val="bottom"/>
          </w:tcPr>
          <w:p>
            <w:pPr>
              <w:jc w:val="right"/>
              <w:ind w:right="277"/>
              <w:spacing w:after="0" w:line="147" w:lineRule="exact"/>
              <w:rPr>
                <w:sz w:val="20"/>
                <w:szCs w:val="20"/>
                <w:color w:val="auto"/>
              </w:rPr>
            </w:pPr>
            <w:r>
              <w:rPr>
                <w:rFonts w:ascii="Arial" w:cs="Arial" w:eastAsia="Arial" w:hAnsi="Arial"/>
                <w:sz w:val="13"/>
                <w:szCs w:val="13"/>
                <w:color w:val="auto"/>
              </w:rPr>
              <w:t>0.50</w:t>
            </w:r>
          </w:p>
        </w:tc>
        <w:tc>
          <w:tcPr>
            <w:tcW w:w="440" w:type="dxa"/>
            <w:vAlign w:val="bottom"/>
          </w:tcPr>
          <w:p>
            <w:pPr>
              <w:spacing w:after="0"/>
              <w:rPr>
                <w:sz w:val="12"/>
                <w:szCs w:val="12"/>
                <w:color w:val="auto"/>
              </w:rPr>
            </w:pPr>
          </w:p>
        </w:tc>
        <w:tc>
          <w:tcPr>
            <w:tcW w:w="66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N/A</w:t>
            </w:r>
          </w:p>
        </w:tc>
        <w:tc>
          <w:tcPr>
            <w:tcW w:w="280" w:type="dxa"/>
            <w:vAlign w:val="bottom"/>
          </w:tcPr>
          <w:p>
            <w:pPr>
              <w:spacing w:after="0"/>
              <w:rPr>
                <w:sz w:val="12"/>
                <w:szCs w:val="12"/>
                <w:color w:val="auto"/>
              </w:rPr>
            </w:pPr>
          </w:p>
        </w:tc>
        <w:tc>
          <w:tcPr>
            <w:tcW w:w="540" w:type="dxa"/>
            <w:vAlign w:val="bottom"/>
          </w:tcPr>
          <w:p>
            <w:pPr>
              <w:jc w:val="right"/>
              <w:ind w:right="157"/>
              <w:spacing w:after="0" w:line="147" w:lineRule="exact"/>
              <w:rPr>
                <w:sz w:val="20"/>
                <w:szCs w:val="20"/>
                <w:color w:val="auto"/>
              </w:rPr>
            </w:pPr>
            <w:r>
              <w:rPr>
                <w:rFonts w:ascii="Arial" w:cs="Arial" w:eastAsia="Arial" w:hAnsi="Arial"/>
                <w:sz w:val="13"/>
                <w:szCs w:val="13"/>
                <w:color w:val="auto"/>
              </w:rPr>
              <w:t>0.98</w:t>
            </w:r>
          </w:p>
        </w:tc>
        <w:tc>
          <w:tcPr>
            <w:tcW w:w="1120" w:type="dxa"/>
            <w:vAlign w:val="bottom"/>
          </w:tcPr>
          <w:p>
            <w:pPr>
              <w:jc w:val="right"/>
              <w:ind w:right="297"/>
              <w:spacing w:after="0" w:line="147" w:lineRule="exact"/>
              <w:rPr>
                <w:sz w:val="20"/>
                <w:szCs w:val="20"/>
                <w:color w:val="auto"/>
              </w:rPr>
            </w:pPr>
            <w:r>
              <w:rPr>
                <w:rFonts w:ascii="Arial" w:cs="Arial" w:eastAsia="Arial" w:hAnsi="Arial"/>
                <w:sz w:val="13"/>
                <w:szCs w:val="13"/>
                <w:color w:val="auto"/>
              </w:rPr>
              <w:t>54%</w:t>
            </w:r>
          </w:p>
        </w:tc>
        <w:tc>
          <w:tcPr>
            <w:tcW w:w="1000" w:type="dxa"/>
            <w:vAlign w:val="bottom"/>
          </w:tcPr>
          <w:p>
            <w:pPr>
              <w:jc w:val="right"/>
              <w:ind w:right="117"/>
              <w:spacing w:after="0" w:line="147"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3"/>
        </w:trPr>
        <w:tc>
          <w:tcPr>
            <w:tcW w:w="28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Leadership Safety Engagement Rate</w:t>
            </w:r>
          </w:p>
        </w:tc>
        <w:tc>
          <w:tcPr>
            <w:tcW w:w="360" w:type="dxa"/>
            <w:vAlign w:val="bottom"/>
          </w:tcPr>
          <w:p>
            <w:pPr>
              <w:spacing w:after="0"/>
              <w:rPr>
                <w:sz w:val="12"/>
                <w:szCs w:val="12"/>
                <w:color w:val="auto"/>
              </w:rPr>
            </w:pPr>
          </w:p>
        </w:tc>
        <w:tc>
          <w:tcPr>
            <w:tcW w:w="62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61.2%</w:t>
            </w:r>
          </w:p>
        </w:tc>
        <w:tc>
          <w:tcPr>
            <w:tcW w:w="260" w:type="dxa"/>
            <w:vAlign w:val="bottom"/>
          </w:tcPr>
          <w:p>
            <w:pPr>
              <w:spacing w:after="0"/>
              <w:rPr>
                <w:sz w:val="12"/>
                <w:szCs w:val="12"/>
                <w:color w:val="auto"/>
              </w:rPr>
            </w:pPr>
          </w:p>
        </w:tc>
        <w:tc>
          <w:tcPr>
            <w:tcW w:w="6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67.3%</w:t>
            </w:r>
          </w:p>
        </w:tc>
        <w:tc>
          <w:tcPr>
            <w:tcW w:w="360" w:type="dxa"/>
            <w:vAlign w:val="bottom"/>
          </w:tcPr>
          <w:p>
            <w:pPr>
              <w:spacing w:after="0"/>
              <w:rPr>
                <w:sz w:val="12"/>
                <w:szCs w:val="12"/>
                <w:color w:val="auto"/>
              </w:rPr>
            </w:pPr>
          </w:p>
        </w:tc>
        <w:tc>
          <w:tcPr>
            <w:tcW w:w="660" w:type="dxa"/>
            <w:vAlign w:val="bottom"/>
          </w:tcPr>
          <w:p>
            <w:pPr>
              <w:jc w:val="right"/>
              <w:ind w:right="157"/>
              <w:spacing w:after="0" w:line="143" w:lineRule="exact"/>
              <w:rPr>
                <w:sz w:val="20"/>
                <w:szCs w:val="20"/>
                <w:color w:val="auto"/>
              </w:rPr>
            </w:pPr>
            <w:r>
              <w:rPr>
                <w:rFonts w:ascii="Arial" w:cs="Arial" w:eastAsia="Arial" w:hAnsi="Arial"/>
                <w:sz w:val="13"/>
                <w:szCs w:val="13"/>
                <w:color w:val="auto"/>
              </w:rPr>
              <w:t>73.4%</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67.9%</w:t>
            </w:r>
          </w:p>
        </w:tc>
        <w:tc>
          <w:tcPr>
            <w:tcW w:w="112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105%</w:t>
            </w:r>
          </w:p>
        </w:tc>
        <w:tc>
          <w:tcPr>
            <w:tcW w:w="10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9"/>
        </w:trPr>
        <w:tc>
          <w:tcPr>
            <w:tcW w:w="2820" w:type="dxa"/>
            <w:vAlign w:val="bottom"/>
          </w:tcPr>
          <w:p>
            <w:pPr>
              <w:jc w:val="right"/>
              <w:ind w:right="97"/>
              <w:spacing w:after="0" w:line="139" w:lineRule="exact"/>
              <w:rPr>
                <w:sz w:val="20"/>
                <w:szCs w:val="20"/>
                <w:color w:val="auto"/>
              </w:rPr>
            </w:pPr>
            <w:r>
              <w:rPr>
                <w:rFonts w:ascii="Arial" w:cs="Arial" w:eastAsia="Arial" w:hAnsi="Arial"/>
                <w:sz w:val="13"/>
                <w:szCs w:val="13"/>
                <w:color w:val="auto"/>
              </w:rPr>
              <w:t>Preventable Vehicle Collison Incident Rate</w:t>
            </w:r>
          </w:p>
        </w:tc>
        <w:tc>
          <w:tcPr>
            <w:tcW w:w="360" w:type="dxa"/>
            <w:vAlign w:val="bottom"/>
          </w:tcPr>
          <w:p>
            <w:pPr>
              <w:spacing w:after="0"/>
              <w:rPr>
                <w:sz w:val="12"/>
                <w:szCs w:val="12"/>
                <w:color w:val="auto"/>
              </w:rPr>
            </w:pPr>
          </w:p>
        </w:tc>
        <w:tc>
          <w:tcPr>
            <w:tcW w:w="620" w:type="dxa"/>
            <w:vAlign w:val="bottom"/>
          </w:tcPr>
          <w:p>
            <w:pPr>
              <w:jc w:val="right"/>
              <w:ind w:right="237"/>
              <w:spacing w:after="0" w:line="139" w:lineRule="exact"/>
              <w:rPr>
                <w:sz w:val="20"/>
                <w:szCs w:val="20"/>
                <w:color w:val="auto"/>
              </w:rPr>
            </w:pPr>
            <w:r>
              <w:rPr>
                <w:rFonts w:ascii="Arial" w:cs="Arial" w:eastAsia="Arial" w:hAnsi="Arial"/>
                <w:sz w:val="13"/>
                <w:szCs w:val="13"/>
                <w:color w:val="auto"/>
              </w:rPr>
              <w:t>1.90</w:t>
            </w:r>
          </w:p>
        </w:tc>
        <w:tc>
          <w:tcPr>
            <w:tcW w:w="260" w:type="dxa"/>
            <w:vAlign w:val="bottom"/>
          </w:tcPr>
          <w:p>
            <w:pPr>
              <w:spacing w:after="0"/>
              <w:rPr>
                <w:sz w:val="12"/>
                <w:szCs w:val="12"/>
                <w:color w:val="auto"/>
              </w:rPr>
            </w:pPr>
          </w:p>
        </w:tc>
        <w:tc>
          <w:tcPr>
            <w:tcW w:w="600" w:type="dxa"/>
            <w:vAlign w:val="bottom"/>
          </w:tcPr>
          <w:p>
            <w:pPr>
              <w:jc w:val="right"/>
              <w:ind w:right="217"/>
              <w:spacing w:after="0" w:line="139" w:lineRule="exact"/>
              <w:rPr>
                <w:sz w:val="20"/>
                <w:szCs w:val="20"/>
                <w:color w:val="auto"/>
              </w:rPr>
            </w:pPr>
            <w:r>
              <w:rPr>
                <w:rFonts w:ascii="Arial" w:cs="Arial" w:eastAsia="Arial" w:hAnsi="Arial"/>
                <w:sz w:val="13"/>
                <w:szCs w:val="13"/>
                <w:color w:val="auto"/>
              </w:rPr>
              <w:t>1.81</w:t>
            </w:r>
          </w:p>
        </w:tc>
        <w:tc>
          <w:tcPr>
            <w:tcW w:w="360" w:type="dxa"/>
            <w:vAlign w:val="bottom"/>
          </w:tcPr>
          <w:p>
            <w:pPr>
              <w:spacing w:after="0"/>
              <w:rPr>
                <w:sz w:val="12"/>
                <w:szCs w:val="12"/>
                <w:color w:val="auto"/>
              </w:rPr>
            </w:pPr>
          </w:p>
        </w:tc>
        <w:tc>
          <w:tcPr>
            <w:tcW w:w="660" w:type="dxa"/>
            <w:vAlign w:val="bottom"/>
          </w:tcPr>
          <w:p>
            <w:pPr>
              <w:jc w:val="right"/>
              <w:ind w:right="277"/>
              <w:spacing w:after="0" w:line="139" w:lineRule="exact"/>
              <w:rPr>
                <w:sz w:val="20"/>
                <w:szCs w:val="20"/>
                <w:color w:val="auto"/>
              </w:rPr>
            </w:pPr>
            <w:r>
              <w:rPr>
                <w:rFonts w:ascii="Arial" w:cs="Arial" w:eastAsia="Arial" w:hAnsi="Arial"/>
                <w:sz w:val="13"/>
                <w:szCs w:val="13"/>
                <w:color w:val="auto"/>
              </w:rPr>
              <w:t>1.71</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57"/>
              <w:spacing w:after="0" w:line="139" w:lineRule="exact"/>
              <w:rPr>
                <w:sz w:val="20"/>
                <w:szCs w:val="20"/>
                <w:color w:val="auto"/>
              </w:rPr>
            </w:pPr>
            <w:r>
              <w:rPr>
                <w:rFonts w:ascii="Arial" w:cs="Arial" w:eastAsia="Arial" w:hAnsi="Arial"/>
                <w:sz w:val="13"/>
                <w:szCs w:val="13"/>
                <w:color w:val="auto"/>
              </w:rPr>
              <w:t>2.11</w:t>
            </w:r>
          </w:p>
        </w:tc>
        <w:tc>
          <w:tcPr>
            <w:tcW w:w="1120" w:type="dxa"/>
            <w:vAlign w:val="bottom"/>
          </w:tcPr>
          <w:p>
            <w:pPr>
              <w:jc w:val="right"/>
              <w:ind w:right="297"/>
              <w:spacing w:after="0" w:line="139" w:lineRule="exact"/>
              <w:rPr>
                <w:sz w:val="20"/>
                <w:szCs w:val="20"/>
                <w:color w:val="auto"/>
              </w:rPr>
            </w:pPr>
            <w:r>
              <w:rPr>
                <w:rFonts w:ascii="Arial" w:cs="Arial" w:eastAsia="Arial" w:hAnsi="Arial"/>
                <w:sz w:val="13"/>
                <w:szCs w:val="13"/>
                <w:color w:val="auto"/>
              </w:rPr>
              <w:t>0%</w:t>
            </w:r>
          </w:p>
        </w:tc>
        <w:tc>
          <w:tcPr>
            <w:tcW w:w="1000" w:type="dxa"/>
            <w:vAlign w:val="bottom"/>
          </w:tcPr>
          <w:p>
            <w:pPr>
              <w:jc w:val="right"/>
              <w:ind w:right="117"/>
              <w:spacing w:after="0" w:line="139"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3"/>
        </w:trPr>
        <w:tc>
          <w:tcPr>
            <w:tcW w:w="28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b w:val="1"/>
                <w:bCs w:val="1"/>
                <w:color w:val="auto"/>
              </w:rPr>
              <w:t>Funded Achievement Level</w:t>
            </w:r>
          </w:p>
        </w:tc>
        <w:tc>
          <w:tcPr>
            <w:tcW w:w="360" w:type="dxa"/>
            <w:vAlign w:val="bottom"/>
            <w:shd w:val="clear" w:color="auto" w:fill="D8E7F3"/>
          </w:tcPr>
          <w:p>
            <w:pPr>
              <w:spacing w:after="0"/>
              <w:rPr>
                <w:sz w:val="12"/>
                <w:szCs w:val="12"/>
                <w:color w:val="auto"/>
              </w:rPr>
            </w:pPr>
          </w:p>
        </w:tc>
        <w:tc>
          <w:tcPr>
            <w:tcW w:w="620" w:type="dxa"/>
            <w:vAlign w:val="bottom"/>
            <w:shd w:val="clear" w:color="auto" w:fill="D8E7F3"/>
          </w:tcPr>
          <w:p>
            <w:pPr>
              <w:spacing w:after="0"/>
              <w:rPr>
                <w:sz w:val="12"/>
                <w:szCs w:val="12"/>
                <w:color w:val="auto"/>
              </w:rPr>
            </w:pPr>
          </w:p>
        </w:tc>
        <w:tc>
          <w:tcPr>
            <w:tcW w:w="260" w:type="dxa"/>
            <w:vAlign w:val="bottom"/>
            <w:shd w:val="clear" w:color="auto" w:fill="D8E7F3"/>
          </w:tcPr>
          <w:p>
            <w:pPr>
              <w:spacing w:after="0"/>
              <w:rPr>
                <w:sz w:val="12"/>
                <w:szCs w:val="12"/>
                <w:color w:val="auto"/>
              </w:rPr>
            </w:pPr>
          </w:p>
        </w:tc>
        <w:tc>
          <w:tcPr>
            <w:tcW w:w="600" w:type="dxa"/>
            <w:vAlign w:val="bottom"/>
            <w:shd w:val="clear" w:color="auto" w:fill="D8E7F3"/>
          </w:tcPr>
          <w:p>
            <w:pPr>
              <w:spacing w:after="0"/>
              <w:rPr>
                <w:sz w:val="12"/>
                <w:szCs w:val="12"/>
                <w:color w:val="auto"/>
              </w:rPr>
            </w:pPr>
          </w:p>
        </w:tc>
        <w:tc>
          <w:tcPr>
            <w:tcW w:w="36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280" w:type="dxa"/>
            <w:vAlign w:val="bottom"/>
            <w:shd w:val="clear" w:color="auto" w:fill="D8E7F3"/>
          </w:tcPr>
          <w:p>
            <w:pPr>
              <w:spacing w:after="0"/>
              <w:rPr>
                <w:sz w:val="12"/>
                <w:szCs w:val="12"/>
                <w:color w:val="auto"/>
              </w:rPr>
            </w:pPr>
          </w:p>
        </w:tc>
        <w:tc>
          <w:tcPr>
            <w:tcW w:w="540" w:type="dxa"/>
            <w:vAlign w:val="bottom"/>
            <w:shd w:val="clear" w:color="auto" w:fill="D8E7F3"/>
          </w:tcPr>
          <w:p>
            <w:pPr>
              <w:spacing w:after="0"/>
              <w:rPr>
                <w:sz w:val="12"/>
                <w:szCs w:val="12"/>
                <w:color w:val="auto"/>
              </w:rPr>
            </w:pPr>
          </w:p>
        </w:tc>
        <w:tc>
          <w:tcPr>
            <w:tcW w:w="112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b w:val="1"/>
                <w:bCs w:val="1"/>
                <w:color w:val="auto"/>
              </w:rPr>
              <w:t>146%</w:t>
            </w:r>
          </w:p>
        </w:tc>
        <w:tc>
          <w:tcPr>
            <w:tcW w:w="100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0" w:hanging="291"/>
        <w:spacing w:after="0"/>
        <w:tabs>
          <w:tab w:leader="none" w:pos="30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Operational measures are subject to a maximum performance level of 150%</w:t>
      </w:r>
    </w:p>
    <w:p>
      <w:pPr>
        <w:spacing w:after="0" w:line="53" w:lineRule="exact"/>
        <w:rPr>
          <w:sz w:val="20"/>
          <w:szCs w:val="20"/>
          <w:color w:val="auto"/>
        </w:rPr>
      </w:pPr>
    </w:p>
    <w:p>
      <w:pPr>
        <w:ind w:left="300" w:hanging="291"/>
        <w:spacing w:after="0"/>
        <w:tabs>
          <w:tab w:leader="none" w:pos="300"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As a result of a serious work-related incident, the Compensation Committee exercised its discretion to reduce the Safety Composite payouts by 50%.</w:t>
      </w:r>
    </w:p>
    <w:p>
      <w:pPr>
        <w:spacing w:after="0" w:line="22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1" w:name="page52"/>
    <w:bookmarkEnd w:id="5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Individual Short-Term Incentive Plan Awards for 2020 Performance</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Based on our level of achievement of the 2020 performance objectives at 146% and an assessment of each individual’s performance by the Compensation Committee, the 2020 short-term incentive awards for our senior executive officers, expressed as a percentage of their individual target awards,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shd w:val="clear" w:color="auto" w:fill="0061AF"/>
          </w:tcPr>
          <w:p>
            <w:pPr>
              <w:spacing w:after="0"/>
              <w:rPr>
                <w:sz w:val="13"/>
                <w:szCs w:val="13"/>
                <w:color w:val="auto"/>
              </w:rPr>
            </w:pPr>
          </w:p>
        </w:tc>
        <w:tc>
          <w:tcPr>
            <w:tcW w:w="5440" w:type="dxa"/>
            <w:vAlign w:val="bottom"/>
            <w:shd w:val="clear" w:color="auto" w:fill="0061AF"/>
          </w:tcPr>
          <w:p>
            <w:pPr>
              <w:ind w:left="2860"/>
              <w:spacing w:after="0"/>
              <w:rPr>
                <w:sz w:val="20"/>
                <w:szCs w:val="20"/>
                <w:color w:val="auto"/>
              </w:rPr>
            </w:pPr>
            <w:r>
              <w:rPr>
                <w:rFonts w:ascii="Arial" w:cs="Arial" w:eastAsia="Arial" w:hAnsi="Arial"/>
                <w:sz w:val="13"/>
                <w:szCs w:val="13"/>
                <w:b w:val="1"/>
                <w:bCs w:val="1"/>
                <w:color w:val="FFFFFF"/>
              </w:rPr>
              <w:t>2020 Short-term Incentive Achievement</w:t>
            </w:r>
          </w:p>
        </w:tc>
      </w:tr>
      <w:tr>
        <w:trPr>
          <w:trHeight w:val="167"/>
        </w:trPr>
        <w:tc>
          <w:tcPr>
            <w:tcW w:w="428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5440" w:type="dxa"/>
            <w:vAlign w:val="bottom"/>
            <w:shd w:val="clear" w:color="auto" w:fill="0061AF"/>
          </w:tcPr>
          <w:p>
            <w:pPr>
              <w:jc w:val="center"/>
              <w:ind w:left="2797"/>
              <w:spacing w:after="0"/>
              <w:rPr>
                <w:sz w:val="20"/>
                <w:szCs w:val="20"/>
                <w:color w:val="auto"/>
              </w:rPr>
            </w:pPr>
            <w:r>
              <w:rPr>
                <w:rFonts w:ascii="Arial" w:cs="Arial" w:eastAsia="Arial" w:hAnsi="Arial"/>
                <w:sz w:val="13"/>
                <w:szCs w:val="13"/>
                <w:b w:val="1"/>
                <w:bCs w:val="1"/>
                <w:color w:val="FFFFFF"/>
                <w:w w:val="97"/>
              </w:rPr>
              <w:t>(as a Percentage of Target)</w:t>
            </w:r>
          </w:p>
        </w:tc>
      </w:tr>
      <w:tr>
        <w:trPr>
          <w:trHeight w:val="143"/>
        </w:trPr>
        <w:tc>
          <w:tcPr>
            <w:tcW w:w="4280" w:type="dxa"/>
            <w:vAlign w:val="bottom"/>
          </w:tcPr>
          <w:p>
            <w:pPr>
              <w:ind w:left="60"/>
              <w:spacing w:after="0" w:line="143" w:lineRule="exact"/>
              <w:rPr>
                <w:sz w:val="20"/>
                <w:szCs w:val="20"/>
                <w:color w:val="auto"/>
              </w:rPr>
            </w:pPr>
            <w:r>
              <w:rPr>
                <w:rFonts w:ascii="Arial" w:cs="Arial" w:eastAsia="Arial" w:hAnsi="Arial"/>
                <w:sz w:val="10"/>
                <w:szCs w:val="10"/>
                <w:b w:val="1"/>
                <w:bCs w:val="1"/>
                <w:color w:val="auto"/>
              </w:rPr>
              <w:t>David J. Lesar</w:t>
            </w:r>
            <w:r>
              <w:rPr>
                <w:rFonts w:ascii="Arial" w:cs="Arial" w:eastAsia="Arial" w:hAnsi="Arial"/>
                <w:sz w:val="16"/>
                <w:szCs w:val="16"/>
                <w:b w:val="1"/>
                <w:bCs w:val="1"/>
                <w:color w:val="auto"/>
                <w:vertAlign w:val="superscript"/>
              </w:rPr>
              <w:t>(1)</w:t>
            </w:r>
          </w:p>
        </w:tc>
        <w:tc>
          <w:tcPr>
            <w:tcW w:w="5440" w:type="dxa"/>
            <w:vAlign w:val="bottom"/>
          </w:tcPr>
          <w:p>
            <w:pPr>
              <w:jc w:val="center"/>
              <w:ind w:left="2797"/>
              <w:spacing w:after="0" w:line="143" w:lineRule="exact"/>
              <w:rPr>
                <w:sz w:val="20"/>
                <w:szCs w:val="20"/>
                <w:color w:val="auto"/>
              </w:rPr>
            </w:pPr>
            <w:r>
              <w:rPr>
                <w:rFonts w:ascii="Arial" w:cs="Arial" w:eastAsia="Arial" w:hAnsi="Arial"/>
                <w:sz w:val="13"/>
                <w:szCs w:val="13"/>
                <w:color w:val="auto"/>
              </w:rPr>
              <w:t>146%</w:t>
            </w:r>
          </w:p>
        </w:tc>
      </w:tr>
      <w:tr>
        <w:trPr>
          <w:trHeight w:val="143"/>
        </w:trPr>
        <w:tc>
          <w:tcPr>
            <w:tcW w:w="4280" w:type="dxa"/>
            <w:vAlign w:val="bottom"/>
            <w:shd w:val="clear" w:color="auto" w:fill="D8E7F3"/>
          </w:tcPr>
          <w:p>
            <w:pPr>
              <w:ind w:left="60"/>
              <w:spacing w:after="0" w:line="143" w:lineRule="exact"/>
              <w:rPr>
                <w:sz w:val="20"/>
                <w:szCs w:val="20"/>
                <w:color w:val="auto"/>
              </w:rPr>
            </w:pPr>
            <w:r>
              <w:rPr>
                <w:rFonts w:ascii="Arial" w:cs="Arial" w:eastAsia="Arial" w:hAnsi="Arial"/>
                <w:sz w:val="10"/>
                <w:szCs w:val="10"/>
                <w:b w:val="1"/>
                <w:bCs w:val="1"/>
                <w:color w:val="auto"/>
              </w:rPr>
              <w:t>Jason P. Wells</w:t>
            </w:r>
            <w:r>
              <w:rPr>
                <w:rFonts w:ascii="Arial" w:cs="Arial" w:eastAsia="Arial" w:hAnsi="Arial"/>
                <w:sz w:val="16"/>
                <w:szCs w:val="16"/>
                <w:b w:val="1"/>
                <w:bCs w:val="1"/>
                <w:color w:val="auto"/>
                <w:vertAlign w:val="superscript"/>
              </w:rPr>
              <w:t>(1)</w:t>
            </w:r>
          </w:p>
        </w:tc>
        <w:tc>
          <w:tcPr>
            <w:tcW w:w="5440" w:type="dxa"/>
            <w:vAlign w:val="bottom"/>
            <w:shd w:val="clear" w:color="auto" w:fill="D8E7F3"/>
          </w:tcPr>
          <w:p>
            <w:pPr>
              <w:jc w:val="center"/>
              <w:ind w:left="2797"/>
              <w:spacing w:after="0" w:line="143" w:lineRule="exact"/>
              <w:rPr>
                <w:sz w:val="20"/>
                <w:szCs w:val="20"/>
                <w:color w:val="auto"/>
              </w:rPr>
            </w:pPr>
            <w:r>
              <w:rPr>
                <w:rFonts w:ascii="Arial" w:cs="Arial" w:eastAsia="Arial" w:hAnsi="Arial"/>
                <w:sz w:val="13"/>
                <w:szCs w:val="13"/>
                <w:color w:val="auto"/>
              </w:rPr>
              <w:t>146%</w:t>
            </w:r>
          </w:p>
        </w:tc>
      </w:tr>
      <w:tr>
        <w:trPr>
          <w:trHeight w:val="143"/>
        </w:trPr>
        <w:tc>
          <w:tcPr>
            <w:tcW w:w="4280" w:type="dxa"/>
            <w:vAlign w:val="bottom"/>
          </w:tcPr>
          <w:p>
            <w:pPr>
              <w:ind w:left="60"/>
              <w:spacing w:after="0" w:line="143" w:lineRule="exact"/>
              <w:rPr>
                <w:sz w:val="20"/>
                <w:szCs w:val="20"/>
                <w:color w:val="auto"/>
              </w:rPr>
            </w:pPr>
            <w:r>
              <w:rPr>
                <w:rFonts w:ascii="Arial" w:cs="Arial" w:eastAsia="Arial" w:hAnsi="Arial"/>
                <w:sz w:val="10"/>
                <w:szCs w:val="10"/>
                <w:b w:val="1"/>
                <w:bCs w:val="1"/>
                <w:color w:val="auto"/>
              </w:rPr>
              <w:t>Kristie L. Colvin</w:t>
            </w:r>
            <w:r>
              <w:rPr>
                <w:rFonts w:ascii="Arial" w:cs="Arial" w:eastAsia="Arial" w:hAnsi="Arial"/>
                <w:sz w:val="16"/>
                <w:szCs w:val="16"/>
                <w:b w:val="1"/>
                <w:bCs w:val="1"/>
                <w:color w:val="auto"/>
                <w:vertAlign w:val="superscript"/>
              </w:rPr>
              <w:t>(1)</w:t>
            </w:r>
          </w:p>
        </w:tc>
        <w:tc>
          <w:tcPr>
            <w:tcW w:w="5440" w:type="dxa"/>
            <w:vAlign w:val="bottom"/>
          </w:tcPr>
          <w:p>
            <w:pPr>
              <w:jc w:val="center"/>
              <w:ind w:left="2797"/>
              <w:spacing w:after="0" w:line="143" w:lineRule="exact"/>
              <w:rPr>
                <w:sz w:val="20"/>
                <w:szCs w:val="20"/>
                <w:color w:val="auto"/>
              </w:rPr>
            </w:pPr>
            <w:r>
              <w:rPr>
                <w:rFonts w:ascii="Arial" w:cs="Arial" w:eastAsia="Arial" w:hAnsi="Arial"/>
                <w:sz w:val="13"/>
                <w:szCs w:val="13"/>
                <w:color w:val="auto"/>
              </w:rPr>
              <w:t>146%</w:t>
            </w:r>
          </w:p>
        </w:tc>
      </w:tr>
      <w:tr>
        <w:trPr>
          <w:trHeight w:val="143"/>
        </w:trPr>
        <w:tc>
          <w:tcPr>
            <w:tcW w:w="428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Scott E. Doyle</w:t>
            </w:r>
          </w:p>
        </w:tc>
        <w:tc>
          <w:tcPr>
            <w:tcW w:w="5440" w:type="dxa"/>
            <w:vAlign w:val="bottom"/>
            <w:shd w:val="clear" w:color="auto" w:fill="D8E7F3"/>
          </w:tcPr>
          <w:p>
            <w:pPr>
              <w:jc w:val="center"/>
              <w:ind w:left="2797"/>
              <w:spacing w:after="0" w:line="143" w:lineRule="exact"/>
              <w:rPr>
                <w:sz w:val="20"/>
                <w:szCs w:val="20"/>
                <w:color w:val="auto"/>
              </w:rPr>
            </w:pPr>
            <w:r>
              <w:rPr>
                <w:rFonts w:ascii="Arial" w:cs="Arial" w:eastAsia="Arial" w:hAnsi="Arial"/>
                <w:sz w:val="13"/>
                <w:szCs w:val="13"/>
                <w:color w:val="auto"/>
              </w:rPr>
              <w:t>146%</w:t>
            </w:r>
          </w:p>
        </w:tc>
      </w:tr>
      <w:tr>
        <w:trPr>
          <w:trHeight w:val="143"/>
        </w:trPr>
        <w:tc>
          <w:tcPr>
            <w:tcW w:w="428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Gregory E. Knight</w:t>
            </w:r>
          </w:p>
        </w:tc>
        <w:tc>
          <w:tcPr>
            <w:tcW w:w="5440" w:type="dxa"/>
            <w:vAlign w:val="bottom"/>
          </w:tcPr>
          <w:p>
            <w:pPr>
              <w:jc w:val="center"/>
              <w:ind w:left="2797"/>
              <w:spacing w:after="0" w:line="143" w:lineRule="exact"/>
              <w:rPr>
                <w:sz w:val="20"/>
                <w:szCs w:val="20"/>
                <w:color w:val="auto"/>
              </w:rPr>
            </w:pPr>
            <w:r>
              <w:rPr>
                <w:rFonts w:ascii="Arial" w:cs="Arial" w:eastAsia="Arial" w:hAnsi="Arial"/>
                <w:sz w:val="13"/>
                <w:szCs w:val="13"/>
                <w:color w:val="auto"/>
              </w:rPr>
              <w:t>146%</w:t>
            </w:r>
          </w:p>
        </w:tc>
      </w:tr>
      <w:tr>
        <w:trPr>
          <w:trHeight w:val="143"/>
        </w:trPr>
        <w:tc>
          <w:tcPr>
            <w:tcW w:w="4280" w:type="dxa"/>
            <w:vAlign w:val="bottom"/>
            <w:shd w:val="clear" w:color="auto" w:fill="D8E7F3"/>
          </w:tcPr>
          <w:p>
            <w:pPr>
              <w:ind w:left="60"/>
              <w:spacing w:after="0" w:line="143" w:lineRule="exact"/>
              <w:rPr>
                <w:sz w:val="20"/>
                <w:szCs w:val="20"/>
                <w:color w:val="auto"/>
              </w:rPr>
            </w:pPr>
            <w:r>
              <w:rPr>
                <w:rFonts w:ascii="Arial" w:cs="Arial" w:eastAsia="Arial" w:hAnsi="Arial"/>
                <w:sz w:val="10"/>
                <w:szCs w:val="10"/>
                <w:b w:val="1"/>
                <w:bCs w:val="1"/>
                <w:color w:val="auto"/>
              </w:rPr>
              <w:t>Joseph J. Vortherms</w:t>
            </w:r>
            <w:r>
              <w:rPr>
                <w:rFonts w:ascii="Arial" w:cs="Arial" w:eastAsia="Arial" w:hAnsi="Arial"/>
                <w:sz w:val="16"/>
                <w:szCs w:val="16"/>
                <w:b w:val="1"/>
                <w:bCs w:val="1"/>
                <w:color w:val="auto"/>
                <w:vertAlign w:val="superscript"/>
              </w:rPr>
              <w:t>(2)</w:t>
            </w:r>
          </w:p>
        </w:tc>
        <w:tc>
          <w:tcPr>
            <w:tcW w:w="5440" w:type="dxa"/>
            <w:vAlign w:val="bottom"/>
            <w:shd w:val="clear" w:color="auto" w:fill="D8E7F3"/>
          </w:tcPr>
          <w:p>
            <w:pPr>
              <w:jc w:val="center"/>
              <w:ind w:left="2797"/>
              <w:spacing w:after="0" w:line="143" w:lineRule="exact"/>
              <w:rPr>
                <w:sz w:val="20"/>
                <w:szCs w:val="20"/>
                <w:color w:val="auto"/>
              </w:rPr>
            </w:pPr>
            <w:r>
              <w:rPr>
                <w:rFonts w:ascii="Arial" w:cs="Arial" w:eastAsia="Arial" w:hAnsi="Arial"/>
                <w:sz w:val="13"/>
                <w:szCs w:val="13"/>
                <w:color w:val="auto"/>
              </w:rPr>
              <w:t>100%</w:t>
            </w:r>
          </w:p>
        </w:tc>
      </w:tr>
    </w:tbl>
    <w:p>
      <w:pPr>
        <w:spacing w:after="0" w:line="111" w:lineRule="exact"/>
        <w:rPr>
          <w:sz w:val="20"/>
          <w:szCs w:val="20"/>
          <w:color w:val="auto"/>
        </w:rPr>
      </w:pPr>
    </w:p>
    <w:p>
      <w:pPr>
        <w:ind w:left="300" w:hanging="291"/>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2020 short-term incentive award payment amount was based on full annualized base salary.</w:t>
      </w:r>
    </w:p>
    <w:p>
      <w:pPr>
        <w:spacing w:after="0" w:line="52" w:lineRule="exact"/>
        <w:rPr>
          <w:rFonts w:ascii="Arial" w:cs="Arial" w:eastAsia="Arial" w:hAnsi="Arial"/>
          <w:sz w:val="13"/>
          <w:szCs w:val="13"/>
          <w:color w:val="auto"/>
        </w:rPr>
      </w:pPr>
    </w:p>
    <w:p>
      <w:pPr>
        <w:ind w:left="300" w:hanging="291"/>
        <w:spacing w:after="0" w:line="237" w:lineRule="auto"/>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Due to his termination of employment during the plan year, Mr. Vortherms received a pro rata 2020 short-term incentive award payment at the target level of achievement in accordance with the terms of the short-term incentive plan.</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Mr. Prochazka and Ms. Liu departed the Company on February 19, 2020 and April 1, 2020, respectively, and therefore, they were not eligible for, and did not receive payment of, any award under the short-term incentive plan for 2020. Due to Mr. Somerhalder’s interim service to the Company, he did not receive an award under the short-term incentive plan for 2020. Rather, Mr. Somerhalder received a prorated cash bonus payment of $364,384 reflecting his interim service period, as approved by the Compensation Committee in connection with his compensation arrangements, upon his departure from the Company. For information on Mr. Carroll’s eligibility for our short-term incentive plan beginning with the 2021 plan year as well as his cash bonus award for 2020, please see “—Short-Term Incentive Plan” above.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Long-Term Incentive Plan</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provide a long-term incentive plan in which each of our named executive officers and certain other management-level employees participate. Our long-term incentive plan is designed to align the interests of our participants with those of our shareholders and reward participants for sustained improvements in our financial performance and increases in the value of our common stock and dividends over an extended period.</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vesting period for long-term incentive plan awards is three years to incentivize participants to deliver sustainable business results in service of our long-term strategy, reward longer-term Company performance and encourage retention. In accordance with the terms of our long-term incentive plan, our practice is to price annual grants of equity awards at the closing market price for our common stock on the New York Stock Exchange on the grant date, which is the date the Compensation Committee approves the grants.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2020 Long-Term Incentive Plan Design</w:t>
      </w:r>
    </w:p>
    <w:p>
      <w:pPr>
        <w:spacing w:after="0" w:line="120" w:lineRule="exact"/>
        <w:rPr>
          <w:sz w:val="20"/>
          <w:szCs w:val="20"/>
          <w:color w:val="auto"/>
        </w:rPr>
      </w:pPr>
    </w:p>
    <w:p>
      <w:pPr>
        <w:jc w:val="both"/>
        <w:ind w:right="2900"/>
        <w:spacing w:after="0" w:line="234" w:lineRule="auto"/>
        <w:rPr>
          <w:sz w:val="20"/>
          <w:szCs w:val="20"/>
          <w:color w:val="auto"/>
        </w:rPr>
      </w:pPr>
      <w:r>
        <w:rPr>
          <w:rFonts w:ascii="Arial" w:cs="Arial" w:eastAsia="Arial" w:hAnsi="Arial"/>
          <w:sz w:val="16"/>
          <w:szCs w:val="16"/>
          <w:color w:val="auto"/>
        </w:rPr>
        <w:t>The total long-term incentive opportunity for each executive officer is determined on an annual and individual basis, considering the executive’s position and performance and the long-term compensation provided to similar roles in the peer group. Each year, the Compensation Committee also reviews the allocation of the long-term incentive opportunity between performance share units and restricted stock unit awards. Consistent with the allocation utilized for 2019 annual long-term incentive awards, the Compensation Committee approved an allocation between performance share units and restricted stock unit awards of 70% and 30% respectively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4713605</wp:posOffset>
            </wp:positionH>
            <wp:positionV relativeFrom="paragraph">
              <wp:posOffset>-909955</wp:posOffset>
            </wp:positionV>
            <wp:extent cx="1133475" cy="12617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33475" cy="126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hanging="391"/>
        <w:spacing w:after="0"/>
        <w:tabs>
          <w:tab w:leader="none" w:pos="400" w:val="left"/>
        </w:tabs>
        <w:numPr>
          <w:ilvl w:val="0"/>
          <w:numId w:val="53"/>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2" w:name="page53"/>
    <w:bookmarkEnd w:id="5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Share Unit (“PSU”) Awards (70% of Award Value)</w:t>
      </w:r>
    </w:p>
    <w:p>
      <w:pPr>
        <w:spacing w:after="0" w:line="108"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Our 2020 PSU awards were made in two separate grants, with the payout opportunity for each grant based on a different performance objective. The first is based on total TSR over the three-year performance cycle as compared to that of the other 18 companies included in our peer group. Forty percent of long-term compensation is based on the TSR metric. The remaining 30% is based on achieving specified cumulative net income goals over the three-year performance cycle.</w:t>
      </w:r>
    </w:p>
    <w:p>
      <w:pPr>
        <w:spacing w:after="0" w:line="181"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If actual achievement for the performance objective under an award does not meet at least the threshold level, the Compensation Committee will not approve a distribution for the award. If a performance objective meets or exceeds the threshold level, the threshold payout for these awards is 33% of target for the total shareholder return performance objective and 50% of target for the cumulative net income performance objective, and the maximum payout opportunity is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815975" cy="1609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15975" cy="1609725"/>
                    </a:xfrm>
                    <a:prstGeom prst="rect">
                      <a:avLst/>
                    </a:prstGeom>
                    <a:noFill/>
                  </pic:spPr>
                </pic:pic>
              </a:graphicData>
            </a:graphic>
          </wp:anchor>
        </w:drawing>
      </w:r>
    </w:p>
    <w:p>
      <w:pPr>
        <w:sectPr>
          <w:pgSz w:w="11900" w:h="16838" w:orient="portrait"/>
          <w:cols w:equalWidth="0" w:num="1">
            <w:col w:w="9740"/>
          </w:cols>
          <w:pgMar w:left="1080" w:top="305" w:right="1079" w:bottom="1440" w:gutter="0" w:footer="0" w:header="0"/>
        </w:sectPr>
      </w:pPr>
    </w:p>
    <w:p>
      <w:pPr>
        <w:spacing w:after="0" w:line="292"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FFFFFF"/>
        </w:rPr>
        <w:t>2020</w:t>
      </w:r>
    </w:p>
    <w:p>
      <w:pPr>
        <w:spacing w:after="0" w:line="9"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FFFFFF"/>
        </w:rPr>
        <w:t>PSU</w:t>
      </w:r>
    </w:p>
    <w:p>
      <w:pPr>
        <w:jc w:val="center"/>
        <w:ind w:left="300"/>
        <w:spacing w:after="0"/>
        <w:rPr>
          <w:sz w:val="20"/>
          <w:szCs w:val="20"/>
          <w:color w:val="auto"/>
        </w:rPr>
      </w:pPr>
      <w:r>
        <w:rPr>
          <w:rFonts w:ascii="Arial" w:cs="Arial" w:eastAsia="Arial" w:hAnsi="Arial"/>
          <w:sz w:val="16"/>
          <w:szCs w:val="16"/>
          <w:b w:val="1"/>
          <w:bCs w:val="1"/>
          <w:color w:val="FFFFFF"/>
        </w:rPr>
        <w:t>Awards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Payout</w:t>
      </w:r>
    </w:p>
    <w:p>
      <w:pPr>
        <w:ind w:left="340" w:firstLine="132"/>
        <w:spacing w:after="0" w:line="272" w:lineRule="auto"/>
        <w:rPr>
          <w:sz w:val="20"/>
          <w:szCs w:val="20"/>
          <w:color w:val="auto"/>
        </w:rPr>
      </w:pPr>
      <w:r>
        <w:rPr>
          <w:rFonts w:ascii="Arial" w:cs="Arial" w:eastAsia="Arial" w:hAnsi="Arial"/>
          <w:sz w:val="15"/>
          <w:szCs w:val="15"/>
          <w:color w:val="auto"/>
        </w:rPr>
        <w:t>Range 0% - 200%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3"/>
        </w:trPr>
        <w:tc>
          <w:tcPr>
            <w:tcW w:w="1660" w:type="dxa"/>
            <w:vAlign w:val="bottom"/>
            <w:tcBorders>
              <w:top w:val="single" w:sz="8" w:color="auto"/>
              <w:left w:val="single" w:sz="8" w:color="auto"/>
            </w:tcBorders>
            <w:shd w:val="clear" w:color="auto" w:fill="0061AF"/>
          </w:tcPr>
          <w:p>
            <w:pPr>
              <w:jc w:val="center"/>
              <w:ind w:left="21"/>
              <w:spacing w:after="0"/>
              <w:rPr>
                <w:sz w:val="20"/>
                <w:szCs w:val="20"/>
                <w:color w:val="auto"/>
              </w:rPr>
            </w:pPr>
            <w:r>
              <w:rPr>
                <w:rFonts w:ascii="Arial" w:cs="Arial" w:eastAsia="Arial" w:hAnsi="Arial"/>
                <w:sz w:val="16"/>
                <w:szCs w:val="16"/>
                <w:b w:val="1"/>
                <w:bCs w:val="1"/>
                <w:color w:val="FFFFFF"/>
                <w:w w:val="97"/>
              </w:rPr>
              <w:t>Relative</w:t>
            </w:r>
          </w:p>
        </w:tc>
        <w:tc>
          <w:tcPr>
            <w:tcW w:w="40" w:type="dxa"/>
            <w:vAlign w:val="bottom"/>
            <w:tcBorders>
              <w:top w:val="single" w:sz="8" w:color="auto"/>
            </w:tcBorders>
            <w:shd w:val="clear" w:color="auto" w:fill="0061AF"/>
          </w:tcPr>
          <w:p>
            <w:pPr>
              <w:spacing w:after="0"/>
              <w:rPr>
                <w:sz w:val="21"/>
                <w:szCs w:val="21"/>
                <w:color w:val="auto"/>
              </w:rPr>
            </w:pPr>
          </w:p>
        </w:tc>
        <w:tc>
          <w:tcPr>
            <w:tcW w:w="1640" w:type="dxa"/>
            <w:vAlign w:val="bottom"/>
            <w:tcBorders>
              <w:top w:val="single" w:sz="8" w:color="auto"/>
            </w:tcBorders>
            <w:vMerge w:val="restart"/>
            <w:shd w:val="clear" w:color="auto" w:fill="0061AF"/>
          </w:tcPr>
          <w:p>
            <w:pPr>
              <w:jc w:val="center"/>
              <w:spacing w:after="0"/>
              <w:rPr>
                <w:sz w:val="20"/>
                <w:szCs w:val="20"/>
                <w:color w:val="auto"/>
              </w:rPr>
            </w:pPr>
            <w:r>
              <w:rPr>
                <w:rFonts w:ascii="Arial" w:cs="Arial" w:eastAsia="Arial" w:hAnsi="Arial"/>
                <w:sz w:val="16"/>
                <w:szCs w:val="16"/>
                <w:b w:val="1"/>
                <w:bCs w:val="1"/>
                <w:color w:val="FFFFFF"/>
                <w:w w:val="99"/>
              </w:rPr>
              <w:t>Percentile</w:t>
            </w:r>
          </w:p>
        </w:tc>
        <w:tc>
          <w:tcPr>
            <w:tcW w:w="1420" w:type="dxa"/>
            <w:vAlign w:val="bottom"/>
            <w:tcBorders>
              <w:top w:val="single" w:sz="8" w:color="auto"/>
              <w:right w:val="single" w:sz="8" w:color="auto"/>
            </w:tcBorders>
            <w:shd w:val="clear" w:color="auto" w:fill="0061AF"/>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500" w:type="dxa"/>
            <w:vAlign w:val="bottom"/>
            <w:tcBorders>
              <w:top w:val="single" w:sz="8" w:color="auto"/>
            </w:tcBorders>
            <w:shd w:val="clear" w:color="auto" w:fill="0061AF"/>
          </w:tcPr>
          <w:p>
            <w:pPr>
              <w:jc w:val="center"/>
              <w:ind w:left="1"/>
              <w:spacing w:after="0"/>
              <w:rPr>
                <w:sz w:val="20"/>
                <w:szCs w:val="20"/>
                <w:color w:val="auto"/>
              </w:rPr>
            </w:pPr>
            <w:r>
              <w:rPr>
                <w:rFonts w:ascii="Arial" w:cs="Arial" w:eastAsia="Arial" w:hAnsi="Arial"/>
                <w:sz w:val="16"/>
                <w:szCs w:val="16"/>
                <w:b w:val="1"/>
                <w:bCs w:val="1"/>
                <w:color w:val="FFFFFF"/>
                <w:w w:val="99"/>
              </w:rPr>
              <w:t>Cumulative</w:t>
            </w:r>
          </w:p>
        </w:tc>
        <w:tc>
          <w:tcPr>
            <w:tcW w:w="100" w:type="dxa"/>
            <w:vAlign w:val="bottom"/>
            <w:tcBorders>
              <w:top w:val="single" w:sz="8" w:color="auto"/>
            </w:tcBorders>
            <w:shd w:val="clear" w:color="auto" w:fill="0061AF"/>
          </w:tcPr>
          <w:p>
            <w:pPr>
              <w:spacing w:after="0"/>
              <w:rPr>
                <w:sz w:val="21"/>
                <w:szCs w:val="21"/>
                <w:color w:val="auto"/>
              </w:rPr>
            </w:pPr>
          </w:p>
        </w:tc>
        <w:tc>
          <w:tcPr>
            <w:tcW w:w="1060" w:type="dxa"/>
            <w:vAlign w:val="bottom"/>
            <w:tcBorders>
              <w:top w:val="single" w:sz="8" w:color="auto"/>
              <w:right w:val="single" w:sz="8" w:color="auto"/>
            </w:tcBorders>
            <w:vMerge w:val="restart"/>
            <w:shd w:val="clear" w:color="auto" w:fill="0061AF"/>
          </w:tcPr>
          <w:p>
            <w:pPr>
              <w:jc w:val="center"/>
              <w:spacing w:after="0"/>
              <w:rPr>
                <w:sz w:val="20"/>
                <w:szCs w:val="20"/>
                <w:color w:val="auto"/>
              </w:rPr>
            </w:pPr>
            <w:r>
              <w:rPr>
                <w:rFonts w:ascii="Arial" w:cs="Arial" w:eastAsia="Arial" w:hAnsi="Arial"/>
                <w:sz w:val="16"/>
                <w:szCs w:val="16"/>
                <w:b w:val="1"/>
                <w:bCs w:val="1"/>
                <w:color w:val="FFFFFF"/>
                <w:w w:val="97"/>
              </w:rPr>
              <w:t>Payout</w:t>
            </w:r>
          </w:p>
        </w:tc>
        <w:tc>
          <w:tcPr>
            <w:tcW w:w="0" w:type="dxa"/>
            <w:vAlign w:val="bottom"/>
          </w:tcPr>
          <w:p>
            <w:pPr>
              <w:spacing w:after="0"/>
              <w:rPr>
                <w:sz w:val="1"/>
                <w:szCs w:val="1"/>
                <w:color w:val="auto"/>
              </w:rPr>
            </w:pPr>
          </w:p>
        </w:tc>
      </w:tr>
      <w:tr>
        <w:trPr>
          <w:trHeight w:val="83"/>
        </w:trPr>
        <w:tc>
          <w:tcPr>
            <w:tcW w:w="1660" w:type="dxa"/>
            <w:vAlign w:val="bottom"/>
            <w:tcBorders>
              <w:left w:val="single" w:sz="8" w:color="auto"/>
            </w:tcBorders>
            <w:vMerge w:val="restart"/>
            <w:shd w:val="clear" w:color="auto" w:fill="0061AF"/>
          </w:tcPr>
          <w:p>
            <w:pPr>
              <w:jc w:val="center"/>
              <w:ind w:left="21"/>
              <w:spacing w:after="0" w:line="178" w:lineRule="exact"/>
              <w:rPr>
                <w:sz w:val="20"/>
                <w:szCs w:val="20"/>
                <w:color w:val="auto"/>
              </w:rPr>
            </w:pPr>
            <w:r>
              <w:rPr>
                <w:rFonts w:ascii="Arial" w:cs="Arial" w:eastAsia="Arial" w:hAnsi="Arial"/>
                <w:sz w:val="16"/>
                <w:szCs w:val="16"/>
                <w:b w:val="1"/>
                <w:bCs w:val="1"/>
                <w:color w:val="FFFFFF"/>
                <w:w w:val="99"/>
              </w:rPr>
              <w:t>TSR</w:t>
            </w:r>
          </w:p>
        </w:tc>
        <w:tc>
          <w:tcPr>
            <w:tcW w:w="40" w:type="dxa"/>
            <w:vAlign w:val="bottom"/>
            <w:shd w:val="clear" w:color="auto" w:fill="0061AF"/>
          </w:tcPr>
          <w:p>
            <w:pPr>
              <w:spacing w:after="0"/>
              <w:rPr>
                <w:sz w:val="7"/>
                <w:szCs w:val="7"/>
                <w:color w:val="auto"/>
              </w:rPr>
            </w:pPr>
          </w:p>
        </w:tc>
        <w:tc>
          <w:tcPr>
            <w:tcW w:w="1640" w:type="dxa"/>
            <w:vAlign w:val="bottom"/>
            <w:vMerge w:val="continue"/>
            <w:shd w:val="clear" w:color="auto" w:fill="0061AF"/>
          </w:tcPr>
          <w:p>
            <w:pPr>
              <w:spacing w:after="0"/>
              <w:rPr>
                <w:sz w:val="7"/>
                <w:szCs w:val="7"/>
                <w:color w:val="auto"/>
              </w:rPr>
            </w:pPr>
          </w:p>
        </w:tc>
        <w:tc>
          <w:tcPr>
            <w:tcW w:w="1420" w:type="dxa"/>
            <w:vAlign w:val="bottom"/>
            <w:tcBorders>
              <w:right w:val="single" w:sz="8" w:color="auto"/>
            </w:tcBorders>
            <w:vMerge w:val="restart"/>
            <w:shd w:val="clear" w:color="auto" w:fill="0061AF"/>
          </w:tcPr>
          <w:p>
            <w:pPr>
              <w:jc w:val="center"/>
              <w:spacing w:after="0" w:line="178" w:lineRule="exact"/>
              <w:rPr>
                <w:sz w:val="20"/>
                <w:szCs w:val="20"/>
                <w:color w:val="auto"/>
              </w:rPr>
            </w:pPr>
            <w:r>
              <w:rPr>
                <w:rFonts w:ascii="Arial" w:cs="Arial" w:eastAsia="Arial" w:hAnsi="Arial"/>
                <w:sz w:val="16"/>
                <w:szCs w:val="16"/>
                <w:b w:val="1"/>
                <w:bCs w:val="1"/>
                <w:color w:val="FFFFFF"/>
              </w:rPr>
              <w:t>Payout Scale</w:t>
            </w:r>
          </w:p>
        </w:tc>
        <w:tc>
          <w:tcPr>
            <w:tcW w:w="500" w:type="dxa"/>
            <w:vAlign w:val="bottom"/>
            <w:tcBorders>
              <w:right w:val="single" w:sz="8" w:color="auto"/>
            </w:tcBorders>
          </w:tcPr>
          <w:p>
            <w:pPr>
              <w:spacing w:after="0"/>
              <w:rPr>
                <w:sz w:val="7"/>
                <w:szCs w:val="7"/>
                <w:color w:val="auto"/>
              </w:rPr>
            </w:pPr>
          </w:p>
        </w:tc>
        <w:tc>
          <w:tcPr>
            <w:tcW w:w="1500" w:type="dxa"/>
            <w:vAlign w:val="bottom"/>
            <w:vMerge w:val="restart"/>
            <w:shd w:val="clear" w:color="auto" w:fill="0061AF"/>
          </w:tcPr>
          <w:p>
            <w:pPr>
              <w:jc w:val="center"/>
              <w:spacing w:after="0" w:line="178" w:lineRule="exact"/>
              <w:rPr>
                <w:sz w:val="20"/>
                <w:szCs w:val="20"/>
                <w:color w:val="auto"/>
              </w:rPr>
            </w:pPr>
            <w:r>
              <w:rPr>
                <w:rFonts w:ascii="Arial" w:cs="Arial" w:eastAsia="Arial" w:hAnsi="Arial"/>
                <w:sz w:val="16"/>
                <w:szCs w:val="16"/>
                <w:b w:val="1"/>
                <w:bCs w:val="1"/>
                <w:color w:val="FFFFFF"/>
                <w:w w:val="99"/>
              </w:rPr>
              <w:t>Net Income*</w:t>
            </w:r>
          </w:p>
        </w:tc>
        <w:tc>
          <w:tcPr>
            <w:tcW w:w="100" w:type="dxa"/>
            <w:vAlign w:val="bottom"/>
            <w:shd w:val="clear" w:color="auto" w:fill="0061AF"/>
          </w:tcPr>
          <w:p>
            <w:pPr>
              <w:spacing w:after="0"/>
              <w:rPr>
                <w:sz w:val="7"/>
                <w:szCs w:val="7"/>
                <w:color w:val="auto"/>
              </w:rPr>
            </w:pPr>
          </w:p>
        </w:tc>
        <w:tc>
          <w:tcPr>
            <w:tcW w:w="1060" w:type="dxa"/>
            <w:vAlign w:val="bottom"/>
            <w:tcBorders>
              <w:right w:val="single" w:sz="8" w:color="auto"/>
            </w:tcBorders>
            <w:vMerge w:val="continue"/>
            <w:shd w:val="clear" w:color="auto" w:fill="0061A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60" w:type="dxa"/>
            <w:vAlign w:val="bottom"/>
            <w:tcBorders>
              <w:left w:val="single" w:sz="8" w:color="auto"/>
            </w:tcBorders>
            <w:vMerge w:val="continue"/>
            <w:shd w:val="clear" w:color="auto" w:fill="0061AF"/>
          </w:tcPr>
          <w:p>
            <w:pPr>
              <w:spacing w:after="0"/>
              <w:rPr>
                <w:sz w:val="8"/>
                <w:szCs w:val="8"/>
                <w:color w:val="auto"/>
              </w:rPr>
            </w:pPr>
          </w:p>
        </w:tc>
        <w:tc>
          <w:tcPr>
            <w:tcW w:w="40" w:type="dxa"/>
            <w:vAlign w:val="bottom"/>
            <w:shd w:val="clear" w:color="auto" w:fill="0061AF"/>
          </w:tcPr>
          <w:p>
            <w:pPr>
              <w:spacing w:after="0"/>
              <w:rPr>
                <w:sz w:val="8"/>
                <w:szCs w:val="8"/>
                <w:color w:val="auto"/>
              </w:rPr>
            </w:pPr>
          </w:p>
        </w:tc>
        <w:tc>
          <w:tcPr>
            <w:tcW w:w="1640" w:type="dxa"/>
            <w:vAlign w:val="bottom"/>
            <w:vMerge w:val="restart"/>
            <w:shd w:val="clear" w:color="auto" w:fill="0061AF"/>
          </w:tcPr>
          <w:p>
            <w:pPr>
              <w:jc w:val="center"/>
              <w:spacing w:after="0"/>
              <w:rPr>
                <w:sz w:val="20"/>
                <w:szCs w:val="20"/>
                <w:color w:val="auto"/>
              </w:rPr>
            </w:pPr>
            <w:r>
              <w:rPr>
                <w:rFonts w:ascii="Arial" w:cs="Arial" w:eastAsia="Arial" w:hAnsi="Arial"/>
                <w:sz w:val="16"/>
                <w:szCs w:val="16"/>
                <w:b w:val="1"/>
                <w:bCs w:val="1"/>
                <w:color w:val="FFFFFF"/>
              </w:rPr>
              <w:t>Rank</w:t>
            </w:r>
          </w:p>
        </w:tc>
        <w:tc>
          <w:tcPr>
            <w:tcW w:w="1420" w:type="dxa"/>
            <w:vAlign w:val="bottom"/>
            <w:tcBorders>
              <w:right w:val="single" w:sz="8" w:color="auto"/>
            </w:tcBorders>
            <w:vMerge w:val="continue"/>
            <w:shd w:val="clear" w:color="auto" w:fill="0061AF"/>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1500" w:type="dxa"/>
            <w:vAlign w:val="bottom"/>
            <w:vMerge w:val="continue"/>
            <w:shd w:val="clear" w:color="auto" w:fill="0061AF"/>
          </w:tcPr>
          <w:p>
            <w:pPr>
              <w:spacing w:after="0"/>
              <w:rPr>
                <w:sz w:val="8"/>
                <w:szCs w:val="8"/>
                <w:color w:val="auto"/>
              </w:rPr>
            </w:pPr>
          </w:p>
        </w:tc>
        <w:tc>
          <w:tcPr>
            <w:tcW w:w="100" w:type="dxa"/>
            <w:vAlign w:val="bottom"/>
            <w:shd w:val="clear" w:color="auto" w:fill="0061AF"/>
          </w:tcPr>
          <w:p>
            <w:pPr>
              <w:spacing w:after="0"/>
              <w:rPr>
                <w:sz w:val="8"/>
                <w:szCs w:val="8"/>
                <w:color w:val="auto"/>
              </w:rPr>
            </w:pPr>
          </w:p>
        </w:tc>
        <w:tc>
          <w:tcPr>
            <w:tcW w:w="1060" w:type="dxa"/>
            <w:vAlign w:val="bottom"/>
            <w:tcBorders>
              <w:right w:val="single" w:sz="8" w:color="auto"/>
            </w:tcBorders>
            <w:vMerge w:val="restart"/>
            <w:shd w:val="clear" w:color="auto" w:fill="0061AF"/>
          </w:tcPr>
          <w:p>
            <w:pPr>
              <w:jc w:val="center"/>
              <w:spacing w:after="0"/>
              <w:rPr>
                <w:sz w:val="20"/>
                <w:szCs w:val="20"/>
                <w:color w:val="auto"/>
              </w:rPr>
            </w:pPr>
            <w:r>
              <w:rPr>
                <w:rFonts w:ascii="Arial" w:cs="Arial" w:eastAsia="Arial" w:hAnsi="Arial"/>
                <w:sz w:val="16"/>
                <w:szCs w:val="16"/>
                <w:b w:val="1"/>
                <w:bCs w:val="1"/>
                <w:color w:val="FFFFFF"/>
                <w:w w:val="95"/>
              </w:rPr>
              <w:t>Scale**</w:t>
            </w:r>
          </w:p>
        </w:tc>
        <w:tc>
          <w:tcPr>
            <w:tcW w:w="0" w:type="dxa"/>
            <w:vAlign w:val="bottom"/>
          </w:tcPr>
          <w:p>
            <w:pPr>
              <w:spacing w:after="0"/>
              <w:rPr>
                <w:sz w:val="1"/>
                <w:szCs w:val="1"/>
                <w:color w:val="auto"/>
              </w:rPr>
            </w:pPr>
          </w:p>
        </w:tc>
      </w:tr>
      <w:tr>
        <w:trPr>
          <w:trHeight w:val="114"/>
        </w:trPr>
        <w:tc>
          <w:tcPr>
            <w:tcW w:w="1660" w:type="dxa"/>
            <w:vAlign w:val="bottom"/>
            <w:tcBorders>
              <w:left w:val="single" w:sz="8" w:color="auto"/>
            </w:tcBorders>
            <w:vMerge w:val="restart"/>
            <w:shd w:val="clear" w:color="auto" w:fill="0061AF"/>
          </w:tcPr>
          <w:p>
            <w:pPr>
              <w:jc w:val="center"/>
              <w:ind w:left="21"/>
              <w:spacing w:after="0"/>
              <w:rPr>
                <w:sz w:val="20"/>
                <w:szCs w:val="20"/>
                <w:color w:val="auto"/>
              </w:rPr>
            </w:pPr>
            <w:r>
              <w:rPr>
                <w:rFonts w:ascii="Arial" w:cs="Arial" w:eastAsia="Arial" w:hAnsi="Arial"/>
                <w:sz w:val="16"/>
                <w:szCs w:val="16"/>
                <w:b w:val="1"/>
                <w:bCs w:val="1"/>
                <w:color w:val="FFFFFF"/>
                <w:w w:val="98"/>
              </w:rPr>
              <w:t>40% of PSUs</w:t>
            </w:r>
          </w:p>
        </w:tc>
        <w:tc>
          <w:tcPr>
            <w:tcW w:w="40" w:type="dxa"/>
            <w:vAlign w:val="bottom"/>
            <w:shd w:val="clear" w:color="auto" w:fill="0061AF"/>
          </w:tcPr>
          <w:p>
            <w:pPr>
              <w:spacing w:after="0"/>
              <w:rPr>
                <w:sz w:val="9"/>
                <w:szCs w:val="9"/>
                <w:color w:val="auto"/>
              </w:rPr>
            </w:pPr>
          </w:p>
        </w:tc>
        <w:tc>
          <w:tcPr>
            <w:tcW w:w="1640" w:type="dxa"/>
            <w:vAlign w:val="bottom"/>
            <w:vMerge w:val="continue"/>
            <w:shd w:val="clear" w:color="auto" w:fill="0061AF"/>
          </w:tcPr>
          <w:p>
            <w:pPr>
              <w:spacing w:after="0"/>
              <w:rPr>
                <w:sz w:val="9"/>
                <w:szCs w:val="9"/>
                <w:color w:val="auto"/>
              </w:rPr>
            </w:pPr>
          </w:p>
        </w:tc>
        <w:tc>
          <w:tcPr>
            <w:tcW w:w="1420" w:type="dxa"/>
            <w:vAlign w:val="bottom"/>
            <w:tcBorders>
              <w:right w:val="single" w:sz="8" w:color="auto"/>
            </w:tcBorders>
            <w:shd w:val="clear" w:color="auto" w:fill="0061AF"/>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500" w:type="dxa"/>
            <w:vAlign w:val="bottom"/>
            <w:vMerge w:val="restart"/>
            <w:shd w:val="clear" w:color="auto" w:fill="0061AF"/>
          </w:tcPr>
          <w:p>
            <w:pPr>
              <w:jc w:val="center"/>
              <w:spacing w:after="0"/>
              <w:rPr>
                <w:sz w:val="20"/>
                <w:szCs w:val="20"/>
                <w:color w:val="auto"/>
              </w:rPr>
            </w:pPr>
            <w:r>
              <w:rPr>
                <w:rFonts w:ascii="Arial" w:cs="Arial" w:eastAsia="Arial" w:hAnsi="Arial"/>
                <w:sz w:val="16"/>
                <w:szCs w:val="16"/>
                <w:b w:val="1"/>
                <w:bCs w:val="1"/>
                <w:color w:val="FFFFFF"/>
                <w:w w:val="98"/>
              </w:rPr>
              <w:t>30% of PSUs</w:t>
            </w:r>
          </w:p>
        </w:tc>
        <w:tc>
          <w:tcPr>
            <w:tcW w:w="100" w:type="dxa"/>
            <w:vAlign w:val="bottom"/>
            <w:shd w:val="clear" w:color="auto" w:fill="0061AF"/>
          </w:tcPr>
          <w:p>
            <w:pPr>
              <w:spacing w:after="0"/>
              <w:rPr>
                <w:sz w:val="9"/>
                <w:szCs w:val="9"/>
                <w:color w:val="auto"/>
              </w:rPr>
            </w:pPr>
          </w:p>
        </w:tc>
        <w:tc>
          <w:tcPr>
            <w:tcW w:w="1060" w:type="dxa"/>
            <w:vAlign w:val="bottom"/>
            <w:tcBorders>
              <w:right w:val="single" w:sz="8" w:color="auto"/>
            </w:tcBorders>
            <w:vMerge w:val="continue"/>
            <w:shd w:val="clear" w:color="auto" w:fill="0061A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660" w:type="dxa"/>
            <w:vAlign w:val="bottom"/>
            <w:tcBorders>
              <w:left w:val="single" w:sz="8" w:color="auto"/>
            </w:tcBorders>
            <w:vMerge w:val="continue"/>
            <w:shd w:val="clear" w:color="auto" w:fill="0061AF"/>
          </w:tcPr>
          <w:p>
            <w:pPr>
              <w:spacing w:after="0"/>
              <w:rPr>
                <w:sz w:val="8"/>
                <w:szCs w:val="8"/>
                <w:color w:val="auto"/>
              </w:rPr>
            </w:pPr>
          </w:p>
        </w:tc>
        <w:tc>
          <w:tcPr>
            <w:tcW w:w="40" w:type="dxa"/>
            <w:vAlign w:val="bottom"/>
            <w:shd w:val="clear" w:color="auto" w:fill="0061AF"/>
          </w:tcPr>
          <w:p>
            <w:pPr>
              <w:spacing w:after="0"/>
              <w:rPr>
                <w:sz w:val="8"/>
                <w:szCs w:val="8"/>
                <w:color w:val="auto"/>
              </w:rPr>
            </w:pPr>
          </w:p>
        </w:tc>
        <w:tc>
          <w:tcPr>
            <w:tcW w:w="1640" w:type="dxa"/>
            <w:vAlign w:val="bottom"/>
            <w:shd w:val="clear" w:color="auto" w:fill="0061AF"/>
          </w:tcPr>
          <w:p>
            <w:pPr>
              <w:spacing w:after="0"/>
              <w:rPr>
                <w:sz w:val="8"/>
                <w:szCs w:val="8"/>
                <w:color w:val="auto"/>
              </w:rPr>
            </w:pPr>
          </w:p>
        </w:tc>
        <w:tc>
          <w:tcPr>
            <w:tcW w:w="1420" w:type="dxa"/>
            <w:vAlign w:val="bottom"/>
            <w:tcBorders>
              <w:right w:val="single" w:sz="8" w:color="auto"/>
            </w:tcBorders>
            <w:shd w:val="clear" w:color="auto" w:fill="0061AF"/>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1500" w:type="dxa"/>
            <w:vAlign w:val="bottom"/>
            <w:vMerge w:val="continue"/>
            <w:shd w:val="clear" w:color="auto" w:fill="0061AF"/>
          </w:tcPr>
          <w:p>
            <w:pPr>
              <w:spacing w:after="0"/>
              <w:rPr>
                <w:sz w:val="8"/>
                <w:szCs w:val="8"/>
                <w:color w:val="auto"/>
              </w:rPr>
            </w:pPr>
          </w:p>
        </w:tc>
        <w:tc>
          <w:tcPr>
            <w:tcW w:w="100" w:type="dxa"/>
            <w:vAlign w:val="bottom"/>
            <w:shd w:val="clear" w:color="auto" w:fill="0061AF"/>
          </w:tcPr>
          <w:p>
            <w:pPr>
              <w:spacing w:after="0"/>
              <w:rPr>
                <w:sz w:val="8"/>
                <w:szCs w:val="8"/>
                <w:color w:val="auto"/>
              </w:rPr>
            </w:pPr>
          </w:p>
        </w:tc>
        <w:tc>
          <w:tcPr>
            <w:tcW w:w="1060" w:type="dxa"/>
            <w:vAlign w:val="bottom"/>
            <w:tcBorders>
              <w:right w:val="single" w:sz="8" w:color="auto"/>
            </w:tcBorders>
            <w:shd w:val="clear" w:color="auto" w:fill="0061A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660" w:type="dxa"/>
            <w:vAlign w:val="bottom"/>
            <w:tcBorders>
              <w:left w:val="single" w:sz="8" w:color="auto"/>
            </w:tcBorders>
            <w:shd w:val="clear" w:color="auto" w:fill="D8E7F3"/>
          </w:tcPr>
          <w:p>
            <w:pPr>
              <w:spacing w:after="0"/>
              <w:rPr>
                <w:sz w:val="20"/>
                <w:szCs w:val="20"/>
                <w:color w:val="auto"/>
              </w:rPr>
            </w:pPr>
          </w:p>
        </w:tc>
        <w:tc>
          <w:tcPr>
            <w:tcW w:w="40" w:type="dxa"/>
            <w:vAlign w:val="bottom"/>
            <w:shd w:val="clear" w:color="auto" w:fill="D8E7F3"/>
          </w:tcPr>
          <w:p>
            <w:pPr>
              <w:spacing w:after="0"/>
              <w:rPr>
                <w:sz w:val="20"/>
                <w:szCs w:val="20"/>
                <w:color w:val="auto"/>
              </w:rPr>
            </w:pPr>
          </w:p>
        </w:tc>
        <w:tc>
          <w:tcPr>
            <w:tcW w:w="1640" w:type="dxa"/>
            <w:vAlign w:val="bottom"/>
            <w:shd w:val="clear" w:color="auto" w:fill="D8E7F3"/>
          </w:tcPr>
          <w:p>
            <w:pPr>
              <w:jc w:val="center"/>
              <w:spacing w:after="0"/>
              <w:rPr>
                <w:sz w:val="20"/>
                <w:szCs w:val="20"/>
                <w:color w:val="auto"/>
              </w:rPr>
            </w:pPr>
            <w:r>
              <w:rPr>
                <w:rFonts w:ascii="Arial" w:cs="Arial" w:eastAsia="Arial" w:hAnsi="Arial"/>
                <w:sz w:val="16"/>
                <w:szCs w:val="16"/>
                <w:color w:val="auto"/>
                <w:w w:val="98"/>
              </w:rPr>
              <w:t>2</w:t>
            </w:r>
            <w:r>
              <w:rPr>
                <w:rFonts w:ascii="Arial" w:cs="Arial" w:eastAsia="Arial" w:hAnsi="Arial"/>
                <w:sz w:val="13"/>
                <w:szCs w:val="13"/>
                <w:color w:val="auto"/>
                <w:w w:val="98"/>
              </w:rPr>
              <w:t>nd</w:t>
            </w:r>
            <w:r>
              <w:rPr>
                <w:rFonts w:ascii="Arial" w:cs="Arial" w:eastAsia="Arial" w:hAnsi="Arial"/>
                <w:sz w:val="16"/>
                <w:szCs w:val="16"/>
                <w:color w:val="auto"/>
                <w:w w:val="98"/>
              </w:rPr>
              <w:t xml:space="preserve"> position or</w:t>
            </w:r>
          </w:p>
        </w:tc>
        <w:tc>
          <w:tcPr>
            <w:tcW w:w="1420" w:type="dxa"/>
            <w:vAlign w:val="bottom"/>
            <w:tcBorders>
              <w:right w:val="single" w:sz="8" w:color="auto"/>
            </w:tcBorders>
            <w:shd w:val="clear" w:color="auto" w:fill="D8E7F3"/>
          </w:tcPr>
          <w:p>
            <w:pPr>
              <w:jc w:val="center"/>
              <w:spacing w:after="0"/>
              <w:rPr>
                <w:sz w:val="20"/>
                <w:szCs w:val="20"/>
                <w:color w:val="auto"/>
              </w:rPr>
            </w:pPr>
            <w:r>
              <w:rPr>
                <w:rFonts w:ascii="Arial" w:cs="Arial" w:eastAsia="Arial" w:hAnsi="Arial"/>
                <w:sz w:val="16"/>
                <w:szCs w:val="16"/>
                <w:color w:val="auto"/>
                <w:w w:val="98"/>
              </w:rPr>
              <w:t>Maximum</w:t>
            </w:r>
          </w:p>
        </w:tc>
        <w:tc>
          <w:tcPr>
            <w:tcW w:w="500" w:type="dxa"/>
            <w:vAlign w:val="bottom"/>
            <w:tcBorders>
              <w:right w:val="single" w:sz="8" w:color="auto"/>
            </w:tcBorders>
          </w:tcPr>
          <w:p>
            <w:pPr>
              <w:spacing w:after="0"/>
              <w:rPr>
                <w:sz w:val="20"/>
                <w:szCs w:val="20"/>
                <w:color w:val="auto"/>
              </w:rPr>
            </w:pPr>
          </w:p>
        </w:tc>
        <w:tc>
          <w:tcPr>
            <w:tcW w:w="1500" w:type="dxa"/>
            <w:vAlign w:val="bottom"/>
            <w:shd w:val="clear" w:color="auto" w:fill="D8E7F3"/>
          </w:tcPr>
          <w:p>
            <w:pPr>
              <w:spacing w:after="0"/>
              <w:rPr>
                <w:sz w:val="20"/>
                <w:szCs w:val="20"/>
                <w:color w:val="auto"/>
              </w:rPr>
            </w:pPr>
          </w:p>
        </w:tc>
        <w:tc>
          <w:tcPr>
            <w:tcW w:w="100" w:type="dxa"/>
            <w:vAlign w:val="bottom"/>
            <w:shd w:val="clear" w:color="auto" w:fill="D8E7F3"/>
          </w:tcPr>
          <w:p>
            <w:pPr>
              <w:spacing w:after="0"/>
              <w:rPr>
                <w:sz w:val="20"/>
                <w:szCs w:val="20"/>
                <w:color w:val="auto"/>
              </w:rPr>
            </w:pPr>
          </w:p>
        </w:tc>
        <w:tc>
          <w:tcPr>
            <w:tcW w:w="1060" w:type="dxa"/>
            <w:vAlign w:val="bottom"/>
            <w:tcBorders>
              <w:right w:val="single" w:sz="8" w:color="auto"/>
            </w:tcBorders>
            <w:shd w:val="clear" w:color="auto" w:fill="D8E7F3"/>
          </w:tcPr>
          <w:p>
            <w:pPr>
              <w:ind w:left="60"/>
              <w:spacing w:after="0"/>
              <w:rPr>
                <w:sz w:val="20"/>
                <w:szCs w:val="20"/>
                <w:color w:val="auto"/>
              </w:rPr>
            </w:pPr>
            <w:r>
              <w:rPr>
                <w:rFonts w:ascii="Arial" w:cs="Arial" w:eastAsia="Arial" w:hAnsi="Arial"/>
                <w:sz w:val="16"/>
                <w:szCs w:val="16"/>
                <w:color w:val="auto"/>
              </w:rPr>
              <w:t>Exceptional</w:t>
            </w:r>
          </w:p>
        </w:tc>
        <w:tc>
          <w:tcPr>
            <w:tcW w:w="0" w:type="dxa"/>
            <w:vAlign w:val="bottom"/>
          </w:tcPr>
          <w:p>
            <w:pPr>
              <w:spacing w:after="0"/>
              <w:rPr>
                <w:sz w:val="1"/>
                <w:szCs w:val="1"/>
                <w:color w:val="auto"/>
              </w:rPr>
            </w:pPr>
          </w:p>
        </w:tc>
      </w:tr>
      <w:tr>
        <w:trPr>
          <w:trHeight w:val="190"/>
        </w:trPr>
        <w:tc>
          <w:tcPr>
            <w:tcW w:w="1660" w:type="dxa"/>
            <w:vAlign w:val="bottom"/>
            <w:tcBorders>
              <w:left w:val="single" w:sz="8" w:color="auto"/>
            </w:tcBorders>
            <w:vMerge w:val="restart"/>
            <w:shd w:val="clear" w:color="auto" w:fill="D8E7F3"/>
          </w:tcPr>
          <w:p>
            <w:pPr>
              <w:jc w:val="center"/>
              <w:ind w:left="21"/>
              <w:spacing w:after="0"/>
              <w:rPr>
                <w:sz w:val="20"/>
                <w:szCs w:val="20"/>
                <w:color w:val="auto"/>
              </w:rPr>
            </w:pPr>
            <w:r>
              <w:rPr>
                <w:rFonts w:ascii="Arial" w:cs="Arial" w:eastAsia="Arial" w:hAnsi="Arial"/>
                <w:sz w:val="16"/>
                <w:szCs w:val="16"/>
                <w:color w:val="auto"/>
                <w:w w:val="99"/>
              </w:rPr>
              <w:t>Measures average</w:t>
            </w:r>
          </w:p>
        </w:tc>
        <w:tc>
          <w:tcPr>
            <w:tcW w:w="40" w:type="dxa"/>
            <w:vAlign w:val="bottom"/>
            <w:shd w:val="clear" w:color="auto" w:fill="D8E7F3"/>
          </w:tcPr>
          <w:p>
            <w:pPr>
              <w:spacing w:after="0"/>
              <w:rPr>
                <w:sz w:val="16"/>
                <w:szCs w:val="16"/>
                <w:color w:val="auto"/>
              </w:rPr>
            </w:pPr>
          </w:p>
        </w:tc>
        <w:tc>
          <w:tcPr>
            <w:tcW w:w="1640" w:type="dxa"/>
            <w:vAlign w:val="bottom"/>
            <w:shd w:val="clear" w:color="auto" w:fill="D8E7F3"/>
          </w:tcPr>
          <w:p>
            <w:pPr>
              <w:jc w:val="center"/>
              <w:spacing w:after="0"/>
              <w:rPr>
                <w:sz w:val="20"/>
                <w:szCs w:val="20"/>
                <w:color w:val="auto"/>
              </w:rPr>
            </w:pPr>
            <w:r>
              <w:rPr>
                <w:rFonts w:ascii="Arial" w:cs="Arial" w:eastAsia="Arial" w:hAnsi="Arial"/>
                <w:sz w:val="16"/>
                <w:szCs w:val="16"/>
                <w:color w:val="auto"/>
                <w:w w:val="98"/>
              </w:rPr>
              <w:t>higher</w:t>
            </w:r>
          </w:p>
        </w:tc>
        <w:tc>
          <w:tcPr>
            <w:tcW w:w="1420" w:type="dxa"/>
            <w:vAlign w:val="bottom"/>
            <w:tcBorders>
              <w:right w:val="single" w:sz="8" w:color="auto"/>
            </w:tcBorders>
            <w:shd w:val="clear" w:color="auto" w:fill="D8E7F3"/>
          </w:tcPr>
          <w:p>
            <w:pPr>
              <w:jc w:val="center"/>
              <w:spacing w:after="0"/>
              <w:rPr>
                <w:sz w:val="20"/>
                <w:szCs w:val="20"/>
                <w:color w:val="auto"/>
              </w:rPr>
            </w:pPr>
            <w:r>
              <w:rPr>
                <w:rFonts w:ascii="Arial" w:cs="Arial" w:eastAsia="Arial" w:hAnsi="Arial"/>
                <w:sz w:val="16"/>
                <w:szCs w:val="16"/>
                <w:color w:val="auto"/>
              </w:rPr>
              <w:t>(200%)</w:t>
            </w:r>
          </w:p>
        </w:tc>
        <w:tc>
          <w:tcPr>
            <w:tcW w:w="500" w:type="dxa"/>
            <w:vAlign w:val="bottom"/>
            <w:tcBorders>
              <w:right w:val="single" w:sz="8" w:color="auto"/>
            </w:tcBorders>
          </w:tcPr>
          <w:p>
            <w:pPr>
              <w:spacing w:after="0"/>
              <w:rPr>
                <w:sz w:val="16"/>
                <w:szCs w:val="16"/>
                <w:color w:val="auto"/>
              </w:rPr>
            </w:pPr>
          </w:p>
        </w:tc>
        <w:tc>
          <w:tcPr>
            <w:tcW w:w="1500" w:type="dxa"/>
            <w:vAlign w:val="bottom"/>
            <w:shd w:val="clear" w:color="auto" w:fill="D8E7F3"/>
          </w:tcPr>
          <w:p>
            <w:pPr>
              <w:spacing w:after="0"/>
              <w:rPr>
                <w:sz w:val="16"/>
                <w:szCs w:val="16"/>
                <w:color w:val="auto"/>
              </w:rPr>
            </w:pPr>
          </w:p>
        </w:tc>
        <w:tc>
          <w:tcPr>
            <w:tcW w:w="100" w:type="dxa"/>
            <w:vAlign w:val="bottom"/>
            <w:shd w:val="clear" w:color="auto" w:fill="D8E7F3"/>
          </w:tcPr>
          <w:p>
            <w:pPr>
              <w:spacing w:after="0"/>
              <w:rPr>
                <w:sz w:val="16"/>
                <w:szCs w:val="16"/>
                <w:color w:val="auto"/>
              </w:rPr>
            </w:pPr>
          </w:p>
        </w:tc>
        <w:tc>
          <w:tcPr>
            <w:tcW w:w="1060" w:type="dxa"/>
            <w:vAlign w:val="bottom"/>
            <w:tcBorders>
              <w:right w:val="single" w:sz="8" w:color="auto"/>
            </w:tcBorders>
            <w:shd w:val="clear" w:color="auto" w:fill="D8E7F3"/>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60"/>
        </w:trPr>
        <w:tc>
          <w:tcPr>
            <w:tcW w:w="1660" w:type="dxa"/>
            <w:vAlign w:val="bottom"/>
            <w:tcBorders>
              <w:left w:val="single" w:sz="8" w:color="auto"/>
            </w:tcBorders>
            <w:vMerge w:val="continue"/>
            <w:shd w:val="clear" w:color="auto" w:fill="D8E7F3"/>
          </w:tcPr>
          <w:p>
            <w:pPr>
              <w:spacing w:after="0"/>
              <w:rPr>
                <w:sz w:val="5"/>
                <w:szCs w:val="5"/>
                <w:color w:val="auto"/>
              </w:rPr>
            </w:pPr>
          </w:p>
        </w:tc>
        <w:tc>
          <w:tcPr>
            <w:tcW w:w="40" w:type="dxa"/>
            <w:vAlign w:val="bottom"/>
            <w:shd w:val="clear" w:color="auto" w:fill="D8E7F3"/>
          </w:tcPr>
          <w:p>
            <w:pPr>
              <w:spacing w:after="0"/>
              <w:rPr>
                <w:sz w:val="5"/>
                <w:szCs w:val="5"/>
                <w:color w:val="auto"/>
              </w:rPr>
            </w:pPr>
          </w:p>
        </w:tc>
        <w:tc>
          <w:tcPr>
            <w:tcW w:w="3060" w:type="dxa"/>
            <w:vAlign w:val="bottom"/>
            <w:tcBorders>
              <w:right w:val="single" w:sz="8" w:color="auto"/>
            </w:tcBorders>
            <w:gridSpan w:val="2"/>
            <w:vMerge w:val="restart"/>
            <w:shd w:val="clear" w:color="auto" w:fill="D8E7F3"/>
          </w:tcPr>
          <w:p>
            <w:pPr>
              <w:jc w:val="center"/>
              <w:spacing w:after="0"/>
              <w:rPr>
                <w:sz w:val="20"/>
                <w:szCs w:val="20"/>
                <w:color w:val="auto"/>
              </w:rPr>
            </w:pPr>
            <w:r>
              <w:rPr>
                <w:rFonts w:ascii="Arial" w:cs="Arial" w:eastAsia="Arial" w:hAnsi="Arial"/>
                <w:sz w:val="16"/>
                <w:szCs w:val="16"/>
                <w:i w:val="1"/>
                <w:iCs w:val="1"/>
                <w:color w:val="auto"/>
                <w:w w:val="98"/>
              </w:rPr>
              <w:t>Achievement between these two</w:t>
            </w:r>
          </w:p>
        </w:tc>
        <w:tc>
          <w:tcPr>
            <w:tcW w:w="500" w:type="dxa"/>
            <w:vAlign w:val="bottom"/>
            <w:tcBorders>
              <w:right w:val="single" w:sz="8" w:color="auto"/>
            </w:tcBorders>
          </w:tcPr>
          <w:p>
            <w:pPr>
              <w:spacing w:after="0"/>
              <w:rPr>
                <w:sz w:val="5"/>
                <w:szCs w:val="5"/>
                <w:color w:val="auto"/>
              </w:rPr>
            </w:pPr>
          </w:p>
        </w:tc>
        <w:tc>
          <w:tcPr>
            <w:tcW w:w="1500" w:type="dxa"/>
            <w:vAlign w:val="bottom"/>
            <w:shd w:val="clear" w:color="auto" w:fill="D8E7F3"/>
          </w:tcPr>
          <w:p>
            <w:pPr>
              <w:spacing w:after="0"/>
              <w:rPr>
                <w:sz w:val="5"/>
                <w:szCs w:val="5"/>
                <w:color w:val="auto"/>
              </w:rPr>
            </w:pPr>
          </w:p>
        </w:tc>
        <w:tc>
          <w:tcPr>
            <w:tcW w:w="100" w:type="dxa"/>
            <w:vAlign w:val="bottom"/>
            <w:shd w:val="clear" w:color="auto" w:fill="D8E7F3"/>
          </w:tcPr>
          <w:p>
            <w:pPr>
              <w:spacing w:after="0"/>
              <w:rPr>
                <w:sz w:val="5"/>
                <w:szCs w:val="5"/>
                <w:color w:val="auto"/>
              </w:rPr>
            </w:pPr>
          </w:p>
        </w:tc>
        <w:tc>
          <w:tcPr>
            <w:tcW w:w="1060" w:type="dxa"/>
            <w:vAlign w:val="bottom"/>
            <w:tcBorders>
              <w:right w:val="single" w:sz="8" w:color="auto"/>
            </w:tcBorders>
            <w:shd w:val="clear" w:color="auto" w:fill="D8E7F3"/>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660" w:type="dxa"/>
            <w:vAlign w:val="bottom"/>
            <w:tcBorders>
              <w:left w:val="single" w:sz="8" w:color="auto"/>
            </w:tcBorders>
            <w:shd w:val="clear" w:color="auto" w:fill="D8E7F3"/>
          </w:tcPr>
          <w:p>
            <w:pPr>
              <w:jc w:val="center"/>
              <w:ind w:left="21"/>
              <w:spacing w:after="0" w:line="162" w:lineRule="exact"/>
              <w:rPr>
                <w:sz w:val="20"/>
                <w:szCs w:val="20"/>
                <w:color w:val="auto"/>
              </w:rPr>
            </w:pPr>
            <w:r>
              <w:rPr>
                <w:rFonts w:ascii="Arial" w:cs="Arial" w:eastAsia="Arial" w:hAnsi="Arial"/>
                <w:sz w:val="16"/>
                <w:szCs w:val="16"/>
                <w:color w:val="auto"/>
              </w:rPr>
              <w:t>share price</w:t>
            </w:r>
          </w:p>
        </w:tc>
        <w:tc>
          <w:tcPr>
            <w:tcW w:w="40" w:type="dxa"/>
            <w:vAlign w:val="bottom"/>
            <w:shd w:val="clear" w:color="auto" w:fill="D8E7F3"/>
          </w:tcPr>
          <w:p>
            <w:pPr>
              <w:spacing w:after="0"/>
              <w:rPr>
                <w:sz w:val="14"/>
                <w:szCs w:val="14"/>
                <w:color w:val="auto"/>
              </w:rPr>
            </w:pPr>
          </w:p>
        </w:tc>
        <w:tc>
          <w:tcPr>
            <w:tcW w:w="3060" w:type="dxa"/>
            <w:vAlign w:val="bottom"/>
            <w:tcBorders>
              <w:right w:val="single" w:sz="8" w:color="auto"/>
            </w:tcBorders>
            <w:gridSpan w:val="2"/>
            <w:vMerge w:val="continue"/>
            <w:shd w:val="clear" w:color="auto" w:fill="D8E7F3"/>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500" w:type="dxa"/>
            <w:vAlign w:val="bottom"/>
            <w:shd w:val="clear" w:color="auto" w:fill="D8E7F3"/>
          </w:tcPr>
          <w:p>
            <w:pPr>
              <w:jc w:val="center"/>
              <w:spacing w:after="0" w:line="162" w:lineRule="exact"/>
              <w:rPr>
                <w:sz w:val="20"/>
                <w:szCs w:val="20"/>
                <w:color w:val="auto"/>
              </w:rPr>
            </w:pPr>
            <w:r>
              <w:rPr>
                <w:rFonts w:ascii="Arial" w:cs="Arial" w:eastAsia="Arial" w:hAnsi="Arial"/>
                <w:sz w:val="16"/>
                <w:szCs w:val="16"/>
                <w:color w:val="auto"/>
                <w:w w:val="99"/>
              </w:rPr>
              <w:t>Measures three-</w:t>
            </w:r>
          </w:p>
        </w:tc>
        <w:tc>
          <w:tcPr>
            <w:tcW w:w="100" w:type="dxa"/>
            <w:vAlign w:val="bottom"/>
            <w:shd w:val="clear" w:color="auto" w:fill="D8E7F3"/>
          </w:tcPr>
          <w:p>
            <w:pPr>
              <w:spacing w:after="0"/>
              <w:rPr>
                <w:sz w:val="14"/>
                <w:szCs w:val="14"/>
                <w:color w:val="auto"/>
              </w:rPr>
            </w:pPr>
          </w:p>
        </w:tc>
        <w:tc>
          <w:tcPr>
            <w:tcW w:w="1060" w:type="dxa"/>
            <w:vAlign w:val="bottom"/>
            <w:tcBorders>
              <w:right w:val="single" w:sz="8" w:color="auto"/>
            </w:tcBorders>
            <w:shd w:val="clear" w:color="auto" w:fill="D8E7F3"/>
          </w:tcPr>
          <w:p>
            <w:pPr>
              <w:jc w:val="center"/>
              <w:spacing w:after="0" w:line="162" w:lineRule="exact"/>
              <w:rPr>
                <w:sz w:val="20"/>
                <w:szCs w:val="20"/>
                <w:color w:val="auto"/>
              </w:rPr>
            </w:pPr>
            <w:r>
              <w:rPr>
                <w:rFonts w:ascii="Arial" w:cs="Arial" w:eastAsia="Arial" w:hAnsi="Arial"/>
                <w:sz w:val="16"/>
                <w:szCs w:val="16"/>
                <w:color w:val="auto"/>
                <w:w w:val="98"/>
              </w:rPr>
              <w:t>Maximum</w:t>
            </w:r>
          </w:p>
        </w:tc>
        <w:tc>
          <w:tcPr>
            <w:tcW w:w="0" w:type="dxa"/>
            <w:vAlign w:val="bottom"/>
          </w:tcPr>
          <w:p>
            <w:pPr>
              <w:spacing w:after="0"/>
              <w:rPr>
                <w:sz w:val="1"/>
                <w:szCs w:val="1"/>
                <w:color w:val="auto"/>
              </w:rPr>
            </w:pPr>
          </w:p>
        </w:tc>
      </w:tr>
      <w:tr>
        <w:trPr>
          <w:trHeight w:val="179"/>
        </w:trPr>
        <w:tc>
          <w:tcPr>
            <w:tcW w:w="1660" w:type="dxa"/>
            <w:vAlign w:val="bottom"/>
            <w:tcBorders>
              <w:left w:val="single" w:sz="8" w:color="auto"/>
            </w:tcBorders>
            <w:shd w:val="clear" w:color="auto" w:fill="D8E7F3"/>
          </w:tcPr>
          <w:p>
            <w:pPr>
              <w:jc w:val="center"/>
              <w:ind w:left="21"/>
              <w:spacing w:after="0" w:line="178" w:lineRule="exact"/>
              <w:rPr>
                <w:sz w:val="20"/>
                <w:szCs w:val="20"/>
                <w:color w:val="auto"/>
              </w:rPr>
            </w:pPr>
            <w:r>
              <w:rPr>
                <w:rFonts w:ascii="Arial" w:cs="Arial" w:eastAsia="Arial" w:hAnsi="Arial"/>
                <w:sz w:val="16"/>
                <w:szCs w:val="16"/>
                <w:color w:val="auto"/>
                <w:w w:val="98"/>
              </w:rPr>
              <w:t>performance over a</w:t>
            </w:r>
          </w:p>
        </w:tc>
        <w:tc>
          <w:tcPr>
            <w:tcW w:w="40" w:type="dxa"/>
            <w:vAlign w:val="bottom"/>
            <w:shd w:val="clear" w:color="auto" w:fill="D8E7F3"/>
          </w:tcPr>
          <w:p>
            <w:pPr>
              <w:spacing w:after="0"/>
              <w:rPr>
                <w:sz w:val="15"/>
                <w:szCs w:val="15"/>
                <w:color w:val="auto"/>
              </w:rPr>
            </w:pPr>
          </w:p>
        </w:tc>
        <w:tc>
          <w:tcPr>
            <w:tcW w:w="3060" w:type="dxa"/>
            <w:vAlign w:val="bottom"/>
            <w:tcBorders>
              <w:right w:val="single" w:sz="8" w:color="auto"/>
            </w:tcBorders>
            <w:gridSpan w:val="2"/>
            <w:shd w:val="clear" w:color="auto" w:fill="D8E7F3"/>
          </w:tcPr>
          <w:p>
            <w:pPr>
              <w:jc w:val="center"/>
              <w:spacing w:after="0" w:line="178" w:lineRule="exact"/>
              <w:rPr>
                <w:sz w:val="20"/>
                <w:szCs w:val="20"/>
                <w:color w:val="auto"/>
              </w:rPr>
            </w:pPr>
            <w:r>
              <w:rPr>
                <w:rFonts w:ascii="Arial" w:cs="Arial" w:eastAsia="Arial" w:hAnsi="Arial"/>
                <w:sz w:val="16"/>
                <w:szCs w:val="16"/>
                <w:i w:val="1"/>
                <w:iCs w:val="1"/>
                <w:color w:val="auto"/>
                <w:w w:val="98"/>
              </w:rPr>
              <w:t>levels determined utilizing linear</w:t>
            </w:r>
          </w:p>
        </w:tc>
        <w:tc>
          <w:tcPr>
            <w:tcW w:w="500" w:type="dxa"/>
            <w:vAlign w:val="bottom"/>
            <w:tcBorders>
              <w:right w:val="single" w:sz="8" w:color="auto"/>
            </w:tcBorders>
          </w:tcPr>
          <w:p>
            <w:pPr>
              <w:spacing w:after="0"/>
              <w:rPr>
                <w:sz w:val="15"/>
                <w:szCs w:val="15"/>
                <w:color w:val="auto"/>
              </w:rPr>
            </w:pPr>
          </w:p>
        </w:tc>
        <w:tc>
          <w:tcPr>
            <w:tcW w:w="1500" w:type="dxa"/>
            <w:vAlign w:val="bottom"/>
            <w:shd w:val="clear" w:color="auto" w:fill="D8E7F3"/>
          </w:tcPr>
          <w:p>
            <w:pPr>
              <w:jc w:val="center"/>
              <w:spacing w:after="0" w:line="178" w:lineRule="exact"/>
              <w:rPr>
                <w:sz w:val="20"/>
                <w:szCs w:val="20"/>
                <w:color w:val="auto"/>
              </w:rPr>
            </w:pPr>
            <w:r>
              <w:rPr>
                <w:rFonts w:ascii="Arial" w:cs="Arial" w:eastAsia="Arial" w:hAnsi="Arial"/>
                <w:sz w:val="16"/>
                <w:szCs w:val="16"/>
                <w:color w:val="auto"/>
                <w:w w:val="98"/>
              </w:rPr>
              <w:t>year performance</w:t>
            </w:r>
          </w:p>
        </w:tc>
        <w:tc>
          <w:tcPr>
            <w:tcW w:w="100" w:type="dxa"/>
            <w:vAlign w:val="bottom"/>
            <w:shd w:val="clear" w:color="auto" w:fill="D8E7F3"/>
          </w:tcPr>
          <w:p>
            <w:pPr>
              <w:spacing w:after="0"/>
              <w:rPr>
                <w:sz w:val="15"/>
                <w:szCs w:val="15"/>
                <w:color w:val="auto"/>
              </w:rPr>
            </w:pPr>
          </w:p>
        </w:tc>
        <w:tc>
          <w:tcPr>
            <w:tcW w:w="1060" w:type="dxa"/>
            <w:vAlign w:val="bottom"/>
            <w:tcBorders>
              <w:right w:val="single" w:sz="8" w:color="auto"/>
            </w:tcBorders>
            <w:shd w:val="clear" w:color="auto" w:fill="D8E7F3"/>
          </w:tcPr>
          <w:p>
            <w:pPr>
              <w:jc w:val="center"/>
              <w:spacing w:after="0" w:line="178"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5"/>
        </w:trPr>
        <w:tc>
          <w:tcPr>
            <w:tcW w:w="1660" w:type="dxa"/>
            <w:vAlign w:val="bottom"/>
            <w:tcBorders>
              <w:left w:val="single" w:sz="8" w:color="auto"/>
            </w:tcBorders>
            <w:shd w:val="clear" w:color="auto" w:fill="D8E7F3"/>
          </w:tcPr>
          <w:p>
            <w:pPr>
              <w:jc w:val="center"/>
              <w:ind w:left="21"/>
              <w:spacing w:after="0"/>
              <w:rPr>
                <w:sz w:val="20"/>
                <w:szCs w:val="20"/>
                <w:color w:val="auto"/>
              </w:rPr>
            </w:pPr>
            <w:r>
              <w:rPr>
                <w:rFonts w:ascii="Arial" w:cs="Arial" w:eastAsia="Arial" w:hAnsi="Arial"/>
                <w:sz w:val="16"/>
                <w:szCs w:val="16"/>
                <w:color w:val="auto"/>
                <w:w w:val="98"/>
              </w:rPr>
              <w:t>three-year</w:t>
            </w:r>
          </w:p>
        </w:tc>
        <w:tc>
          <w:tcPr>
            <w:tcW w:w="40" w:type="dxa"/>
            <w:vAlign w:val="bottom"/>
            <w:shd w:val="clear" w:color="auto" w:fill="D8E7F3"/>
          </w:tcPr>
          <w:p>
            <w:pPr>
              <w:spacing w:after="0"/>
              <w:rPr>
                <w:sz w:val="16"/>
                <w:szCs w:val="16"/>
                <w:color w:val="auto"/>
              </w:rPr>
            </w:pPr>
          </w:p>
        </w:tc>
        <w:tc>
          <w:tcPr>
            <w:tcW w:w="3060" w:type="dxa"/>
            <w:vAlign w:val="bottom"/>
            <w:tcBorders>
              <w:right w:val="single" w:sz="8" w:color="auto"/>
            </w:tcBorders>
            <w:gridSpan w:val="2"/>
            <w:shd w:val="clear" w:color="auto" w:fill="D8E7F3"/>
          </w:tcPr>
          <w:p>
            <w:pPr>
              <w:jc w:val="center"/>
              <w:spacing w:after="0"/>
              <w:rPr>
                <w:sz w:val="20"/>
                <w:szCs w:val="20"/>
                <w:color w:val="auto"/>
              </w:rPr>
            </w:pPr>
            <w:r>
              <w:rPr>
                <w:rFonts w:ascii="Arial" w:cs="Arial" w:eastAsia="Arial" w:hAnsi="Arial"/>
                <w:sz w:val="16"/>
                <w:szCs w:val="16"/>
                <w:i w:val="1"/>
                <w:iCs w:val="1"/>
                <w:color w:val="auto"/>
                <w:w w:val="99"/>
              </w:rPr>
              <w:t>interpolation based on position</w:t>
            </w:r>
          </w:p>
        </w:tc>
        <w:tc>
          <w:tcPr>
            <w:tcW w:w="500" w:type="dxa"/>
            <w:vAlign w:val="bottom"/>
            <w:tcBorders>
              <w:right w:val="single" w:sz="8" w:color="auto"/>
            </w:tcBorders>
          </w:tcPr>
          <w:p>
            <w:pPr>
              <w:spacing w:after="0"/>
              <w:rPr>
                <w:sz w:val="16"/>
                <w:szCs w:val="16"/>
                <w:color w:val="auto"/>
              </w:rPr>
            </w:pPr>
          </w:p>
        </w:tc>
        <w:tc>
          <w:tcPr>
            <w:tcW w:w="1500" w:type="dxa"/>
            <w:vAlign w:val="bottom"/>
            <w:shd w:val="clear" w:color="auto" w:fill="D8E7F3"/>
          </w:tcPr>
          <w:p>
            <w:pPr>
              <w:jc w:val="center"/>
              <w:spacing w:after="0"/>
              <w:rPr>
                <w:sz w:val="20"/>
                <w:szCs w:val="20"/>
                <w:color w:val="auto"/>
              </w:rPr>
            </w:pPr>
            <w:r>
              <w:rPr>
                <w:rFonts w:ascii="Arial" w:cs="Arial" w:eastAsia="Arial" w:hAnsi="Arial"/>
                <w:sz w:val="16"/>
                <w:szCs w:val="16"/>
                <w:color w:val="auto"/>
                <w:w w:val="97"/>
              </w:rPr>
              <w:t>relative to</w:t>
            </w:r>
          </w:p>
        </w:tc>
        <w:tc>
          <w:tcPr>
            <w:tcW w:w="100" w:type="dxa"/>
            <w:vAlign w:val="bottom"/>
            <w:shd w:val="clear" w:color="auto" w:fill="D8E7F3"/>
          </w:tcPr>
          <w:p>
            <w:pPr>
              <w:spacing w:after="0"/>
              <w:rPr>
                <w:sz w:val="16"/>
                <w:szCs w:val="16"/>
                <w:color w:val="auto"/>
              </w:rPr>
            </w:pPr>
          </w:p>
        </w:tc>
        <w:tc>
          <w:tcPr>
            <w:tcW w:w="1060" w:type="dxa"/>
            <w:vAlign w:val="bottom"/>
            <w:tcBorders>
              <w:right w:val="single" w:sz="8" w:color="auto"/>
            </w:tcBorders>
            <w:shd w:val="clear" w:color="auto" w:fill="D8E7F3"/>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60" w:type="dxa"/>
            <w:vAlign w:val="bottom"/>
            <w:tcBorders>
              <w:left w:val="single" w:sz="8" w:color="auto"/>
            </w:tcBorders>
            <w:shd w:val="clear" w:color="auto" w:fill="D8E7F3"/>
          </w:tcPr>
          <w:p>
            <w:pPr>
              <w:jc w:val="center"/>
              <w:ind w:left="21"/>
              <w:spacing w:after="0" w:line="178" w:lineRule="exact"/>
              <w:rPr>
                <w:sz w:val="20"/>
                <w:szCs w:val="20"/>
                <w:color w:val="auto"/>
              </w:rPr>
            </w:pPr>
            <w:r>
              <w:rPr>
                <w:rFonts w:ascii="Arial" w:cs="Arial" w:eastAsia="Arial" w:hAnsi="Arial"/>
                <w:sz w:val="16"/>
                <w:szCs w:val="16"/>
                <w:color w:val="auto"/>
                <w:w w:val="97"/>
              </w:rPr>
              <w:t>performance</w:t>
            </w:r>
          </w:p>
        </w:tc>
        <w:tc>
          <w:tcPr>
            <w:tcW w:w="40" w:type="dxa"/>
            <w:vAlign w:val="bottom"/>
            <w:shd w:val="clear" w:color="auto" w:fill="D8E7F3"/>
          </w:tcPr>
          <w:p>
            <w:pPr>
              <w:spacing w:after="0"/>
              <w:rPr>
                <w:sz w:val="15"/>
                <w:szCs w:val="15"/>
                <w:color w:val="auto"/>
              </w:rPr>
            </w:pPr>
          </w:p>
        </w:tc>
        <w:tc>
          <w:tcPr>
            <w:tcW w:w="1640" w:type="dxa"/>
            <w:vAlign w:val="bottom"/>
            <w:vMerge w:val="restart"/>
            <w:shd w:val="clear" w:color="auto" w:fill="D8E7F3"/>
          </w:tcPr>
          <w:p>
            <w:pPr>
              <w:jc w:val="center"/>
              <w:spacing w:after="0"/>
              <w:rPr>
                <w:sz w:val="20"/>
                <w:szCs w:val="20"/>
                <w:color w:val="auto"/>
              </w:rPr>
            </w:pPr>
            <w:r>
              <w:rPr>
                <w:rFonts w:ascii="Arial" w:cs="Arial" w:eastAsia="Arial" w:hAnsi="Arial"/>
                <w:sz w:val="16"/>
                <w:szCs w:val="16"/>
                <w:color w:val="auto"/>
                <w:w w:val="99"/>
              </w:rPr>
              <w:t>25</w:t>
            </w:r>
            <w:r>
              <w:rPr>
                <w:rFonts w:ascii="Arial" w:cs="Arial" w:eastAsia="Arial" w:hAnsi="Arial"/>
                <w:sz w:val="13"/>
                <w:szCs w:val="13"/>
                <w:color w:val="auto"/>
                <w:w w:val="99"/>
              </w:rPr>
              <w:t>th</w:t>
            </w:r>
            <w:r>
              <w:rPr>
                <w:rFonts w:ascii="Arial" w:cs="Arial" w:eastAsia="Arial" w:hAnsi="Arial"/>
                <w:sz w:val="16"/>
                <w:szCs w:val="16"/>
                <w:color w:val="auto"/>
                <w:w w:val="99"/>
              </w:rPr>
              <w:t xml:space="preserve"> percentile</w:t>
            </w:r>
          </w:p>
        </w:tc>
        <w:tc>
          <w:tcPr>
            <w:tcW w:w="1420" w:type="dxa"/>
            <w:vAlign w:val="bottom"/>
            <w:tcBorders>
              <w:right w:val="single" w:sz="8" w:color="auto"/>
            </w:tcBorders>
            <w:vMerge w:val="restart"/>
            <w:shd w:val="clear" w:color="auto" w:fill="D8E7F3"/>
          </w:tcPr>
          <w:p>
            <w:pPr>
              <w:jc w:val="center"/>
              <w:spacing w:after="0"/>
              <w:rPr>
                <w:sz w:val="20"/>
                <w:szCs w:val="20"/>
                <w:color w:val="auto"/>
              </w:rPr>
            </w:pPr>
            <w:r>
              <w:rPr>
                <w:rFonts w:ascii="Arial" w:cs="Arial" w:eastAsia="Arial" w:hAnsi="Arial"/>
                <w:sz w:val="16"/>
                <w:szCs w:val="16"/>
                <w:color w:val="auto"/>
              </w:rPr>
              <w:t>Threshold</w:t>
            </w:r>
          </w:p>
        </w:tc>
        <w:tc>
          <w:tcPr>
            <w:tcW w:w="500" w:type="dxa"/>
            <w:vAlign w:val="bottom"/>
            <w:tcBorders>
              <w:right w:val="single" w:sz="8" w:color="auto"/>
            </w:tcBorders>
          </w:tcPr>
          <w:p>
            <w:pPr>
              <w:spacing w:after="0"/>
              <w:rPr>
                <w:sz w:val="15"/>
                <w:szCs w:val="15"/>
                <w:color w:val="auto"/>
              </w:rPr>
            </w:pPr>
          </w:p>
        </w:tc>
        <w:tc>
          <w:tcPr>
            <w:tcW w:w="1500" w:type="dxa"/>
            <w:vAlign w:val="bottom"/>
            <w:shd w:val="clear" w:color="auto" w:fill="D8E7F3"/>
          </w:tcPr>
          <w:p>
            <w:pPr>
              <w:jc w:val="center"/>
              <w:spacing w:after="0" w:line="178" w:lineRule="exact"/>
              <w:rPr>
                <w:sz w:val="20"/>
                <w:szCs w:val="20"/>
                <w:color w:val="auto"/>
              </w:rPr>
            </w:pPr>
            <w:r>
              <w:rPr>
                <w:rFonts w:ascii="Arial" w:cs="Arial" w:eastAsia="Arial" w:hAnsi="Arial"/>
                <w:sz w:val="16"/>
                <w:szCs w:val="16"/>
                <w:color w:val="auto"/>
                <w:w w:val="99"/>
              </w:rPr>
              <w:t>absolute utility net</w:t>
            </w:r>
          </w:p>
        </w:tc>
        <w:tc>
          <w:tcPr>
            <w:tcW w:w="100" w:type="dxa"/>
            <w:vAlign w:val="bottom"/>
            <w:shd w:val="clear" w:color="auto" w:fill="D8E7F3"/>
          </w:tcPr>
          <w:p>
            <w:pPr>
              <w:spacing w:after="0"/>
              <w:rPr>
                <w:sz w:val="15"/>
                <w:szCs w:val="15"/>
                <w:color w:val="auto"/>
              </w:rPr>
            </w:pPr>
          </w:p>
        </w:tc>
        <w:tc>
          <w:tcPr>
            <w:tcW w:w="1060" w:type="dxa"/>
            <w:vAlign w:val="bottom"/>
            <w:tcBorders>
              <w:right w:val="single" w:sz="8" w:color="auto"/>
            </w:tcBorders>
            <w:shd w:val="clear" w:color="auto" w:fill="D8E7F3"/>
          </w:tcPr>
          <w:p>
            <w:pPr>
              <w:jc w:val="center"/>
              <w:spacing w:after="0" w:line="178" w:lineRule="exact"/>
              <w:rPr>
                <w:sz w:val="20"/>
                <w:szCs w:val="20"/>
                <w:color w:val="auto"/>
              </w:rPr>
            </w:pPr>
            <w:r>
              <w:rPr>
                <w:rFonts w:ascii="Arial" w:cs="Arial" w:eastAsia="Arial" w:hAnsi="Arial"/>
                <w:sz w:val="16"/>
                <w:szCs w:val="16"/>
                <w:color w:val="auto"/>
                <w:w w:val="95"/>
              </w:rPr>
              <w:t>Target</w:t>
            </w:r>
          </w:p>
        </w:tc>
        <w:tc>
          <w:tcPr>
            <w:tcW w:w="0" w:type="dxa"/>
            <w:vAlign w:val="bottom"/>
          </w:tcPr>
          <w:p>
            <w:pPr>
              <w:spacing w:after="0"/>
              <w:rPr>
                <w:sz w:val="1"/>
                <w:szCs w:val="1"/>
                <w:color w:val="auto"/>
              </w:rPr>
            </w:pPr>
          </w:p>
        </w:tc>
      </w:tr>
      <w:tr>
        <w:trPr>
          <w:trHeight w:val="60"/>
        </w:trPr>
        <w:tc>
          <w:tcPr>
            <w:tcW w:w="1660" w:type="dxa"/>
            <w:vAlign w:val="bottom"/>
            <w:tcBorders>
              <w:left w:val="single" w:sz="8" w:color="auto"/>
            </w:tcBorders>
            <w:vMerge w:val="restart"/>
            <w:shd w:val="clear" w:color="auto" w:fill="D8E7F3"/>
          </w:tcPr>
          <w:p>
            <w:pPr>
              <w:jc w:val="center"/>
              <w:ind w:left="1"/>
              <w:spacing w:after="0" w:line="178" w:lineRule="exact"/>
              <w:rPr>
                <w:sz w:val="20"/>
                <w:szCs w:val="20"/>
                <w:color w:val="auto"/>
              </w:rPr>
            </w:pPr>
            <w:r>
              <w:rPr>
                <w:rFonts w:ascii="Arial" w:cs="Arial" w:eastAsia="Arial" w:hAnsi="Arial"/>
                <w:sz w:val="16"/>
                <w:szCs w:val="16"/>
                <w:color w:val="auto"/>
                <w:w w:val="99"/>
              </w:rPr>
              <w:t>period, relative to</w:t>
            </w:r>
          </w:p>
        </w:tc>
        <w:tc>
          <w:tcPr>
            <w:tcW w:w="40" w:type="dxa"/>
            <w:vAlign w:val="bottom"/>
            <w:shd w:val="clear" w:color="auto" w:fill="D8E7F3"/>
          </w:tcPr>
          <w:p>
            <w:pPr>
              <w:spacing w:after="0"/>
              <w:rPr>
                <w:sz w:val="5"/>
                <w:szCs w:val="5"/>
                <w:color w:val="auto"/>
              </w:rPr>
            </w:pPr>
          </w:p>
        </w:tc>
        <w:tc>
          <w:tcPr>
            <w:tcW w:w="1640" w:type="dxa"/>
            <w:vAlign w:val="bottom"/>
            <w:vMerge w:val="continue"/>
            <w:shd w:val="clear" w:color="auto" w:fill="D8E7F3"/>
          </w:tcPr>
          <w:p>
            <w:pPr>
              <w:spacing w:after="0"/>
              <w:rPr>
                <w:sz w:val="5"/>
                <w:szCs w:val="5"/>
                <w:color w:val="auto"/>
              </w:rPr>
            </w:pPr>
          </w:p>
        </w:tc>
        <w:tc>
          <w:tcPr>
            <w:tcW w:w="1420" w:type="dxa"/>
            <w:vAlign w:val="bottom"/>
            <w:tcBorders>
              <w:right w:val="single" w:sz="8" w:color="auto"/>
            </w:tcBorders>
            <w:vMerge w:val="continue"/>
            <w:shd w:val="clear" w:color="auto" w:fill="D8E7F3"/>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500" w:type="dxa"/>
            <w:vAlign w:val="bottom"/>
            <w:vMerge w:val="restart"/>
            <w:shd w:val="clear" w:color="auto" w:fill="D8E7F3"/>
          </w:tcPr>
          <w:p>
            <w:pPr>
              <w:jc w:val="center"/>
              <w:spacing w:after="0" w:line="178" w:lineRule="exact"/>
              <w:rPr>
                <w:sz w:val="20"/>
                <w:szCs w:val="20"/>
                <w:color w:val="auto"/>
              </w:rPr>
            </w:pPr>
            <w:r>
              <w:rPr>
                <w:rFonts w:ascii="Arial" w:cs="Arial" w:eastAsia="Arial" w:hAnsi="Arial"/>
                <w:sz w:val="16"/>
                <w:szCs w:val="16"/>
                <w:color w:val="auto"/>
                <w:w w:val="99"/>
              </w:rPr>
              <w:t>income targets</w:t>
            </w:r>
          </w:p>
        </w:tc>
        <w:tc>
          <w:tcPr>
            <w:tcW w:w="100" w:type="dxa"/>
            <w:vAlign w:val="bottom"/>
            <w:shd w:val="clear" w:color="auto" w:fill="D8E7F3"/>
          </w:tcPr>
          <w:p>
            <w:pPr>
              <w:spacing w:after="0"/>
              <w:rPr>
                <w:sz w:val="5"/>
                <w:szCs w:val="5"/>
                <w:color w:val="auto"/>
              </w:rPr>
            </w:pPr>
          </w:p>
        </w:tc>
        <w:tc>
          <w:tcPr>
            <w:tcW w:w="1060" w:type="dxa"/>
            <w:vAlign w:val="bottom"/>
            <w:tcBorders>
              <w:right w:val="single" w:sz="8" w:color="auto"/>
            </w:tcBorders>
            <w:vMerge w:val="restart"/>
            <w:shd w:val="clear" w:color="auto" w:fill="D8E7F3"/>
          </w:tcPr>
          <w:p>
            <w:pPr>
              <w:jc w:val="center"/>
              <w:spacing w:after="0" w:line="178"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19"/>
        </w:trPr>
        <w:tc>
          <w:tcPr>
            <w:tcW w:w="1660" w:type="dxa"/>
            <w:vAlign w:val="bottom"/>
            <w:tcBorders>
              <w:left w:val="single" w:sz="8" w:color="auto"/>
            </w:tcBorders>
            <w:vMerge w:val="continue"/>
            <w:shd w:val="clear" w:color="auto" w:fill="D8E7F3"/>
          </w:tcPr>
          <w:p>
            <w:pPr>
              <w:spacing w:after="0"/>
              <w:rPr>
                <w:sz w:val="10"/>
                <w:szCs w:val="10"/>
                <w:color w:val="auto"/>
              </w:rPr>
            </w:pPr>
          </w:p>
        </w:tc>
        <w:tc>
          <w:tcPr>
            <w:tcW w:w="40" w:type="dxa"/>
            <w:vAlign w:val="bottom"/>
            <w:shd w:val="clear" w:color="auto" w:fill="D8E7F3"/>
          </w:tcPr>
          <w:p>
            <w:pPr>
              <w:spacing w:after="0"/>
              <w:rPr>
                <w:sz w:val="10"/>
                <w:szCs w:val="10"/>
                <w:color w:val="auto"/>
              </w:rPr>
            </w:pPr>
          </w:p>
        </w:tc>
        <w:tc>
          <w:tcPr>
            <w:tcW w:w="1640" w:type="dxa"/>
            <w:vAlign w:val="bottom"/>
            <w:shd w:val="clear" w:color="auto" w:fill="D8E7F3"/>
          </w:tcPr>
          <w:p>
            <w:pPr>
              <w:spacing w:after="0"/>
              <w:rPr>
                <w:sz w:val="10"/>
                <w:szCs w:val="10"/>
                <w:color w:val="auto"/>
              </w:rPr>
            </w:pPr>
          </w:p>
        </w:tc>
        <w:tc>
          <w:tcPr>
            <w:tcW w:w="1420" w:type="dxa"/>
            <w:vAlign w:val="bottom"/>
            <w:tcBorders>
              <w:right w:val="single" w:sz="8" w:color="auto"/>
            </w:tcBorders>
            <w:vMerge w:val="restart"/>
            <w:shd w:val="clear" w:color="auto" w:fill="D8E7F3"/>
          </w:tcPr>
          <w:p>
            <w:pPr>
              <w:jc w:val="center"/>
              <w:spacing w:after="0"/>
              <w:rPr>
                <w:sz w:val="20"/>
                <w:szCs w:val="20"/>
                <w:color w:val="auto"/>
              </w:rPr>
            </w:pPr>
            <w:r>
              <w:rPr>
                <w:rFonts w:ascii="Arial" w:cs="Arial" w:eastAsia="Arial" w:hAnsi="Arial"/>
                <w:sz w:val="16"/>
                <w:szCs w:val="16"/>
                <w:color w:val="auto"/>
              </w:rPr>
              <w:t>(33%)</w:t>
            </w:r>
          </w:p>
        </w:tc>
        <w:tc>
          <w:tcPr>
            <w:tcW w:w="500" w:type="dxa"/>
            <w:vAlign w:val="bottom"/>
            <w:tcBorders>
              <w:right w:val="single" w:sz="8" w:color="auto"/>
            </w:tcBorders>
          </w:tcPr>
          <w:p>
            <w:pPr>
              <w:spacing w:after="0"/>
              <w:rPr>
                <w:sz w:val="10"/>
                <w:szCs w:val="10"/>
                <w:color w:val="auto"/>
              </w:rPr>
            </w:pPr>
          </w:p>
        </w:tc>
        <w:tc>
          <w:tcPr>
            <w:tcW w:w="1500" w:type="dxa"/>
            <w:vAlign w:val="bottom"/>
            <w:vMerge w:val="continue"/>
            <w:shd w:val="clear" w:color="auto" w:fill="D8E7F3"/>
          </w:tcPr>
          <w:p>
            <w:pPr>
              <w:spacing w:after="0"/>
              <w:rPr>
                <w:sz w:val="10"/>
                <w:szCs w:val="10"/>
                <w:color w:val="auto"/>
              </w:rPr>
            </w:pPr>
          </w:p>
        </w:tc>
        <w:tc>
          <w:tcPr>
            <w:tcW w:w="100" w:type="dxa"/>
            <w:vAlign w:val="bottom"/>
            <w:shd w:val="clear" w:color="auto" w:fill="D8E7F3"/>
          </w:tcPr>
          <w:p>
            <w:pPr>
              <w:spacing w:after="0"/>
              <w:rPr>
                <w:sz w:val="10"/>
                <w:szCs w:val="10"/>
                <w:color w:val="auto"/>
              </w:rPr>
            </w:pPr>
          </w:p>
        </w:tc>
        <w:tc>
          <w:tcPr>
            <w:tcW w:w="1060" w:type="dxa"/>
            <w:vAlign w:val="bottom"/>
            <w:tcBorders>
              <w:right w:val="single" w:sz="8" w:color="auto"/>
            </w:tcBorders>
            <w:vMerge w:val="continue"/>
            <w:shd w:val="clear" w:color="auto" w:fill="D8E7F3"/>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660" w:type="dxa"/>
            <w:vAlign w:val="bottom"/>
            <w:tcBorders>
              <w:left w:val="single" w:sz="8" w:color="auto"/>
            </w:tcBorders>
            <w:vMerge w:val="restart"/>
            <w:shd w:val="clear" w:color="auto" w:fill="D8E7F3"/>
          </w:tcPr>
          <w:p>
            <w:pPr>
              <w:jc w:val="center"/>
              <w:ind w:left="21"/>
              <w:spacing w:after="0"/>
              <w:rPr>
                <w:sz w:val="20"/>
                <w:szCs w:val="20"/>
                <w:color w:val="auto"/>
              </w:rPr>
            </w:pPr>
            <w:r>
              <w:rPr>
                <w:rFonts w:ascii="Arial" w:cs="Arial" w:eastAsia="Arial" w:hAnsi="Arial"/>
                <w:sz w:val="16"/>
                <w:szCs w:val="16"/>
                <w:color w:val="auto"/>
                <w:w w:val="98"/>
              </w:rPr>
              <w:t>Peer Group***</w:t>
            </w:r>
          </w:p>
        </w:tc>
        <w:tc>
          <w:tcPr>
            <w:tcW w:w="40" w:type="dxa"/>
            <w:vAlign w:val="bottom"/>
            <w:shd w:val="clear" w:color="auto" w:fill="D8E7F3"/>
          </w:tcPr>
          <w:p>
            <w:pPr>
              <w:spacing w:after="0"/>
              <w:rPr>
                <w:sz w:val="6"/>
                <w:szCs w:val="6"/>
                <w:color w:val="auto"/>
              </w:rPr>
            </w:pPr>
          </w:p>
        </w:tc>
        <w:tc>
          <w:tcPr>
            <w:tcW w:w="1640" w:type="dxa"/>
            <w:vAlign w:val="bottom"/>
            <w:vMerge w:val="restart"/>
            <w:shd w:val="clear" w:color="auto" w:fill="D8E7F3"/>
          </w:tcPr>
          <w:p>
            <w:pPr>
              <w:jc w:val="center"/>
              <w:spacing w:after="0"/>
              <w:rPr>
                <w:sz w:val="20"/>
                <w:szCs w:val="20"/>
                <w:color w:val="auto"/>
              </w:rPr>
            </w:pPr>
            <w:r>
              <w:rPr>
                <w:rFonts w:ascii="Arial" w:cs="Arial" w:eastAsia="Arial" w:hAnsi="Arial"/>
                <w:sz w:val="16"/>
                <w:szCs w:val="16"/>
                <w:color w:val="auto"/>
                <w:w w:val="99"/>
              </w:rPr>
              <w:t>Below 25</w:t>
            </w:r>
            <w:r>
              <w:rPr>
                <w:rFonts w:ascii="Arial" w:cs="Arial" w:eastAsia="Arial" w:hAnsi="Arial"/>
                <w:sz w:val="13"/>
                <w:szCs w:val="13"/>
                <w:color w:val="auto"/>
                <w:w w:val="99"/>
              </w:rPr>
              <w:t>th</w:t>
            </w:r>
          </w:p>
        </w:tc>
        <w:tc>
          <w:tcPr>
            <w:tcW w:w="1420" w:type="dxa"/>
            <w:vAlign w:val="bottom"/>
            <w:tcBorders>
              <w:right w:val="single" w:sz="8" w:color="auto"/>
            </w:tcBorders>
            <w:vMerge w:val="continue"/>
            <w:shd w:val="clear" w:color="auto" w:fill="D8E7F3"/>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1500" w:type="dxa"/>
            <w:vAlign w:val="bottom"/>
            <w:shd w:val="clear" w:color="auto" w:fill="D8E7F3"/>
          </w:tcPr>
          <w:p>
            <w:pPr>
              <w:spacing w:after="0"/>
              <w:rPr>
                <w:sz w:val="6"/>
                <w:szCs w:val="6"/>
                <w:color w:val="auto"/>
              </w:rPr>
            </w:pPr>
          </w:p>
        </w:tc>
        <w:tc>
          <w:tcPr>
            <w:tcW w:w="100" w:type="dxa"/>
            <w:vAlign w:val="bottom"/>
            <w:shd w:val="clear" w:color="auto" w:fill="D8E7F3"/>
          </w:tcPr>
          <w:p>
            <w:pPr>
              <w:spacing w:after="0"/>
              <w:rPr>
                <w:sz w:val="6"/>
                <w:szCs w:val="6"/>
                <w:color w:val="auto"/>
              </w:rPr>
            </w:pPr>
          </w:p>
        </w:tc>
        <w:tc>
          <w:tcPr>
            <w:tcW w:w="1060" w:type="dxa"/>
            <w:vAlign w:val="bottom"/>
            <w:tcBorders>
              <w:right w:val="single" w:sz="8" w:color="auto"/>
            </w:tcBorders>
            <w:shd w:val="clear" w:color="auto" w:fill="D8E7F3"/>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660" w:type="dxa"/>
            <w:vAlign w:val="bottom"/>
            <w:tcBorders>
              <w:left w:val="single" w:sz="8" w:color="auto"/>
            </w:tcBorders>
            <w:vMerge w:val="continue"/>
            <w:shd w:val="clear" w:color="auto" w:fill="D8E7F3"/>
          </w:tcPr>
          <w:p>
            <w:pPr>
              <w:spacing w:after="0"/>
              <w:rPr>
                <w:sz w:val="10"/>
                <w:szCs w:val="10"/>
                <w:color w:val="auto"/>
              </w:rPr>
            </w:pPr>
          </w:p>
        </w:tc>
        <w:tc>
          <w:tcPr>
            <w:tcW w:w="40" w:type="dxa"/>
            <w:vAlign w:val="bottom"/>
            <w:shd w:val="clear" w:color="auto" w:fill="D8E7F3"/>
          </w:tcPr>
          <w:p>
            <w:pPr>
              <w:spacing w:after="0"/>
              <w:rPr>
                <w:sz w:val="10"/>
                <w:szCs w:val="10"/>
                <w:color w:val="auto"/>
              </w:rPr>
            </w:pPr>
          </w:p>
        </w:tc>
        <w:tc>
          <w:tcPr>
            <w:tcW w:w="1640" w:type="dxa"/>
            <w:vAlign w:val="bottom"/>
            <w:vMerge w:val="continue"/>
            <w:shd w:val="clear" w:color="auto" w:fill="D8E7F3"/>
          </w:tcPr>
          <w:p>
            <w:pPr>
              <w:spacing w:after="0"/>
              <w:rPr>
                <w:sz w:val="10"/>
                <w:szCs w:val="10"/>
                <w:color w:val="auto"/>
              </w:rPr>
            </w:pPr>
          </w:p>
        </w:tc>
        <w:tc>
          <w:tcPr>
            <w:tcW w:w="1420" w:type="dxa"/>
            <w:vAlign w:val="bottom"/>
            <w:tcBorders>
              <w:right w:val="single" w:sz="8" w:color="auto"/>
            </w:tcBorders>
            <w:vMerge w:val="restart"/>
            <w:shd w:val="clear" w:color="auto" w:fill="D8E7F3"/>
          </w:tcPr>
          <w:p>
            <w:pPr>
              <w:jc w:val="center"/>
              <w:spacing w:after="0"/>
              <w:rPr>
                <w:sz w:val="20"/>
                <w:szCs w:val="20"/>
                <w:color w:val="auto"/>
              </w:rPr>
            </w:pPr>
            <w:r>
              <w:rPr>
                <w:rFonts w:ascii="Arial" w:cs="Arial" w:eastAsia="Arial" w:hAnsi="Arial"/>
                <w:sz w:val="16"/>
                <w:szCs w:val="16"/>
                <w:color w:val="auto"/>
              </w:rPr>
              <w:t>0%</w:t>
            </w:r>
          </w:p>
        </w:tc>
        <w:tc>
          <w:tcPr>
            <w:tcW w:w="500" w:type="dxa"/>
            <w:vAlign w:val="bottom"/>
            <w:tcBorders>
              <w:right w:val="single" w:sz="8" w:color="auto"/>
            </w:tcBorders>
          </w:tcPr>
          <w:p>
            <w:pPr>
              <w:spacing w:after="0"/>
              <w:rPr>
                <w:sz w:val="10"/>
                <w:szCs w:val="10"/>
                <w:color w:val="auto"/>
              </w:rPr>
            </w:pPr>
          </w:p>
        </w:tc>
        <w:tc>
          <w:tcPr>
            <w:tcW w:w="1500" w:type="dxa"/>
            <w:vAlign w:val="bottom"/>
            <w:shd w:val="clear" w:color="auto" w:fill="D8E7F3"/>
          </w:tcPr>
          <w:p>
            <w:pPr>
              <w:spacing w:after="0"/>
              <w:rPr>
                <w:sz w:val="10"/>
                <w:szCs w:val="10"/>
                <w:color w:val="auto"/>
              </w:rPr>
            </w:pPr>
          </w:p>
        </w:tc>
        <w:tc>
          <w:tcPr>
            <w:tcW w:w="100" w:type="dxa"/>
            <w:vAlign w:val="bottom"/>
            <w:shd w:val="clear" w:color="auto" w:fill="D8E7F3"/>
          </w:tcPr>
          <w:p>
            <w:pPr>
              <w:spacing w:after="0"/>
              <w:rPr>
                <w:sz w:val="10"/>
                <w:szCs w:val="10"/>
                <w:color w:val="auto"/>
              </w:rPr>
            </w:pPr>
          </w:p>
        </w:tc>
        <w:tc>
          <w:tcPr>
            <w:tcW w:w="1060" w:type="dxa"/>
            <w:vAlign w:val="bottom"/>
            <w:tcBorders>
              <w:right w:val="single" w:sz="8" w:color="auto"/>
            </w:tcBorders>
            <w:vMerge w:val="restart"/>
            <w:shd w:val="clear" w:color="auto" w:fill="D8E7F3"/>
          </w:tcPr>
          <w:p>
            <w:pPr>
              <w:jc w:val="center"/>
              <w:spacing w:after="0" w:line="179" w:lineRule="exact"/>
              <w:rPr>
                <w:sz w:val="20"/>
                <w:szCs w:val="20"/>
                <w:color w:val="auto"/>
              </w:rPr>
            </w:pPr>
            <w:r>
              <w:rPr>
                <w:rFonts w:ascii="Arial" w:cs="Arial" w:eastAsia="Arial" w:hAnsi="Arial"/>
                <w:sz w:val="16"/>
                <w:szCs w:val="16"/>
                <w:color w:val="auto"/>
                <w:w w:val="98"/>
              </w:rPr>
              <w:t>Threshold</w:t>
            </w:r>
          </w:p>
        </w:tc>
        <w:tc>
          <w:tcPr>
            <w:tcW w:w="0" w:type="dxa"/>
            <w:vAlign w:val="bottom"/>
          </w:tcPr>
          <w:p>
            <w:pPr>
              <w:spacing w:after="0"/>
              <w:rPr>
                <w:sz w:val="1"/>
                <w:szCs w:val="1"/>
                <w:color w:val="auto"/>
              </w:rPr>
            </w:pPr>
          </w:p>
        </w:tc>
      </w:tr>
      <w:tr>
        <w:trPr>
          <w:trHeight w:val="60"/>
        </w:trPr>
        <w:tc>
          <w:tcPr>
            <w:tcW w:w="1660" w:type="dxa"/>
            <w:vAlign w:val="bottom"/>
            <w:tcBorders>
              <w:left w:val="single" w:sz="8" w:color="auto"/>
            </w:tcBorders>
            <w:shd w:val="clear" w:color="auto" w:fill="D8E7F3"/>
          </w:tcPr>
          <w:p>
            <w:pPr>
              <w:spacing w:after="0"/>
              <w:rPr>
                <w:sz w:val="5"/>
                <w:szCs w:val="5"/>
                <w:color w:val="auto"/>
              </w:rPr>
            </w:pPr>
          </w:p>
        </w:tc>
        <w:tc>
          <w:tcPr>
            <w:tcW w:w="40" w:type="dxa"/>
            <w:vAlign w:val="bottom"/>
            <w:shd w:val="clear" w:color="auto" w:fill="D8E7F3"/>
          </w:tcPr>
          <w:p>
            <w:pPr>
              <w:spacing w:after="0"/>
              <w:rPr>
                <w:sz w:val="5"/>
                <w:szCs w:val="5"/>
                <w:color w:val="auto"/>
              </w:rPr>
            </w:pPr>
          </w:p>
        </w:tc>
        <w:tc>
          <w:tcPr>
            <w:tcW w:w="1640" w:type="dxa"/>
            <w:vAlign w:val="bottom"/>
            <w:vMerge w:val="continue"/>
            <w:shd w:val="clear" w:color="auto" w:fill="D8E7F3"/>
          </w:tcPr>
          <w:p>
            <w:pPr>
              <w:spacing w:after="0"/>
              <w:rPr>
                <w:sz w:val="5"/>
                <w:szCs w:val="5"/>
                <w:color w:val="auto"/>
              </w:rPr>
            </w:pPr>
          </w:p>
        </w:tc>
        <w:tc>
          <w:tcPr>
            <w:tcW w:w="1420" w:type="dxa"/>
            <w:vAlign w:val="bottom"/>
            <w:tcBorders>
              <w:right w:val="single" w:sz="8" w:color="auto"/>
            </w:tcBorders>
            <w:vMerge w:val="continue"/>
            <w:shd w:val="clear" w:color="auto" w:fill="D8E7F3"/>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500" w:type="dxa"/>
            <w:vAlign w:val="bottom"/>
            <w:shd w:val="clear" w:color="auto" w:fill="D8E7F3"/>
          </w:tcPr>
          <w:p>
            <w:pPr>
              <w:spacing w:after="0"/>
              <w:rPr>
                <w:sz w:val="5"/>
                <w:szCs w:val="5"/>
                <w:color w:val="auto"/>
              </w:rPr>
            </w:pPr>
          </w:p>
        </w:tc>
        <w:tc>
          <w:tcPr>
            <w:tcW w:w="100" w:type="dxa"/>
            <w:vAlign w:val="bottom"/>
            <w:shd w:val="clear" w:color="auto" w:fill="D8E7F3"/>
          </w:tcPr>
          <w:p>
            <w:pPr>
              <w:spacing w:after="0"/>
              <w:rPr>
                <w:sz w:val="5"/>
                <w:szCs w:val="5"/>
                <w:color w:val="auto"/>
              </w:rPr>
            </w:pPr>
          </w:p>
        </w:tc>
        <w:tc>
          <w:tcPr>
            <w:tcW w:w="1060" w:type="dxa"/>
            <w:vAlign w:val="bottom"/>
            <w:tcBorders>
              <w:right w:val="single" w:sz="8" w:color="auto"/>
            </w:tcBorders>
            <w:vMerge w:val="continue"/>
            <w:shd w:val="clear" w:color="auto" w:fill="D8E7F3"/>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1660" w:type="dxa"/>
            <w:vAlign w:val="bottom"/>
            <w:tcBorders>
              <w:left w:val="single" w:sz="8" w:color="auto"/>
            </w:tcBorders>
            <w:shd w:val="clear" w:color="auto" w:fill="D8E7F3"/>
          </w:tcPr>
          <w:p>
            <w:pPr>
              <w:spacing w:after="0"/>
              <w:rPr>
                <w:sz w:val="6"/>
                <w:szCs w:val="6"/>
                <w:color w:val="auto"/>
              </w:rPr>
            </w:pPr>
          </w:p>
        </w:tc>
        <w:tc>
          <w:tcPr>
            <w:tcW w:w="40" w:type="dxa"/>
            <w:vAlign w:val="bottom"/>
            <w:shd w:val="clear" w:color="auto" w:fill="D8E7F3"/>
          </w:tcPr>
          <w:p>
            <w:pPr>
              <w:spacing w:after="0"/>
              <w:rPr>
                <w:sz w:val="6"/>
                <w:szCs w:val="6"/>
                <w:color w:val="auto"/>
              </w:rPr>
            </w:pPr>
          </w:p>
        </w:tc>
        <w:tc>
          <w:tcPr>
            <w:tcW w:w="1640" w:type="dxa"/>
            <w:vAlign w:val="bottom"/>
            <w:vMerge w:val="restart"/>
            <w:shd w:val="clear" w:color="auto" w:fill="D8E7F3"/>
          </w:tcPr>
          <w:p>
            <w:pPr>
              <w:jc w:val="center"/>
              <w:spacing w:after="0"/>
              <w:rPr>
                <w:sz w:val="20"/>
                <w:szCs w:val="20"/>
                <w:color w:val="auto"/>
              </w:rPr>
            </w:pPr>
            <w:r>
              <w:rPr>
                <w:rFonts w:ascii="Arial" w:cs="Arial" w:eastAsia="Arial" w:hAnsi="Arial"/>
                <w:sz w:val="16"/>
                <w:szCs w:val="16"/>
                <w:color w:val="auto"/>
                <w:w w:val="97"/>
              </w:rPr>
              <w:t>percentile</w:t>
            </w:r>
          </w:p>
        </w:tc>
        <w:tc>
          <w:tcPr>
            <w:tcW w:w="1420" w:type="dxa"/>
            <w:vAlign w:val="bottom"/>
            <w:tcBorders>
              <w:right w:val="single" w:sz="8" w:color="auto"/>
            </w:tcBorders>
            <w:vMerge w:val="continue"/>
            <w:shd w:val="clear" w:color="auto" w:fill="D8E7F3"/>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1500" w:type="dxa"/>
            <w:vAlign w:val="bottom"/>
            <w:shd w:val="clear" w:color="auto" w:fill="D8E7F3"/>
          </w:tcPr>
          <w:p>
            <w:pPr>
              <w:spacing w:after="0"/>
              <w:rPr>
                <w:sz w:val="6"/>
                <w:szCs w:val="6"/>
                <w:color w:val="auto"/>
              </w:rPr>
            </w:pPr>
          </w:p>
        </w:tc>
        <w:tc>
          <w:tcPr>
            <w:tcW w:w="100" w:type="dxa"/>
            <w:vAlign w:val="bottom"/>
            <w:shd w:val="clear" w:color="auto" w:fill="D8E7F3"/>
          </w:tcPr>
          <w:p>
            <w:pPr>
              <w:spacing w:after="0"/>
              <w:rPr>
                <w:sz w:val="6"/>
                <w:szCs w:val="6"/>
                <w:color w:val="auto"/>
              </w:rPr>
            </w:pPr>
          </w:p>
        </w:tc>
        <w:tc>
          <w:tcPr>
            <w:tcW w:w="1060" w:type="dxa"/>
            <w:vAlign w:val="bottom"/>
            <w:tcBorders>
              <w:right w:val="single" w:sz="8" w:color="auto"/>
            </w:tcBorders>
            <w:vMerge w:val="restart"/>
            <w:shd w:val="clear" w:color="auto" w:fill="D8E7F3"/>
          </w:tcPr>
          <w:p>
            <w:pPr>
              <w:jc w:val="center"/>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r>
        <w:trPr>
          <w:trHeight w:val="119"/>
        </w:trPr>
        <w:tc>
          <w:tcPr>
            <w:tcW w:w="1660" w:type="dxa"/>
            <w:vAlign w:val="bottom"/>
            <w:tcBorders>
              <w:left w:val="single" w:sz="8" w:color="auto"/>
            </w:tcBorders>
            <w:shd w:val="clear" w:color="auto" w:fill="D8E7F3"/>
          </w:tcPr>
          <w:p>
            <w:pPr>
              <w:spacing w:after="0"/>
              <w:rPr>
                <w:sz w:val="10"/>
                <w:szCs w:val="10"/>
                <w:color w:val="auto"/>
              </w:rPr>
            </w:pPr>
          </w:p>
        </w:tc>
        <w:tc>
          <w:tcPr>
            <w:tcW w:w="40" w:type="dxa"/>
            <w:vAlign w:val="bottom"/>
            <w:shd w:val="clear" w:color="auto" w:fill="D8E7F3"/>
          </w:tcPr>
          <w:p>
            <w:pPr>
              <w:spacing w:after="0"/>
              <w:rPr>
                <w:sz w:val="10"/>
                <w:szCs w:val="10"/>
                <w:color w:val="auto"/>
              </w:rPr>
            </w:pPr>
          </w:p>
        </w:tc>
        <w:tc>
          <w:tcPr>
            <w:tcW w:w="1640" w:type="dxa"/>
            <w:vAlign w:val="bottom"/>
            <w:vMerge w:val="continue"/>
            <w:shd w:val="clear" w:color="auto" w:fill="D8E7F3"/>
          </w:tcPr>
          <w:p>
            <w:pPr>
              <w:spacing w:after="0"/>
              <w:rPr>
                <w:sz w:val="10"/>
                <w:szCs w:val="10"/>
                <w:color w:val="auto"/>
              </w:rPr>
            </w:pPr>
          </w:p>
        </w:tc>
        <w:tc>
          <w:tcPr>
            <w:tcW w:w="1420" w:type="dxa"/>
            <w:vAlign w:val="bottom"/>
            <w:tcBorders>
              <w:right w:val="single" w:sz="8" w:color="auto"/>
            </w:tcBorders>
            <w:shd w:val="clear" w:color="auto" w:fill="D8E7F3"/>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500" w:type="dxa"/>
            <w:vAlign w:val="bottom"/>
            <w:shd w:val="clear" w:color="auto" w:fill="D8E7F3"/>
          </w:tcPr>
          <w:p>
            <w:pPr>
              <w:spacing w:after="0"/>
              <w:rPr>
                <w:sz w:val="10"/>
                <w:szCs w:val="10"/>
                <w:color w:val="auto"/>
              </w:rPr>
            </w:pPr>
          </w:p>
        </w:tc>
        <w:tc>
          <w:tcPr>
            <w:tcW w:w="100" w:type="dxa"/>
            <w:vAlign w:val="bottom"/>
            <w:shd w:val="clear" w:color="auto" w:fill="D8E7F3"/>
          </w:tcPr>
          <w:p>
            <w:pPr>
              <w:spacing w:after="0"/>
              <w:rPr>
                <w:sz w:val="10"/>
                <w:szCs w:val="10"/>
                <w:color w:val="auto"/>
              </w:rPr>
            </w:pPr>
          </w:p>
        </w:tc>
        <w:tc>
          <w:tcPr>
            <w:tcW w:w="1060" w:type="dxa"/>
            <w:vAlign w:val="bottom"/>
            <w:tcBorders>
              <w:right w:val="single" w:sz="8" w:color="auto"/>
            </w:tcBorders>
            <w:vMerge w:val="continue"/>
            <w:shd w:val="clear" w:color="auto" w:fill="D8E7F3"/>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660" w:type="dxa"/>
            <w:vAlign w:val="bottom"/>
            <w:tcBorders>
              <w:left w:val="single" w:sz="8" w:color="auto"/>
              <w:bottom w:val="single" w:sz="8" w:color="auto"/>
            </w:tcBorders>
            <w:shd w:val="clear" w:color="auto" w:fill="D8E7F3"/>
          </w:tcPr>
          <w:p>
            <w:pPr>
              <w:spacing w:after="0"/>
              <w:rPr>
                <w:sz w:val="5"/>
                <w:szCs w:val="5"/>
                <w:color w:val="auto"/>
              </w:rPr>
            </w:pPr>
          </w:p>
        </w:tc>
        <w:tc>
          <w:tcPr>
            <w:tcW w:w="40" w:type="dxa"/>
            <w:vAlign w:val="bottom"/>
            <w:tcBorders>
              <w:bottom w:val="single" w:sz="8" w:color="auto"/>
            </w:tcBorders>
            <w:shd w:val="clear" w:color="auto" w:fill="D8E7F3"/>
          </w:tcPr>
          <w:p>
            <w:pPr>
              <w:spacing w:after="0"/>
              <w:rPr>
                <w:sz w:val="5"/>
                <w:szCs w:val="5"/>
                <w:color w:val="auto"/>
              </w:rPr>
            </w:pPr>
          </w:p>
        </w:tc>
        <w:tc>
          <w:tcPr>
            <w:tcW w:w="1640" w:type="dxa"/>
            <w:vAlign w:val="bottom"/>
            <w:tcBorders>
              <w:bottom w:val="single" w:sz="8" w:color="auto"/>
            </w:tcBorders>
            <w:shd w:val="clear" w:color="auto" w:fill="D8E7F3"/>
          </w:tcPr>
          <w:p>
            <w:pPr>
              <w:spacing w:after="0"/>
              <w:rPr>
                <w:sz w:val="5"/>
                <w:szCs w:val="5"/>
                <w:color w:val="auto"/>
              </w:rPr>
            </w:pPr>
          </w:p>
        </w:tc>
        <w:tc>
          <w:tcPr>
            <w:tcW w:w="1420" w:type="dxa"/>
            <w:vAlign w:val="bottom"/>
            <w:tcBorders>
              <w:bottom w:val="single" w:sz="8" w:color="auto"/>
              <w:right w:val="single" w:sz="8" w:color="auto"/>
            </w:tcBorders>
            <w:shd w:val="clear" w:color="auto" w:fill="D8E7F3"/>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500" w:type="dxa"/>
            <w:vAlign w:val="bottom"/>
            <w:tcBorders>
              <w:bottom w:val="single" w:sz="8" w:color="auto"/>
            </w:tcBorders>
            <w:shd w:val="clear" w:color="auto" w:fill="D8E7F3"/>
          </w:tcPr>
          <w:p>
            <w:pPr>
              <w:spacing w:after="0"/>
              <w:rPr>
                <w:sz w:val="5"/>
                <w:szCs w:val="5"/>
                <w:color w:val="auto"/>
              </w:rPr>
            </w:pPr>
          </w:p>
        </w:tc>
        <w:tc>
          <w:tcPr>
            <w:tcW w:w="100" w:type="dxa"/>
            <w:vAlign w:val="bottom"/>
            <w:tcBorders>
              <w:bottom w:val="single" w:sz="8" w:color="auto"/>
            </w:tcBorders>
            <w:shd w:val="clear" w:color="auto" w:fill="D8E7F3"/>
          </w:tcPr>
          <w:p>
            <w:pPr>
              <w:spacing w:after="0"/>
              <w:rPr>
                <w:sz w:val="5"/>
                <w:szCs w:val="5"/>
                <w:color w:val="auto"/>
              </w:rPr>
            </w:pPr>
          </w:p>
        </w:tc>
        <w:tc>
          <w:tcPr>
            <w:tcW w:w="1060" w:type="dxa"/>
            <w:vAlign w:val="bottom"/>
            <w:tcBorders>
              <w:bottom w:val="single" w:sz="8" w:color="auto"/>
              <w:right w:val="single" w:sz="8" w:color="auto"/>
            </w:tcBorders>
            <w:shd w:val="clear" w:color="auto" w:fill="D8E7F3"/>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-762635</wp:posOffset>
            </wp:positionV>
            <wp:extent cx="166370" cy="166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66370" cy="166370"/>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-739775</wp:posOffset>
            </wp:positionV>
            <wp:extent cx="135890" cy="1282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5890" cy="12827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1120" w:space="700"/>
            <w:col w:w="7920"/>
          </w:cols>
          <w:pgMar w:left="1080" w:top="305" w:right="1079" w:bottom="1440" w:gutter="0" w:footer="0" w:header="0"/>
          <w:type w:val="continuous"/>
        </w:sectPr>
      </w:pPr>
    </w:p>
    <w:p>
      <w:pPr>
        <w:ind w:left="200" w:right="800"/>
        <w:spacing w:after="0" w:line="238" w:lineRule="auto"/>
        <w:rPr>
          <w:sz w:val="20"/>
          <w:szCs w:val="20"/>
          <w:color w:val="auto"/>
        </w:rPr>
      </w:pPr>
      <w:r>
        <w:rPr>
          <w:rFonts w:ascii="Arial" w:cs="Arial" w:eastAsia="Arial" w:hAnsi="Arial"/>
          <w:sz w:val="13"/>
          <w:szCs w:val="13"/>
          <w:i w:val="1"/>
          <w:iCs w:val="1"/>
          <w:color w:val="auto"/>
        </w:rPr>
        <w:t>*Cumulative net income is calculated based on GAAP net income and then adjusted for certain factors to reflect what we consider to be our core net income **Linear interpolation between award levels</w:t>
      </w:r>
    </w:p>
    <w:p>
      <w:pPr>
        <w:spacing w:after="0" w:line="1" w:lineRule="exact"/>
        <w:rPr>
          <w:sz w:val="20"/>
          <w:szCs w:val="20"/>
          <w:color w:val="auto"/>
        </w:rPr>
      </w:pPr>
    </w:p>
    <w:p>
      <w:pPr>
        <w:ind w:left="200" w:right="20"/>
        <w:spacing w:after="0" w:line="237" w:lineRule="auto"/>
        <w:rPr>
          <w:sz w:val="20"/>
          <w:szCs w:val="20"/>
          <w:color w:val="auto"/>
        </w:rPr>
      </w:pPr>
      <w:r>
        <w:rPr>
          <w:rFonts w:ascii="Arial" w:cs="Arial" w:eastAsia="Arial" w:hAnsi="Arial"/>
          <w:sz w:val="13"/>
          <w:szCs w:val="13"/>
          <w:i w:val="1"/>
          <w:iCs w:val="1"/>
          <w:color w:val="auto"/>
        </w:rPr>
        <w:t>***Results will represent an average of 20 TSR calculation periods, beginning the first 20 of the last 30 trading days preceding the performance period and ending the first 20 of the last 30 trading days of the performance period</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Relative TSR (40% of PSU Awards)</w:t>
      </w:r>
    </w:p>
    <w:p>
      <w:pPr>
        <w:spacing w:after="0" w:line="106"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Maximum achievement (200% of target) requires CenterPoint Energy to rank second or higher in our TSR Peer Group, but no shares would vest if the Company ranks below the 25th percentile in that comparison (threshold level). For this performance objective, the number of PSUs granted will vest using linear interpolation between the threshold and maximum achievement levels.</w:t>
      </w:r>
    </w:p>
    <w:p>
      <w:pPr>
        <w:spacing w:after="0" w:line="18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 18 companies utilized for measuring TSR are the same companies represented in our Peer Group disclosure below. We believe the peer group is a reasonable proxy for the universe of companies engaged in businesses similar to ours and is appropriate for measuring relative TSR.</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Cumulative Net Income (30% of PSU Awards)</w:t>
      </w:r>
    </w:p>
    <w:p>
      <w:pPr>
        <w:spacing w:after="0" w:line="106"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The Compensation Committee established a cumulative net income target as the other performance objective for long-term incentive awards made in 2020. We calculate net income based on GAAP, adjusted for certain factors to reflect what we consider to be our core net income. We intend that this objective will require significant earnings growth for maximum payout. For a detailed description of the calculation of cumulative net income, see “Executive Compensation Tables—Equity Incentive Plan Awards – Additional Information.”</w:t>
      </w:r>
    </w:p>
    <w:p>
      <w:pPr>
        <w:spacing w:after="0" w:line="211"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40"/>
          </w:cols>
          <w:pgMar w:left="1080" w:top="305" w:right="1079" w:bottom="1440" w:gutter="0" w:footer="0" w:header="0"/>
          <w:type w:val="continuous"/>
        </w:sectPr>
      </w:pPr>
    </w:p>
    <w:bookmarkStart w:id="53" w:name="page54"/>
    <w:bookmarkEnd w:id="5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 Awards (30% of Award Value)</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restricted stock units (“RSUs” or “stock awards”) are intended to retain executive officers and reward them for absolute long-term stock appreciation while providing some value to the recipient even if the stock price declines. In this way, the restricted stock units help balance against the variable, at-risk nature of the performance share unit awards and promote retention.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2020 Long-Term Incentive Awards for Named Executive Officers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On February 19, 2020, the Compensation Committee authorized awards as shown in the table below. The awards shown for Messrs. Lesar, Wells and Knight and Ms. Colvin were authorized by the Compensation Committee upon their respective appointments during 2020. Vesting and payout of the performance unit shares will be determined based on the level of achievement of each performance objective over the three-year cycle of 2020 through 2022. Vesting of restricted stock unit awards requires continuous service through the vesting date. For additional detail regarding the grants, see “Executive Compensation Tables—Equity Incentive Plan Awards—Long-term Incentive Plan Awards Granted in 2020.”</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awards shown for Mr. Lesar also include a sign-on equity incentive award of restricted stock units valued at $1,000,000 as of the grant date, which will vest ratably upon his continued employment on the first, second and third anniversaries of the grant date. The awards shown for Mr. Knight also include a sign-on equity incentive award of restricted stock units valued at $ 300,000 as of the grant date, which will vest ratably upon his continued employment on the first, second and third anniversaries of the grant date. The awards shown for Mr. Wells also include a sign-on equity incentive award of restricted stock units valued at $1,000,000 as of the grant date, half of which will vest upon his continued employment through the first anniversary of the grant date and the remaining half of which will vest upon his continued employment through the second anniversary of the grant date. The April 6, 2020 awards shown for Ms. Colvin include awards authorized in addition to her February 19, 2020 awards granted upon her appointment as Interim Executive Vice President and Chief Financial Officer to reflect changes made to her base salary and long-term incentive target award level, and the April 6, 2020 and July 1, 2020 awards shown for Ms. Colvin also include quarterly restricted stock unit awards granted during her service as Interim Executive Vice President and Chief Financial Officer, which will vest upon her continued employment through the third anniversary of the grant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Description</w:t>
            </w:r>
          </w:p>
        </w:tc>
        <w:tc>
          <w:tcPr>
            <w:tcW w:w="1140" w:type="dxa"/>
            <w:vAlign w:val="bottom"/>
            <w:shd w:val="clear" w:color="auto" w:fill="0061AF"/>
          </w:tcPr>
          <w:p>
            <w:pPr>
              <w:jc w:val="right"/>
              <w:ind w:right="277"/>
              <w:spacing w:after="0"/>
              <w:rPr>
                <w:sz w:val="20"/>
                <w:szCs w:val="20"/>
                <w:color w:val="auto"/>
              </w:rPr>
            </w:pPr>
            <w:r>
              <w:rPr>
                <w:rFonts w:ascii="Arial" w:cs="Arial" w:eastAsia="Arial" w:hAnsi="Arial"/>
                <w:sz w:val="13"/>
                <w:szCs w:val="13"/>
                <w:b w:val="1"/>
                <w:bCs w:val="1"/>
                <w:color w:val="FFFFFF"/>
              </w:rPr>
              <w:t>Lesar</w:t>
            </w:r>
          </w:p>
        </w:tc>
        <w:tc>
          <w:tcPr>
            <w:tcW w:w="140" w:type="dxa"/>
            <w:vAlign w:val="bottom"/>
            <w:shd w:val="clear" w:color="auto" w:fill="0061AF"/>
          </w:tcPr>
          <w:p>
            <w:pPr>
              <w:spacing w:after="0"/>
              <w:rPr>
                <w:sz w:val="13"/>
                <w:szCs w:val="13"/>
                <w:color w:val="auto"/>
              </w:rPr>
            </w:pPr>
          </w:p>
        </w:tc>
        <w:tc>
          <w:tcPr>
            <w:tcW w:w="740" w:type="dxa"/>
            <w:vAlign w:val="bottom"/>
            <w:shd w:val="clear" w:color="auto" w:fill="0061AF"/>
          </w:tcPr>
          <w:p>
            <w:pPr>
              <w:jc w:val="right"/>
              <w:ind w:right="277"/>
              <w:spacing w:after="0"/>
              <w:rPr>
                <w:sz w:val="20"/>
                <w:szCs w:val="20"/>
                <w:color w:val="auto"/>
              </w:rPr>
            </w:pPr>
            <w:r>
              <w:rPr>
                <w:rFonts w:ascii="Arial" w:cs="Arial" w:eastAsia="Arial" w:hAnsi="Arial"/>
                <w:sz w:val="13"/>
                <w:szCs w:val="13"/>
                <w:b w:val="1"/>
                <w:bCs w:val="1"/>
                <w:color w:val="FFFFFF"/>
              </w:rPr>
              <w:t>Wells</w:t>
            </w:r>
          </w:p>
        </w:tc>
        <w:tc>
          <w:tcPr>
            <w:tcW w:w="140" w:type="dxa"/>
            <w:vAlign w:val="bottom"/>
            <w:shd w:val="clear" w:color="auto" w:fill="0061AF"/>
          </w:tcPr>
          <w:p>
            <w:pPr>
              <w:spacing w:after="0"/>
              <w:rPr>
                <w:sz w:val="13"/>
                <w:szCs w:val="13"/>
                <w:color w:val="auto"/>
              </w:rPr>
            </w:pPr>
          </w:p>
        </w:tc>
        <w:tc>
          <w:tcPr>
            <w:tcW w:w="740" w:type="dxa"/>
            <w:vAlign w:val="bottom"/>
            <w:shd w:val="clear" w:color="auto" w:fill="0061AF"/>
          </w:tcPr>
          <w:p>
            <w:pPr>
              <w:jc w:val="right"/>
              <w:ind w:right="237"/>
              <w:spacing w:after="0"/>
              <w:rPr>
                <w:sz w:val="20"/>
                <w:szCs w:val="20"/>
                <w:color w:val="auto"/>
              </w:rPr>
            </w:pPr>
            <w:r>
              <w:rPr>
                <w:rFonts w:ascii="Arial" w:cs="Arial" w:eastAsia="Arial" w:hAnsi="Arial"/>
                <w:sz w:val="13"/>
                <w:szCs w:val="13"/>
                <w:b w:val="1"/>
                <w:bCs w:val="1"/>
                <w:color w:val="FFFFFF"/>
              </w:rPr>
              <w:t>Carroll</w:t>
            </w:r>
          </w:p>
        </w:tc>
        <w:tc>
          <w:tcPr>
            <w:tcW w:w="780" w:type="dxa"/>
            <w:vAlign w:val="bottom"/>
            <w:shd w:val="clear" w:color="auto" w:fill="0061AF"/>
          </w:tcPr>
          <w:p>
            <w:pPr>
              <w:jc w:val="right"/>
              <w:ind w:right="197"/>
              <w:spacing w:after="0"/>
              <w:rPr>
                <w:sz w:val="20"/>
                <w:szCs w:val="20"/>
                <w:color w:val="auto"/>
              </w:rPr>
            </w:pPr>
            <w:r>
              <w:rPr>
                <w:rFonts w:ascii="Arial" w:cs="Arial" w:eastAsia="Arial" w:hAnsi="Arial"/>
                <w:sz w:val="13"/>
                <w:szCs w:val="13"/>
                <w:b w:val="1"/>
                <w:bCs w:val="1"/>
                <w:color w:val="FFFFFF"/>
              </w:rPr>
              <w:t>Colvin</w:t>
            </w:r>
          </w:p>
        </w:tc>
        <w:tc>
          <w:tcPr>
            <w:tcW w:w="760" w:type="dxa"/>
            <w:vAlign w:val="bottom"/>
            <w:shd w:val="clear" w:color="auto" w:fill="0061AF"/>
          </w:tcPr>
          <w:p>
            <w:pPr>
              <w:jc w:val="right"/>
              <w:ind w:right="197"/>
              <w:spacing w:after="0"/>
              <w:rPr>
                <w:sz w:val="20"/>
                <w:szCs w:val="20"/>
                <w:color w:val="auto"/>
              </w:rPr>
            </w:pPr>
            <w:r>
              <w:rPr>
                <w:rFonts w:ascii="Arial" w:cs="Arial" w:eastAsia="Arial" w:hAnsi="Arial"/>
                <w:sz w:val="13"/>
                <w:szCs w:val="13"/>
                <w:b w:val="1"/>
                <w:bCs w:val="1"/>
                <w:color w:val="FFFFFF"/>
              </w:rPr>
              <w:t>Doyle</w:t>
            </w:r>
          </w:p>
        </w:tc>
        <w:tc>
          <w:tcPr>
            <w:tcW w:w="780" w:type="dxa"/>
            <w:vAlign w:val="bottom"/>
            <w:shd w:val="clear" w:color="auto" w:fill="0061AF"/>
          </w:tcPr>
          <w:p>
            <w:pPr>
              <w:jc w:val="right"/>
              <w:ind w:right="177"/>
              <w:spacing w:after="0"/>
              <w:rPr>
                <w:sz w:val="20"/>
                <w:szCs w:val="20"/>
                <w:color w:val="auto"/>
              </w:rPr>
            </w:pPr>
            <w:r>
              <w:rPr>
                <w:rFonts w:ascii="Arial" w:cs="Arial" w:eastAsia="Arial" w:hAnsi="Arial"/>
                <w:sz w:val="13"/>
                <w:szCs w:val="13"/>
                <w:b w:val="1"/>
                <w:bCs w:val="1"/>
                <w:color w:val="FFFFFF"/>
              </w:rPr>
              <w:t>Knight</w:t>
            </w:r>
          </w:p>
        </w:tc>
        <w:tc>
          <w:tcPr>
            <w:tcW w:w="140" w:type="dxa"/>
            <w:vAlign w:val="bottom"/>
            <w:shd w:val="clear" w:color="auto" w:fill="0061AF"/>
          </w:tcPr>
          <w:p>
            <w:pPr>
              <w:spacing w:after="0"/>
              <w:rPr>
                <w:sz w:val="13"/>
                <w:szCs w:val="13"/>
                <w:color w:val="auto"/>
              </w:rPr>
            </w:pPr>
          </w:p>
        </w:tc>
        <w:tc>
          <w:tcPr>
            <w:tcW w:w="720" w:type="dxa"/>
            <w:vAlign w:val="bottom"/>
            <w:shd w:val="clear" w:color="auto" w:fill="0061AF"/>
          </w:tcPr>
          <w:p>
            <w:pPr>
              <w:jc w:val="right"/>
              <w:ind w:right="317"/>
              <w:spacing w:after="0"/>
              <w:rPr>
                <w:sz w:val="20"/>
                <w:szCs w:val="20"/>
                <w:color w:val="auto"/>
              </w:rPr>
            </w:pPr>
            <w:r>
              <w:rPr>
                <w:rFonts w:ascii="Arial" w:cs="Arial" w:eastAsia="Arial" w:hAnsi="Arial"/>
                <w:sz w:val="13"/>
                <w:szCs w:val="13"/>
                <w:b w:val="1"/>
                <w:bCs w:val="1"/>
                <w:color w:val="FFFFFF"/>
              </w:rPr>
              <w:t>Liu</w:t>
            </w:r>
          </w:p>
        </w:tc>
        <w:tc>
          <w:tcPr>
            <w:tcW w:w="820" w:type="dxa"/>
            <w:vAlign w:val="bottom"/>
            <w:gridSpan w:val="2"/>
            <w:shd w:val="clear" w:color="auto" w:fill="0061AF"/>
          </w:tcPr>
          <w:p>
            <w:pPr>
              <w:ind w:left="40"/>
              <w:spacing w:after="0"/>
              <w:rPr>
                <w:sz w:val="20"/>
                <w:szCs w:val="20"/>
                <w:color w:val="auto"/>
              </w:rPr>
            </w:pPr>
            <w:r>
              <w:rPr>
                <w:rFonts w:ascii="Arial" w:cs="Arial" w:eastAsia="Arial" w:hAnsi="Arial"/>
                <w:sz w:val="13"/>
                <w:szCs w:val="13"/>
                <w:b w:val="1"/>
                <w:bCs w:val="1"/>
                <w:color w:val="FFFFFF"/>
              </w:rPr>
              <w:t>Vortherms</w:t>
            </w:r>
          </w:p>
        </w:tc>
      </w:tr>
      <w:tr>
        <w:trPr>
          <w:trHeight w:val="157"/>
        </w:trPr>
        <w:tc>
          <w:tcPr>
            <w:tcW w:w="2820" w:type="dxa"/>
            <w:vAlign w:val="bottom"/>
          </w:tcPr>
          <w:p>
            <w:pPr>
              <w:ind w:left="80"/>
              <w:spacing w:after="0"/>
              <w:rPr>
                <w:sz w:val="20"/>
                <w:szCs w:val="20"/>
                <w:color w:val="auto"/>
              </w:rPr>
            </w:pPr>
            <w:r>
              <w:rPr>
                <w:rFonts w:ascii="Arial" w:cs="Arial" w:eastAsia="Arial" w:hAnsi="Arial"/>
                <w:sz w:val="13"/>
                <w:szCs w:val="13"/>
                <w:color w:val="auto"/>
              </w:rPr>
              <w:t>Base Salary</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$1,350,000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650,000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820,000</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$380,000</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$500,000</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$485,000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620,000</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400,000</w:t>
            </w:r>
          </w:p>
        </w:tc>
      </w:tr>
      <w:tr>
        <w:trPr>
          <w:trHeight w:val="33"/>
        </w:trPr>
        <w:tc>
          <w:tcPr>
            <w:tcW w:w="2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0"/>
        </w:trPr>
        <w:tc>
          <w:tcPr>
            <w:tcW w:w="2820" w:type="dxa"/>
            <w:vAlign w:val="bottom"/>
            <w:tcBorders>
              <w:bottom w:val="single" w:sz="8" w:color="D8E7F3"/>
            </w:tcBorders>
            <w:shd w:val="clear" w:color="auto" w:fill="D8E7F3"/>
          </w:tcPr>
          <w:p>
            <w:pPr>
              <w:ind w:left="80"/>
              <w:spacing w:after="0"/>
              <w:rPr>
                <w:sz w:val="20"/>
                <w:szCs w:val="20"/>
                <w:color w:val="auto"/>
              </w:rPr>
            </w:pPr>
            <w:r>
              <w:rPr>
                <w:rFonts w:ascii="Arial" w:cs="Arial" w:eastAsia="Arial" w:hAnsi="Arial"/>
                <w:sz w:val="13"/>
                <w:szCs w:val="13"/>
                <w:color w:val="auto"/>
              </w:rPr>
              <w:t>Long-term incentive target</w:t>
            </w:r>
          </w:p>
        </w:tc>
        <w:tc>
          <w:tcPr>
            <w:tcW w:w="114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520%</w:t>
            </w:r>
          </w:p>
        </w:tc>
        <w:tc>
          <w:tcPr>
            <w:tcW w:w="140" w:type="dxa"/>
            <w:vAlign w:val="bottom"/>
            <w:tcBorders>
              <w:bottom w:val="single" w:sz="8" w:color="D8E7F3"/>
            </w:tcBorders>
            <w:shd w:val="clear" w:color="auto" w:fill="D8E7F3"/>
          </w:tcPr>
          <w:p>
            <w:pPr>
              <w:spacing w:after="0"/>
              <w:rPr>
                <w:sz w:val="14"/>
                <w:szCs w:val="14"/>
                <w:color w:val="auto"/>
              </w:rPr>
            </w:pPr>
          </w:p>
        </w:tc>
        <w:tc>
          <w:tcPr>
            <w:tcW w:w="74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250%</w:t>
            </w:r>
          </w:p>
        </w:tc>
        <w:tc>
          <w:tcPr>
            <w:tcW w:w="140" w:type="dxa"/>
            <w:vAlign w:val="bottom"/>
            <w:tcBorders>
              <w:bottom w:val="single" w:sz="8" w:color="D8E7F3"/>
            </w:tcBorders>
            <w:shd w:val="clear" w:color="auto" w:fill="D8E7F3"/>
          </w:tcPr>
          <w:p>
            <w:pPr>
              <w:spacing w:after="0"/>
              <w:rPr>
                <w:sz w:val="14"/>
                <w:szCs w:val="14"/>
                <w:color w:val="auto"/>
              </w:rPr>
            </w:pPr>
          </w:p>
        </w:tc>
        <w:tc>
          <w:tcPr>
            <w:tcW w:w="74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325%</w:t>
            </w:r>
          </w:p>
        </w:tc>
        <w:tc>
          <w:tcPr>
            <w:tcW w:w="780" w:type="dxa"/>
            <w:vAlign w:val="bottom"/>
            <w:tcBorders>
              <w:bottom w:val="single" w:sz="8" w:color="D8E7F3"/>
            </w:tcBorders>
            <w:shd w:val="clear" w:color="auto" w:fill="D8E7F3"/>
          </w:tcPr>
          <w:p>
            <w:pPr>
              <w:jc w:val="right"/>
              <w:ind w:right="17"/>
              <w:spacing w:after="0"/>
              <w:rPr>
                <w:sz w:val="20"/>
                <w:szCs w:val="20"/>
                <w:color w:val="auto"/>
              </w:rPr>
            </w:pPr>
            <w:r>
              <w:rPr>
                <w:rFonts w:ascii="Arial" w:cs="Arial" w:eastAsia="Arial" w:hAnsi="Arial"/>
                <w:sz w:val="13"/>
                <w:szCs w:val="13"/>
                <w:color w:val="auto"/>
              </w:rPr>
              <w:t>100%</w:t>
            </w:r>
          </w:p>
        </w:tc>
        <w:tc>
          <w:tcPr>
            <w:tcW w:w="76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170%</w:t>
            </w:r>
          </w:p>
        </w:tc>
        <w:tc>
          <w:tcPr>
            <w:tcW w:w="78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160%</w:t>
            </w:r>
          </w:p>
        </w:tc>
        <w:tc>
          <w:tcPr>
            <w:tcW w:w="140" w:type="dxa"/>
            <w:vAlign w:val="bottom"/>
            <w:tcBorders>
              <w:bottom w:val="single" w:sz="8" w:color="D8E7F3"/>
            </w:tcBorders>
            <w:shd w:val="clear" w:color="auto" w:fill="D8E7F3"/>
          </w:tcPr>
          <w:p>
            <w:pPr>
              <w:spacing w:after="0"/>
              <w:rPr>
                <w:sz w:val="14"/>
                <w:szCs w:val="14"/>
                <w:color w:val="auto"/>
              </w:rPr>
            </w:pPr>
          </w:p>
        </w:tc>
        <w:tc>
          <w:tcPr>
            <w:tcW w:w="72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225%</w:t>
            </w:r>
          </w:p>
        </w:tc>
        <w:tc>
          <w:tcPr>
            <w:tcW w:w="160" w:type="dxa"/>
            <w:vAlign w:val="bottom"/>
            <w:tcBorders>
              <w:bottom w:val="single" w:sz="8" w:color="D8E7F3"/>
            </w:tcBorders>
            <w:shd w:val="clear" w:color="auto" w:fill="D8E7F3"/>
          </w:tcPr>
          <w:p>
            <w:pPr>
              <w:spacing w:after="0"/>
              <w:rPr>
                <w:sz w:val="14"/>
                <w:szCs w:val="14"/>
                <w:color w:val="auto"/>
              </w:rPr>
            </w:pPr>
          </w:p>
        </w:tc>
        <w:tc>
          <w:tcPr>
            <w:tcW w:w="66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140%</w:t>
            </w:r>
          </w:p>
        </w:tc>
      </w:tr>
      <w:tr>
        <w:trPr>
          <w:trHeight w:val="157"/>
        </w:trPr>
        <w:tc>
          <w:tcPr>
            <w:tcW w:w="2820" w:type="dxa"/>
            <w:vAlign w:val="bottom"/>
          </w:tcPr>
          <w:p>
            <w:pPr>
              <w:ind w:left="80"/>
              <w:spacing w:after="0"/>
              <w:rPr>
                <w:sz w:val="20"/>
                <w:szCs w:val="20"/>
                <w:color w:val="auto"/>
              </w:rPr>
            </w:pPr>
            <w:r>
              <w:rPr>
                <w:rFonts w:ascii="Arial" w:cs="Arial" w:eastAsia="Arial" w:hAnsi="Arial"/>
                <w:sz w:val="13"/>
                <w:szCs w:val="13"/>
                <w:color w:val="auto"/>
              </w:rPr>
              <w:t>Long-term incentive compensation at target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$7,020,000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w w:val="93"/>
              </w:rPr>
              <w:t>1,625,000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w w:val="93"/>
              </w:rPr>
              <w:t>2,665,000</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$380,000</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$850,000</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$776,000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w w:val="93"/>
              </w:rPr>
              <w:t>1,395,000</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560,000</w:t>
            </w:r>
          </w:p>
        </w:tc>
      </w:tr>
      <w:tr>
        <w:trPr>
          <w:trHeight w:val="33"/>
        </w:trPr>
        <w:tc>
          <w:tcPr>
            <w:tcW w:w="2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0"/>
        </w:trPr>
        <w:tc>
          <w:tcPr>
            <w:tcW w:w="2820" w:type="dxa"/>
            <w:vAlign w:val="bottom"/>
            <w:tcBorders>
              <w:bottom w:val="single" w:sz="8" w:color="D8E7F3"/>
            </w:tcBorders>
            <w:shd w:val="clear" w:color="auto" w:fill="D8E7F3"/>
          </w:tcPr>
          <w:p>
            <w:pPr>
              <w:ind w:left="80"/>
              <w:spacing w:after="0"/>
              <w:rPr>
                <w:sz w:val="20"/>
                <w:szCs w:val="20"/>
                <w:color w:val="auto"/>
              </w:rPr>
            </w:pPr>
            <w:r>
              <w:rPr>
                <w:rFonts w:ascii="Arial" w:cs="Arial" w:eastAsia="Arial" w:hAnsi="Arial"/>
                <w:sz w:val="13"/>
                <w:szCs w:val="13"/>
                <w:color w:val="auto"/>
              </w:rPr>
              <w:t>Performance share unit portion (70%)</w:t>
            </w:r>
          </w:p>
        </w:tc>
        <w:tc>
          <w:tcPr>
            <w:tcW w:w="114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$4,914,000</w:t>
            </w:r>
          </w:p>
        </w:tc>
        <w:tc>
          <w:tcPr>
            <w:tcW w:w="14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w w:val="93"/>
              </w:rPr>
              <w:t>1,137,500</w:t>
            </w:r>
          </w:p>
        </w:tc>
        <w:tc>
          <w:tcPr>
            <w:tcW w:w="14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w w:val="93"/>
              </w:rPr>
              <w:t>1,865,500</w:t>
            </w:r>
          </w:p>
        </w:tc>
        <w:tc>
          <w:tcPr>
            <w:tcW w:w="78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$266,000</w:t>
            </w:r>
          </w:p>
        </w:tc>
        <w:tc>
          <w:tcPr>
            <w:tcW w:w="76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$595,000</w:t>
            </w:r>
          </w:p>
        </w:tc>
        <w:tc>
          <w:tcPr>
            <w:tcW w:w="78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$543,200</w:t>
            </w:r>
          </w:p>
        </w:tc>
        <w:tc>
          <w:tcPr>
            <w:tcW w:w="14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8E7F3"/>
            </w:tcBorders>
            <w:shd w:val="clear" w:color="auto" w:fill="D8E7F3"/>
          </w:tcPr>
          <w:p>
            <w:pPr>
              <w:jc w:val="right"/>
              <w:ind w:right="97"/>
              <w:spacing w:after="0"/>
              <w:rPr>
                <w:sz w:val="20"/>
                <w:szCs w:val="20"/>
                <w:color w:val="auto"/>
              </w:rPr>
            </w:pPr>
            <w:r>
              <w:rPr>
                <w:rFonts w:ascii="Arial" w:cs="Arial" w:eastAsia="Arial" w:hAnsi="Arial"/>
                <w:sz w:val="13"/>
                <w:szCs w:val="13"/>
                <w:color w:val="auto"/>
              </w:rPr>
              <w:t>976,500</w:t>
            </w:r>
          </w:p>
        </w:tc>
        <w:tc>
          <w:tcPr>
            <w:tcW w:w="160" w:type="dxa"/>
            <w:vAlign w:val="bottom"/>
            <w:tcBorders>
              <w:bottom w:val="single" w:sz="8" w:color="D8E7F3"/>
            </w:tcBorders>
            <w:shd w:val="clear" w:color="auto" w:fill="D8E7F3"/>
          </w:tcPr>
          <w:p>
            <w:pPr>
              <w:ind w:left="4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8E7F3"/>
            </w:tcBorders>
            <w:shd w:val="clear" w:color="auto" w:fill="D8E7F3"/>
          </w:tcPr>
          <w:p>
            <w:pPr>
              <w:jc w:val="right"/>
              <w:ind w:right="97"/>
              <w:spacing w:after="0"/>
              <w:rPr>
                <w:sz w:val="20"/>
                <w:szCs w:val="20"/>
                <w:color w:val="auto"/>
              </w:rPr>
            </w:pPr>
            <w:r>
              <w:rPr>
                <w:rFonts w:ascii="Arial" w:cs="Arial" w:eastAsia="Arial" w:hAnsi="Arial"/>
                <w:sz w:val="13"/>
                <w:szCs w:val="13"/>
                <w:color w:val="auto"/>
              </w:rPr>
              <w:t>392,000</w:t>
            </w:r>
          </w:p>
        </w:tc>
      </w:tr>
      <w:tr>
        <w:trPr>
          <w:trHeight w:val="157"/>
        </w:trPr>
        <w:tc>
          <w:tcPr>
            <w:tcW w:w="2820" w:type="dxa"/>
            <w:vAlign w:val="bottom"/>
          </w:tcPr>
          <w:p>
            <w:pPr>
              <w:ind w:left="80"/>
              <w:spacing w:after="0"/>
              <w:rPr>
                <w:sz w:val="20"/>
                <w:szCs w:val="20"/>
                <w:color w:val="auto"/>
              </w:rPr>
            </w:pPr>
            <w:r>
              <w:rPr>
                <w:rFonts w:ascii="Arial" w:cs="Arial" w:eastAsia="Arial" w:hAnsi="Arial"/>
                <w:sz w:val="13"/>
                <w:szCs w:val="13"/>
                <w:color w:val="auto"/>
              </w:rPr>
              <w:t>Stock award portion (30%)</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$2,106,000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487,500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799,500</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$114,000</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$255,000</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$232,800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418,500</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168,000</w:t>
            </w:r>
          </w:p>
        </w:tc>
      </w:tr>
      <w:tr>
        <w:trPr>
          <w:trHeight w:val="33"/>
        </w:trPr>
        <w:tc>
          <w:tcPr>
            <w:tcW w:w="2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70"/>
        </w:trPr>
        <w:tc>
          <w:tcPr>
            <w:tcW w:w="2820" w:type="dxa"/>
            <w:vAlign w:val="bottom"/>
            <w:tcBorders>
              <w:bottom w:val="single" w:sz="8" w:color="D8E7F3"/>
            </w:tcBorders>
            <w:shd w:val="clear" w:color="auto" w:fill="D8E7F3"/>
          </w:tcPr>
          <w:p>
            <w:pPr>
              <w:ind w:left="80"/>
              <w:spacing w:after="0"/>
              <w:rPr>
                <w:sz w:val="20"/>
                <w:szCs w:val="20"/>
                <w:color w:val="auto"/>
              </w:rPr>
            </w:pPr>
            <w:r>
              <w:rPr>
                <w:rFonts w:ascii="Arial" w:cs="Arial" w:eastAsia="Arial" w:hAnsi="Arial"/>
                <w:sz w:val="13"/>
                <w:szCs w:val="13"/>
                <w:color w:val="auto"/>
              </w:rPr>
              <w:t>Sign-on awards</w:t>
            </w:r>
          </w:p>
        </w:tc>
        <w:tc>
          <w:tcPr>
            <w:tcW w:w="114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$1,000,000</w:t>
            </w:r>
          </w:p>
        </w:tc>
        <w:tc>
          <w:tcPr>
            <w:tcW w:w="140" w:type="dxa"/>
            <w:vAlign w:val="bottom"/>
            <w:tcBorders>
              <w:bottom w:val="single" w:sz="8" w:color="D8E7F3"/>
            </w:tcBorders>
            <w:shd w:val="clear" w:color="auto" w:fill="D8E7F3"/>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w w:val="93"/>
              </w:rPr>
              <w:t>1,000,000</w:t>
            </w:r>
          </w:p>
        </w:tc>
        <w:tc>
          <w:tcPr>
            <w:tcW w:w="140" w:type="dxa"/>
            <w:vAlign w:val="bottom"/>
            <w:tcBorders>
              <w:bottom w:val="single" w:sz="8" w:color="D8E7F3"/>
            </w:tcBorders>
            <w:shd w:val="clear" w:color="auto" w:fill="D8E7F3"/>
          </w:tcPr>
          <w:p>
            <w:pPr>
              <w:spacing w:after="0"/>
              <w:rPr>
                <w:sz w:val="14"/>
                <w:szCs w:val="14"/>
                <w:color w:val="auto"/>
              </w:rPr>
            </w:pPr>
          </w:p>
        </w:tc>
        <w:tc>
          <w:tcPr>
            <w:tcW w:w="74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8E7F3"/>
            </w:tcBorders>
            <w:shd w:val="clear" w:color="auto" w:fill="D8E7F3"/>
          </w:tcPr>
          <w:p>
            <w:pPr>
              <w:jc w:val="right"/>
              <w:ind w:right="117"/>
              <w:spacing w:after="0"/>
              <w:rPr>
                <w:sz w:val="20"/>
                <w:szCs w:val="20"/>
                <w:color w:val="auto"/>
              </w:rPr>
            </w:pPr>
            <w:r>
              <w:rPr>
                <w:rFonts w:ascii="Arial" w:cs="Arial" w:eastAsia="Arial" w:hAnsi="Arial"/>
                <w:sz w:val="13"/>
                <w:szCs w:val="13"/>
                <w:color w:val="auto"/>
              </w:rPr>
              <w:t>$300,000</w:t>
            </w:r>
          </w:p>
        </w:tc>
        <w:tc>
          <w:tcPr>
            <w:tcW w:w="140" w:type="dxa"/>
            <w:vAlign w:val="bottom"/>
            <w:tcBorders>
              <w:bottom w:val="single" w:sz="8" w:color="D8E7F3"/>
            </w:tcBorders>
            <w:shd w:val="clear" w:color="auto" w:fill="D8E7F3"/>
          </w:tcPr>
          <w:p>
            <w:pPr>
              <w:spacing w:after="0"/>
              <w:rPr>
                <w:sz w:val="14"/>
                <w:szCs w:val="14"/>
                <w:color w:val="auto"/>
              </w:rPr>
            </w:pPr>
          </w:p>
        </w:tc>
        <w:tc>
          <w:tcPr>
            <w:tcW w:w="720" w:type="dxa"/>
            <w:vAlign w:val="bottom"/>
            <w:tcBorders>
              <w:bottom w:val="single" w:sz="8" w:color="D8E7F3"/>
            </w:tcBorders>
            <w:shd w:val="clear" w:color="auto" w:fill="D8E7F3"/>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8E7F3"/>
            </w:tcBorders>
            <w:shd w:val="clear" w:color="auto" w:fill="D8E7F3"/>
          </w:tcPr>
          <w:p>
            <w:pPr>
              <w:spacing w:after="0"/>
              <w:rPr>
                <w:sz w:val="14"/>
                <w:szCs w:val="14"/>
                <w:color w:val="auto"/>
              </w:rPr>
            </w:pPr>
          </w:p>
        </w:tc>
        <w:tc>
          <w:tcPr>
            <w:tcW w:w="660" w:type="dxa"/>
            <w:vAlign w:val="bottom"/>
            <w:tcBorders>
              <w:bottom w:val="single" w:sz="8" w:color="D8E7F3"/>
            </w:tcBorders>
            <w:shd w:val="clear" w:color="auto" w:fill="D8E7F3"/>
          </w:tcPr>
          <w:p>
            <w:pPr>
              <w:jc w:val="right"/>
              <w:ind w:right="97"/>
              <w:spacing w:after="0"/>
              <w:rPr>
                <w:sz w:val="20"/>
                <w:szCs w:val="20"/>
                <w:color w:val="auto"/>
              </w:rPr>
            </w:pPr>
            <w:r>
              <w:rPr>
                <w:rFonts w:ascii="Arial" w:cs="Arial" w:eastAsia="Arial" w:hAnsi="Arial"/>
                <w:sz w:val="13"/>
                <w:szCs w:val="13"/>
                <w:color w:val="auto"/>
              </w:rPr>
              <w:t>—</w:t>
            </w:r>
          </w:p>
        </w:tc>
      </w:tr>
      <w:tr>
        <w:trPr>
          <w:trHeight w:val="157"/>
        </w:trPr>
        <w:tc>
          <w:tcPr>
            <w:tcW w:w="2820" w:type="dxa"/>
            <w:vAlign w:val="bottom"/>
          </w:tcPr>
          <w:p>
            <w:pPr>
              <w:ind w:left="80"/>
              <w:spacing w:after="0"/>
              <w:rPr>
                <w:sz w:val="20"/>
                <w:szCs w:val="20"/>
                <w:color w:val="auto"/>
              </w:rPr>
            </w:pPr>
            <w:r>
              <w:rPr>
                <w:rFonts w:ascii="Arial" w:cs="Arial" w:eastAsia="Arial" w:hAnsi="Arial"/>
                <w:sz w:val="13"/>
                <w:szCs w:val="13"/>
                <w:color w:val="auto"/>
              </w:rPr>
              <w:t>Interim officer awards</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$210,000</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r>
    </w:tbl>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Mr. Prochazka departed the Company on February 19, 2020, and therefore, he was not eligible for, and did not receive a grant of, any award under the long-term incentive plan for 2020. With respect to Mr. Somerhalder’s service as Interim President and Chief Executive Officer of the Company, he received two quarterly grants of fully-vested restricted stock unit awards with a value at each grant date equal to $1,375,000, and the underlying shares were paid upon Mr. Somerhalder’s resignation.</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Both the performance share units and the stock awards accrue dividend equivalents over the performance cycle or vesting period, respectively, until they are delivered, at the same level as dividends earned by shareholders on shares of our common stock outstanding. Dividend equivalents on the shares which are vested are paid in cash when the shares are delivered. Dividend equivalents are not paid with respect to unearned and unvested shares.</w:t>
      </w:r>
    </w:p>
    <w:p>
      <w:pPr>
        <w:spacing w:after="0" w:line="179" w:lineRule="exact"/>
        <w:rPr>
          <w:sz w:val="20"/>
          <w:szCs w:val="20"/>
          <w:color w:val="auto"/>
        </w:rPr>
      </w:pPr>
    </w:p>
    <w:p>
      <w:pPr>
        <w:ind w:left="400" w:hanging="391"/>
        <w:spacing w:after="0"/>
        <w:tabs>
          <w:tab w:leader="none" w:pos="400" w:val="left"/>
        </w:tabs>
        <w:numPr>
          <w:ilvl w:val="0"/>
          <w:numId w:val="54"/>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4" w:name="page55"/>
    <w:bookmarkEnd w:id="54"/>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2018 – 2020 PSU Award Vesting</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calculated payout for the 2018 – 2020 PSU awards was 58% of target based on the Company’s three-year relative TSR performance and three-year cumulative utility net income. Although the Company exceeded the target for cumulative utility net income, the overall performance share results were impacted by lower relative TSR during the performance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2018 – 2020</w:t>
            </w:r>
          </w:p>
        </w:tc>
        <w:tc>
          <w:tcPr>
            <w:tcW w:w="3220" w:type="dxa"/>
            <w:vAlign w:val="bottom"/>
            <w:gridSpan w:val="4"/>
            <w:shd w:val="clear" w:color="auto" w:fill="0061AF"/>
          </w:tcPr>
          <w:p>
            <w:pPr>
              <w:jc w:val="center"/>
              <w:spacing w:after="0"/>
              <w:rPr>
                <w:sz w:val="20"/>
                <w:szCs w:val="20"/>
                <w:color w:val="auto"/>
              </w:rPr>
            </w:pPr>
            <w:r>
              <w:rPr>
                <w:rFonts w:ascii="Arial" w:cs="Arial" w:eastAsia="Arial" w:hAnsi="Arial"/>
                <w:sz w:val="14"/>
                <w:szCs w:val="14"/>
                <w:b w:val="1"/>
                <w:bCs w:val="1"/>
                <w:color w:val="FFFFFF"/>
              </w:rPr>
              <w:t>AWARD DETERMINATION</w:t>
            </w:r>
          </w:p>
        </w:tc>
        <w:tc>
          <w:tcPr>
            <w:tcW w:w="1020" w:type="dxa"/>
            <w:vAlign w:val="bottom"/>
            <w:vMerge w:val="restart"/>
            <w:shd w:val="clear" w:color="auto" w:fill="0061AF"/>
          </w:tcPr>
          <w:p>
            <w:pPr>
              <w:jc w:val="right"/>
              <w:ind w:right="49"/>
              <w:spacing w:after="0"/>
              <w:rPr>
                <w:sz w:val="20"/>
                <w:szCs w:val="20"/>
                <w:color w:val="auto"/>
              </w:rPr>
            </w:pPr>
            <w:r>
              <w:rPr>
                <w:rFonts w:ascii="Arial" w:cs="Arial" w:eastAsia="Arial" w:hAnsi="Arial"/>
                <w:sz w:val="14"/>
                <w:szCs w:val="14"/>
                <w:b w:val="1"/>
                <w:bCs w:val="1"/>
                <w:color w:val="FFFFFF"/>
              </w:rPr>
              <w:t>WEIGHTING</w:t>
            </w:r>
          </w:p>
        </w:tc>
        <w:tc>
          <w:tcPr>
            <w:tcW w:w="1280" w:type="dxa"/>
            <w:vAlign w:val="bottom"/>
            <w:gridSpan w:val="2"/>
            <w:vMerge w:val="restart"/>
            <w:shd w:val="clear" w:color="auto" w:fill="0061AF"/>
          </w:tcPr>
          <w:p>
            <w:pPr>
              <w:jc w:val="right"/>
              <w:ind w:right="69"/>
              <w:spacing w:after="0"/>
              <w:rPr>
                <w:sz w:val="20"/>
                <w:szCs w:val="20"/>
                <w:color w:val="auto"/>
              </w:rPr>
            </w:pPr>
            <w:r>
              <w:rPr>
                <w:rFonts w:ascii="Arial" w:cs="Arial" w:eastAsia="Arial" w:hAnsi="Arial"/>
                <w:sz w:val="14"/>
                <w:szCs w:val="14"/>
                <w:b w:val="1"/>
                <w:bCs w:val="1"/>
                <w:color w:val="FFFFFF"/>
              </w:rPr>
              <w:t>ACHIEVEMENT</w:t>
            </w:r>
          </w:p>
        </w:tc>
        <w:tc>
          <w:tcPr>
            <w:tcW w:w="0" w:type="dxa"/>
            <w:vAlign w:val="bottom"/>
          </w:tcPr>
          <w:p>
            <w:pPr>
              <w:spacing w:after="0"/>
              <w:rPr>
                <w:sz w:val="1"/>
                <w:szCs w:val="1"/>
                <w:color w:val="auto"/>
              </w:rPr>
            </w:pPr>
          </w:p>
        </w:tc>
      </w:tr>
      <w:tr>
        <w:trPr>
          <w:trHeight w:val="106"/>
        </w:trPr>
        <w:tc>
          <w:tcPr>
            <w:tcW w:w="4200" w:type="dxa"/>
            <w:vAlign w:val="bottom"/>
            <w:vMerge w:val="restart"/>
            <w:shd w:val="clear" w:color="auto" w:fill="0061AF"/>
          </w:tcPr>
          <w:p>
            <w:pPr>
              <w:jc w:val="center"/>
              <w:spacing w:after="0"/>
              <w:rPr>
                <w:sz w:val="20"/>
                <w:szCs w:val="20"/>
                <w:color w:val="auto"/>
              </w:rPr>
            </w:pPr>
            <w:r>
              <w:rPr>
                <w:rFonts w:ascii="Arial" w:cs="Arial" w:eastAsia="Arial" w:hAnsi="Arial"/>
                <w:sz w:val="14"/>
                <w:szCs w:val="14"/>
                <w:b w:val="1"/>
                <w:bCs w:val="1"/>
                <w:color w:val="FFFFFF"/>
                <w:w w:val="99"/>
              </w:rPr>
              <w:t>PSU AWARD GOALS</w:t>
            </w:r>
          </w:p>
        </w:tc>
        <w:tc>
          <w:tcPr>
            <w:tcW w:w="820" w:type="dxa"/>
            <w:vAlign w:val="bottom"/>
            <w:shd w:val="clear" w:color="auto" w:fill="0061AF"/>
          </w:tcPr>
          <w:p>
            <w:pPr>
              <w:spacing w:after="0"/>
              <w:rPr>
                <w:sz w:val="9"/>
                <w:szCs w:val="9"/>
                <w:color w:val="auto"/>
              </w:rPr>
            </w:pPr>
          </w:p>
        </w:tc>
        <w:tc>
          <w:tcPr>
            <w:tcW w:w="1480" w:type="dxa"/>
            <w:vAlign w:val="bottom"/>
            <w:gridSpan w:val="2"/>
            <w:vMerge w:val="restart"/>
            <w:shd w:val="clear" w:color="auto" w:fill="0061AF"/>
          </w:tcPr>
          <w:p>
            <w:pPr>
              <w:jc w:val="center"/>
              <w:ind w:left="9"/>
              <w:spacing w:after="0"/>
              <w:rPr>
                <w:sz w:val="20"/>
                <w:szCs w:val="20"/>
                <w:color w:val="auto"/>
              </w:rPr>
            </w:pPr>
            <w:r>
              <w:rPr>
                <w:rFonts w:ascii="Arial" w:cs="Arial" w:eastAsia="Arial" w:hAnsi="Arial"/>
                <w:sz w:val="14"/>
                <w:szCs w:val="14"/>
                <w:b w:val="1"/>
                <w:bCs w:val="1"/>
                <w:color w:val="FFFFFF"/>
              </w:rPr>
              <w:t>($ in millions)</w:t>
            </w:r>
          </w:p>
        </w:tc>
        <w:tc>
          <w:tcPr>
            <w:tcW w:w="920" w:type="dxa"/>
            <w:vAlign w:val="bottom"/>
            <w:shd w:val="clear" w:color="auto" w:fill="0061AF"/>
          </w:tcPr>
          <w:p>
            <w:pPr>
              <w:spacing w:after="0"/>
              <w:rPr>
                <w:sz w:val="9"/>
                <w:szCs w:val="9"/>
                <w:color w:val="auto"/>
              </w:rPr>
            </w:pPr>
          </w:p>
        </w:tc>
        <w:tc>
          <w:tcPr>
            <w:tcW w:w="1020" w:type="dxa"/>
            <w:vAlign w:val="bottom"/>
            <w:vMerge w:val="continue"/>
            <w:shd w:val="clear" w:color="auto" w:fill="0061AF"/>
          </w:tcPr>
          <w:p>
            <w:pPr>
              <w:spacing w:after="0"/>
              <w:rPr>
                <w:sz w:val="9"/>
                <w:szCs w:val="9"/>
                <w:color w:val="auto"/>
              </w:rPr>
            </w:pPr>
          </w:p>
        </w:tc>
        <w:tc>
          <w:tcPr>
            <w:tcW w:w="1280" w:type="dxa"/>
            <w:vAlign w:val="bottom"/>
            <w:gridSpan w:val="2"/>
            <w:vMerge w:val="continue"/>
            <w:shd w:val="clear" w:color="auto" w:fill="0061AF"/>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00" w:type="dxa"/>
            <w:vAlign w:val="bottom"/>
            <w:vMerge w:val="continue"/>
            <w:shd w:val="clear" w:color="auto" w:fill="0061AF"/>
          </w:tcPr>
          <w:p>
            <w:pPr>
              <w:spacing w:after="0"/>
              <w:rPr>
                <w:sz w:val="7"/>
                <w:szCs w:val="7"/>
                <w:color w:val="auto"/>
              </w:rPr>
            </w:pPr>
          </w:p>
        </w:tc>
        <w:tc>
          <w:tcPr>
            <w:tcW w:w="820" w:type="dxa"/>
            <w:vAlign w:val="bottom"/>
            <w:shd w:val="clear" w:color="auto" w:fill="0061AF"/>
          </w:tcPr>
          <w:p>
            <w:pPr>
              <w:spacing w:after="0"/>
              <w:rPr>
                <w:sz w:val="7"/>
                <w:szCs w:val="7"/>
                <w:color w:val="auto"/>
              </w:rPr>
            </w:pPr>
          </w:p>
        </w:tc>
        <w:tc>
          <w:tcPr>
            <w:tcW w:w="1480" w:type="dxa"/>
            <w:vAlign w:val="bottom"/>
            <w:gridSpan w:val="2"/>
            <w:vMerge w:val="continue"/>
            <w:shd w:val="clear" w:color="auto" w:fill="0061AF"/>
          </w:tcPr>
          <w:p>
            <w:pPr>
              <w:spacing w:after="0"/>
              <w:rPr>
                <w:sz w:val="7"/>
                <w:szCs w:val="7"/>
                <w:color w:val="auto"/>
              </w:rPr>
            </w:pPr>
          </w:p>
        </w:tc>
        <w:tc>
          <w:tcPr>
            <w:tcW w:w="920" w:type="dxa"/>
            <w:vAlign w:val="bottom"/>
            <w:shd w:val="clear" w:color="auto" w:fill="0061AF"/>
          </w:tcPr>
          <w:p>
            <w:pPr>
              <w:spacing w:after="0"/>
              <w:rPr>
                <w:sz w:val="7"/>
                <w:szCs w:val="7"/>
                <w:color w:val="auto"/>
              </w:rPr>
            </w:pPr>
          </w:p>
        </w:tc>
        <w:tc>
          <w:tcPr>
            <w:tcW w:w="1020" w:type="dxa"/>
            <w:vAlign w:val="bottom"/>
            <w:shd w:val="clear" w:color="auto" w:fill="0061AF"/>
          </w:tcPr>
          <w:p>
            <w:pPr>
              <w:spacing w:after="0"/>
              <w:rPr>
                <w:sz w:val="7"/>
                <w:szCs w:val="7"/>
                <w:color w:val="auto"/>
              </w:rPr>
            </w:pPr>
          </w:p>
        </w:tc>
        <w:tc>
          <w:tcPr>
            <w:tcW w:w="720" w:type="dxa"/>
            <w:vAlign w:val="bottom"/>
            <w:shd w:val="clear" w:color="auto" w:fill="0061AF"/>
          </w:tcPr>
          <w:p>
            <w:pPr>
              <w:spacing w:after="0"/>
              <w:rPr>
                <w:sz w:val="7"/>
                <w:szCs w:val="7"/>
                <w:color w:val="auto"/>
              </w:rPr>
            </w:pPr>
          </w:p>
        </w:tc>
        <w:tc>
          <w:tcPr>
            <w:tcW w:w="560" w:type="dxa"/>
            <w:vAlign w:val="bottom"/>
            <w:shd w:val="clear" w:color="auto" w:fill="0061A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200" w:type="dxa"/>
            <w:vAlign w:val="bottom"/>
          </w:tcPr>
          <w:p>
            <w:pPr>
              <w:ind w:left="80"/>
              <w:spacing w:after="0"/>
              <w:rPr>
                <w:sz w:val="20"/>
                <w:szCs w:val="20"/>
                <w:color w:val="auto"/>
              </w:rPr>
            </w:pPr>
            <w:r>
              <w:rPr>
                <w:rFonts w:ascii="Arial" w:cs="Arial" w:eastAsia="Arial" w:hAnsi="Arial"/>
                <w:sz w:val="14"/>
                <w:szCs w:val="14"/>
                <w:b w:val="1"/>
                <w:bCs w:val="1"/>
                <w:color w:val="auto"/>
              </w:rPr>
              <w:t>TSR Performance</w:t>
            </w: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rPr>
              <w:t>Threshold (33%)</w:t>
            </w:r>
          </w:p>
        </w:tc>
        <w:tc>
          <w:tcPr>
            <w:tcW w:w="1740" w:type="dxa"/>
            <w:vAlign w:val="bottom"/>
            <w:gridSpan w:val="2"/>
          </w:tcPr>
          <w:p>
            <w:pPr>
              <w:jc w:val="center"/>
              <w:spacing w:after="0"/>
              <w:rPr>
                <w:sz w:val="20"/>
                <w:szCs w:val="20"/>
                <w:color w:val="auto"/>
              </w:rPr>
            </w:pPr>
            <w:r>
              <w:rPr>
                <w:rFonts w:ascii="Arial" w:cs="Arial" w:eastAsia="Arial" w:hAnsi="Arial"/>
                <w:sz w:val="14"/>
                <w:szCs w:val="14"/>
                <w:color w:val="auto"/>
              </w:rPr>
              <w:t>Maximum (200%)</w:t>
            </w: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40%</w:t>
            </w: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18th</w:t>
            </w: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88"/>
        </w:trPr>
        <w:tc>
          <w:tcPr>
            <w:tcW w:w="4200" w:type="dxa"/>
            <w:vAlign w:val="bottom"/>
          </w:tcPr>
          <w:p>
            <w:pPr>
              <w:spacing w:after="0"/>
              <w:rPr>
                <w:sz w:val="7"/>
                <w:szCs w:val="7"/>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color w:val="auto"/>
              </w:rPr>
              <w:t>14th Position</w:t>
            </w:r>
          </w:p>
        </w:tc>
        <w:tc>
          <w:tcPr>
            <w:tcW w:w="1740" w:type="dxa"/>
            <w:vAlign w:val="bottom"/>
            <w:gridSpan w:val="2"/>
            <w:vMerge w:val="restart"/>
          </w:tcPr>
          <w:p>
            <w:pPr>
              <w:jc w:val="center"/>
              <w:spacing w:after="0"/>
              <w:rPr>
                <w:sz w:val="20"/>
                <w:szCs w:val="20"/>
                <w:color w:val="auto"/>
              </w:rPr>
            </w:pPr>
            <w:r>
              <w:rPr>
                <w:rFonts w:ascii="Arial" w:cs="Arial" w:eastAsia="Arial" w:hAnsi="Arial"/>
                <w:sz w:val="14"/>
                <w:szCs w:val="14"/>
                <w:color w:val="auto"/>
              </w:rPr>
              <w:t>2nd Position</w:t>
            </w:r>
          </w:p>
        </w:tc>
        <w:tc>
          <w:tcPr>
            <w:tcW w:w="1020" w:type="dxa"/>
            <w:vAlign w:val="bottom"/>
            <w:vMerge w:val="continue"/>
          </w:tcPr>
          <w:p>
            <w:pPr>
              <w:spacing w:after="0"/>
              <w:rPr>
                <w:sz w:val="7"/>
                <w:szCs w:val="7"/>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Position</w:t>
            </w: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2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4200" w:type="dxa"/>
            <w:vAlign w:val="bottom"/>
            <w:shd w:val="clear" w:color="auto" w:fill="D8E7F3"/>
          </w:tcPr>
          <w:p>
            <w:pPr>
              <w:ind w:left="80"/>
              <w:spacing w:after="0"/>
              <w:rPr>
                <w:sz w:val="20"/>
                <w:szCs w:val="20"/>
                <w:color w:val="auto"/>
              </w:rPr>
            </w:pPr>
            <w:r>
              <w:rPr>
                <w:rFonts w:ascii="Arial" w:cs="Arial" w:eastAsia="Arial" w:hAnsi="Arial"/>
                <w:sz w:val="14"/>
                <w:szCs w:val="14"/>
                <w:b w:val="1"/>
                <w:bCs w:val="1"/>
                <w:color w:val="auto"/>
              </w:rPr>
              <w:t>Cumulative Utility Net Income</w:t>
            </w:r>
          </w:p>
        </w:tc>
        <w:tc>
          <w:tcPr>
            <w:tcW w:w="820" w:type="dxa"/>
            <w:vAlign w:val="bottom"/>
            <w:shd w:val="clear" w:color="auto" w:fill="D8E7F3"/>
          </w:tcPr>
          <w:p>
            <w:pPr>
              <w:ind w:left="100"/>
              <w:spacing w:after="0"/>
              <w:rPr>
                <w:sz w:val="20"/>
                <w:szCs w:val="20"/>
                <w:color w:val="auto"/>
              </w:rPr>
            </w:pPr>
            <w:r>
              <w:rPr>
                <w:rFonts w:ascii="Arial" w:cs="Arial" w:eastAsia="Arial" w:hAnsi="Arial"/>
                <w:sz w:val="14"/>
                <w:szCs w:val="14"/>
                <w:color w:val="auto"/>
              </w:rPr>
              <w:t>Threshold</w:t>
            </w:r>
          </w:p>
        </w:tc>
        <w:tc>
          <w:tcPr>
            <w:tcW w:w="660" w:type="dxa"/>
            <w:vAlign w:val="bottom"/>
            <w:shd w:val="clear" w:color="auto" w:fill="D8E7F3"/>
          </w:tcPr>
          <w:p>
            <w:pPr>
              <w:ind w:left="140"/>
              <w:spacing w:after="0"/>
              <w:rPr>
                <w:sz w:val="20"/>
                <w:szCs w:val="20"/>
                <w:color w:val="auto"/>
              </w:rPr>
            </w:pPr>
            <w:r>
              <w:rPr>
                <w:rFonts w:ascii="Arial" w:cs="Arial" w:eastAsia="Arial" w:hAnsi="Arial"/>
                <w:sz w:val="14"/>
                <w:szCs w:val="14"/>
                <w:color w:val="auto"/>
              </w:rPr>
              <w:t>Target</w:t>
            </w:r>
          </w:p>
        </w:tc>
        <w:tc>
          <w:tcPr>
            <w:tcW w:w="820" w:type="dxa"/>
            <w:vAlign w:val="bottom"/>
            <w:shd w:val="clear" w:color="auto" w:fill="D8E7F3"/>
          </w:tcPr>
          <w:p>
            <w:pPr>
              <w:ind w:left="100"/>
              <w:spacing w:after="0"/>
              <w:rPr>
                <w:sz w:val="20"/>
                <w:szCs w:val="20"/>
                <w:color w:val="auto"/>
              </w:rPr>
            </w:pPr>
            <w:r>
              <w:rPr>
                <w:rFonts w:ascii="Arial" w:cs="Arial" w:eastAsia="Arial" w:hAnsi="Arial"/>
                <w:sz w:val="14"/>
                <w:szCs w:val="14"/>
                <w:color w:val="auto"/>
              </w:rPr>
              <w:t>Maximum</w:t>
            </w:r>
          </w:p>
        </w:tc>
        <w:tc>
          <w:tcPr>
            <w:tcW w:w="920" w:type="dxa"/>
            <w:vAlign w:val="bottom"/>
            <w:shd w:val="clear" w:color="auto" w:fill="D8E7F3"/>
          </w:tcPr>
          <w:p>
            <w:pPr>
              <w:ind w:left="100"/>
              <w:spacing w:after="0"/>
              <w:rPr>
                <w:sz w:val="20"/>
                <w:szCs w:val="20"/>
                <w:color w:val="auto"/>
              </w:rPr>
            </w:pPr>
            <w:r>
              <w:rPr>
                <w:rFonts w:ascii="Arial" w:cs="Arial" w:eastAsia="Arial" w:hAnsi="Arial"/>
                <w:sz w:val="14"/>
                <w:szCs w:val="14"/>
                <w:color w:val="auto"/>
              </w:rPr>
              <w:t>Exceptional</w:t>
            </w:r>
          </w:p>
        </w:tc>
        <w:tc>
          <w:tcPr>
            <w:tcW w:w="1020" w:type="dxa"/>
            <w:vAlign w:val="bottom"/>
            <w:shd w:val="clear" w:color="auto" w:fill="D8E7F3"/>
          </w:tcPr>
          <w:p>
            <w:pPr>
              <w:spacing w:after="0"/>
              <w:rPr>
                <w:sz w:val="22"/>
                <w:szCs w:val="22"/>
                <w:color w:val="auto"/>
              </w:rPr>
            </w:pPr>
          </w:p>
        </w:tc>
        <w:tc>
          <w:tcPr>
            <w:tcW w:w="720" w:type="dxa"/>
            <w:vAlign w:val="bottom"/>
            <w:shd w:val="clear" w:color="auto" w:fill="D8E7F3"/>
          </w:tcPr>
          <w:p>
            <w:pPr>
              <w:spacing w:after="0"/>
              <w:rPr>
                <w:sz w:val="22"/>
                <w:szCs w:val="22"/>
                <w:color w:val="auto"/>
              </w:rPr>
            </w:pPr>
          </w:p>
        </w:tc>
        <w:tc>
          <w:tcPr>
            <w:tcW w:w="560" w:type="dxa"/>
            <w:vAlign w:val="bottom"/>
            <w:shd w:val="clear" w:color="auto" w:fill="D8E7F3"/>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200" w:type="dxa"/>
            <w:vAlign w:val="bottom"/>
            <w:shd w:val="clear" w:color="auto" w:fill="D8E7F3"/>
          </w:tcPr>
          <w:p>
            <w:pPr>
              <w:spacing w:after="0"/>
              <w:rPr>
                <w:sz w:val="14"/>
                <w:szCs w:val="14"/>
                <w:color w:val="auto"/>
              </w:rPr>
            </w:pPr>
          </w:p>
        </w:tc>
        <w:tc>
          <w:tcPr>
            <w:tcW w:w="820" w:type="dxa"/>
            <w:vAlign w:val="bottom"/>
            <w:shd w:val="clear" w:color="auto" w:fill="D8E7F3"/>
          </w:tcPr>
          <w:p>
            <w:pPr>
              <w:jc w:val="right"/>
              <w:ind w:right="149"/>
              <w:spacing w:after="0"/>
              <w:rPr>
                <w:sz w:val="20"/>
                <w:szCs w:val="20"/>
                <w:color w:val="auto"/>
              </w:rPr>
            </w:pPr>
            <w:r>
              <w:rPr>
                <w:rFonts w:ascii="Arial" w:cs="Arial" w:eastAsia="Arial" w:hAnsi="Arial"/>
                <w:sz w:val="14"/>
                <w:szCs w:val="14"/>
                <w:color w:val="auto"/>
              </w:rPr>
              <w:t>(50%)</w:t>
            </w:r>
          </w:p>
        </w:tc>
        <w:tc>
          <w:tcPr>
            <w:tcW w:w="660" w:type="dxa"/>
            <w:vAlign w:val="bottom"/>
            <w:shd w:val="clear" w:color="auto" w:fill="D8E7F3"/>
          </w:tcPr>
          <w:p>
            <w:pPr>
              <w:jc w:val="right"/>
              <w:ind w:right="29"/>
              <w:spacing w:after="0"/>
              <w:rPr>
                <w:sz w:val="20"/>
                <w:szCs w:val="20"/>
                <w:color w:val="auto"/>
              </w:rPr>
            </w:pPr>
            <w:r>
              <w:rPr>
                <w:rFonts w:ascii="Arial" w:cs="Arial" w:eastAsia="Arial" w:hAnsi="Arial"/>
                <w:sz w:val="14"/>
                <w:szCs w:val="14"/>
                <w:color w:val="auto"/>
              </w:rPr>
              <w:t>(100%)</w:t>
            </w:r>
          </w:p>
        </w:tc>
        <w:tc>
          <w:tcPr>
            <w:tcW w:w="82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(150%)</w:t>
            </w:r>
          </w:p>
        </w:tc>
        <w:tc>
          <w:tcPr>
            <w:tcW w:w="920" w:type="dxa"/>
            <w:vAlign w:val="bottom"/>
            <w:shd w:val="clear" w:color="auto" w:fill="D8E7F3"/>
          </w:tcPr>
          <w:p>
            <w:pPr>
              <w:jc w:val="right"/>
              <w:ind w:right="149"/>
              <w:spacing w:after="0"/>
              <w:rPr>
                <w:sz w:val="20"/>
                <w:szCs w:val="20"/>
                <w:color w:val="auto"/>
              </w:rPr>
            </w:pPr>
            <w:r>
              <w:rPr>
                <w:rFonts w:ascii="Arial" w:cs="Arial" w:eastAsia="Arial" w:hAnsi="Arial"/>
                <w:sz w:val="14"/>
                <w:szCs w:val="14"/>
                <w:color w:val="auto"/>
              </w:rPr>
              <w:t>(200%)</w:t>
            </w:r>
          </w:p>
        </w:tc>
        <w:tc>
          <w:tcPr>
            <w:tcW w:w="1020" w:type="dxa"/>
            <w:vAlign w:val="bottom"/>
            <w:shd w:val="clear" w:color="auto" w:fill="D8E7F3"/>
          </w:tcPr>
          <w:p>
            <w:pPr>
              <w:jc w:val="right"/>
              <w:ind w:right="29"/>
              <w:spacing w:after="0"/>
              <w:rPr>
                <w:sz w:val="20"/>
                <w:szCs w:val="20"/>
                <w:color w:val="auto"/>
              </w:rPr>
            </w:pPr>
            <w:r>
              <w:rPr>
                <w:rFonts w:ascii="Arial" w:cs="Arial" w:eastAsia="Arial" w:hAnsi="Arial"/>
                <w:sz w:val="14"/>
                <w:szCs w:val="14"/>
                <w:color w:val="auto"/>
              </w:rPr>
              <w:t>30%</w:t>
            </w:r>
          </w:p>
        </w:tc>
        <w:tc>
          <w:tcPr>
            <w:tcW w:w="720" w:type="dxa"/>
            <w:vAlign w:val="bottom"/>
            <w:shd w:val="clear" w:color="auto" w:fill="D8E7F3"/>
          </w:tcPr>
          <w:p>
            <w:pPr>
              <w:jc w:val="right"/>
              <w:ind w:right="29"/>
              <w:spacing w:after="0"/>
              <w:rPr>
                <w:sz w:val="20"/>
                <w:szCs w:val="20"/>
                <w:color w:val="auto"/>
              </w:rPr>
            </w:pPr>
            <w:r>
              <w:rPr>
                <w:rFonts w:ascii="Arial" w:cs="Arial" w:eastAsia="Arial" w:hAnsi="Arial"/>
                <w:sz w:val="14"/>
                <w:szCs w:val="14"/>
                <w:color w:val="auto"/>
              </w:rPr>
              <w:t>$1,536</w:t>
            </w:r>
          </w:p>
        </w:tc>
        <w:tc>
          <w:tcPr>
            <w:tcW w:w="560" w:type="dxa"/>
            <w:vAlign w:val="bottom"/>
            <w:shd w:val="clear" w:color="auto" w:fill="D8E7F3"/>
          </w:tcPr>
          <w:p>
            <w:pPr>
              <w:jc w:val="right"/>
              <w:ind w:right="29"/>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1"/>
        </w:trPr>
        <w:tc>
          <w:tcPr>
            <w:tcW w:w="4200" w:type="dxa"/>
            <w:vAlign w:val="bottom"/>
            <w:shd w:val="clear" w:color="auto" w:fill="D8E7F3"/>
          </w:tcPr>
          <w:p>
            <w:pPr>
              <w:spacing w:after="0"/>
              <w:rPr>
                <w:sz w:val="14"/>
                <w:szCs w:val="14"/>
                <w:color w:val="auto"/>
              </w:rPr>
            </w:pPr>
          </w:p>
        </w:tc>
        <w:tc>
          <w:tcPr>
            <w:tcW w:w="82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$1,379</w:t>
            </w:r>
          </w:p>
        </w:tc>
        <w:tc>
          <w:tcPr>
            <w:tcW w:w="660" w:type="dxa"/>
            <w:vAlign w:val="bottom"/>
            <w:shd w:val="clear" w:color="auto" w:fill="D8E7F3"/>
          </w:tcPr>
          <w:p>
            <w:pPr>
              <w:jc w:val="right"/>
              <w:ind w:right="29"/>
              <w:spacing w:after="0"/>
              <w:rPr>
                <w:sz w:val="20"/>
                <w:szCs w:val="20"/>
                <w:color w:val="auto"/>
              </w:rPr>
            </w:pPr>
            <w:r>
              <w:rPr>
                <w:rFonts w:ascii="Arial" w:cs="Arial" w:eastAsia="Arial" w:hAnsi="Arial"/>
                <w:sz w:val="14"/>
                <w:szCs w:val="14"/>
                <w:color w:val="auto"/>
              </w:rPr>
              <w:t>$1,484</w:t>
            </w:r>
          </w:p>
        </w:tc>
        <w:tc>
          <w:tcPr>
            <w:tcW w:w="820" w:type="dxa"/>
            <w:vAlign w:val="bottom"/>
            <w:shd w:val="clear" w:color="auto" w:fill="D8E7F3"/>
          </w:tcPr>
          <w:p>
            <w:pPr>
              <w:jc w:val="right"/>
              <w:ind w:right="109"/>
              <w:spacing w:after="0"/>
              <w:rPr>
                <w:sz w:val="20"/>
                <w:szCs w:val="20"/>
                <w:color w:val="auto"/>
              </w:rPr>
            </w:pPr>
            <w:r>
              <w:rPr>
                <w:rFonts w:ascii="Arial" w:cs="Arial" w:eastAsia="Arial" w:hAnsi="Arial"/>
                <w:sz w:val="14"/>
                <w:szCs w:val="14"/>
                <w:color w:val="auto"/>
              </w:rPr>
              <w:t>$1,559</w:t>
            </w:r>
          </w:p>
        </w:tc>
        <w:tc>
          <w:tcPr>
            <w:tcW w:w="920" w:type="dxa"/>
            <w:vAlign w:val="bottom"/>
            <w:shd w:val="clear" w:color="auto" w:fill="D8E7F3"/>
          </w:tcPr>
          <w:p>
            <w:pPr>
              <w:jc w:val="right"/>
              <w:ind w:right="149"/>
              <w:spacing w:after="0"/>
              <w:rPr>
                <w:sz w:val="20"/>
                <w:szCs w:val="20"/>
                <w:color w:val="auto"/>
              </w:rPr>
            </w:pPr>
            <w:r>
              <w:rPr>
                <w:rFonts w:ascii="Arial" w:cs="Arial" w:eastAsia="Arial" w:hAnsi="Arial"/>
                <w:sz w:val="14"/>
                <w:szCs w:val="14"/>
                <w:color w:val="auto"/>
              </w:rPr>
              <w:t>$1,617</w:t>
            </w:r>
          </w:p>
        </w:tc>
        <w:tc>
          <w:tcPr>
            <w:tcW w:w="1020" w:type="dxa"/>
            <w:vAlign w:val="bottom"/>
            <w:shd w:val="clear" w:color="auto" w:fill="D8E7F3"/>
          </w:tcPr>
          <w:p>
            <w:pPr>
              <w:spacing w:after="0"/>
              <w:rPr>
                <w:sz w:val="14"/>
                <w:szCs w:val="14"/>
                <w:color w:val="auto"/>
              </w:rPr>
            </w:pPr>
          </w:p>
        </w:tc>
        <w:tc>
          <w:tcPr>
            <w:tcW w:w="720" w:type="dxa"/>
            <w:vAlign w:val="bottom"/>
            <w:shd w:val="clear" w:color="auto" w:fill="D8E7F3"/>
          </w:tcPr>
          <w:p>
            <w:pPr>
              <w:spacing w:after="0"/>
              <w:rPr>
                <w:sz w:val="14"/>
                <w:szCs w:val="14"/>
                <w:color w:val="auto"/>
              </w:rPr>
            </w:pPr>
          </w:p>
        </w:tc>
        <w:tc>
          <w:tcPr>
            <w:tcW w:w="56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4200" w:type="dxa"/>
            <w:vAlign w:val="bottom"/>
            <w:shd w:val="clear" w:color="auto" w:fill="D8E7F3"/>
          </w:tcPr>
          <w:p>
            <w:pPr>
              <w:spacing w:after="0"/>
              <w:rPr>
                <w:sz w:val="7"/>
                <w:szCs w:val="7"/>
                <w:color w:val="auto"/>
              </w:rPr>
            </w:pPr>
          </w:p>
        </w:tc>
        <w:tc>
          <w:tcPr>
            <w:tcW w:w="820" w:type="dxa"/>
            <w:vAlign w:val="bottom"/>
            <w:shd w:val="clear" w:color="auto" w:fill="D8E7F3"/>
          </w:tcPr>
          <w:p>
            <w:pPr>
              <w:spacing w:after="0"/>
              <w:rPr>
                <w:sz w:val="7"/>
                <w:szCs w:val="7"/>
                <w:color w:val="auto"/>
              </w:rPr>
            </w:pPr>
          </w:p>
        </w:tc>
        <w:tc>
          <w:tcPr>
            <w:tcW w:w="660" w:type="dxa"/>
            <w:vAlign w:val="bottom"/>
            <w:shd w:val="clear" w:color="auto" w:fill="D8E7F3"/>
          </w:tcPr>
          <w:p>
            <w:pPr>
              <w:spacing w:after="0"/>
              <w:rPr>
                <w:sz w:val="7"/>
                <w:szCs w:val="7"/>
                <w:color w:val="auto"/>
              </w:rPr>
            </w:pPr>
          </w:p>
        </w:tc>
        <w:tc>
          <w:tcPr>
            <w:tcW w:w="820" w:type="dxa"/>
            <w:vAlign w:val="bottom"/>
            <w:shd w:val="clear" w:color="auto" w:fill="D8E7F3"/>
          </w:tcPr>
          <w:p>
            <w:pPr>
              <w:spacing w:after="0"/>
              <w:rPr>
                <w:sz w:val="7"/>
                <w:szCs w:val="7"/>
                <w:color w:val="auto"/>
              </w:rPr>
            </w:pPr>
          </w:p>
        </w:tc>
        <w:tc>
          <w:tcPr>
            <w:tcW w:w="920" w:type="dxa"/>
            <w:vAlign w:val="bottom"/>
            <w:shd w:val="clear" w:color="auto" w:fill="D8E7F3"/>
          </w:tcPr>
          <w:p>
            <w:pPr>
              <w:spacing w:after="0"/>
              <w:rPr>
                <w:sz w:val="7"/>
                <w:szCs w:val="7"/>
                <w:color w:val="auto"/>
              </w:rPr>
            </w:pPr>
          </w:p>
        </w:tc>
        <w:tc>
          <w:tcPr>
            <w:tcW w:w="1740" w:type="dxa"/>
            <w:vAlign w:val="bottom"/>
            <w:gridSpan w:val="2"/>
            <w:shd w:val="clear" w:color="auto" w:fill="D8E7F3"/>
          </w:tcPr>
          <w:p>
            <w:pPr>
              <w:spacing w:after="0"/>
              <w:rPr>
                <w:sz w:val="7"/>
                <w:szCs w:val="7"/>
                <w:color w:val="auto"/>
              </w:rPr>
            </w:pPr>
          </w:p>
        </w:tc>
        <w:tc>
          <w:tcPr>
            <w:tcW w:w="560" w:type="dxa"/>
            <w:vAlign w:val="bottom"/>
            <w:shd w:val="clear" w:color="auto" w:fill="D8E7F3"/>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4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Overall Achievement</w:t>
            </w: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a detailed description of the calculation of cumulative utility net income, see “Executive Compensation Tables – Equity Incentive Plan Awards – Additional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Our Executive Compensation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Compensation Committee of the Board of Directors oversees compensation for our named executive officers and other senior executives, including base salary and short-term and long-term incentive awards, as applicable. The Compensation Committee also administers incentive compensation plans, evaluates our Chief Executive Officer’s performance and reviews management succession planning and development. The Board of Directors has determined that the members of the Compensation Committee meet the applicable requirements for independence under the standards of the Securities and Exchange Commission and the New York Stock Exchange discussed under “Director Independence.” The following graphic and narrative depict the Compensation Committee’s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132715</wp:posOffset>
            </wp:positionV>
            <wp:extent cx="5742940" cy="1609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42940" cy="160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Role of Compensation Committee</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Compensation Committee reviews each element of compensation annually to confirm or improve alignment with stated compensation objectives. As a result of its review, the Compensation Committee may approve adjustments to base salary, short-term and long-term incentive target compensation levels for the named executive officers to better align compensation with our market-based pay philosophy. In its review, the Compensation Committee also takes into consideration whether any incentive compensation target or performance objective could lead to a decision by an executive to take an inappropriate level of risk for the Company. In establishing individual incentive targets and awards, the Compensation Committee considers the data provided by its consultant, the level and nature of the executive’s responsibility, the executive’s experience and the Compensation Committee’s own qualitative assessment of the executive’s performance. In making these determinations, the Compensation Committee also takes into account our Chief Executive Officer’s performance evaluations of and recommendations regarding his direct reports.</w:t>
      </w:r>
    </w:p>
    <w:p>
      <w:pPr>
        <w:spacing w:after="0" w:line="213"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5" w:name="page56"/>
    <w:bookmarkEnd w:id="55"/>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Annually, the Compensation Committee directs its consultant to review the base salary and short-term and long-term incentive levels of our senior or named executive officers, as applicable. To ensure that our compensation programs are market-based, the compensation consultant analyzes and matches the position and responsibilities of each senior executive officer to proxy statement data from a peer group of utility companies and to published compensation surveys covering both the utility industry and general industry. We do not consider geographical differences to be a relevant factor since we recruit on a national basis.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Role of Management</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Of our senior executive officers, only our Chief Executive Officer has a role in determining executive compensation policies and programs. Our Chief Executive Officer works with business unit and functional leaders along with our internal compensation staff to provide information to the Compensation Committee to help ensure that all elements of compensation support our business strategy and goals.</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Chief Executive Officer also periodically reviews and recommends specific Company performance metrics to be used in short-term and long-term incentive plans. Our Chief Executive Officer works with the various business units and functional departments to develop these metrics, which are then presented to the Compensation Committee for its consideration and approval.</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Chief Executive Officer reviews and recommends changes to the peer companies used for compensation purposes using internal analyses of revenue, market capitalization and comparable business mix (e.g., natural gas versus electric; regulated versus unregulated; generation versus transmission and distribution). These recommendations are reviewed by the Compensation Committee’s independent consultant and then presented to the Committee for its consideration and approval.</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Within the parameters of the compensation policies established by the Compensation Committee, our Chief Executive Officer also makes preliminary recommendations for base salary adjustments and short-term and long-term incentive levels for the other senior executive officers. Our Chief Executive Officer also recommends payment amounts for the other executive officers’ short-term incentive plan awards. Our Chief Executive Officer bases his recommendations on a variety of factors such as his appraisal of the executive’s job performance and contribution to CenterPoint Energy, improvement in organizational and employee development and accomplishment of strategic priorities. Our Chief Executive Officer does not make any recommendations regarding his own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Role of Consultant</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To assist in carrying out its responsibilities, the Compensation Committee retains a consultant to provide independent advice on executive compensation and to perform specific tasks as requested by the Compensation Committee. The Compensation Committee retained Meridian Compensation Partners, LLC (“Meridian”) as its independent compensation consultant due in large part to its competitive market intelligence for executive pay and governance in the utilities and energy services industries. The consultant reports directly to the Compensation Committee, which preapproves the scope of work and the fees charged. The Compensation Committee or the Governance Committee may direct our compensation consultant to perform additional analyses or research related to compensation issues.</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Compensation Committee reviews and assesses the independence and performance of its compensation consultant in accordance with applicable Securities and Exchange Commission and New York Stock Exchange rules on an annual basis to confirm that the consultant is independent and meets all applicable regulatory requirements. In making this determination, the Compensation Committee reviewed information provided by its compensation consultant including the following factors:</w:t>
      </w:r>
    </w:p>
    <w:p>
      <w:pPr>
        <w:spacing w:after="0" w:line="97" w:lineRule="exact"/>
        <w:rPr>
          <w:sz w:val="20"/>
          <w:szCs w:val="20"/>
          <w:color w:val="auto"/>
        </w:rPr>
      </w:pPr>
    </w:p>
    <w:p>
      <w:pPr>
        <w:ind w:left="780" w:hanging="390"/>
        <w:spacing w:after="0"/>
        <w:tabs>
          <w:tab w:leader="none" w:pos="780" w:val="left"/>
        </w:tabs>
        <w:numPr>
          <w:ilvl w:val="0"/>
          <w:numId w:val="55"/>
        </w:numPr>
        <w:rPr>
          <w:rFonts w:ascii="Arial" w:cs="Arial" w:eastAsia="Arial" w:hAnsi="Arial"/>
          <w:sz w:val="16"/>
          <w:szCs w:val="16"/>
          <w:color w:val="0061AF"/>
        </w:rPr>
      </w:pPr>
      <w:r>
        <w:rPr>
          <w:rFonts w:ascii="Arial" w:cs="Arial" w:eastAsia="Arial" w:hAnsi="Arial"/>
          <w:sz w:val="16"/>
          <w:szCs w:val="16"/>
          <w:color w:val="auto"/>
        </w:rPr>
        <w:t>the provision of other services to CenterPoint Energy by the compensation consultant;</w:t>
      </w:r>
    </w:p>
    <w:p>
      <w:pPr>
        <w:spacing w:after="0" w:line="101" w:lineRule="exact"/>
        <w:rPr>
          <w:rFonts w:ascii="Arial" w:cs="Arial" w:eastAsia="Arial" w:hAnsi="Arial"/>
          <w:sz w:val="16"/>
          <w:szCs w:val="16"/>
          <w:color w:val="0061AF"/>
        </w:rPr>
      </w:pPr>
    </w:p>
    <w:p>
      <w:pPr>
        <w:ind w:left="780" w:hanging="390"/>
        <w:spacing w:after="0"/>
        <w:tabs>
          <w:tab w:leader="none" w:pos="780" w:val="left"/>
        </w:tabs>
        <w:numPr>
          <w:ilvl w:val="0"/>
          <w:numId w:val="55"/>
        </w:numPr>
        <w:rPr>
          <w:rFonts w:ascii="Arial" w:cs="Arial" w:eastAsia="Arial" w:hAnsi="Arial"/>
          <w:sz w:val="16"/>
          <w:szCs w:val="16"/>
          <w:color w:val="0061AF"/>
        </w:rPr>
      </w:pPr>
      <w:r>
        <w:rPr>
          <w:rFonts w:ascii="Arial" w:cs="Arial" w:eastAsia="Arial" w:hAnsi="Arial"/>
          <w:sz w:val="16"/>
          <w:szCs w:val="16"/>
          <w:color w:val="auto"/>
        </w:rPr>
        <w:t>the amount of fees received from CenterPoint Energy by the compensation consultant as a percentage of total revenue of the compensation consultant;</w:t>
      </w:r>
    </w:p>
    <w:p>
      <w:pPr>
        <w:spacing w:after="0" w:line="96" w:lineRule="exact"/>
        <w:rPr>
          <w:rFonts w:ascii="Arial" w:cs="Arial" w:eastAsia="Arial" w:hAnsi="Arial"/>
          <w:sz w:val="16"/>
          <w:szCs w:val="16"/>
          <w:color w:val="0061AF"/>
        </w:rPr>
      </w:pPr>
    </w:p>
    <w:p>
      <w:pPr>
        <w:ind w:left="780" w:hanging="390"/>
        <w:spacing w:after="0"/>
        <w:tabs>
          <w:tab w:leader="none" w:pos="780" w:val="left"/>
        </w:tabs>
        <w:numPr>
          <w:ilvl w:val="0"/>
          <w:numId w:val="55"/>
        </w:numPr>
        <w:rPr>
          <w:rFonts w:ascii="Arial" w:cs="Arial" w:eastAsia="Arial" w:hAnsi="Arial"/>
          <w:sz w:val="16"/>
          <w:szCs w:val="16"/>
          <w:color w:val="0061AF"/>
        </w:rPr>
      </w:pPr>
      <w:r>
        <w:rPr>
          <w:rFonts w:ascii="Arial" w:cs="Arial" w:eastAsia="Arial" w:hAnsi="Arial"/>
          <w:sz w:val="16"/>
          <w:szCs w:val="16"/>
          <w:color w:val="auto"/>
        </w:rPr>
        <w:t>the policies and procedures of the compensation consultant that are designed to prevent conflicts of interest;</w:t>
      </w:r>
    </w:p>
    <w:p>
      <w:pPr>
        <w:spacing w:after="0" w:line="183" w:lineRule="exact"/>
        <w:rPr>
          <w:sz w:val="20"/>
          <w:szCs w:val="20"/>
          <w:color w:val="auto"/>
        </w:rPr>
      </w:pPr>
    </w:p>
    <w:p>
      <w:pPr>
        <w:ind w:left="400" w:hanging="391"/>
        <w:spacing w:after="0"/>
        <w:tabs>
          <w:tab w:leader="none" w:pos="400" w:val="left"/>
        </w:tabs>
        <w:numPr>
          <w:ilvl w:val="0"/>
          <w:numId w:val="56"/>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6" w:name="page57"/>
    <w:bookmarkEnd w:id="56"/>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215" w:lineRule="exact"/>
        <w:rPr>
          <w:sz w:val="20"/>
          <w:szCs w:val="20"/>
          <w:color w:val="auto"/>
        </w:rPr>
      </w:pPr>
    </w:p>
    <w:p>
      <w:pPr>
        <w:ind w:left="780" w:hanging="390"/>
        <w:spacing w:after="0"/>
        <w:tabs>
          <w:tab w:leader="none" w:pos="780" w:val="left"/>
        </w:tabs>
        <w:numPr>
          <w:ilvl w:val="0"/>
          <w:numId w:val="57"/>
        </w:numPr>
        <w:rPr>
          <w:rFonts w:ascii="Arial" w:cs="Arial" w:eastAsia="Arial" w:hAnsi="Arial"/>
          <w:sz w:val="16"/>
          <w:szCs w:val="16"/>
          <w:color w:val="0061AF"/>
        </w:rPr>
      </w:pPr>
      <w:r>
        <w:rPr>
          <w:rFonts w:ascii="Arial" w:cs="Arial" w:eastAsia="Arial" w:hAnsi="Arial"/>
          <w:sz w:val="16"/>
          <w:szCs w:val="16"/>
          <w:color w:val="auto"/>
        </w:rPr>
        <w:t>any business or personal relationship of the Compensation Committee’s advisor (i.e., the employees of the compensation consultant that work on the CenterPoint Energy team) with a member of the Compensation Committee;</w:t>
      </w:r>
    </w:p>
    <w:p>
      <w:pPr>
        <w:spacing w:after="0" w:line="96" w:lineRule="exact"/>
        <w:rPr>
          <w:rFonts w:ascii="Arial" w:cs="Arial" w:eastAsia="Arial" w:hAnsi="Arial"/>
          <w:sz w:val="16"/>
          <w:szCs w:val="16"/>
          <w:color w:val="0061AF"/>
        </w:rPr>
      </w:pPr>
    </w:p>
    <w:p>
      <w:pPr>
        <w:ind w:left="780" w:hanging="390"/>
        <w:spacing w:after="0"/>
        <w:tabs>
          <w:tab w:leader="none" w:pos="780" w:val="left"/>
        </w:tabs>
        <w:numPr>
          <w:ilvl w:val="0"/>
          <w:numId w:val="57"/>
        </w:numPr>
        <w:rPr>
          <w:rFonts w:ascii="Arial" w:cs="Arial" w:eastAsia="Arial" w:hAnsi="Arial"/>
          <w:sz w:val="16"/>
          <w:szCs w:val="16"/>
          <w:color w:val="0061AF"/>
        </w:rPr>
      </w:pPr>
      <w:r>
        <w:rPr>
          <w:rFonts w:ascii="Arial" w:cs="Arial" w:eastAsia="Arial" w:hAnsi="Arial"/>
          <w:sz w:val="16"/>
          <w:szCs w:val="16"/>
          <w:color w:val="auto"/>
        </w:rPr>
        <w:t>any stock of CenterPoint Energy owned by the Compensation Committee’s advisor or the advisor’s immediate family members; and</w:t>
      </w:r>
    </w:p>
    <w:p>
      <w:pPr>
        <w:spacing w:after="0" w:line="96" w:lineRule="exact"/>
        <w:rPr>
          <w:rFonts w:ascii="Arial" w:cs="Arial" w:eastAsia="Arial" w:hAnsi="Arial"/>
          <w:sz w:val="16"/>
          <w:szCs w:val="16"/>
          <w:color w:val="0061AF"/>
        </w:rPr>
      </w:pPr>
    </w:p>
    <w:p>
      <w:pPr>
        <w:ind w:left="780" w:hanging="390"/>
        <w:spacing w:after="0"/>
        <w:tabs>
          <w:tab w:leader="none" w:pos="780" w:val="left"/>
        </w:tabs>
        <w:numPr>
          <w:ilvl w:val="0"/>
          <w:numId w:val="57"/>
        </w:numPr>
        <w:rPr>
          <w:rFonts w:ascii="Arial" w:cs="Arial" w:eastAsia="Arial" w:hAnsi="Arial"/>
          <w:sz w:val="16"/>
          <w:szCs w:val="16"/>
          <w:color w:val="0061AF"/>
        </w:rPr>
      </w:pPr>
      <w:r>
        <w:rPr>
          <w:rFonts w:ascii="Arial" w:cs="Arial" w:eastAsia="Arial" w:hAnsi="Arial"/>
          <w:sz w:val="16"/>
          <w:szCs w:val="16"/>
          <w:color w:val="auto"/>
        </w:rPr>
        <w:t>any business or personal relationship of the Compensation Committee’s advisor or any other employee of the compensation consultant with an executive officer at CenterPoint Energy.</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particular, except for certain services provided to the Governance Committee of the type detailed above, with respect to director compensation, the Compensation Committee noted that Meridian provided no other services to CenterPoint Energy.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Our 2020 Peer Group</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making decisions about executive pay programs and levels, the Compensation Committee references compensation data from our peer group. Selection criteria considered in establishing the peer group include companies within comparable Global Industry Classification Standard sectors, comparable business mix and complexity, companies who list CenterPoint Energy as a peer in their proxies, the peers that the current peer group list as comparable, companies listed in shareholder advisor reports regarding CenterPoint Energy and companies within a reasonable range of CenterPoint Energy relative to 12-month trailing revenue, total assets, enterprise value and current market capitalization. We believe that the use of this group as a reference for evaluating our compensation policies helps align us with our peers and competitors. We also believe this group of companies provides a sufficiently large data set that is generally not subject to wide changes in compensation data.</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peer group stayed relatively the same from 2019 to 2020. Upon Meridian’s recommendation, the Compensation Committee approved the removal of one company (PG&amp;E Corporation) from the 2020 peer group due to the company’s financial distress. This group of companies was identical to the group of companies used for measuring our relative total shareholder return under our 2020 long-term incentive compensation awards.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2020, the peer group for proxy statement data consisted of the following 18 publicly traded utility companies: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gridSpan w:val="2"/>
          </w:tcPr>
          <w:p>
            <w:pPr>
              <w:ind w:left="780"/>
              <w:spacing w:after="0"/>
              <w:rPr>
                <w:sz w:val="20"/>
                <w:szCs w:val="20"/>
                <w:color w:val="auto"/>
              </w:rPr>
            </w:pPr>
            <w:r>
              <w:rPr>
                <w:rFonts w:ascii="Arial" w:cs="Arial" w:eastAsia="Arial" w:hAnsi="Arial"/>
                <w:sz w:val="16"/>
                <w:szCs w:val="16"/>
                <w:b w:val="1"/>
                <w:bCs w:val="1"/>
                <w:color w:val="0061AF"/>
              </w:rPr>
              <w:t>Alliant Energy Corporation</w:t>
            </w:r>
          </w:p>
        </w:tc>
        <w:tc>
          <w:tcPr>
            <w:tcW w:w="2180" w:type="dxa"/>
            <w:vAlign w:val="bottom"/>
          </w:tcPr>
          <w:p>
            <w:pPr>
              <w:ind w:left="260"/>
              <w:spacing w:after="0"/>
              <w:rPr>
                <w:sz w:val="20"/>
                <w:szCs w:val="20"/>
                <w:color w:val="auto"/>
              </w:rPr>
            </w:pPr>
            <w:r>
              <w:rPr>
                <w:rFonts w:ascii="Arial" w:cs="Arial" w:eastAsia="Arial" w:hAnsi="Arial"/>
                <w:sz w:val="16"/>
                <w:szCs w:val="16"/>
                <w:b w:val="1"/>
                <w:bCs w:val="1"/>
                <w:color w:val="0061AF"/>
              </w:rPr>
              <w:t>Entergy Corporation</w:t>
            </w: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60" w:type="dxa"/>
            <w:vAlign w:val="bottom"/>
            <w:gridSpan w:val="2"/>
          </w:tcPr>
          <w:p>
            <w:pPr>
              <w:ind w:left="780"/>
              <w:spacing w:after="0" w:line="178" w:lineRule="exact"/>
              <w:rPr>
                <w:sz w:val="20"/>
                <w:szCs w:val="20"/>
                <w:color w:val="auto"/>
              </w:rPr>
            </w:pPr>
            <w:r>
              <w:rPr>
                <w:rFonts w:ascii="Arial" w:cs="Arial" w:eastAsia="Arial" w:hAnsi="Arial"/>
                <w:sz w:val="16"/>
                <w:szCs w:val="16"/>
                <w:b w:val="1"/>
                <w:bCs w:val="1"/>
                <w:color w:val="0061AF"/>
              </w:rPr>
              <w:t>Ameren Corporation</w:t>
            </w:r>
          </w:p>
        </w:tc>
        <w:tc>
          <w:tcPr>
            <w:tcW w:w="2180" w:type="dxa"/>
            <w:vAlign w:val="bottom"/>
          </w:tcPr>
          <w:p>
            <w:pPr>
              <w:ind w:left="260"/>
              <w:spacing w:after="0" w:line="178" w:lineRule="exact"/>
              <w:rPr>
                <w:sz w:val="20"/>
                <w:szCs w:val="20"/>
                <w:color w:val="auto"/>
              </w:rPr>
            </w:pPr>
            <w:r>
              <w:rPr>
                <w:rFonts w:ascii="Arial" w:cs="Arial" w:eastAsia="Arial" w:hAnsi="Arial"/>
                <w:sz w:val="16"/>
                <w:szCs w:val="16"/>
                <w:b w:val="1"/>
                <w:bCs w:val="1"/>
                <w:color w:val="0061AF"/>
              </w:rPr>
              <w:t>Evergy, Inc.</w:t>
            </w: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60" w:type="dxa"/>
            <w:vAlign w:val="bottom"/>
            <w:gridSpan w:val="2"/>
          </w:tcPr>
          <w:p>
            <w:pPr>
              <w:ind w:left="780"/>
              <w:spacing w:after="0" w:line="178" w:lineRule="exact"/>
              <w:rPr>
                <w:sz w:val="20"/>
                <w:szCs w:val="20"/>
                <w:color w:val="auto"/>
              </w:rPr>
            </w:pPr>
            <w:r>
              <w:rPr>
                <w:rFonts w:ascii="Arial" w:cs="Arial" w:eastAsia="Arial" w:hAnsi="Arial"/>
                <w:sz w:val="16"/>
                <w:szCs w:val="16"/>
                <w:b w:val="1"/>
                <w:bCs w:val="1"/>
                <w:color w:val="0061AF"/>
              </w:rPr>
              <w:t>American Electric Power Company, Inc.</w:t>
            </w:r>
          </w:p>
        </w:tc>
        <w:tc>
          <w:tcPr>
            <w:tcW w:w="2180" w:type="dxa"/>
            <w:vAlign w:val="bottom"/>
          </w:tcPr>
          <w:p>
            <w:pPr>
              <w:ind w:left="260"/>
              <w:spacing w:after="0" w:line="178" w:lineRule="exact"/>
              <w:rPr>
                <w:sz w:val="20"/>
                <w:szCs w:val="20"/>
                <w:color w:val="auto"/>
              </w:rPr>
            </w:pPr>
            <w:r>
              <w:rPr>
                <w:rFonts w:ascii="Arial" w:cs="Arial" w:eastAsia="Arial" w:hAnsi="Arial"/>
                <w:sz w:val="16"/>
                <w:szCs w:val="16"/>
                <w:b w:val="1"/>
                <w:bCs w:val="1"/>
                <w:color w:val="0061AF"/>
              </w:rPr>
              <w:t>Eversource Energy</w:t>
            </w: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60" w:type="dxa"/>
            <w:vAlign w:val="bottom"/>
            <w:gridSpan w:val="2"/>
          </w:tcPr>
          <w:p>
            <w:pPr>
              <w:ind w:left="780"/>
              <w:spacing w:after="0" w:line="178" w:lineRule="exact"/>
              <w:rPr>
                <w:sz w:val="20"/>
                <w:szCs w:val="20"/>
                <w:color w:val="auto"/>
              </w:rPr>
            </w:pPr>
            <w:r>
              <w:rPr>
                <w:rFonts w:ascii="Arial" w:cs="Arial" w:eastAsia="Arial" w:hAnsi="Arial"/>
                <w:sz w:val="16"/>
                <w:szCs w:val="16"/>
                <w:b w:val="1"/>
                <w:bCs w:val="1"/>
                <w:color w:val="0061AF"/>
              </w:rPr>
              <w:t>Atmos Energy Corporation</w:t>
            </w:r>
          </w:p>
        </w:tc>
        <w:tc>
          <w:tcPr>
            <w:tcW w:w="2180" w:type="dxa"/>
            <w:vAlign w:val="bottom"/>
          </w:tcPr>
          <w:p>
            <w:pPr>
              <w:ind w:left="260"/>
              <w:spacing w:after="0" w:line="178" w:lineRule="exact"/>
              <w:rPr>
                <w:sz w:val="20"/>
                <w:szCs w:val="20"/>
                <w:color w:val="auto"/>
              </w:rPr>
            </w:pPr>
            <w:r>
              <w:rPr>
                <w:rFonts w:ascii="Arial" w:cs="Arial" w:eastAsia="Arial" w:hAnsi="Arial"/>
                <w:sz w:val="16"/>
                <w:szCs w:val="16"/>
                <w:b w:val="1"/>
                <w:bCs w:val="1"/>
                <w:color w:val="0061AF"/>
              </w:rPr>
              <w:t>NiSource Inc.</w:t>
            </w: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60" w:type="dxa"/>
            <w:vAlign w:val="bottom"/>
            <w:gridSpan w:val="2"/>
          </w:tcPr>
          <w:p>
            <w:pPr>
              <w:ind w:left="780"/>
              <w:spacing w:after="0" w:line="178" w:lineRule="exact"/>
              <w:rPr>
                <w:sz w:val="20"/>
                <w:szCs w:val="20"/>
                <w:color w:val="auto"/>
              </w:rPr>
            </w:pPr>
            <w:r>
              <w:rPr>
                <w:rFonts w:ascii="Arial" w:cs="Arial" w:eastAsia="Arial" w:hAnsi="Arial"/>
                <w:sz w:val="16"/>
                <w:szCs w:val="16"/>
                <w:b w:val="1"/>
                <w:bCs w:val="1"/>
                <w:color w:val="0061AF"/>
              </w:rPr>
              <w:t>Avangrid, Inc.</w:t>
            </w:r>
          </w:p>
        </w:tc>
        <w:tc>
          <w:tcPr>
            <w:tcW w:w="3700" w:type="dxa"/>
            <w:vAlign w:val="bottom"/>
            <w:gridSpan w:val="3"/>
          </w:tcPr>
          <w:p>
            <w:pPr>
              <w:ind w:left="260"/>
              <w:spacing w:after="0" w:line="178" w:lineRule="exact"/>
              <w:rPr>
                <w:sz w:val="20"/>
                <w:szCs w:val="20"/>
                <w:color w:val="auto"/>
              </w:rPr>
            </w:pPr>
            <w:r>
              <w:rPr>
                <w:rFonts w:ascii="Arial" w:cs="Arial" w:eastAsia="Arial" w:hAnsi="Arial"/>
                <w:sz w:val="16"/>
                <w:szCs w:val="16"/>
                <w:b w:val="1"/>
                <w:bCs w:val="1"/>
                <w:color w:val="0061AF"/>
              </w:rPr>
              <w:t>Pinnacle West Capital Corporation</w:t>
            </w:r>
          </w:p>
        </w:tc>
        <w:tc>
          <w:tcPr>
            <w:tcW w:w="0" w:type="dxa"/>
            <w:vAlign w:val="bottom"/>
          </w:tcPr>
          <w:p>
            <w:pPr>
              <w:spacing w:after="0"/>
              <w:rPr>
                <w:sz w:val="1"/>
                <w:szCs w:val="1"/>
                <w:color w:val="auto"/>
              </w:rPr>
            </w:pPr>
          </w:p>
        </w:tc>
      </w:tr>
      <w:tr>
        <w:trPr>
          <w:trHeight w:val="179"/>
        </w:trPr>
        <w:tc>
          <w:tcPr>
            <w:tcW w:w="4860" w:type="dxa"/>
            <w:vAlign w:val="bottom"/>
            <w:gridSpan w:val="2"/>
          </w:tcPr>
          <w:p>
            <w:pPr>
              <w:ind w:left="780"/>
              <w:spacing w:after="0" w:line="178" w:lineRule="exact"/>
              <w:rPr>
                <w:sz w:val="20"/>
                <w:szCs w:val="20"/>
                <w:color w:val="auto"/>
              </w:rPr>
            </w:pPr>
            <w:r>
              <w:rPr>
                <w:rFonts w:ascii="Arial" w:cs="Arial" w:eastAsia="Arial" w:hAnsi="Arial"/>
                <w:sz w:val="16"/>
                <w:szCs w:val="16"/>
                <w:b w:val="1"/>
                <w:bCs w:val="1"/>
                <w:color w:val="0061AF"/>
              </w:rPr>
              <w:t>CMS Energy Corporation</w:t>
            </w:r>
          </w:p>
        </w:tc>
        <w:tc>
          <w:tcPr>
            <w:tcW w:w="3700" w:type="dxa"/>
            <w:vAlign w:val="bottom"/>
            <w:gridSpan w:val="3"/>
          </w:tcPr>
          <w:p>
            <w:pPr>
              <w:ind w:left="260"/>
              <w:spacing w:after="0" w:line="178" w:lineRule="exact"/>
              <w:rPr>
                <w:sz w:val="20"/>
                <w:szCs w:val="20"/>
                <w:color w:val="auto"/>
              </w:rPr>
            </w:pPr>
            <w:r>
              <w:rPr>
                <w:rFonts w:ascii="Arial" w:cs="Arial" w:eastAsia="Arial" w:hAnsi="Arial"/>
                <w:sz w:val="16"/>
                <w:szCs w:val="16"/>
                <w:b w:val="1"/>
                <w:bCs w:val="1"/>
                <w:color w:val="0061AF"/>
                <w:w w:val="98"/>
              </w:rPr>
              <w:t>Public Service Enterprise Group Incorporated</w:t>
            </w:r>
          </w:p>
        </w:tc>
        <w:tc>
          <w:tcPr>
            <w:tcW w:w="0" w:type="dxa"/>
            <w:vAlign w:val="bottom"/>
          </w:tcPr>
          <w:p>
            <w:pPr>
              <w:spacing w:after="0"/>
              <w:rPr>
                <w:sz w:val="1"/>
                <w:szCs w:val="1"/>
                <w:color w:val="auto"/>
              </w:rPr>
            </w:pPr>
          </w:p>
        </w:tc>
      </w:tr>
      <w:tr>
        <w:trPr>
          <w:trHeight w:val="179"/>
        </w:trPr>
        <w:tc>
          <w:tcPr>
            <w:tcW w:w="4860" w:type="dxa"/>
            <w:vAlign w:val="bottom"/>
            <w:gridSpan w:val="2"/>
          </w:tcPr>
          <w:p>
            <w:pPr>
              <w:ind w:left="780"/>
              <w:spacing w:after="0" w:line="178" w:lineRule="exact"/>
              <w:rPr>
                <w:sz w:val="20"/>
                <w:szCs w:val="20"/>
                <w:color w:val="auto"/>
              </w:rPr>
            </w:pPr>
            <w:r>
              <w:rPr>
                <w:rFonts w:ascii="Arial" w:cs="Arial" w:eastAsia="Arial" w:hAnsi="Arial"/>
                <w:sz w:val="16"/>
                <w:szCs w:val="16"/>
                <w:b w:val="1"/>
                <w:bCs w:val="1"/>
                <w:color w:val="0061AF"/>
              </w:rPr>
              <w:t>Consolidated Edison, Inc.</w:t>
            </w:r>
          </w:p>
        </w:tc>
        <w:tc>
          <w:tcPr>
            <w:tcW w:w="2180" w:type="dxa"/>
            <w:vAlign w:val="bottom"/>
          </w:tcPr>
          <w:p>
            <w:pPr>
              <w:ind w:left="260"/>
              <w:spacing w:after="0" w:line="178" w:lineRule="exact"/>
              <w:rPr>
                <w:sz w:val="20"/>
                <w:szCs w:val="20"/>
                <w:color w:val="auto"/>
              </w:rPr>
            </w:pPr>
            <w:r>
              <w:rPr>
                <w:rFonts w:ascii="Arial" w:cs="Arial" w:eastAsia="Arial" w:hAnsi="Arial"/>
                <w:sz w:val="16"/>
                <w:szCs w:val="16"/>
                <w:b w:val="1"/>
                <w:bCs w:val="1"/>
                <w:color w:val="0061AF"/>
              </w:rPr>
              <w:t>Sempra Energy</w:t>
            </w: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60" w:type="dxa"/>
            <w:vAlign w:val="bottom"/>
            <w:gridSpan w:val="2"/>
          </w:tcPr>
          <w:p>
            <w:pPr>
              <w:ind w:left="780"/>
              <w:spacing w:after="0" w:line="178" w:lineRule="exact"/>
              <w:rPr>
                <w:sz w:val="20"/>
                <w:szCs w:val="20"/>
                <w:color w:val="auto"/>
              </w:rPr>
            </w:pPr>
            <w:r>
              <w:rPr>
                <w:rFonts w:ascii="Arial" w:cs="Arial" w:eastAsia="Arial" w:hAnsi="Arial"/>
                <w:sz w:val="16"/>
                <w:szCs w:val="16"/>
                <w:b w:val="1"/>
                <w:bCs w:val="1"/>
                <w:color w:val="0061AF"/>
              </w:rPr>
              <w:t>DTE Energy Company</w:t>
            </w:r>
          </w:p>
        </w:tc>
        <w:tc>
          <w:tcPr>
            <w:tcW w:w="2180" w:type="dxa"/>
            <w:vAlign w:val="bottom"/>
          </w:tcPr>
          <w:p>
            <w:pPr>
              <w:ind w:left="260"/>
              <w:spacing w:after="0" w:line="178" w:lineRule="exact"/>
              <w:rPr>
                <w:sz w:val="20"/>
                <w:szCs w:val="20"/>
                <w:color w:val="auto"/>
              </w:rPr>
            </w:pPr>
            <w:r>
              <w:rPr>
                <w:rFonts w:ascii="Arial" w:cs="Arial" w:eastAsia="Arial" w:hAnsi="Arial"/>
                <w:sz w:val="16"/>
                <w:szCs w:val="16"/>
                <w:b w:val="1"/>
                <w:bCs w:val="1"/>
                <w:color w:val="0061AF"/>
              </w:rPr>
              <w:t>WEC Energy Group, Inc.</w:t>
            </w: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780"/>
              <w:spacing w:after="0"/>
              <w:rPr>
                <w:sz w:val="20"/>
                <w:szCs w:val="20"/>
                <w:color w:val="auto"/>
              </w:rPr>
            </w:pPr>
            <w:r>
              <w:rPr>
                <w:rFonts w:ascii="Arial" w:cs="Arial" w:eastAsia="Arial" w:hAnsi="Arial"/>
                <w:sz w:val="16"/>
                <w:szCs w:val="16"/>
                <w:b w:val="1"/>
                <w:bCs w:val="1"/>
                <w:color w:val="0061AF"/>
              </w:rPr>
              <w:t>Edison International</w:t>
            </w:r>
          </w:p>
        </w:tc>
        <w:tc>
          <w:tcPr>
            <w:tcW w:w="2180" w:type="dxa"/>
            <w:vAlign w:val="bottom"/>
          </w:tcPr>
          <w:p>
            <w:pPr>
              <w:ind w:left="260"/>
              <w:spacing w:after="0"/>
              <w:rPr>
                <w:sz w:val="20"/>
                <w:szCs w:val="20"/>
                <w:color w:val="auto"/>
              </w:rPr>
            </w:pPr>
            <w:r>
              <w:rPr>
                <w:rFonts w:ascii="Arial" w:cs="Arial" w:eastAsia="Arial" w:hAnsi="Arial"/>
                <w:sz w:val="16"/>
                <w:szCs w:val="16"/>
                <w:b w:val="1"/>
                <w:bCs w:val="1"/>
                <w:color w:val="0061AF"/>
              </w:rPr>
              <w:t>Xcel Energy Inc.</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7040" w:type="dxa"/>
            <w:vAlign w:val="bottom"/>
            <w:gridSpan w:val="3"/>
          </w:tcPr>
          <w:p>
            <w:pPr>
              <w:spacing w:after="0"/>
              <w:rPr>
                <w:sz w:val="20"/>
                <w:szCs w:val="20"/>
                <w:color w:val="auto"/>
              </w:rPr>
            </w:pPr>
            <w:r>
              <w:rPr>
                <w:rFonts w:ascii="Arial" w:cs="Arial" w:eastAsia="Arial" w:hAnsi="Arial"/>
                <w:sz w:val="16"/>
                <w:szCs w:val="16"/>
                <w:color w:val="auto"/>
              </w:rPr>
              <w:t>This peer group had median revenues and assets comparable to CenterPoint Energy.</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3540" w:type="dxa"/>
            <w:vAlign w:val="bottom"/>
            <w:shd w:val="clear" w:color="auto" w:fill="0061AF"/>
          </w:tcPr>
          <w:p>
            <w:pPr>
              <w:spacing w:after="0"/>
              <w:rPr>
                <w:sz w:val="14"/>
                <w:szCs w:val="14"/>
                <w:color w:val="auto"/>
              </w:rPr>
            </w:pPr>
          </w:p>
        </w:tc>
        <w:tc>
          <w:tcPr>
            <w:tcW w:w="2180" w:type="dxa"/>
            <w:vAlign w:val="bottom"/>
            <w:shd w:val="clear" w:color="auto" w:fill="0061AF"/>
          </w:tcPr>
          <w:p>
            <w:pPr>
              <w:ind w:left="800"/>
              <w:spacing w:after="0"/>
              <w:rPr>
                <w:sz w:val="20"/>
                <w:szCs w:val="20"/>
                <w:color w:val="auto"/>
              </w:rPr>
            </w:pPr>
            <w:r>
              <w:rPr>
                <w:rFonts w:ascii="Arial" w:cs="Arial" w:eastAsia="Arial" w:hAnsi="Arial"/>
                <w:sz w:val="14"/>
                <w:szCs w:val="14"/>
                <w:b w:val="1"/>
                <w:bCs w:val="1"/>
                <w:color w:val="FFFFFF"/>
              </w:rPr>
              <w:t>TOTAL ASSETS</w:t>
            </w:r>
          </w:p>
        </w:tc>
        <w:tc>
          <w:tcPr>
            <w:tcW w:w="1380" w:type="dxa"/>
            <w:vAlign w:val="bottom"/>
            <w:shd w:val="clear" w:color="auto" w:fill="0061AF"/>
          </w:tcPr>
          <w:p>
            <w:pPr>
              <w:ind w:left="100"/>
              <w:spacing w:after="0"/>
              <w:rPr>
                <w:sz w:val="20"/>
                <w:szCs w:val="20"/>
                <w:color w:val="auto"/>
              </w:rPr>
            </w:pPr>
            <w:r>
              <w:rPr>
                <w:rFonts w:ascii="Arial" w:cs="Arial" w:eastAsia="Arial" w:hAnsi="Arial"/>
                <w:sz w:val="14"/>
                <w:szCs w:val="14"/>
                <w:b w:val="1"/>
                <w:bCs w:val="1"/>
                <w:color w:val="FFFFFF"/>
              </w:rPr>
              <w:t>TOTAL REVENUE</w:t>
            </w: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20" w:type="dxa"/>
            <w:vAlign w:val="bottom"/>
          </w:tcPr>
          <w:p>
            <w:pPr>
              <w:spacing w:after="0"/>
              <w:rPr>
                <w:sz w:val="12"/>
                <w:szCs w:val="12"/>
                <w:color w:val="auto"/>
              </w:rPr>
            </w:pPr>
          </w:p>
        </w:tc>
        <w:tc>
          <w:tcPr>
            <w:tcW w:w="3540" w:type="dxa"/>
            <w:vAlign w:val="bottom"/>
            <w:shd w:val="clear" w:color="auto" w:fill="0061AF"/>
          </w:tcPr>
          <w:p>
            <w:pPr>
              <w:spacing w:after="0"/>
              <w:rPr>
                <w:sz w:val="12"/>
                <w:szCs w:val="12"/>
                <w:color w:val="auto"/>
              </w:rPr>
            </w:pPr>
          </w:p>
        </w:tc>
        <w:tc>
          <w:tcPr>
            <w:tcW w:w="3560" w:type="dxa"/>
            <w:vAlign w:val="bottom"/>
            <w:gridSpan w:val="2"/>
            <w:shd w:val="clear" w:color="auto" w:fill="0061AF"/>
          </w:tcPr>
          <w:p>
            <w:pPr>
              <w:ind w:left="1140"/>
              <w:spacing w:after="0" w:line="143" w:lineRule="exact"/>
              <w:rPr>
                <w:sz w:val="20"/>
                <w:szCs w:val="20"/>
                <w:color w:val="auto"/>
              </w:rPr>
            </w:pPr>
            <w:r>
              <w:rPr>
                <w:rFonts w:ascii="Arial" w:cs="Arial" w:eastAsia="Arial" w:hAnsi="Arial"/>
                <w:sz w:val="13"/>
                <w:szCs w:val="13"/>
                <w:color w:val="FFFFFF"/>
              </w:rPr>
              <w:t>(in millions, except for percentages)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CenterPoint Energy, Inc.*</w:t>
            </w:r>
          </w:p>
        </w:tc>
        <w:tc>
          <w:tcPr>
            <w:tcW w:w="2180" w:type="dxa"/>
            <w:vAlign w:val="bottom"/>
          </w:tcPr>
          <w:p>
            <w:pPr>
              <w:jc w:val="right"/>
              <w:ind w:right="524"/>
              <w:spacing w:after="0"/>
              <w:rPr>
                <w:sz w:val="20"/>
                <w:szCs w:val="20"/>
                <w:color w:val="auto"/>
              </w:rPr>
            </w:pPr>
            <w:r>
              <w:rPr>
                <w:rFonts w:ascii="Arial" w:cs="Arial" w:eastAsia="Arial" w:hAnsi="Arial"/>
                <w:sz w:val="14"/>
                <w:szCs w:val="14"/>
                <w:color w:val="auto"/>
              </w:rPr>
              <w:t>$34,189</w:t>
            </w:r>
          </w:p>
        </w:tc>
        <w:tc>
          <w:tcPr>
            <w:tcW w:w="1380" w:type="dxa"/>
            <w:vAlign w:val="bottom"/>
          </w:tcPr>
          <w:p>
            <w:pPr>
              <w:jc w:val="right"/>
              <w:ind w:right="329"/>
              <w:spacing w:after="0"/>
              <w:rPr>
                <w:sz w:val="20"/>
                <w:szCs w:val="20"/>
                <w:color w:val="auto"/>
              </w:rPr>
            </w:pPr>
            <w:r>
              <w:rPr>
                <w:rFonts w:ascii="Arial" w:cs="Arial" w:eastAsia="Arial" w:hAnsi="Arial"/>
                <w:sz w:val="14"/>
                <w:szCs w:val="14"/>
                <w:color w:val="auto"/>
              </w:rPr>
              <w:t>$11,577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3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320" w:type="dxa"/>
            <w:vAlign w:val="bottom"/>
          </w:tcPr>
          <w:p>
            <w:pPr>
              <w:spacing w:after="0"/>
              <w:rPr>
                <w:sz w:val="16"/>
                <w:szCs w:val="16"/>
                <w:color w:val="auto"/>
              </w:rPr>
            </w:pPr>
          </w:p>
        </w:tc>
        <w:tc>
          <w:tcPr>
            <w:tcW w:w="3540" w:type="dxa"/>
            <w:vAlign w:val="bottom"/>
            <w:shd w:val="clear" w:color="auto" w:fill="D8E7F3"/>
          </w:tcPr>
          <w:p>
            <w:pPr>
              <w:ind w:left="80"/>
              <w:spacing w:after="0"/>
              <w:rPr>
                <w:sz w:val="20"/>
                <w:szCs w:val="20"/>
                <w:color w:val="auto"/>
              </w:rPr>
            </w:pPr>
            <w:r>
              <w:rPr>
                <w:rFonts w:ascii="Arial" w:cs="Arial" w:eastAsia="Arial" w:hAnsi="Arial"/>
                <w:sz w:val="14"/>
                <w:szCs w:val="14"/>
                <w:b w:val="1"/>
                <w:bCs w:val="1"/>
                <w:i w:val="1"/>
                <w:iCs w:val="1"/>
                <w:color w:val="auto"/>
              </w:rPr>
              <w:t>Relative Percentile Rank Position</w:t>
            </w:r>
          </w:p>
        </w:tc>
        <w:tc>
          <w:tcPr>
            <w:tcW w:w="2180" w:type="dxa"/>
            <w:vAlign w:val="bottom"/>
            <w:shd w:val="clear" w:color="auto" w:fill="D8E7F3"/>
          </w:tcPr>
          <w:p>
            <w:pPr>
              <w:jc w:val="right"/>
              <w:ind w:right="624"/>
              <w:spacing w:after="0"/>
              <w:rPr>
                <w:sz w:val="20"/>
                <w:szCs w:val="20"/>
                <w:color w:val="auto"/>
              </w:rPr>
            </w:pPr>
            <w:r>
              <w:rPr>
                <w:rFonts w:ascii="Arial" w:cs="Arial" w:eastAsia="Arial" w:hAnsi="Arial"/>
                <w:sz w:val="14"/>
                <w:szCs w:val="14"/>
                <w:color w:val="auto"/>
              </w:rPr>
              <w:t>50%</w:t>
            </w:r>
          </w:p>
        </w:tc>
        <w:tc>
          <w:tcPr>
            <w:tcW w:w="1380" w:type="dxa"/>
            <w:vAlign w:val="bottom"/>
            <w:shd w:val="clear" w:color="auto" w:fill="D8E7F3"/>
          </w:tcPr>
          <w:p>
            <w:pPr>
              <w:jc w:val="right"/>
              <w:ind w:right="429"/>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320" w:type="dxa"/>
            <w:vAlign w:val="bottom"/>
          </w:tcPr>
          <w:p>
            <w:pPr>
              <w:spacing w:after="0"/>
              <w:rPr>
                <w:sz w:val="6"/>
                <w:szCs w:val="6"/>
                <w:color w:val="auto"/>
              </w:rPr>
            </w:pPr>
          </w:p>
        </w:tc>
        <w:tc>
          <w:tcPr>
            <w:tcW w:w="3540" w:type="dxa"/>
            <w:vAlign w:val="bottom"/>
            <w:shd w:val="clear" w:color="auto" w:fill="D8E7F3"/>
          </w:tcPr>
          <w:p>
            <w:pPr>
              <w:spacing w:after="0"/>
              <w:rPr>
                <w:sz w:val="6"/>
                <w:szCs w:val="6"/>
                <w:color w:val="auto"/>
              </w:rPr>
            </w:pPr>
          </w:p>
        </w:tc>
        <w:tc>
          <w:tcPr>
            <w:tcW w:w="2180" w:type="dxa"/>
            <w:vAlign w:val="bottom"/>
            <w:shd w:val="clear" w:color="auto" w:fill="D8E7F3"/>
          </w:tcPr>
          <w:p>
            <w:pPr>
              <w:spacing w:after="0"/>
              <w:rPr>
                <w:sz w:val="6"/>
                <w:szCs w:val="6"/>
                <w:color w:val="auto"/>
              </w:rPr>
            </w:pPr>
          </w:p>
        </w:tc>
        <w:tc>
          <w:tcPr>
            <w:tcW w:w="1380" w:type="dxa"/>
            <w:vAlign w:val="bottom"/>
            <w:shd w:val="clear" w:color="auto" w:fill="D8E7F3"/>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360"/>
        <w:spacing w:after="0" w:line="235" w:lineRule="auto"/>
        <w:rPr>
          <w:sz w:val="20"/>
          <w:szCs w:val="20"/>
          <w:color w:val="auto"/>
        </w:rPr>
      </w:pPr>
      <w:r>
        <w:rPr>
          <w:rFonts w:ascii="Arial" w:cs="Arial" w:eastAsia="Arial" w:hAnsi="Arial"/>
          <w:sz w:val="13"/>
          <w:szCs w:val="13"/>
          <w:i w:val="1"/>
          <w:iCs w:val="1"/>
          <w:color w:val="auto"/>
        </w:rPr>
        <w:t>Data is presented as of June 30, 2019 and sourced from Standard &amp; Poor’s Capital IQ</w:t>
      </w:r>
    </w:p>
    <w:p>
      <w:pPr>
        <w:ind w:left="1360"/>
        <w:spacing w:after="0" w:line="230" w:lineRule="auto"/>
        <w:rPr>
          <w:sz w:val="20"/>
          <w:szCs w:val="20"/>
          <w:color w:val="auto"/>
        </w:rPr>
      </w:pPr>
      <w:r>
        <w:rPr>
          <w:rFonts w:ascii="Arial" w:cs="Arial" w:eastAsia="Arial" w:hAnsi="Arial"/>
          <w:sz w:val="13"/>
          <w:szCs w:val="13"/>
          <w:i w:val="1"/>
          <w:iCs w:val="1"/>
          <w:color w:val="auto"/>
        </w:rPr>
        <w:t>Revenue represents trailing twelve months</w:t>
      </w:r>
    </w:p>
    <w:p>
      <w:pPr>
        <w:ind w:left="1360" w:right="1360" w:firstLine="8"/>
        <w:spacing w:after="0" w:line="237" w:lineRule="auto"/>
        <w:tabs>
          <w:tab w:leader="none" w:pos="1468" w:val="left"/>
        </w:tabs>
        <w:numPr>
          <w:ilvl w:val="0"/>
          <w:numId w:val="58"/>
        </w:numPr>
        <w:rPr>
          <w:rFonts w:ascii="Arial" w:cs="Arial" w:eastAsia="Arial" w:hAnsi="Arial"/>
          <w:sz w:val="13"/>
          <w:szCs w:val="13"/>
          <w:i w:val="1"/>
          <w:iCs w:val="1"/>
          <w:color w:val="auto"/>
        </w:rPr>
      </w:pPr>
      <w:r>
        <w:rPr>
          <w:rFonts w:ascii="Arial" w:cs="Arial" w:eastAsia="Arial" w:hAnsi="Arial"/>
          <w:sz w:val="13"/>
          <w:szCs w:val="13"/>
          <w:i w:val="1"/>
          <w:iCs w:val="1"/>
          <w:color w:val="auto"/>
        </w:rPr>
        <w:t>Total assets and revenue include amounts from the Company’s divested Energy Services and Infrastructure Services businesses</w:t>
      </w:r>
    </w:p>
    <w:p>
      <w:pPr>
        <w:spacing w:after="0" w:line="206"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7" w:name="page58"/>
    <w:bookmarkEnd w:id="5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Review of Tally Sheets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At least annually, the Compensation Committee reviews tally sheets for each of our then-current named executive officers that reflect all components of compensation, including base salary, short-term and long-term incentive compensation, other perquisites, imputed income, death benefits and benefits or payments that would be payable in connection with a change in control or termination of employment. Tally sheets are provided to the Compensation Committee to show how various compensation and benefits amounts are interrelated and how changes in one component of compensation impact other components and to enable Compensation Committee members to quantify amounts payable upon various termination scenarios.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Other Compensation Programs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Benefits</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have maintained a defined benefit plan for eligible employees since 1953 to help employees provide for retirement and to retain employees. This plan is closed to all non-union employees hired or rehired on or after January 1, 2020. In addition, we maintain a benefit restoration plan as a nonqualified supplemental retirement plan to generally provide for benefits in excess of those available under the retirement plan due to annual limits imposed by the Internal Revenue Code. Changes in base salary and/or short-term incentive compensation affect benefits payable under the retirement plan and the benefit restoration plan. See “Executive Compensation Tables— Pension Benefits” for a description of the retirement plan and benefit restoration plan. The present value of the accumulated benefits under the plans for each senior executive officer is set forth in the Pension Benefits table.</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maintain a savings plan, which includes employer matching contributions, designed to encourage all employees to help provide for their own retirement and to attract and retain employees. We also have a nonqualified savings restoration plan that provides for employer contributions not available under the savings plan due to Internal Revenue Code limits. Base salary and short-term incentive compensation are included as eligible plan compensation under the provisions of the savings plan and the savings restoration plan. See “Executive Compensation Tables—Savings Plan and Savings Restoration Plans” for further information. Matching contributions to the plans for the senior executive officers are included in the footnote to the All Other Compensation column of the Summary Compensation Table.</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senior executive officers may defer salary and short-term incentive compensation under our deferred compensation plan. For further information and a description of the plan, see “Executive Compensation Tables—Deferred Compensation Plans.” The above-market portion of the 2020 aggregate earnings is reported in the Change in Pension Value and Nonqualified Deferred Compensation Earnings column of the Summary Compensation Table.</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also have an executive life insurance plan providing endorsement split-dollar life insurance in the form of a death benefit for non-employee directors who were elected to the Board prior to January 1, 2001 (Mr. Carroll). The purpose of this plan is to assist the executive’s beneficiaries with the impact of estate taxes on deferred compensation plan distributions. Due to changes in tax laws, we froze entry into this plan effective January 1, 2002. See footnote 6(e) to the Summary Compensation Table for a description of the plan.</w:t>
      </w:r>
    </w:p>
    <w:p>
      <w:pPr>
        <w:spacing w:after="0" w:line="18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We also provide executives with the same health and welfare benefits provided to all other similarly situated employees, and at the same cost charged to all other eligible employees. Executives are also entitled to the same post-retirement health and welfare benefits as those provided to similarly situated retirees.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Termination Benefits</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As described later in the section titled “Potential Payments upon Change in Control or Termination,” CenterPoint Energy has a change in control plan that is intended to help ensure that our officers, including our senior executive officers and our Executive Chairman, continue to give their full attention to our business needs in the event we were to become the subject of the types of change in control transactions described in the plan. The plan includes</w:t>
      </w:r>
    </w:p>
    <w:p>
      <w:pPr>
        <w:spacing w:after="0" w:line="179" w:lineRule="exact"/>
        <w:rPr>
          <w:sz w:val="20"/>
          <w:szCs w:val="20"/>
          <w:color w:val="auto"/>
        </w:rPr>
      </w:pPr>
    </w:p>
    <w:p>
      <w:pPr>
        <w:ind w:left="400" w:hanging="391"/>
        <w:spacing w:after="0"/>
        <w:tabs>
          <w:tab w:leader="none" w:pos="400" w:val="left"/>
        </w:tabs>
        <w:numPr>
          <w:ilvl w:val="0"/>
          <w:numId w:val="59"/>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8" w:name="page59"/>
    <w:bookmarkEnd w:id="5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215"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a “double trigger,” whereby to be eligible for benefits under the plan, the executive’s employment must be terminated within a set period before or after a change in control. The plan does not provide for any excise tax gross-up payments.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do not maintain individual employee agreements or a separate non-change-in-control severance plan for executives. Our Compensation Committee retains the discretion to evaluate the circumstances of each termination when an executive exits the Company. For a more detailed discussion, refer to “Potential Payments upon Change in Control or Termination.”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Perquisites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do not consider perquisites to be a material component of our executive compensation. In 2020, certain of our named executive officers received certain perquisites and limited personal benefits that we view as having a sound value to our business.</w:t>
      </w:r>
    </w:p>
    <w:p>
      <w:pPr>
        <w:spacing w:after="0" w:line="76" w:lineRule="exact"/>
        <w:rPr>
          <w:sz w:val="20"/>
          <w:szCs w:val="20"/>
          <w:color w:val="auto"/>
        </w:rPr>
      </w:pPr>
    </w:p>
    <w:p>
      <w:pPr>
        <w:jc w:val="both"/>
        <w:ind w:left="780" w:hanging="390"/>
        <w:spacing w:after="0" w:line="241" w:lineRule="auto"/>
        <w:tabs>
          <w:tab w:leader="none" w:pos="780" w:val="left"/>
        </w:tabs>
        <w:numPr>
          <w:ilvl w:val="0"/>
          <w:numId w:val="60"/>
        </w:numPr>
        <w:rPr>
          <w:rFonts w:ascii="Arial" w:cs="Arial" w:eastAsia="Arial" w:hAnsi="Arial"/>
          <w:sz w:val="16"/>
          <w:szCs w:val="16"/>
          <w:color w:val="0061AF"/>
        </w:rPr>
      </w:pPr>
      <w:r>
        <w:rPr>
          <w:rFonts w:ascii="Arial" w:cs="Arial" w:eastAsia="Arial" w:hAnsi="Arial"/>
          <w:sz w:val="16"/>
          <w:szCs w:val="16"/>
          <w:b w:val="1"/>
          <w:bCs w:val="1"/>
          <w:color w:val="auto"/>
        </w:rPr>
        <w:t>Relocation Benefits</w:t>
      </w:r>
      <w:r>
        <w:rPr>
          <w:rFonts w:ascii="Arial" w:cs="Arial" w:eastAsia="Arial" w:hAnsi="Arial"/>
          <w:sz w:val="16"/>
          <w:szCs w:val="16"/>
          <w:color w:val="auto"/>
        </w:rPr>
        <w:t>. Messrs. Lesar, Wells and Knight received relocation benefits during 2020, including the purchase of</w:t>
      </w:r>
      <w:r>
        <w:rPr>
          <w:rFonts w:ascii="Arial" w:cs="Arial" w:eastAsia="Arial" w:hAnsi="Arial"/>
          <w:sz w:val="16"/>
          <w:szCs w:val="16"/>
          <w:b w:val="1"/>
          <w:bCs w:val="1"/>
          <w:color w:val="auto"/>
        </w:rPr>
        <w:t xml:space="preserve"> </w:t>
      </w:r>
      <w:r>
        <w:rPr>
          <w:rFonts w:ascii="Arial" w:cs="Arial" w:eastAsia="Arial" w:hAnsi="Arial"/>
          <w:sz w:val="16"/>
          <w:szCs w:val="16"/>
          <w:color w:val="auto"/>
        </w:rPr>
        <w:t>Messrs. Lesar’s and Wells’ homes, in connection with the requirement that they relocate to Houston for their new roles. Purchase of a home by the Company, as opposed to the executive individually executing the sale of such home, also helped to minimize our executives’ exposure to COVID-19, which exposure would have been more likely as a result of multiple home showings while the executive continued to reside in the home.</w:t>
      </w:r>
    </w:p>
    <w:p>
      <w:pPr>
        <w:spacing w:after="0" w:line="75" w:lineRule="exact"/>
        <w:rPr>
          <w:rFonts w:ascii="Arial" w:cs="Arial" w:eastAsia="Arial" w:hAnsi="Arial"/>
          <w:sz w:val="16"/>
          <w:szCs w:val="16"/>
          <w:color w:val="0061AF"/>
        </w:rPr>
      </w:pPr>
    </w:p>
    <w:p>
      <w:pPr>
        <w:jc w:val="both"/>
        <w:ind w:left="780" w:hanging="390"/>
        <w:spacing w:after="0" w:line="239" w:lineRule="auto"/>
        <w:tabs>
          <w:tab w:leader="none" w:pos="780" w:val="left"/>
        </w:tabs>
        <w:numPr>
          <w:ilvl w:val="0"/>
          <w:numId w:val="60"/>
        </w:numPr>
        <w:rPr>
          <w:rFonts w:ascii="Arial" w:cs="Arial" w:eastAsia="Arial" w:hAnsi="Arial"/>
          <w:sz w:val="16"/>
          <w:szCs w:val="16"/>
          <w:color w:val="0061AF"/>
        </w:rPr>
      </w:pPr>
      <w:r>
        <w:rPr>
          <w:rFonts w:ascii="Arial" w:cs="Arial" w:eastAsia="Arial" w:hAnsi="Arial"/>
          <w:sz w:val="16"/>
          <w:szCs w:val="16"/>
          <w:b w:val="1"/>
          <w:bCs w:val="1"/>
          <w:color w:val="auto"/>
        </w:rPr>
        <w:t>Security-related Services</w:t>
      </w:r>
      <w:r>
        <w:rPr>
          <w:rFonts w:ascii="Arial" w:cs="Arial" w:eastAsia="Arial" w:hAnsi="Arial"/>
          <w:sz w:val="16"/>
          <w:szCs w:val="16"/>
          <w:color w:val="auto"/>
        </w:rPr>
        <w:t>. Upon Mr. Lesar’s appointment as President and Chief Executive Officer, the Company obtained a</w:t>
      </w:r>
      <w:r>
        <w:rPr>
          <w:rFonts w:ascii="Arial" w:cs="Arial" w:eastAsia="Arial" w:hAnsi="Arial"/>
          <w:sz w:val="16"/>
          <w:szCs w:val="16"/>
          <w:b w:val="1"/>
          <w:bCs w:val="1"/>
          <w:color w:val="auto"/>
        </w:rPr>
        <w:t xml:space="preserve"> </w:t>
      </w:r>
      <w:r>
        <w:rPr>
          <w:rFonts w:ascii="Arial" w:cs="Arial" w:eastAsia="Arial" w:hAnsi="Arial"/>
          <w:sz w:val="16"/>
          <w:szCs w:val="16"/>
          <w:color w:val="auto"/>
        </w:rPr>
        <w:t>comprehensive security risk assessment conducted by an independent security consultant. As a result of such security consultant’s recommendations, the Company determined that Mr. Lesar should receive certain security-related services during 2020, most notably the use of a car and security driver and for security personnel as accompaniment on business-related travel. The Company believes the provision of these security-related services mitigates risk to the Company by supporting Mr. Lesar’s safety, health and well-being.</w:t>
      </w:r>
    </w:p>
    <w:p>
      <w:pPr>
        <w:spacing w:after="0" w:line="78" w:lineRule="exact"/>
        <w:rPr>
          <w:rFonts w:ascii="Arial" w:cs="Arial" w:eastAsia="Arial" w:hAnsi="Arial"/>
          <w:sz w:val="16"/>
          <w:szCs w:val="16"/>
          <w:color w:val="0061AF"/>
        </w:rPr>
      </w:pPr>
    </w:p>
    <w:p>
      <w:pPr>
        <w:jc w:val="both"/>
        <w:ind w:left="780" w:hanging="390"/>
        <w:spacing w:after="0" w:line="239" w:lineRule="auto"/>
        <w:tabs>
          <w:tab w:leader="none" w:pos="780" w:val="left"/>
        </w:tabs>
        <w:numPr>
          <w:ilvl w:val="0"/>
          <w:numId w:val="60"/>
        </w:numPr>
        <w:rPr>
          <w:rFonts w:ascii="Arial" w:cs="Arial" w:eastAsia="Arial" w:hAnsi="Arial"/>
          <w:sz w:val="16"/>
          <w:szCs w:val="16"/>
          <w:color w:val="0061AF"/>
        </w:rPr>
      </w:pPr>
      <w:r>
        <w:rPr>
          <w:rFonts w:ascii="Arial" w:cs="Arial" w:eastAsia="Arial" w:hAnsi="Arial"/>
          <w:sz w:val="16"/>
          <w:szCs w:val="16"/>
          <w:b w:val="1"/>
          <w:bCs w:val="1"/>
          <w:color w:val="auto"/>
        </w:rPr>
        <w:t>Aircraft Usage</w:t>
      </w:r>
      <w:r>
        <w:rPr>
          <w:rFonts w:ascii="Arial" w:cs="Arial" w:eastAsia="Arial" w:hAnsi="Arial"/>
          <w:sz w:val="16"/>
          <w:szCs w:val="16"/>
          <w:color w:val="auto"/>
        </w:rPr>
        <w:t>. Messrs. Lesar and Somerhalder occasionally utilized for personal travel purposes the company aircraft</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maintained for executive business travel. During times when company aircraft was unavailable, the Company contracted with a third-party aircraft charter company to provide executive travel services, which were utilized by Messrs. Lesar and Wells for personal travel purposes. Use of company aircraft as well as the third-party aircraft charter company for personal trips was intended to minimize executives’ potential exposure to COVID-19 and preserve business continuity during the pandemic as well as for security purposes.</w:t>
      </w:r>
    </w:p>
    <w:p>
      <w:pPr>
        <w:spacing w:after="0" w:line="78" w:lineRule="exact"/>
        <w:rPr>
          <w:rFonts w:ascii="Arial" w:cs="Arial" w:eastAsia="Arial" w:hAnsi="Arial"/>
          <w:sz w:val="16"/>
          <w:szCs w:val="16"/>
          <w:color w:val="0061AF"/>
        </w:rPr>
      </w:pPr>
    </w:p>
    <w:p>
      <w:pPr>
        <w:ind w:left="780" w:hanging="390"/>
        <w:spacing w:after="0"/>
        <w:tabs>
          <w:tab w:leader="none" w:pos="780" w:val="left"/>
        </w:tabs>
        <w:numPr>
          <w:ilvl w:val="0"/>
          <w:numId w:val="60"/>
        </w:numPr>
        <w:rPr>
          <w:rFonts w:ascii="Arial" w:cs="Arial" w:eastAsia="Arial" w:hAnsi="Arial"/>
          <w:sz w:val="16"/>
          <w:szCs w:val="16"/>
          <w:color w:val="0061AF"/>
        </w:rPr>
      </w:pPr>
      <w:r>
        <w:rPr>
          <w:rFonts w:ascii="Arial" w:cs="Arial" w:eastAsia="Arial" w:hAnsi="Arial"/>
          <w:sz w:val="16"/>
          <w:szCs w:val="16"/>
          <w:b w:val="1"/>
          <w:bCs w:val="1"/>
          <w:color w:val="auto"/>
        </w:rPr>
        <w:t>Financial Planning Services</w:t>
      </w:r>
      <w:r>
        <w:rPr>
          <w:rFonts w:ascii="Arial" w:cs="Arial" w:eastAsia="Arial" w:hAnsi="Arial"/>
          <w:sz w:val="16"/>
          <w:szCs w:val="16"/>
          <w:color w:val="auto"/>
        </w:rPr>
        <w:t>. Our executives are eligible to receive certain financial planning services.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We do not provide tax gross-ups on perquisites, except on certain relocation-related benefits that are generally available to all employees.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Risk Assessment</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Compensation Committee, together with Meridian, conducts a compensation risk assessment, including review of performance metrics, pay mix, pay leverage, checks and balances, external market references and goal setting, and no areas of concern were identified in the assessment. The Compensation Committee considers the results of this assessment in developing and evaluating compensation program design.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Hedging Policy</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As part of our Insider Trading Policy, our directors and officers are prohibited, and our non-officer employees are 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59" w:name="page60"/>
    <w:bookmarkEnd w:id="5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Compensation Discussion and Analysis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Recoupment of Awards</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Board has implemented a policy for the recoupment of short-term and long-term incentive payments in the event 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Executive Stock Ownership Guidelines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believe that our Executive Stock Ownership Guidelines align the interests of our officers, including our named executive officers, with the interests of shareholders. The guidelines provide that our executives maintain common stock ownership as follows:</w:t>
      </w:r>
    </w:p>
    <w:p>
      <w:pPr>
        <w:spacing w:after="0" w:line="204" w:lineRule="exact"/>
        <w:rPr>
          <w:sz w:val="20"/>
          <w:szCs w:val="20"/>
          <w:color w:val="auto"/>
        </w:rPr>
      </w:pPr>
    </w:p>
    <w:tbl>
      <w:tblPr>
        <w:tblLayout w:type="fixed"/>
        <w:tblInd w:w="810" w:type="dxa"/>
        <w:tblCellMar>
          <w:top w:w="0" w:type="dxa"/>
          <w:left w:w="0" w:type="dxa"/>
          <w:bottom w:w="0" w:type="dxa"/>
          <w:right w:w="0" w:type="dxa"/>
        </w:tblCellMar>
      </w:tblPr>
      <w:tr>
        <w:trPr>
          <w:trHeight w:val="190"/>
        </w:trPr>
        <w:tc>
          <w:tcPr>
            <w:tcW w:w="2220" w:type="dxa"/>
            <w:vAlign w:val="bottom"/>
            <w:tcBorders>
              <w:left w:val="single" w:sz="8" w:color="0061AF"/>
              <w:right w:val="single" w:sz="8" w:color="0061AF"/>
            </w:tcBorders>
            <w:shd w:val="clear" w:color="auto" w:fill="0061AF"/>
          </w:tcPr>
          <w:p>
            <w:pPr>
              <w:jc w:val="center"/>
              <w:ind w:left="1"/>
              <w:spacing w:after="0"/>
              <w:rPr>
                <w:sz w:val="20"/>
                <w:szCs w:val="20"/>
                <w:color w:val="auto"/>
              </w:rPr>
            </w:pPr>
            <w:r>
              <w:rPr>
                <w:rFonts w:ascii="Arial" w:cs="Arial" w:eastAsia="Arial" w:hAnsi="Arial"/>
                <w:sz w:val="16"/>
                <w:szCs w:val="16"/>
                <w:b w:val="1"/>
                <w:bCs w:val="1"/>
                <w:color w:val="FFFFFF"/>
                <w:w w:val="99"/>
              </w:rPr>
              <w:t>EXECUTIVE</w:t>
            </w:r>
          </w:p>
        </w:tc>
        <w:tc>
          <w:tcPr>
            <w:tcW w:w="800" w:type="dxa"/>
            <w:vAlign w:val="bottom"/>
            <w:tcBorders>
              <w:right w:val="single" w:sz="8" w:color="0061AF"/>
            </w:tcBorders>
            <w:shd w:val="clear" w:color="auto" w:fill="0061AF"/>
          </w:tcPr>
          <w:p>
            <w:pPr>
              <w:spacing w:after="0"/>
              <w:rPr>
                <w:sz w:val="16"/>
                <w:szCs w:val="16"/>
                <w:color w:val="auto"/>
              </w:rPr>
            </w:pPr>
          </w:p>
        </w:tc>
        <w:tc>
          <w:tcPr>
            <w:tcW w:w="5140" w:type="dxa"/>
            <w:vAlign w:val="bottom"/>
            <w:tcBorders>
              <w:right w:val="single" w:sz="8" w:color="0061AF"/>
            </w:tcBorders>
            <w:shd w:val="clear" w:color="auto" w:fill="0061AF"/>
          </w:tcPr>
          <w:p>
            <w:pPr>
              <w:jc w:val="center"/>
              <w:ind w:left="1"/>
              <w:spacing w:after="0"/>
              <w:rPr>
                <w:sz w:val="20"/>
                <w:szCs w:val="20"/>
                <w:color w:val="auto"/>
              </w:rPr>
            </w:pPr>
            <w:r>
              <w:rPr>
                <w:rFonts w:ascii="Arial" w:cs="Arial" w:eastAsia="Arial" w:hAnsi="Arial"/>
                <w:sz w:val="16"/>
                <w:szCs w:val="16"/>
                <w:b w:val="1"/>
                <w:bCs w:val="1"/>
                <w:color w:val="FFFFFF"/>
                <w:w w:val="99"/>
              </w:rPr>
              <w:t>GUIDELINES FOR OWNERSHIP OF COMMON STOCK</w:t>
            </w:r>
          </w:p>
        </w:tc>
      </w:tr>
      <w:tr>
        <w:trPr>
          <w:trHeight w:val="248"/>
        </w:trPr>
        <w:tc>
          <w:tcPr>
            <w:tcW w:w="2220" w:type="dxa"/>
            <w:vAlign w:val="bottom"/>
            <w:tcBorders>
              <w:left w:val="single" w:sz="8" w:color="0061AF"/>
              <w:right w:val="single" w:sz="8" w:color="0061AF"/>
            </w:tcBorders>
          </w:tcPr>
          <w:p>
            <w:pPr>
              <w:jc w:val="center"/>
              <w:ind w:left="21"/>
              <w:spacing w:after="0"/>
              <w:rPr>
                <w:sz w:val="20"/>
                <w:szCs w:val="20"/>
                <w:color w:val="auto"/>
              </w:rPr>
            </w:pPr>
            <w:r>
              <w:rPr>
                <w:rFonts w:ascii="Arial" w:cs="Arial" w:eastAsia="Arial" w:hAnsi="Arial"/>
                <w:sz w:val="16"/>
                <w:szCs w:val="16"/>
                <w:b w:val="1"/>
                <w:bCs w:val="1"/>
                <w:color w:val="auto"/>
                <w:w w:val="98"/>
              </w:rPr>
              <w:t>Chief Executive Officer</w:t>
            </w:r>
          </w:p>
        </w:tc>
        <w:tc>
          <w:tcPr>
            <w:tcW w:w="800" w:type="dxa"/>
            <w:vAlign w:val="bottom"/>
            <w:tcBorders>
              <w:right w:val="single" w:sz="8" w:color="0061AF"/>
            </w:tcBorders>
          </w:tcPr>
          <w:p>
            <w:pPr>
              <w:ind w:left="360"/>
              <w:spacing w:after="0"/>
              <w:rPr>
                <w:sz w:val="20"/>
                <w:szCs w:val="20"/>
                <w:color w:val="auto"/>
              </w:rPr>
            </w:pPr>
            <w:r>
              <w:rPr>
                <w:rFonts w:ascii="Arial" w:cs="Arial" w:eastAsia="Arial" w:hAnsi="Arial"/>
                <w:sz w:val="16"/>
                <w:szCs w:val="16"/>
                <w:b w:val="1"/>
                <w:bCs w:val="1"/>
                <w:color w:val="auto"/>
              </w:rPr>
              <w:t>5X</w:t>
            </w:r>
          </w:p>
        </w:tc>
        <w:tc>
          <w:tcPr>
            <w:tcW w:w="5140" w:type="dxa"/>
            <w:vAlign w:val="bottom"/>
            <w:tcBorders>
              <w:right w:val="single" w:sz="8" w:color="0061AF"/>
            </w:tcBorders>
          </w:tcPr>
          <w:p>
            <w:pPr>
              <w:jc w:val="center"/>
              <w:ind w:left="1"/>
              <w:spacing w:after="0"/>
              <w:rPr>
                <w:sz w:val="20"/>
                <w:szCs w:val="20"/>
                <w:color w:val="auto"/>
              </w:rPr>
            </w:pPr>
            <w:r>
              <w:rPr>
                <w:rFonts w:ascii="Arial" w:cs="Arial" w:eastAsia="Arial" w:hAnsi="Arial"/>
                <w:sz w:val="16"/>
                <w:szCs w:val="16"/>
                <w:color w:val="auto"/>
                <w:w w:val="99"/>
              </w:rPr>
              <w:t>Market value of five times base salary</w:t>
            </w:r>
          </w:p>
        </w:tc>
      </w:tr>
      <w:tr>
        <w:trPr>
          <w:trHeight w:val="37"/>
        </w:trPr>
        <w:tc>
          <w:tcPr>
            <w:tcW w:w="2220" w:type="dxa"/>
            <w:vAlign w:val="bottom"/>
            <w:tcBorders>
              <w:left w:val="single" w:sz="8" w:color="0061AF"/>
              <w:bottom w:val="single" w:sz="8" w:color="0061AF"/>
              <w:right w:val="single" w:sz="8" w:color="0061AF"/>
            </w:tcBorders>
          </w:tcPr>
          <w:p>
            <w:pPr>
              <w:spacing w:after="0"/>
              <w:rPr>
                <w:sz w:val="3"/>
                <w:szCs w:val="3"/>
                <w:color w:val="auto"/>
              </w:rPr>
            </w:pPr>
          </w:p>
        </w:tc>
        <w:tc>
          <w:tcPr>
            <w:tcW w:w="800" w:type="dxa"/>
            <w:vAlign w:val="bottom"/>
            <w:tcBorders>
              <w:bottom w:val="single" w:sz="8" w:color="0061AF"/>
              <w:right w:val="single" w:sz="8" w:color="0061AF"/>
            </w:tcBorders>
          </w:tcPr>
          <w:p>
            <w:pPr>
              <w:spacing w:after="0"/>
              <w:rPr>
                <w:sz w:val="3"/>
                <w:szCs w:val="3"/>
                <w:color w:val="auto"/>
              </w:rPr>
            </w:pPr>
          </w:p>
        </w:tc>
        <w:tc>
          <w:tcPr>
            <w:tcW w:w="5140" w:type="dxa"/>
            <w:vAlign w:val="bottom"/>
            <w:tcBorders>
              <w:bottom w:val="single" w:sz="8" w:color="0061AF"/>
              <w:right w:val="single" w:sz="8" w:color="0061AF"/>
            </w:tcBorders>
          </w:tcPr>
          <w:p>
            <w:pPr>
              <w:spacing w:after="0"/>
              <w:rPr>
                <w:sz w:val="3"/>
                <w:szCs w:val="3"/>
                <w:color w:val="auto"/>
              </w:rPr>
            </w:pPr>
          </w:p>
        </w:tc>
      </w:tr>
      <w:tr>
        <w:trPr>
          <w:trHeight w:val="306"/>
        </w:trPr>
        <w:tc>
          <w:tcPr>
            <w:tcW w:w="2220" w:type="dxa"/>
            <w:vAlign w:val="bottom"/>
            <w:tcBorders>
              <w:left w:val="single" w:sz="8" w:color="0061AF"/>
              <w:bottom w:val="single" w:sz="8" w:color="D8E7F3"/>
              <w:right w:val="single" w:sz="8" w:color="0061AF"/>
            </w:tcBorders>
            <w:shd w:val="clear" w:color="auto" w:fill="D8E7F3"/>
          </w:tcPr>
          <w:p>
            <w:pPr>
              <w:jc w:val="center"/>
              <w:ind w:left="21"/>
              <w:spacing w:after="0"/>
              <w:rPr>
                <w:sz w:val="20"/>
                <w:szCs w:val="20"/>
                <w:color w:val="auto"/>
              </w:rPr>
            </w:pPr>
            <w:r>
              <w:rPr>
                <w:rFonts w:ascii="Arial" w:cs="Arial" w:eastAsia="Arial" w:hAnsi="Arial"/>
                <w:sz w:val="16"/>
                <w:szCs w:val="16"/>
                <w:b w:val="1"/>
                <w:bCs w:val="1"/>
                <w:color w:val="auto"/>
                <w:w w:val="99"/>
              </w:rPr>
              <w:t>Executive Chairman</w:t>
            </w:r>
          </w:p>
        </w:tc>
        <w:tc>
          <w:tcPr>
            <w:tcW w:w="800" w:type="dxa"/>
            <w:vAlign w:val="bottom"/>
            <w:tcBorders>
              <w:bottom w:val="single" w:sz="8" w:color="D8E7F3"/>
              <w:right w:val="single" w:sz="8" w:color="0061AF"/>
            </w:tcBorders>
            <w:shd w:val="clear" w:color="auto" w:fill="D8E7F3"/>
          </w:tcPr>
          <w:p>
            <w:pPr>
              <w:ind w:left="360"/>
              <w:spacing w:after="0"/>
              <w:rPr>
                <w:sz w:val="20"/>
                <w:szCs w:val="20"/>
                <w:color w:val="auto"/>
              </w:rPr>
            </w:pPr>
            <w:r>
              <w:rPr>
                <w:rFonts w:ascii="Arial" w:cs="Arial" w:eastAsia="Arial" w:hAnsi="Arial"/>
                <w:sz w:val="16"/>
                <w:szCs w:val="16"/>
                <w:b w:val="1"/>
                <w:bCs w:val="1"/>
                <w:color w:val="auto"/>
              </w:rPr>
              <w:t>3X</w:t>
            </w:r>
          </w:p>
        </w:tc>
        <w:tc>
          <w:tcPr>
            <w:tcW w:w="5140" w:type="dxa"/>
            <w:vAlign w:val="bottom"/>
            <w:tcBorders>
              <w:bottom w:val="single" w:sz="8" w:color="D8E7F3"/>
              <w:right w:val="single" w:sz="8" w:color="0061AF"/>
            </w:tcBorders>
            <w:shd w:val="clear" w:color="auto" w:fill="D8E7F3"/>
          </w:tcPr>
          <w:p>
            <w:pPr>
              <w:jc w:val="center"/>
              <w:ind w:left="1"/>
              <w:spacing w:after="0"/>
              <w:rPr>
                <w:sz w:val="20"/>
                <w:szCs w:val="20"/>
                <w:color w:val="auto"/>
              </w:rPr>
            </w:pPr>
            <w:r>
              <w:rPr>
                <w:rFonts w:ascii="Arial" w:cs="Arial" w:eastAsia="Arial" w:hAnsi="Arial"/>
                <w:sz w:val="16"/>
                <w:szCs w:val="16"/>
                <w:color w:val="auto"/>
                <w:w w:val="99"/>
              </w:rPr>
              <w:t>Market value of three times base salary</w:t>
            </w:r>
          </w:p>
        </w:tc>
      </w:tr>
      <w:tr>
        <w:trPr>
          <w:trHeight w:val="264"/>
        </w:trPr>
        <w:tc>
          <w:tcPr>
            <w:tcW w:w="2220" w:type="dxa"/>
            <w:vAlign w:val="bottom"/>
            <w:tcBorders>
              <w:top w:val="single" w:sz="8" w:color="0061AF"/>
              <w:left w:val="single" w:sz="8" w:color="0061AF"/>
              <w:right w:val="single" w:sz="8" w:color="0061AF"/>
            </w:tcBorders>
          </w:tcPr>
          <w:p>
            <w:pPr>
              <w:ind w:left="140"/>
              <w:spacing w:after="0"/>
              <w:rPr>
                <w:sz w:val="20"/>
                <w:szCs w:val="20"/>
                <w:color w:val="auto"/>
              </w:rPr>
            </w:pPr>
            <w:r>
              <w:rPr>
                <w:rFonts w:ascii="Arial" w:cs="Arial" w:eastAsia="Arial" w:hAnsi="Arial"/>
                <w:sz w:val="16"/>
                <w:szCs w:val="16"/>
                <w:b w:val="1"/>
                <w:bCs w:val="1"/>
                <w:color w:val="auto"/>
              </w:rPr>
              <w:t>Executive Vice Presidents</w:t>
            </w:r>
          </w:p>
        </w:tc>
        <w:tc>
          <w:tcPr>
            <w:tcW w:w="800" w:type="dxa"/>
            <w:vAlign w:val="bottom"/>
            <w:tcBorders>
              <w:top w:val="single" w:sz="8" w:color="0061AF"/>
              <w:right w:val="single" w:sz="8" w:color="0061AF"/>
            </w:tcBorders>
          </w:tcPr>
          <w:p>
            <w:pPr>
              <w:ind w:left="360"/>
              <w:spacing w:after="0"/>
              <w:rPr>
                <w:sz w:val="20"/>
                <w:szCs w:val="20"/>
                <w:color w:val="auto"/>
              </w:rPr>
            </w:pPr>
            <w:r>
              <w:rPr>
                <w:rFonts w:ascii="Arial" w:cs="Arial" w:eastAsia="Arial" w:hAnsi="Arial"/>
                <w:sz w:val="16"/>
                <w:szCs w:val="16"/>
                <w:b w:val="1"/>
                <w:bCs w:val="1"/>
                <w:color w:val="auto"/>
              </w:rPr>
              <w:t>3X</w:t>
            </w:r>
          </w:p>
        </w:tc>
        <w:tc>
          <w:tcPr>
            <w:tcW w:w="5140" w:type="dxa"/>
            <w:vAlign w:val="bottom"/>
            <w:tcBorders>
              <w:top w:val="single" w:sz="8" w:color="0061AF"/>
              <w:right w:val="single" w:sz="8" w:color="0061AF"/>
            </w:tcBorders>
          </w:tcPr>
          <w:p>
            <w:pPr>
              <w:jc w:val="center"/>
              <w:ind w:left="1"/>
              <w:spacing w:after="0"/>
              <w:rPr>
                <w:sz w:val="20"/>
                <w:szCs w:val="20"/>
                <w:color w:val="auto"/>
              </w:rPr>
            </w:pPr>
            <w:r>
              <w:rPr>
                <w:rFonts w:ascii="Arial" w:cs="Arial" w:eastAsia="Arial" w:hAnsi="Arial"/>
                <w:sz w:val="16"/>
                <w:szCs w:val="16"/>
                <w:color w:val="auto"/>
                <w:w w:val="99"/>
              </w:rPr>
              <w:t>Market value of three times base salary</w:t>
            </w:r>
          </w:p>
        </w:tc>
      </w:tr>
      <w:tr>
        <w:trPr>
          <w:trHeight w:val="37"/>
        </w:trPr>
        <w:tc>
          <w:tcPr>
            <w:tcW w:w="2220" w:type="dxa"/>
            <w:vAlign w:val="bottom"/>
            <w:tcBorders>
              <w:left w:val="single" w:sz="8" w:color="0061AF"/>
              <w:bottom w:val="single" w:sz="8" w:color="0061AF"/>
              <w:right w:val="single" w:sz="8" w:color="0061AF"/>
            </w:tcBorders>
          </w:tcPr>
          <w:p>
            <w:pPr>
              <w:spacing w:after="0"/>
              <w:rPr>
                <w:sz w:val="3"/>
                <w:szCs w:val="3"/>
                <w:color w:val="auto"/>
              </w:rPr>
            </w:pPr>
          </w:p>
        </w:tc>
        <w:tc>
          <w:tcPr>
            <w:tcW w:w="800" w:type="dxa"/>
            <w:vAlign w:val="bottom"/>
            <w:tcBorders>
              <w:bottom w:val="single" w:sz="8" w:color="0061AF"/>
              <w:right w:val="single" w:sz="8" w:color="0061AF"/>
            </w:tcBorders>
          </w:tcPr>
          <w:p>
            <w:pPr>
              <w:spacing w:after="0"/>
              <w:rPr>
                <w:sz w:val="3"/>
                <w:szCs w:val="3"/>
                <w:color w:val="auto"/>
              </w:rPr>
            </w:pPr>
          </w:p>
        </w:tc>
        <w:tc>
          <w:tcPr>
            <w:tcW w:w="5140" w:type="dxa"/>
            <w:vAlign w:val="bottom"/>
            <w:tcBorders>
              <w:bottom w:val="single" w:sz="8" w:color="0061AF"/>
              <w:right w:val="single" w:sz="8" w:color="0061AF"/>
            </w:tcBorders>
          </w:tcPr>
          <w:p>
            <w:pPr>
              <w:spacing w:after="0"/>
              <w:rPr>
                <w:sz w:val="3"/>
                <w:szCs w:val="3"/>
                <w:color w:val="auto"/>
              </w:rPr>
            </w:pPr>
          </w:p>
        </w:tc>
      </w:tr>
      <w:tr>
        <w:trPr>
          <w:trHeight w:val="281"/>
        </w:trPr>
        <w:tc>
          <w:tcPr>
            <w:tcW w:w="2220" w:type="dxa"/>
            <w:vAlign w:val="bottom"/>
            <w:tcBorders>
              <w:left w:val="single" w:sz="8" w:color="0061AF"/>
              <w:bottom w:val="single" w:sz="8" w:color="D8E7F3"/>
              <w:right w:val="single" w:sz="8" w:color="0061AF"/>
            </w:tcBorders>
            <w:shd w:val="clear" w:color="auto" w:fill="D8E7F3"/>
          </w:tcPr>
          <w:p>
            <w:pPr>
              <w:jc w:val="center"/>
              <w:ind w:left="21"/>
              <w:spacing w:after="0"/>
              <w:rPr>
                <w:sz w:val="20"/>
                <w:szCs w:val="20"/>
                <w:color w:val="auto"/>
              </w:rPr>
            </w:pPr>
            <w:r>
              <w:rPr>
                <w:rFonts w:ascii="Arial" w:cs="Arial" w:eastAsia="Arial" w:hAnsi="Arial"/>
                <w:sz w:val="16"/>
                <w:szCs w:val="16"/>
                <w:b w:val="1"/>
                <w:bCs w:val="1"/>
                <w:color w:val="auto"/>
                <w:w w:val="99"/>
              </w:rPr>
              <w:t>Senior Vice Presidents</w:t>
            </w:r>
          </w:p>
        </w:tc>
        <w:tc>
          <w:tcPr>
            <w:tcW w:w="800" w:type="dxa"/>
            <w:vAlign w:val="bottom"/>
            <w:tcBorders>
              <w:bottom w:val="single" w:sz="8" w:color="D8E7F3"/>
              <w:right w:val="single" w:sz="8" w:color="0061AF"/>
            </w:tcBorders>
            <w:shd w:val="clear" w:color="auto" w:fill="D8E7F3"/>
          </w:tcPr>
          <w:p>
            <w:pPr>
              <w:ind w:left="360"/>
              <w:spacing w:after="0"/>
              <w:rPr>
                <w:sz w:val="20"/>
                <w:szCs w:val="20"/>
                <w:color w:val="auto"/>
              </w:rPr>
            </w:pPr>
            <w:r>
              <w:rPr>
                <w:rFonts w:ascii="Arial" w:cs="Arial" w:eastAsia="Arial" w:hAnsi="Arial"/>
                <w:sz w:val="16"/>
                <w:szCs w:val="16"/>
                <w:b w:val="1"/>
                <w:bCs w:val="1"/>
                <w:color w:val="auto"/>
              </w:rPr>
              <w:t>2X</w:t>
            </w:r>
          </w:p>
        </w:tc>
        <w:tc>
          <w:tcPr>
            <w:tcW w:w="5140" w:type="dxa"/>
            <w:vAlign w:val="bottom"/>
            <w:tcBorders>
              <w:bottom w:val="single" w:sz="8" w:color="D8E7F3"/>
              <w:right w:val="single" w:sz="8" w:color="0061AF"/>
            </w:tcBorders>
            <w:shd w:val="clear" w:color="auto" w:fill="D8E7F3"/>
          </w:tcPr>
          <w:p>
            <w:pPr>
              <w:jc w:val="center"/>
              <w:ind w:left="1"/>
              <w:spacing w:after="0"/>
              <w:rPr>
                <w:sz w:val="20"/>
                <w:szCs w:val="20"/>
                <w:color w:val="auto"/>
              </w:rPr>
            </w:pPr>
            <w:r>
              <w:rPr>
                <w:rFonts w:ascii="Arial" w:cs="Arial" w:eastAsia="Arial" w:hAnsi="Arial"/>
                <w:sz w:val="16"/>
                <w:szCs w:val="16"/>
                <w:color w:val="auto"/>
                <w:w w:val="99"/>
              </w:rPr>
              <w:t>Market value of two times base salary</w:t>
            </w:r>
          </w:p>
        </w:tc>
      </w:tr>
      <w:tr>
        <w:trPr>
          <w:trHeight w:val="20"/>
        </w:trPr>
        <w:tc>
          <w:tcPr>
            <w:tcW w:w="2220" w:type="dxa"/>
            <w:vAlign w:val="bottom"/>
            <w:tcBorders>
              <w:left w:val="single" w:sz="8" w:color="0061AF"/>
              <w:right w:val="single" w:sz="8" w:color="0061AF"/>
            </w:tcBorders>
            <w:shd w:val="clear" w:color="auto" w:fill="0061AF"/>
          </w:tcPr>
          <w:p>
            <w:pPr>
              <w:spacing w:after="0" w:line="20" w:lineRule="exact"/>
              <w:rPr>
                <w:sz w:val="1"/>
                <w:szCs w:val="1"/>
                <w:color w:val="auto"/>
              </w:rPr>
            </w:pPr>
          </w:p>
        </w:tc>
        <w:tc>
          <w:tcPr>
            <w:tcW w:w="800" w:type="dxa"/>
            <w:vAlign w:val="bottom"/>
            <w:tcBorders>
              <w:right w:val="single" w:sz="8" w:color="0061AF"/>
            </w:tcBorders>
            <w:shd w:val="clear" w:color="auto" w:fill="0061AF"/>
          </w:tcPr>
          <w:p>
            <w:pPr>
              <w:spacing w:after="0" w:line="20" w:lineRule="exact"/>
              <w:rPr>
                <w:sz w:val="1"/>
                <w:szCs w:val="1"/>
                <w:color w:val="auto"/>
              </w:rPr>
            </w:pPr>
          </w:p>
        </w:tc>
        <w:tc>
          <w:tcPr>
            <w:tcW w:w="5140" w:type="dxa"/>
            <w:vAlign w:val="bottom"/>
            <w:tcBorders>
              <w:right w:val="single" w:sz="8" w:color="0061AF"/>
            </w:tcBorders>
            <w:shd w:val="clear" w:color="auto" w:fill="0061AF"/>
          </w:tcPr>
          <w:p>
            <w:pPr>
              <w:spacing w:after="0" w:line="20" w:lineRule="exact"/>
              <w:rPr>
                <w:sz w:val="1"/>
                <w:szCs w:val="1"/>
                <w:color w:val="auto"/>
              </w:rPr>
            </w:pPr>
          </w:p>
        </w:tc>
      </w:tr>
    </w:tbl>
    <w:p>
      <w:pPr>
        <w:spacing w:after="0" w:line="19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addition to shares of our common stock owned outright, equivalent shares held in our savings plan, unvested stock awards, and shares held in trust are counted towards the guidelines. Unvested performance share unit awards do not count towards the guidelines for our officers. Until the designated ownership level is reached, the officer is expected to retain at least 50% of the after-tax shares delivered through the long-term incentive plan. Certain exclusions apply to the retention expectation, such as estate planning, gifts to charity, education and the purchase of a primary residence. Newly hired or recently promoted officers are given a reasonable period of time to comply with these guidelines. The Compensation Committee reviews our officers’ stock holdings annually to monitor compliance with these guidelines. We have also adopted a policy prohibiting directors and corporate and senior division officers from pledging shares of our common and preferred stock to secure loans, subject to grandfathering of existing arrangements, or otherwise holding shares of our common stock in margin accounts.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Although we do not conduct formal benchmarking studies of ownership guidelines, the ownership guidelines and the administration of the program are reviewed annually by the Compensation Committee with advice from the Compensation Committee’s consultant.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1AF"/>
        </w:rPr>
        <w:t>Tax Considerations</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Section 162(m) of the Internal Revenue Code generally limits the tax deductibility of compensation in excess of $1 million for any covered employee. Following the enactment of the Tax Cuts and Jobs Act of 2017, beginning with the 2018 calendar year, the covered employees subject to this limitation include any individual who serves as our chief executive officer, chief financial officer or one of our other three most highly compensated executive officers in 2017 or any subsequent calendar year, and, except for certain grandfathered arrangements, there is no longer any exception for qualified performance-based compensation (as there was for taxable years prior to 2018). The Compensation Committee believes that, in establishing the compensation program for our executives, the potential deductibility of the compensation should be only one of a number of relevant factors taken into consideration. The Compensation Committee believes it is important to maintain flexibility in structuring compensation at the requisite level to attract and retain the individuals essential to our financial success, even if all or part of that compensation may not be deductible by reason of Section 162(m) of the Internal Revenue Code.</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change in control plan described above for our named executive officers does not provide a gross-up payment to cover any excise tax an executive is determined to owe on an “excess parachute payment.” For additional discussion about our change in control plan, refer to “Potential Payments upon Change in Control or Termination.”</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Our executive plans and agreements that are subject to Section 409A of the Internal Revenue Code are intended to comply with Section 409A of the Internal Revenue Code.</w:t>
      </w:r>
    </w:p>
    <w:p>
      <w:pPr>
        <w:spacing w:after="0" w:line="177" w:lineRule="exact"/>
        <w:rPr>
          <w:sz w:val="20"/>
          <w:szCs w:val="20"/>
          <w:color w:val="auto"/>
        </w:rPr>
      </w:pPr>
    </w:p>
    <w:p>
      <w:pPr>
        <w:ind w:left="400" w:hanging="391"/>
        <w:spacing w:after="0"/>
        <w:tabs>
          <w:tab w:leader="none" w:pos="400" w:val="left"/>
        </w:tabs>
        <w:numPr>
          <w:ilvl w:val="0"/>
          <w:numId w:val="61"/>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60" w:name="page61"/>
    <w:bookmarkEnd w:id="6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EXECUTIVE COMPENSATION TABLES</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following tables show compensation information for: (i) our former President and Chief Executive Officer and our Executive Chairman for the periods ended December 31, 2020, 2019 and 2018; (ii) our Executive Vice President, Natural Gas and our former Executive Vice President and Chief Financial Officer for the periods ended December 31, 2020 and 2019; and (iii) our President and Chief Executive Officer, our former interim President and Chief Executive Officer, our Executive Vice President and Chief Financial Officer, our Executive Vice President, Customer Transformation and Business Services, our Senior Vice President and Chief Accounting Officer and former Interim Executive Vice President and Chief Financial Officer and our former Senior Vice President, Energy Services for the period ended December 31, 2020.</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Summary Compensation Table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272" w:lineRule="exact"/>
        <w:rPr>
          <w:sz w:val="20"/>
          <w:szCs w:val="20"/>
          <w:color w:val="auto"/>
        </w:rPr>
      </w:pPr>
    </w:p>
    <w:tbl>
      <w:tblPr>
        <w:tblLayout w:type="fixed"/>
        <w:tblInd w:w="130" w:type="dxa"/>
        <w:tblCellMar>
          <w:top w:w="0" w:type="dxa"/>
          <w:left w:w="0" w:type="dxa"/>
          <w:bottom w:w="0" w:type="dxa"/>
          <w:right w:w="0" w:type="dxa"/>
        </w:tblCellMar>
      </w:tblPr>
      <w:tr>
        <w:trPr>
          <w:trHeight w:val="149"/>
        </w:trPr>
        <w:tc>
          <w:tcPr>
            <w:tcW w:w="1040" w:type="dxa"/>
            <w:vAlign w:val="bottom"/>
            <w:tcBorders>
              <w:left w:val="single" w:sz="8" w:color="0061AF"/>
            </w:tcBorders>
            <w:shd w:val="clear" w:color="auto" w:fill="0061AF"/>
          </w:tcPr>
          <w:p>
            <w:pPr>
              <w:spacing w:after="0"/>
              <w:rPr>
                <w:sz w:val="13"/>
                <w:szCs w:val="13"/>
                <w:color w:val="auto"/>
              </w:rPr>
            </w:pPr>
          </w:p>
        </w:tc>
        <w:tc>
          <w:tcPr>
            <w:tcW w:w="440" w:type="dxa"/>
            <w:vAlign w:val="bottom"/>
            <w:shd w:val="clear" w:color="auto" w:fill="0061AF"/>
          </w:tcPr>
          <w:p>
            <w:pPr>
              <w:spacing w:after="0"/>
              <w:rPr>
                <w:sz w:val="13"/>
                <w:szCs w:val="13"/>
                <w:color w:val="auto"/>
              </w:rPr>
            </w:pPr>
          </w:p>
        </w:tc>
        <w:tc>
          <w:tcPr>
            <w:tcW w:w="680" w:type="dxa"/>
            <w:vAlign w:val="bottom"/>
            <w:shd w:val="clear" w:color="auto" w:fill="0061AF"/>
          </w:tcPr>
          <w:p>
            <w:pPr>
              <w:spacing w:after="0"/>
              <w:rPr>
                <w:sz w:val="13"/>
                <w:szCs w:val="13"/>
                <w:color w:val="auto"/>
              </w:rPr>
            </w:pPr>
          </w:p>
        </w:tc>
        <w:tc>
          <w:tcPr>
            <w:tcW w:w="660" w:type="dxa"/>
            <w:vAlign w:val="bottom"/>
            <w:shd w:val="clear" w:color="auto" w:fill="0061AF"/>
          </w:tcPr>
          <w:p>
            <w:pPr>
              <w:spacing w:after="0"/>
              <w:rPr>
                <w:sz w:val="13"/>
                <w:szCs w:val="13"/>
                <w:color w:val="auto"/>
              </w:rPr>
            </w:pPr>
          </w:p>
        </w:tc>
        <w:tc>
          <w:tcPr>
            <w:tcW w:w="700" w:type="dxa"/>
            <w:vAlign w:val="bottom"/>
            <w:shd w:val="clear" w:color="auto" w:fill="0061AF"/>
          </w:tcPr>
          <w:p>
            <w:pPr>
              <w:spacing w:after="0"/>
              <w:rPr>
                <w:sz w:val="13"/>
                <w:szCs w:val="13"/>
                <w:color w:val="auto"/>
              </w:rPr>
            </w:pPr>
          </w:p>
        </w:tc>
        <w:tc>
          <w:tcPr>
            <w:tcW w:w="780" w:type="dxa"/>
            <w:vAlign w:val="bottom"/>
            <w:shd w:val="clear" w:color="auto" w:fill="0061AF"/>
          </w:tcPr>
          <w:p>
            <w:pPr>
              <w:spacing w:after="0"/>
              <w:rPr>
                <w:sz w:val="13"/>
                <w:szCs w:val="13"/>
                <w:color w:val="auto"/>
              </w:rPr>
            </w:pPr>
          </w:p>
        </w:tc>
        <w:tc>
          <w:tcPr>
            <w:tcW w:w="1440" w:type="dxa"/>
            <w:vAlign w:val="bottom"/>
            <w:shd w:val="clear" w:color="auto" w:fill="0061AF"/>
          </w:tcPr>
          <w:p>
            <w:pPr>
              <w:spacing w:after="0"/>
              <w:rPr>
                <w:sz w:val="13"/>
                <w:szCs w:val="13"/>
                <w:color w:val="auto"/>
              </w:rPr>
            </w:pPr>
          </w:p>
        </w:tc>
        <w:tc>
          <w:tcPr>
            <w:tcW w:w="14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8"/>
              </w:rPr>
              <w:t>Change in</w:t>
            </w:r>
          </w:p>
        </w:tc>
        <w:tc>
          <w:tcPr>
            <w:tcW w:w="1460" w:type="dxa"/>
            <w:vAlign w:val="bottom"/>
            <w:shd w:val="clear" w:color="auto" w:fill="0061AF"/>
          </w:tcPr>
          <w:p>
            <w:pPr>
              <w:spacing w:after="0"/>
              <w:rPr>
                <w:sz w:val="13"/>
                <w:szCs w:val="13"/>
                <w:color w:val="auto"/>
              </w:rPr>
            </w:pPr>
          </w:p>
        </w:tc>
        <w:tc>
          <w:tcPr>
            <w:tcW w:w="88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0061AF"/>
            </w:tcBorders>
            <w:shd w:val="clear" w:color="auto" w:fill="0061AF"/>
          </w:tcPr>
          <w:p>
            <w:pPr>
              <w:spacing w:after="0"/>
              <w:rPr>
                <w:sz w:val="12"/>
                <w:szCs w:val="12"/>
                <w:color w:val="auto"/>
              </w:rPr>
            </w:pPr>
          </w:p>
        </w:tc>
        <w:tc>
          <w:tcPr>
            <w:tcW w:w="44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660" w:type="dxa"/>
            <w:vAlign w:val="bottom"/>
            <w:shd w:val="clear" w:color="auto" w:fill="0061AF"/>
          </w:tcPr>
          <w:p>
            <w:pPr>
              <w:spacing w:after="0"/>
              <w:rPr>
                <w:sz w:val="12"/>
                <w:szCs w:val="12"/>
                <w:color w:val="auto"/>
              </w:rPr>
            </w:pPr>
          </w:p>
        </w:tc>
        <w:tc>
          <w:tcPr>
            <w:tcW w:w="70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1440" w:type="dxa"/>
            <w:vAlign w:val="bottom"/>
            <w:shd w:val="clear" w:color="auto" w:fill="0061AF"/>
          </w:tcPr>
          <w:p>
            <w:pPr>
              <w:spacing w:after="0"/>
              <w:rPr>
                <w:sz w:val="12"/>
                <w:szCs w:val="12"/>
                <w:color w:val="auto"/>
              </w:rPr>
            </w:pPr>
          </w:p>
        </w:tc>
        <w:tc>
          <w:tcPr>
            <w:tcW w:w="14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Pension</w:t>
            </w:r>
          </w:p>
        </w:tc>
        <w:tc>
          <w:tcPr>
            <w:tcW w:w="14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0061AF"/>
            </w:tcBorders>
            <w:shd w:val="clear" w:color="auto" w:fill="0061AF"/>
          </w:tcPr>
          <w:p>
            <w:pPr>
              <w:spacing w:after="0"/>
              <w:rPr>
                <w:sz w:val="12"/>
                <w:szCs w:val="12"/>
                <w:color w:val="auto"/>
              </w:rPr>
            </w:pPr>
          </w:p>
        </w:tc>
        <w:tc>
          <w:tcPr>
            <w:tcW w:w="44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660" w:type="dxa"/>
            <w:vAlign w:val="bottom"/>
            <w:shd w:val="clear" w:color="auto" w:fill="0061AF"/>
          </w:tcPr>
          <w:p>
            <w:pPr>
              <w:spacing w:after="0"/>
              <w:rPr>
                <w:sz w:val="12"/>
                <w:szCs w:val="12"/>
                <w:color w:val="auto"/>
              </w:rPr>
            </w:pPr>
          </w:p>
        </w:tc>
        <w:tc>
          <w:tcPr>
            <w:tcW w:w="70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1440" w:type="dxa"/>
            <w:vAlign w:val="bottom"/>
            <w:shd w:val="clear" w:color="auto" w:fill="0061AF"/>
          </w:tcPr>
          <w:p>
            <w:pPr>
              <w:spacing w:after="0"/>
              <w:rPr>
                <w:sz w:val="12"/>
                <w:szCs w:val="12"/>
                <w:color w:val="auto"/>
              </w:rPr>
            </w:pPr>
          </w:p>
        </w:tc>
        <w:tc>
          <w:tcPr>
            <w:tcW w:w="14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4"/>
              </w:rPr>
              <w:t>Value and</w:t>
            </w:r>
          </w:p>
        </w:tc>
        <w:tc>
          <w:tcPr>
            <w:tcW w:w="14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0061AF"/>
            </w:tcBorders>
            <w:shd w:val="clear" w:color="auto" w:fill="0061AF"/>
          </w:tcPr>
          <w:p>
            <w:pPr>
              <w:spacing w:after="0"/>
              <w:rPr>
                <w:sz w:val="12"/>
                <w:szCs w:val="12"/>
                <w:color w:val="auto"/>
              </w:rPr>
            </w:pPr>
          </w:p>
        </w:tc>
        <w:tc>
          <w:tcPr>
            <w:tcW w:w="44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660" w:type="dxa"/>
            <w:vAlign w:val="bottom"/>
            <w:shd w:val="clear" w:color="auto" w:fill="0061AF"/>
          </w:tcPr>
          <w:p>
            <w:pPr>
              <w:spacing w:after="0"/>
              <w:rPr>
                <w:sz w:val="12"/>
                <w:szCs w:val="12"/>
                <w:color w:val="auto"/>
              </w:rPr>
            </w:pPr>
          </w:p>
        </w:tc>
        <w:tc>
          <w:tcPr>
            <w:tcW w:w="70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1440" w:type="dxa"/>
            <w:vAlign w:val="bottom"/>
            <w:shd w:val="clear" w:color="auto" w:fill="0061AF"/>
          </w:tcPr>
          <w:p>
            <w:pPr>
              <w:jc w:val="center"/>
              <w:ind w:right="37"/>
              <w:spacing w:after="0" w:line="143" w:lineRule="exact"/>
              <w:rPr>
                <w:sz w:val="20"/>
                <w:szCs w:val="20"/>
                <w:color w:val="auto"/>
              </w:rPr>
            </w:pPr>
            <w:r>
              <w:rPr>
                <w:rFonts w:ascii="Arial" w:cs="Arial" w:eastAsia="Arial" w:hAnsi="Arial"/>
                <w:sz w:val="13"/>
                <w:szCs w:val="13"/>
                <w:b w:val="1"/>
                <w:bCs w:val="1"/>
                <w:color w:val="FFFFFF"/>
                <w:w w:val="95"/>
              </w:rPr>
              <w:t>Non-Equity</w:t>
            </w:r>
          </w:p>
        </w:tc>
        <w:tc>
          <w:tcPr>
            <w:tcW w:w="14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9"/>
              </w:rPr>
              <w:t>Nonqualified</w:t>
            </w:r>
          </w:p>
        </w:tc>
        <w:tc>
          <w:tcPr>
            <w:tcW w:w="14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0061AF"/>
            </w:tcBorders>
            <w:shd w:val="clear" w:color="auto" w:fill="0061AF"/>
          </w:tcPr>
          <w:p>
            <w:pPr>
              <w:spacing w:after="0"/>
              <w:rPr>
                <w:sz w:val="12"/>
                <w:szCs w:val="12"/>
                <w:color w:val="auto"/>
              </w:rPr>
            </w:pPr>
          </w:p>
        </w:tc>
        <w:tc>
          <w:tcPr>
            <w:tcW w:w="44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660" w:type="dxa"/>
            <w:vAlign w:val="bottom"/>
            <w:shd w:val="clear" w:color="auto" w:fill="0061AF"/>
          </w:tcPr>
          <w:p>
            <w:pPr>
              <w:spacing w:after="0"/>
              <w:rPr>
                <w:sz w:val="12"/>
                <w:szCs w:val="12"/>
                <w:color w:val="auto"/>
              </w:rPr>
            </w:pPr>
          </w:p>
        </w:tc>
        <w:tc>
          <w:tcPr>
            <w:tcW w:w="70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1440" w:type="dxa"/>
            <w:vAlign w:val="bottom"/>
            <w:shd w:val="clear" w:color="auto" w:fill="0061AF"/>
          </w:tcPr>
          <w:p>
            <w:pPr>
              <w:jc w:val="center"/>
              <w:ind w:right="37"/>
              <w:spacing w:after="0" w:line="143" w:lineRule="exact"/>
              <w:rPr>
                <w:sz w:val="20"/>
                <w:szCs w:val="20"/>
                <w:color w:val="auto"/>
              </w:rPr>
            </w:pPr>
            <w:r>
              <w:rPr>
                <w:rFonts w:ascii="Arial" w:cs="Arial" w:eastAsia="Arial" w:hAnsi="Arial"/>
                <w:sz w:val="13"/>
                <w:szCs w:val="13"/>
                <w:b w:val="1"/>
                <w:bCs w:val="1"/>
                <w:color w:val="FFFFFF"/>
                <w:w w:val="95"/>
              </w:rPr>
              <w:t>Incentive</w:t>
            </w:r>
          </w:p>
        </w:tc>
        <w:tc>
          <w:tcPr>
            <w:tcW w:w="14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Deferred</w:t>
            </w:r>
          </w:p>
        </w:tc>
        <w:tc>
          <w:tcPr>
            <w:tcW w:w="14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Borders>
              <w:left w:val="single" w:sz="8" w:color="0061AF"/>
            </w:tcBorders>
            <w:shd w:val="clear" w:color="auto" w:fill="0061AF"/>
          </w:tcPr>
          <w:p>
            <w:pPr>
              <w:ind w:left="60"/>
              <w:spacing w:after="0" w:line="141" w:lineRule="exact"/>
              <w:rPr>
                <w:sz w:val="20"/>
                <w:szCs w:val="20"/>
                <w:color w:val="auto"/>
              </w:rPr>
            </w:pPr>
            <w:r>
              <w:rPr>
                <w:rFonts w:ascii="Arial" w:cs="Arial" w:eastAsia="Arial" w:hAnsi="Arial"/>
                <w:sz w:val="13"/>
                <w:szCs w:val="13"/>
                <w:b w:val="1"/>
                <w:bCs w:val="1"/>
                <w:color w:val="FFFFFF"/>
              </w:rPr>
              <w:t>Name and</w:t>
            </w:r>
          </w:p>
        </w:tc>
        <w:tc>
          <w:tcPr>
            <w:tcW w:w="44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660" w:type="dxa"/>
            <w:vAlign w:val="bottom"/>
            <w:shd w:val="clear" w:color="auto" w:fill="0061AF"/>
          </w:tcPr>
          <w:p>
            <w:pPr>
              <w:spacing w:after="0"/>
              <w:rPr>
                <w:sz w:val="12"/>
                <w:szCs w:val="12"/>
                <w:color w:val="auto"/>
              </w:rPr>
            </w:pPr>
          </w:p>
        </w:tc>
        <w:tc>
          <w:tcPr>
            <w:tcW w:w="70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5"/>
              </w:rPr>
              <w:t>Stock</w:t>
            </w:r>
          </w:p>
        </w:tc>
        <w:tc>
          <w:tcPr>
            <w:tcW w:w="780" w:type="dxa"/>
            <w:vAlign w:val="bottom"/>
            <w:shd w:val="clear" w:color="auto" w:fill="0061AF"/>
          </w:tcPr>
          <w:p>
            <w:pPr>
              <w:jc w:val="right"/>
              <w:ind w:right="177"/>
              <w:spacing w:after="0" w:line="141" w:lineRule="exact"/>
              <w:rPr>
                <w:sz w:val="20"/>
                <w:szCs w:val="20"/>
                <w:color w:val="auto"/>
              </w:rPr>
            </w:pPr>
            <w:r>
              <w:rPr>
                <w:rFonts w:ascii="Arial" w:cs="Arial" w:eastAsia="Arial" w:hAnsi="Arial"/>
                <w:sz w:val="13"/>
                <w:szCs w:val="13"/>
                <w:b w:val="1"/>
                <w:bCs w:val="1"/>
                <w:color w:val="FFFFFF"/>
              </w:rPr>
              <w:t>Option</w:t>
            </w:r>
          </w:p>
        </w:tc>
        <w:tc>
          <w:tcPr>
            <w:tcW w:w="1440" w:type="dxa"/>
            <w:vAlign w:val="bottom"/>
            <w:shd w:val="clear" w:color="auto" w:fill="0061AF"/>
          </w:tcPr>
          <w:p>
            <w:pPr>
              <w:jc w:val="center"/>
              <w:ind w:right="37"/>
              <w:spacing w:after="0" w:line="141" w:lineRule="exact"/>
              <w:rPr>
                <w:sz w:val="20"/>
                <w:szCs w:val="20"/>
                <w:color w:val="auto"/>
              </w:rPr>
            </w:pPr>
            <w:r>
              <w:rPr>
                <w:rFonts w:ascii="Arial" w:cs="Arial" w:eastAsia="Arial" w:hAnsi="Arial"/>
                <w:sz w:val="13"/>
                <w:szCs w:val="13"/>
                <w:b w:val="1"/>
                <w:bCs w:val="1"/>
                <w:color w:val="FFFFFF"/>
                <w:w w:val="94"/>
              </w:rPr>
              <w:t>Plan</w:t>
            </w:r>
          </w:p>
        </w:tc>
        <w:tc>
          <w:tcPr>
            <w:tcW w:w="142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7"/>
              </w:rPr>
              <w:t>Compensation</w:t>
            </w:r>
          </w:p>
        </w:tc>
        <w:tc>
          <w:tcPr>
            <w:tcW w:w="1460" w:type="dxa"/>
            <w:vAlign w:val="bottom"/>
            <w:shd w:val="clear" w:color="auto" w:fill="0061AF"/>
          </w:tcPr>
          <w:p>
            <w:pPr>
              <w:jc w:val="center"/>
              <w:ind w:left="17"/>
              <w:spacing w:after="0" w:line="141" w:lineRule="exact"/>
              <w:rPr>
                <w:sz w:val="20"/>
                <w:szCs w:val="20"/>
                <w:color w:val="auto"/>
              </w:rPr>
            </w:pPr>
            <w:r>
              <w:rPr>
                <w:rFonts w:ascii="Arial" w:cs="Arial" w:eastAsia="Arial" w:hAnsi="Arial"/>
                <w:sz w:val="13"/>
                <w:szCs w:val="13"/>
                <w:b w:val="1"/>
                <w:bCs w:val="1"/>
                <w:color w:val="FFFFFF"/>
                <w:w w:val="98"/>
              </w:rPr>
              <w:t>All Other</w:t>
            </w:r>
          </w:p>
        </w:tc>
        <w:tc>
          <w:tcPr>
            <w:tcW w:w="88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40" w:type="dxa"/>
            <w:vAlign w:val="bottom"/>
            <w:tcBorders>
              <w:left w:val="single" w:sz="8" w:color="0061AF"/>
            </w:tcBorders>
            <w:shd w:val="clear" w:color="auto" w:fill="0061AF"/>
          </w:tcPr>
          <w:p>
            <w:pPr>
              <w:ind w:left="60"/>
              <w:spacing w:after="0" w:line="146" w:lineRule="exact"/>
              <w:rPr>
                <w:sz w:val="20"/>
                <w:szCs w:val="20"/>
                <w:color w:val="auto"/>
              </w:rPr>
            </w:pPr>
            <w:r>
              <w:rPr>
                <w:rFonts w:ascii="Arial" w:cs="Arial" w:eastAsia="Arial" w:hAnsi="Arial"/>
                <w:sz w:val="13"/>
                <w:szCs w:val="13"/>
                <w:b w:val="1"/>
                <w:bCs w:val="1"/>
                <w:color w:val="FFFFFF"/>
              </w:rPr>
              <w:t>Principal</w:t>
            </w:r>
          </w:p>
        </w:tc>
        <w:tc>
          <w:tcPr>
            <w:tcW w:w="440" w:type="dxa"/>
            <w:vAlign w:val="bottom"/>
            <w:shd w:val="clear" w:color="auto" w:fill="0061AF"/>
          </w:tcPr>
          <w:p>
            <w:pPr>
              <w:spacing w:after="0"/>
              <w:rPr>
                <w:sz w:val="12"/>
                <w:szCs w:val="12"/>
                <w:color w:val="auto"/>
              </w:rPr>
            </w:pPr>
          </w:p>
        </w:tc>
        <w:tc>
          <w:tcPr>
            <w:tcW w:w="680" w:type="dxa"/>
            <w:vAlign w:val="bottom"/>
            <w:shd w:val="clear" w:color="auto" w:fill="0061AF"/>
          </w:tcPr>
          <w:p>
            <w:pPr>
              <w:jc w:val="right"/>
              <w:ind w:right="117"/>
              <w:spacing w:after="0" w:line="146" w:lineRule="exact"/>
              <w:rPr>
                <w:sz w:val="20"/>
                <w:szCs w:val="20"/>
                <w:color w:val="auto"/>
              </w:rPr>
            </w:pPr>
            <w:r>
              <w:rPr>
                <w:rFonts w:ascii="Arial" w:cs="Arial" w:eastAsia="Arial" w:hAnsi="Arial"/>
                <w:sz w:val="13"/>
                <w:szCs w:val="13"/>
                <w:b w:val="1"/>
                <w:bCs w:val="1"/>
                <w:color w:val="FFFFFF"/>
              </w:rPr>
              <w:t>Salary</w:t>
            </w:r>
          </w:p>
        </w:tc>
        <w:tc>
          <w:tcPr>
            <w:tcW w:w="660" w:type="dxa"/>
            <w:vAlign w:val="bottom"/>
            <w:shd w:val="clear" w:color="auto" w:fill="0061AF"/>
          </w:tcPr>
          <w:p>
            <w:pPr>
              <w:jc w:val="right"/>
              <w:ind w:right="37"/>
              <w:spacing w:after="0" w:line="145" w:lineRule="exact"/>
              <w:rPr>
                <w:sz w:val="20"/>
                <w:szCs w:val="20"/>
                <w:color w:val="auto"/>
              </w:rPr>
            </w:pPr>
            <w:r>
              <w:rPr>
                <w:rFonts w:ascii="Arial" w:cs="Arial" w:eastAsia="Arial" w:hAnsi="Arial"/>
                <w:sz w:val="10"/>
                <w:szCs w:val="10"/>
                <w:b w:val="1"/>
                <w:bCs w:val="1"/>
                <w:color w:val="FFFFFF"/>
              </w:rPr>
              <w:t>Bonus</w:t>
            </w:r>
            <w:r>
              <w:rPr>
                <w:rFonts w:ascii="Arial" w:cs="Arial" w:eastAsia="Arial" w:hAnsi="Arial"/>
                <w:sz w:val="16"/>
                <w:szCs w:val="16"/>
                <w:b w:val="1"/>
                <w:bCs w:val="1"/>
                <w:color w:val="FFFFFF"/>
                <w:vertAlign w:val="superscript"/>
              </w:rPr>
              <w:t>(1)</w:t>
            </w:r>
          </w:p>
        </w:tc>
        <w:tc>
          <w:tcPr>
            <w:tcW w:w="70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780" w:type="dxa"/>
            <w:vAlign w:val="bottom"/>
            <w:shd w:val="clear" w:color="auto" w:fill="0061AF"/>
          </w:tcPr>
          <w:p>
            <w:pPr>
              <w:jc w:val="right"/>
              <w:ind w:right="77"/>
              <w:spacing w:after="0" w:line="145"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(3)</w:t>
            </w:r>
          </w:p>
        </w:tc>
        <w:tc>
          <w:tcPr>
            <w:tcW w:w="1440" w:type="dxa"/>
            <w:vAlign w:val="bottom"/>
            <w:shd w:val="clear" w:color="auto" w:fill="0061AF"/>
          </w:tcPr>
          <w:p>
            <w:pPr>
              <w:jc w:val="center"/>
              <w:ind w:right="77"/>
              <w:spacing w:after="0" w:line="145"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142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Earnings</w:t>
            </w:r>
            <w:r>
              <w:rPr>
                <w:rFonts w:ascii="Arial" w:cs="Arial" w:eastAsia="Arial" w:hAnsi="Arial"/>
                <w:sz w:val="16"/>
                <w:szCs w:val="16"/>
                <w:b w:val="1"/>
                <w:bCs w:val="1"/>
                <w:color w:val="FFFFFF"/>
                <w:vertAlign w:val="superscript"/>
              </w:rPr>
              <w:t>(5)</w:t>
            </w:r>
          </w:p>
        </w:tc>
        <w:tc>
          <w:tcPr>
            <w:tcW w:w="1460" w:type="dxa"/>
            <w:vAlign w:val="bottom"/>
            <w:shd w:val="clear" w:color="auto" w:fill="0061AF"/>
          </w:tcPr>
          <w:p>
            <w:pPr>
              <w:jc w:val="center"/>
              <w:ind w:left="17"/>
              <w:spacing w:after="0" w:line="145"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(6)</w:t>
            </w:r>
          </w:p>
        </w:tc>
        <w:tc>
          <w:tcPr>
            <w:tcW w:w="880" w:type="dxa"/>
            <w:vAlign w:val="bottom"/>
            <w:shd w:val="clear" w:color="auto" w:fill="0061AF"/>
          </w:tcPr>
          <w:p>
            <w:pPr>
              <w:jc w:val="right"/>
              <w:ind w:right="177"/>
              <w:spacing w:after="0" w:line="146"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55"/>
        </w:trPr>
        <w:tc>
          <w:tcPr>
            <w:tcW w:w="1040" w:type="dxa"/>
            <w:vAlign w:val="bottom"/>
            <w:tcBorders>
              <w:left w:val="single" w:sz="8" w:color="0061AF"/>
            </w:tcBorders>
            <w:shd w:val="clear" w:color="auto" w:fill="0061AF"/>
          </w:tcPr>
          <w:p>
            <w:pPr>
              <w:ind w:left="60"/>
              <w:spacing w:after="0"/>
              <w:rPr>
                <w:sz w:val="20"/>
                <w:szCs w:val="20"/>
                <w:color w:val="auto"/>
              </w:rPr>
            </w:pPr>
            <w:r>
              <w:rPr>
                <w:rFonts w:ascii="Arial" w:cs="Arial" w:eastAsia="Arial" w:hAnsi="Arial"/>
                <w:sz w:val="13"/>
                <w:szCs w:val="13"/>
                <w:b w:val="1"/>
                <w:bCs w:val="1"/>
                <w:color w:val="FFFFFF"/>
              </w:rPr>
              <w:t>Position</w:t>
            </w:r>
          </w:p>
        </w:tc>
        <w:tc>
          <w:tcPr>
            <w:tcW w:w="440" w:type="dxa"/>
            <w:vAlign w:val="bottom"/>
            <w:shd w:val="clear" w:color="auto" w:fill="0061AF"/>
          </w:tcPr>
          <w:p>
            <w:pPr>
              <w:jc w:val="right"/>
              <w:ind w:right="37"/>
              <w:spacing w:after="0"/>
              <w:rPr>
                <w:sz w:val="20"/>
                <w:szCs w:val="20"/>
                <w:color w:val="auto"/>
              </w:rPr>
            </w:pPr>
            <w:r>
              <w:rPr>
                <w:rFonts w:ascii="Arial" w:cs="Arial" w:eastAsia="Arial" w:hAnsi="Arial"/>
                <w:sz w:val="13"/>
                <w:szCs w:val="13"/>
                <w:b w:val="1"/>
                <w:bCs w:val="1"/>
                <w:color w:val="FFFFFF"/>
              </w:rPr>
              <w:t>Year</w:t>
            </w:r>
          </w:p>
        </w:tc>
        <w:tc>
          <w:tcPr>
            <w:tcW w:w="680" w:type="dxa"/>
            <w:vAlign w:val="bottom"/>
            <w:shd w:val="clear" w:color="auto" w:fill="0061AF"/>
          </w:tcPr>
          <w:p>
            <w:pPr>
              <w:jc w:val="right"/>
              <w:ind w:right="237"/>
              <w:spacing w:after="0"/>
              <w:rPr>
                <w:sz w:val="20"/>
                <w:szCs w:val="20"/>
                <w:color w:val="auto"/>
              </w:rPr>
            </w:pPr>
            <w:r>
              <w:rPr>
                <w:rFonts w:ascii="Arial" w:cs="Arial" w:eastAsia="Arial" w:hAnsi="Arial"/>
                <w:sz w:val="13"/>
                <w:szCs w:val="13"/>
                <w:b w:val="1"/>
                <w:bCs w:val="1"/>
                <w:color w:val="FFFFFF"/>
              </w:rPr>
              <w:t>($)</w:t>
            </w:r>
          </w:p>
        </w:tc>
        <w:tc>
          <w:tcPr>
            <w:tcW w:w="660" w:type="dxa"/>
            <w:vAlign w:val="bottom"/>
            <w:shd w:val="clear" w:color="auto" w:fill="0061AF"/>
          </w:tcPr>
          <w:p>
            <w:pPr>
              <w:jc w:val="right"/>
              <w:ind w:right="217"/>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061AF"/>
          </w:tcPr>
          <w:p>
            <w:pPr>
              <w:jc w:val="right"/>
              <w:ind w:right="297"/>
              <w:spacing w:after="0"/>
              <w:rPr>
                <w:sz w:val="20"/>
                <w:szCs w:val="20"/>
                <w:color w:val="auto"/>
              </w:rPr>
            </w:pPr>
            <w:r>
              <w:rPr>
                <w:rFonts w:ascii="Arial" w:cs="Arial" w:eastAsia="Arial" w:hAnsi="Arial"/>
                <w:sz w:val="13"/>
                <w:szCs w:val="13"/>
                <w:b w:val="1"/>
                <w:bCs w:val="1"/>
                <w:color w:val="FFFFFF"/>
              </w:rPr>
              <w:t>($)</w:t>
            </w:r>
          </w:p>
        </w:tc>
        <w:tc>
          <w:tcPr>
            <w:tcW w:w="1440" w:type="dxa"/>
            <w:vAlign w:val="bottom"/>
            <w:shd w:val="clear" w:color="auto" w:fill="0061AF"/>
          </w:tcPr>
          <w:p>
            <w:pPr>
              <w:jc w:val="center"/>
              <w:ind w:right="37"/>
              <w:spacing w:after="0"/>
              <w:rPr>
                <w:sz w:val="20"/>
                <w:szCs w:val="20"/>
                <w:color w:val="auto"/>
              </w:rPr>
            </w:pPr>
            <w:r>
              <w:rPr>
                <w:rFonts w:ascii="Arial" w:cs="Arial" w:eastAsia="Arial" w:hAnsi="Arial"/>
                <w:sz w:val="13"/>
                <w:szCs w:val="13"/>
                <w:b w:val="1"/>
                <w:bCs w:val="1"/>
                <w:color w:val="FFFFFF"/>
                <w:w w:val="87"/>
              </w:rPr>
              <w:t>($)</w:t>
            </w:r>
          </w:p>
        </w:tc>
        <w:tc>
          <w:tcPr>
            <w:tcW w:w="14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87"/>
              </w:rPr>
              <w:t>($)</w:t>
            </w:r>
          </w:p>
        </w:tc>
        <w:tc>
          <w:tcPr>
            <w:tcW w:w="1460" w:type="dxa"/>
            <w:vAlign w:val="bottom"/>
            <w:shd w:val="clear" w:color="auto" w:fill="0061AF"/>
          </w:tcPr>
          <w:p>
            <w:pPr>
              <w:jc w:val="center"/>
              <w:ind w:left="37"/>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0061AF"/>
          </w:tcPr>
          <w:p>
            <w:pPr>
              <w:jc w:val="right"/>
              <w:ind w:right="25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47"/>
        </w:trPr>
        <w:tc>
          <w:tcPr>
            <w:tcW w:w="1040" w:type="dxa"/>
            <w:vAlign w:val="bottom"/>
          </w:tcPr>
          <w:p>
            <w:pPr>
              <w:ind w:left="60"/>
              <w:spacing w:after="0" w:line="147" w:lineRule="exact"/>
              <w:rPr>
                <w:sz w:val="20"/>
                <w:szCs w:val="20"/>
                <w:color w:val="auto"/>
              </w:rPr>
            </w:pPr>
            <w:r>
              <w:rPr>
                <w:rFonts w:ascii="Arial" w:cs="Arial" w:eastAsia="Arial" w:hAnsi="Arial"/>
                <w:sz w:val="13"/>
                <w:szCs w:val="13"/>
                <w:color w:val="auto"/>
              </w:rPr>
              <w:t>David J. Lesar</w:t>
            </w: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2020</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675,000</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8,169,996</w:t>
            </w:r>
          </w:p>
        </w:tc>
        <w:tc>
          <w:tcPr>
            <w:tcW w:w="780" w:type="dxa"/>
            <w:vAlign w:val="bottom"/>
          </w:tcPr>
          <w:p>
            <w:pPr>
              <w:jc w:val="right"/>
              <w:ind w:right="297"/>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397"/>
              <w:spacing w:after="0" w:line="147" w:lineRule="exact"/>
              <w:rPr>
                <w:sz w:val="20"/>
                <w:szCs w:val="20"/>
                <w:color w:val="auto"/>
              </w:rPr>
            </w:pPr>
            <w:r>
              <w:rPr>
                <w:rFonts w:ascii="Arial" w:cs="Arial" w:eastAsia="Arial" w:hAnsi="Arial"/>
                <w:sz w:val="13"/>
                <w:szCs w:val="13"/>
                <w:color w:val="auto"/>
              </w:rPr>
              <w:t>2,463,750</w:t>
            </w:r>
          </w:p>
        </w:tc>
        <w:tc>
          <w:tcPr>
            <w:tcW w:w="142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637,549</w:t>
            </w:r>
          </w:p>
        </w:tc>
        <w:tc>
          <w:tcPr>
            <w:tcW w:w="880" w:type="dxa"/>
            <w:vAlign w:val="bottom"/>
          </w:tcPr>
          <w:p>
            <w:pPr>
              <w:jc w:val="right"/>
              <w:ind w:right="17"/>
              <w:spacing w:after="0" w:line="147" w:lineRule="exact"/>
              <w:rPr>
                <w:sz w:val="20"/>
                <w:szCs w:val="20"/>
                <w:color w:val="auto"/>
              </w:rPr>
            </w:pPr>
            <w:r>
              <w:rPr>
                <w:rFonts w:ascii="Arial" w:cs="Arial" w:eastAsia="Arial" w:hAnsi="Arial"/>
                <w:sz w:val="13"/>
                <w:szCs w:val="13"/>
                <w:color w:val="auto"/>
              </w:rPr>
              <w:t>11,946,295</w:t>
            </w: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President and</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Chief</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Executive</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180"/>
              <w:spacing w:after="0" w:line="139" w:lineRule="exact"/>
              <w:rPr>
                <w:sz w:val="20"/>
                <w:szCs w:val="20"/>
                <w:color w:val="auto"/>
              </w:rPr>
            </w:pPr>
            <w:r>
              <w:rPr>
                <w:rFonts w:ascii="Arial" w:cs="Arial" w:eastAsia="Arial" w:hAnsi="Arial"/>
                <w:sz w:val="13"/>
                <w:szCs w:val="13"/>
                <w:color w:val="auto"/>
              </w:rPr>
              <w:t>Officer</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60"/>
              <w:spacing w:after="0" w:line="143" w:lineRule="exact"/>
              <w:rPr>
                <w:sz w:val="20"/>
                <w:szCs w:val="20"/>
                <w:color w:val="auto"/>
              </w:rPr>
            </w:pPr>
            <w:r>
              <w:rPr>
                <w:rFonts w:ascii="Arial" w:cs="Arial" w:eastAsia="Arial" w:hAnsi="Arial"/>
                <w:sz w:val="13"/>
                <w:szCs w:val="13"/>
                <w:color w:val="auto"/>
              </w:rPr>
              <w:t>Jason P. Wells</w:t>
            </w:r>
          </w:p>
        </w:tc>
        <w:tc>
          <w:tcPr>
            <w:tcW w:w="4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2020</w:t>
            </w:r>
          </w:p>
        </w:tc>
        <w:tc>
          <w:tcPr>
            <w:tcW w:w="6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169,886</w:t>
            </w:r>
          </w:p>
        </w:tc>
        <w:tc>
          <w:tcPr>
            <w:tcW w:w="6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2,625,007</w:t>
            </w:r>
          </w:p>
        </w:tc>
        <w:tc>
          <w:tcPr>
            <w:tcW w:w="78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440" w:type="dxa"/>
            <w:vAlign w:val="bottom"/>
            <w:shd w:val="clear" w:color="auto" w:fill="D8E7F3"/>
          </w:tcPr>
          <w:p>
            <w:pPr>
              <w:jc w:val="right"/>
              <w:ind w:right="397"/>
              <w:spacing w:after="0" w:line="143" w:lineRule="exact"/>
              <w:rPr>
                <w:sz w:val="20"/>
                <w:szCs w:val="20"/>
                <w:color w:val="auto"/>
              </w:rPr>
            </w:pPr>
            <w:r>
              <w:rPr>
                <w:rFonts w:ascii="Arial" w:cs="Arial" w:eastAsia="Arial" w:hAnsi="Arial"/>
                <w:sz w:val="13"/>
                <w:szCs w:val="13"/>
                <w:color w:val="auto"/>
              </w:rPr>
              <w:t>711,800</w:t>
            </w:r>
          </w:p>
        </w:tc>
        <w:tc>
          <w:tcPr>
            <w:tcW w:w="14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46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136,813</w:t>
            </w:r>
          </w:p>
        </w:tc>
        <w:tc>
          <w:tcPr>
            <w:tcW w:w="88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3,643,507</w:t>
            </w: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shd w:val="clear" w:color="auto" w:fill="D8E7F3"/>
          </w:tcPr>
          <w:p>
            <w:pPr>
              <w:ind w:left="180"/>
              <w:spacing w:after="0" w:line="147" w:lineRule="exact"/>
              <w:rPr>
                <w:sz w:val="20"/>
                <w:szCs w:val="20"/>
                <w:color w:val="auto"/>
              </w:rPr>
            </w:pPr>
            <w:r>
              <w:rPr>
                <w:rFonts w:ascii="Arial" w:cs="Arial" w:eastAsia="Arial" w:hAnsi="Arial"/>
                <w:sz w:val="13"/>
                <w:szCs w:val="13"/>
                <w:color w:val="auto"/>
                <w:w w:val="98"/>
              </w:rPr>
              <w:t>Executive Vice</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shd w:val="clear" w:color="auto" w:fill="D8E7F3"/>
          </w:tcPr>
          <w:p>
            <w:pPr>
              <w:ind w:left="180"/>
              <w:spacing w:after="0" w:line="139" w:lineRule="exact"/>
              <w:rPr>
                <w:sz w:val="20"/>
                <w:szCs w:val="20"/>
                <w:color w:val="auto"/>
              </w:rPr>
            </w:pPr>
            <w:r>
              <w:rPr>
                <w:rFonts w:ascii="Arial" w:cs="Arial" w:eastAsia="Arial" w:hAnsi="Arial"/>
                <w:sz w:val="13"/>
                <w:szCs w:val="13"/>
                <w:color w:val="auto"/>
              </w:rPr>
              <w:t>President and</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shd w:val="clear" w:color="auto" w:fill="D8E7F3"/>
          </w:tcPr>
          <w:p>
            <w:pPr>
              <w:ind w:left="180"/>
              <w:spacing w:after="0" w:line="147" w:lineRule="exact"/>
              <w:rPr>
                <w:sz w:val="20"/>
                <w:szCs w:val="20"/>
                <w:color w:val="auto"/>
              </w:rPr>
            </w:pPr>
            <w:r>
              <w:rPr>
                <w:rFonts w:ascii="Arial" w:cs="Arial" w:eastAsia="Arial" w:hAnsi="Arial"/>
                <w:sz w:val="13"/>
                <w:szCs w:val="13"/>
                <w:color w:val="auto"/>
                <w:w w:val="97"/>
              </w:rPr>
              <w:t>Chief Financial</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shd w:val="clear" w:color="auto" w:fill="D8E7F3"/>
          </w:tcPr>
          <w:p>
            <w:pPr>
              <w:ind w:left="180"/>
              <w:spacing w:after="0" w:line="139" w:lineRule="exact"/>
              <w:rPr>
                <w:sz w:val="20"/>
                <w:szCs w:val="20"/>
                <w:color w:val="auto"/>
              </w:rPr>
            </w:pPr>
            <w:r>
              <w:rPr>
                <w:rFonts w:ascii="Arial" w:cs="Arial" w:eastAsia="Arial" w:hAnsi="Arial"/>
                <w:sz w:val="13"/>
                <w:szCs w:val="13"/>
                <w:color w:val="auto"/>
              </w:rPr>
              <w:t>Officer</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60"/>
              <w:spacing w:after="0" w:line="147" w:lineRule="exact"/>
              <w:rPr>
                <w:sz w:val="20"/>
                <w:szCs w:val="20"/>
                <w:color w:val="auto"/>
              </w:rPr>
            </w:pPr>
            <w:r>
              <w:rPr>
                <w:rFonts w:ascii="Arial" w:cs="Arial" w:eastAsia="Arial" w:hAnsi="Arial"/>
                <w:sz w:val="13"/>
                <w:szCs w:val="13"/>
                <w:color w:val="auto"/>
              </w:rPr>
              <w:t>Milton Carroll</w:t>
            </w: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2020</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805,000</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1,381,475</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4,165,012</w:t>
            </w:r>
          </w:p>
        </w:tc>
        <w:tc>
          <w:tcPr>
            <w:tcW w:w="780" w:type="dxa"/>
            <w:vAlign w:val="bottom"/>
          </w:tcPr>
          <w:p>
            <w:pPr>
              <w:jc w:val="right"/>
              <w:ind w:right="297"/>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397"/>
              <w:spacing w:after="0" w:line="147"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64,658</w:t>
            </w:r>
          </w:p>
        </w:tc>
        <w:tc>
          <w:tcPr>
            <w:tcW w:w="146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6,674</w:t>
            </w:r>
          </w:p>
        </w:tc>
        <w:tc>
          <w:tcPr>
            <w:tcW w:w="880" w:type="dxa"/>
            <w:vAlign w:val="bottom"/>
          </w:tcPr>
          <w:p>
            <w:pPr>
              <w:jc w:val="right"/>
              <w:ind w:right="17"/>
              <w:spacing w:after="0" w:line="147" w:lineRule="exact"/>
              <w:rPr>
                <w:sz w:val="20"/>
                <w:szCs w:val="20"/>
                <w:color w:val="auto"/>
              </w:rPr>
            </w:pPr>
            <w:r>
              <w:rPr>
                <w:rFonts w:ascii="Arial" w:cs="Arial" w:eastAsia="Arial" w:hAnsi="Arial"/>
                <w:sz w:val="13"/>
                <w:szCs w:val="13"/>
                <w:color w:val="auto"/>
              </w:rPr>
              <w:t>6,422,819</w:t>
            </w: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Executive</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2019</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747,500</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2,469,991</w:t>
            </w:r>
          </w:p>
        </w:tc>
        <w:tc>
          <w:tcPr>
            <w:tcW w:w="78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397"/>
              <w:spacing w:after="0" w:line="143"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38,067</w:t>
            </w:r>
          </w:p>
        </w:tc>
        <w:tc>
          <w:tcPr>
            <w:tcW w:w="146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6,803</w:t>
            </w:r>
          </w:p>
        </w:tc>
        <w:tc>
          <w:tcPr>
            <w:tcW w:w="880" w:type="dxa"/>
            <w:vAlign w:val="bottom"/>
          </w:tcPr>
          <w:p>
            <w:pPr>
              <w:jc w:val="right"/>
              <w:ind w:right="17"/>
              <w:spacing w:after="0" w:line="143" w:lineRule="exact"/>
              <w:rPr>
                <w:sz w:val="20"/>
                <w:szCs w:val="20"/>
                <w:color w:val="auto"/>
              </w:rPr>
            </w:pPr>
            <w:r>
              <w:rPr>
                <w:rFonts w:ascii="Arial" w:cs="Arial" w:eastAsia="Arial" w:hAnsi="Arial"/>
                <w:sz w:val="13"/>
                <w:szCs w:val="13"/>
                <w:color w:val="auto"/>
              </w:rPr>
              <w:t>3,262,361</w:t>
            </w:r>
          </w:p>
        </w:tc>
        <w:tc>
          <w:tcPr>
            <w:tcW w:w="0" w:type="dxa"/>
            <w:vAlign w:val="bottom"/>
          </w:tcPr>
          <w:p>
            <w:pPr>
              <w:spacing w:after="0"/>
              <w:rPr>
                <w:sz w:val="1"/>
                <w:szCs w:val="1"/>
                <w:color w:val="auto"/>
              </w:rPr>
            </w:pPr>
          </w:p>
        </w:tc>
      </w:tr>
      <w:tr>
        <w:trPr>
          <w:trHeight w:val="139"/>
        </w:trPr>
        <w:tc>
          <w:tcPr>
            <w:tcW w:w="1040" w:type="dxa"/>
            <w:vAlign w:val="bottom"/>
          </w:tcPr>
          <w:p>
            <w:pPr>
              <w:ind w:left="180"/>
              <w:spacing w:after="0" w:line="139" w:lineRule="exact"/>
              <w:rPr>
                <w:sz w:val="20"/>
                <w:szCs w:val="20"/>
                <w:color w:val="auto"/>
              </w:rPr>
            </w:pPr>
            <w:r>
              <w:rPr>
                <w:rFonts w:ascii="Arial" w:cs="Arial" w:eastAsia="Arial" w:hAnsi="Arial"/>
                <w:sz w:val="13"/>
                <w:szCs w:val="13"/>
                <w:color w:val="auto"/>
              </w:rPr>
              <w:t>Chairman</w:t>
            </w:r>
          </w:p>
        </w:tc>
        <w:tc>
          <w:tcPr>
            <w:tcW w:w="440" w:type="dxa"/>
            <w:vAlign w:val="bottom"/>
          </w:tcPr>
          <w:p>
            <w:pPr>
              <w:jc w:val="right"/>
              <w:spacing w:after="0" w:line="139" w:lineRule="exact"/>
              <w:rPr>
                <w:sz w:val="20"/>
                <w:szCs w:val="20"/>
                <w:color w:val="auto"/>
              </w:rPr>
            </w:pPr>
            <w:r>
              <w:rPr>
                <w:rFonts w:ascii="Arial" w:cs="Arial" w:eastAsia="Arial" w:hAnsi="Arial"/>
                <w:sz w:val="13"/>
                <w:szCs w:val="13"/>
                <w:color w:val="auto"/>
              </w:rPr>
              <w:t>2018</w:t>
            </w: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701,250</w:t>
            </w:r>
          </w:p>
        </w:tc>
        <w:tc>
          <w:tcPr>
            <w:tcW w:w="66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2,130,007</w:t>
            </w:r>
          </w:p>
        </w:tc>
        <w:tc>
          <w:tcPr>
            <w:tcW w:w="780" w:type="dxa"/>
            <w:vAlign w:val="bottom"/>
          </w:tcPr>
          <w:p>
            <w:pPr>
              <w:jc w:val="right"/>
              <w:ind w:right="297"/>
              <w:spacing w:after="0" w:line="139"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397"/>
              <w:spacing w:after="0" w:line="139"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17"/>
              <w:spacing w:after="0" w:line="139" w:lineRule="exact"/>
              <w:rPr>
                <w:sz w:val="20"/>
                <w:szCs w:val="20"/>
                <w:color w:val="auto"/>
              </w:rPr>
            </w:pPr>
            <w:r>
              <w:rPr>
                <w:rFonts w:ascii="Arial" w:cs="Arial" w:eastAsia="Arial" w:hAnsi="Arial"/>
                <w:sz w:val="13"/>
                <w:szCs w:val="13"/>
                <w:color w:val="auto"/>
              </w:rPr>
              <w:t>48,496</w:t>
            </w:r>
          </w:p>
        </w:tc>
        <w:tc>
          <w:tcPr>
            <w:tcW w:w="1460" w:type="dxa"/>
            <w:vAlign w:val="bottom"/>
          </w:tcPr>
          <w:p>
            <w:pPr>
              <w:jc w:val="right"/>
              <w:ind w:right="317"/>
              <w:spacing w:after="0" w:line="139" w:lineRule="exact"/>
              <w:rPr>
                <w:sz w:val="20"/>
                <w:szCs w:val="20"/>
                <w:color w:val="auto"/>
              </w:rPr>
            </w:pPr>
            <w:r>
              <w:rPr>
                <w:rFonts w:ascii="Arial" w:cs="Arial" w:eastAsia="Arial" w:hAnsi="Arial"/>
                <w:sz w:val="13"/>
                <w:szCs w:val="13"/>
                <w:color w:val="auto"/>
              </w:rPr>
              <w:t>6,730</w:t>
            </w:r>
          </w:p>
        </w:tc>
        <w:tc>
          <w:tcPr>
            <w:tcW w:w="880" w:type="dxa"/>
            <w:vAlign w:val="bottom"/>
          </w:tcPr>
          <w:p>
            <w:pPr>
              <w:jc w:val="right"/>
              <w:ind w:right="17"/>
              <w:spacing w:after="0" w:line="139" w:lineRule="exact"/>
              <w:rPr>
                <w:sz w:val="20"/>
                <w:szCs w:val="20"/>
                <w:color w:val="auto"/>
              </w:rPr>
            </w:pPr>
            <w:r>
              <w:rPr>
                <w:rFonts w:ascii="Arial" w:cs="Arial" w:eastAsia="Arial" w:hAnsi="Arial"/>
                <w:sz w:val="13"/>
                <w:szCs w:val="13"/>
                <w:color w:val="auto"/>
              </w:rPr>
              <w:t>2,886,483</w:t>
            </w: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60"/>
              <w:spacing w:after="0" w:line="143" w:lineRule="exact"/>
              <w:rPr>
                <w:sz w:val="20"/>
                <w:szCs w:val="20"/>
                <w:color w:val="auto"/>
              </w:rPr>
            </w:pPr>
            <w:r>
              <w:rPr>
                <w:rFonts w:ascii="Arial" w:cs="Arial" w:eastAsia="Arial" w:hAnsi="Arial"/>
                <w:sz w:val="13"/>
                <w:szCs w:val="13"/>
                <w:color w:val="auto"/>
              </w:rPr>
              <w:t>Kristie L. Colvin</w:t>
            </w:r>
          </w:p>
        </w:tc>
        <w:tc>
          <w:tcPr>
            <w:tcW w:w="4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2020</w:t>
            </w:r>
          </w:p>
        </w:tc>
        <w:tc>
          <w:tcPr>
            <w:tcW w:w="6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368,644</w:t>
            </w:r>
          </w:p>
        </w:tc>
        <w:tc>
          <w:tcPr>
            <w:tcW w:w="6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210,000</w:t>
            </w:r>
          </w:p>
        </w:tc>
        <w:tc>
          <w:tcPr>
            <w:tcW w:w="7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589,993</w:t>
            </w:r>
          </w:p>
        </w:tc>
        <w:tc>
          <w:tcPr>
            <w:tcW w:w="78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440" w:type="dxa"/>
            <w:vAlign w:val="bottom"/>
            <w:shd w:val="clear" w:color="auto" w:fill="D8E7F3"/>
          </w:tcPr>
          <w:p>
            <w:pPr>
              <w:jc w:val="right"/>
              <w:ind w:right="397"/>
              <w:spacing w:after="0" w:line="143" w:lineRule="exact"/>
              <w:rPr>
                <w:sz w:val="20"/>
                <w:szCs w:val="20"/>
                <w:color w:val="auto"/>
              </w:rPr>
            </w:pPr>
            <w:r>
              <w:rPr>
                <w:rFonts w:ascii="Arial" w:cs="Arial" w:eastAsia="Arial" w:hAnsi="Arial"/>
                <w:sz w:val="13"/>
                <w:szCs w:val="13"/>
                <w:color w:val="auto"/>
              </w:rPr>
              <w:t>305,100</w:t>
            </w:r>
          </w:p>
        </w:tc>
        <w:tc>
          <w:tcPr>
            <w:tcW w:w="14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155,761</w:t>
            </w:r>
          </w:p>
        </w:tc>
        <w:tc>
          <w:tcPr>
            <w:tcW w:w="146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47,559</w:t>
            </w:r>
          </w:p>
        </w:tc>
        <w:tc>
          <w:tcPr>
            <w:tcW w:w="88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1,677,057</w:t>
            </w: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shd w:val="clear" w:color="auto" w:fill="D8E7F3"/>
          </w:tcPr>
          <w:p>
            <w:pPr>
              <w:ind w:left="180"/>
              <w:spacing w:after="0" w:line="147" w:lineRule="exact"/>
              <w:rPr>
                <w:sz w:val="20"/>
                <w:szCs w:val="20"/>
                <w:color w:val="auto"/>
              </w:rPr>
            </w:pPr>
            <w:r>
              <w:rPr>
                <w:rFonts w:ascii="Arial" w:cs="Arial" w:eastAsia="Arial" w:hAnsi="Arial"/>
                <w:sz w:val="13"/>
                <w:szCs w:val="13"/>
                <w:color w:val="auto"/>
              </w:rPr>
              <w:t>Senior Vice</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President and</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Chief</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Accounting</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Officer and</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w w:val="98"/>
              </w:rPr>
              <w:t>Former Interim</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w w:val="98"/>
              </w:rPr>
              <w:t>Executive Vice</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President and</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w w:val="97"/>
              </w:rPr>
              <w:t>Chief Financial</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shd w:val="clear" w:color="auto" w:fill="D8E7F3"/>
          </w:tcPr>
          <w:p>
            <w:pPr>
              <w:ind w:left="180"/>
              <w:spacing w:after="0" w:line="139" w:lineRule="exact"/>
              <w:rPr>
                <w:sz w:val="20"/>
                <w:szCs w:val="20"/>
                <w:color w:val="auto"/>
              </w:rPr>
            </w:pPr>
            <w:r>
              <w:rPr>
                <w:rFonts w:ascii="Arial" w:cs="Arial" w:eastAsia="Arial" w:hAnsi="Arial"/>
                <w:sz w:val="13"/>
                <w:szCs w:val="13"/>
                <w:color w:val="auto"/>
              </w:rPr>
              <w:t>Officer</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tcPr>
          <w:p>
            <w:pPr>
              <w:ind w:left="60"/>
              <w:spacing w:after="0" w:line="143" w:lineRule="exact"/>
              <w:rPr>
                <w:sz w:val="20"/>
                <w:szCs w:val="20"/>
                <w:color w:val="auto"/>
              </w:rPr>
            </w:pPr>
            <w:r>
              <w:rPr>
                <w:rFonts w:ascii="Arial" w:cs="Arial" w:eastAsia="Arial" w:hAnsi="Arial"/>
                <w:sz w:val="13"/>
                <w:szCs w:val="13"/>
                <w:color w:val="auto"/>
              </w:rPr>
              <w:t>Scott E. Doyle</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2020</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487,500</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849,989</w:t>
            </w:r>
          </w:p>
        </w:tc>
        <w:tc>
          <w:tcPr>
            <w:tcW w:w="78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397"/>
              <w:spacing w:after="0" w:line="143" w:lineRule="exact"/>
              <w:rPr>
                <w:sz w:val="20"/>
                <w:szCs w:val="20"/>
                <w:color w:val="auto"/>
              </w:rPr>
            </w:pPr>
            <w:r>
              <w:rPr>
                <w:rFonts w:ascii="Arial" w:cs="Arial" w:eastAsia="Arial" w:hAnsi="Arial"/>
                <w:sz w:val="13"/>
                <w:szCs w:val="13"/>
                <w:color w:val="auto"/>
              </w:rPr>
              <w:t>462,600</w:t>
            </w:r>
          </w:p>
        </w:tc>
        <w:tc>
          <w:tcPr>
            <w:tcW w:w="14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113,597</w:t>
            </w:r>
          </w:p>
        </w:tc>
        <w:tc>
          <w:tcPr>
            <w:tcW w:w="146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61,067</w:t>
            </w:r>
          </w:p>
        </w:tc>
        <w:tc>
          <w:tcPr>
            <w:tcW w:w="880" w:type="dxa"/>
            <w:vAlign w:val="bottom"/>
          </w:tcPr>
          <w:p>
            <w:pPr>
              <w:jc w:val="right"/>
              <w:ind w:right="17"/>
              <w:spacing w:after="0" w:line="143" w:lineRule="exact"/>
              <w:rPr>
                <w:sz w:val="20"/>
                <w:szCs w:val="20"/>
                <w:color w:val="auto"/>
              </w:rPr>
            </w:pPr>
            <w:r>
              <w:rPr>
                <w:rFonts w:ascii="Arial" w:cs="Arial" w:eastAsia="Arial" w:hAnsi="Arial"/>
                <w:sz w:val="13"/>
                <w:szCs w:val="13"/>
                <w:color w:val="auto"/>
              </w:rPr>
              <w:t>1,974,753</w:t>
            </w:r>
          </w:p>
        </w:tc>
        <w:tc>
          <w:tcPr>
            <w:tcW w:w="0" w:type="dxa"/>
            <w:vAlign w:val="bottom"/>
          </w:tcPr>
          <w:p>
            <w:pPr>
              <w:spacing w:after="0"/>
              <w:rPr>
                <w:sz w:val="1"/>
                <w:szCs w:val="1"/>
                <w:color w:val="auto"/>
              </w:rPr>
            </w:pPr>
          </w:p>
        </w:tc>
      </w:tr>
      <w:tr>
        <w:trPr>
          <w:trHeight w:val="147"/>
        </w:trPr>
        <w:tc>
          <w:tcPr>
            <w:tcW w:w="1040" w:type="dxa"/>
            <w:vAlign w:val="bottom"/>
          </w:tcPr>
          <w:p>
            <w:pPr>
              <w:ind w:left="180"/>
              <w:spacing w:after="0" w:line="147" w:lineRule="exact"/>
              <w:rPr>
                <w:sz w:val="20"/>
                <w:szCs w:val="20"/>
                <w:color w:val="auto"/>
              </w:rPr>
            </w:pPr>
            <w:r>
              <w:rPr>
                <w:rFonts w:ascii="Arial" w:cs="Arial" w:eastAsia="Arial" w:hAnsi="Arial"/>
                <w:sz w:val="13"/>
                <w:szCs w:val="13"/>
                <w:color w:val="auto"/>
                <w:w w:val="98"/>
              </w:rPr>
              <w:t>Executive Vice</w:t>
            </w: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2019</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431,250</w:t>
            </w:r>
          </w:p>
        </w:tc>
        <w:tc>
          <w:tcPr>
            <w:tcW w:w="66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674,979</w:t>
            </w:r>
          </w:p>
        </w:tc>
        <w:tc>
          <w:tcPr>
            <w:tcW w:w="780" w:type="dxa"/>
            <w:vAlign w:val="bottom"/>
          </w:tcPr>
          <w:p>
            <w:pPr>
              <w:spacing w:after="0"/>
              <w:rPr>
                <w:sz w:val="12"/>
                <w:szCs w:val="12"/>
                <w:color w:val="auto"/>
              </w:rPr>
            </w:pPr>
          </w:p>
        </w:tc>
        <w:tc>
          <w:tcPr>
            <w:tcW w:w="1440" w:type="dxa"/>
            <w:vAlign w:val="bottom"/>
          </w:tcPr>
          <w:p>
            <w:pPr>
              <w:jc w:val="right"/>
              <w:ind w:right="397"/>
              <w:spacing w:after="0" w:line="147" w:lineRule="exact"/>
              <w:rPr>
                <w:sz w:val="20"/>
                <w:szCs w:val="20"/>
                <w:color w:val="auto"/>
              </w:rPr>
            </w:pPr>
            <w:r>
              <w:rPr>
                <w:rFonts w:ascii="Arial" w:cs="Arial" w:eastAsia="Arial" w:hAnsi="Arial"/>
                <w:sz w:val="13"/>
                <w:szCs w:val="13"/>
                <w:color w:val="auto"/>
              </w:rPr>
              <w:t>350,000</w:t>
            </w:r>
          </w:p>
        </w:tc>
        <w:tc>
          <w:tcPr>
            <w:tcW w:w="142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33,646</w:t>
            </w:r>
          </w:p>
        </w:tc>
        <w:tc>
          <w:tcPr>
            <w:tcW w:w="146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57,305</w:t>
            </w:r>
          </w:p>
        </w:tc>
        <w:tc>
          <w:tcPr>
            <w:tcW w:w="880" w:type="dxa"/>
            <w:vAlign w:val="bottom"/>
          </w:tcPr>
          <w:p>
            <w:pPr>
              <w:jc w:val="right"/>
              <w:ind w:right="17"/>
              <w:spacing w:after="0" w:line="147" w:lineRule="exact"/>
              <w:rPr>
                <w:sz w:val="20"/>
                <w:szCs w:val="20"/>
                <w:color w:val="auto"/>
              </w:rPr>
            </w:pPr>
            <w:r>
              <w:rPr>
                <w:rFonts w:ascii="Arial" w:cs="Arial" w:eastAsia="Arial" w:hAnsi="Arial"/>
                <w:sz w:val="13"/>
                <w:szCs w:val="13"/>
                <w:color w:val="auto"/>
              </w:rPr>
              <w:t>1,547,180</w:t>
            </w: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President,</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180"/>
              <w:spacing w:after="0" w:line="139" w:lineRule="exact"/>
              <w:rPr>
                <w:sz w:val="20"/>
                <w:szCs w:val="20"/>
                <w:color w:val="auto"/>
              </w:rPr>
            </w:pPr>
            <w:r>
              <w:rPr>
                <w:rFonts w:ascii="Arial" w:cs="Arial" w:eastAsia="Arial" w:hAnsi="Arial"/>
                <w:sz w:val="13"/>
                <w:szCs w:val="13"/>
                <w:color w:val="auto"/>
              </w:rPr>
              <w:t>Natural Gas</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shd w:val="clear" w:color="auto" w:fill="D8E7F3"/>
          </w:tcPr>
          <w:p>
            <w:pPr>
              <w:ind w:left="60"/>
              <w:spacing w:after="0" w:line="147" w:lineRule="exact"/>
              <w:rPr>
                <w:sz w:val="20"/>
                <w:szCs w:val="20"/>
                <w:color w:val="auto"/>
              </w:rPr>
            </w:pPr>
            <w:r>
              <w:rPr>
                <w:rFonts w:ascii="Arial" w:cs="Arial" w:eastAsia="Arial" w:hAnsi="Arial"/>
                <w:sz w:val="13"/>
                <w:szCs w:val="13"/>
                <w:color w:val="auto"/>
              </w:rPr>
              <w:t>Gregory E.</w:t>
            </w:r>
          </w:p>
        </w:tc>
        <w:tc>
          <w:tcPr>
            <w:tcW w:w="44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2020</w:t>
            </w:r>
          </w:p>
        </w:tc>
        <w:tc>
          <w:tcPr>
            <w:tcW w:w="68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181,875</w:t>
            </w:r>
          </w:p>
        </w:tc>
        <w:tc>
          <w:tcPr>
            <w:tcW w:w="66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400,000</w:t>
            </w:r>
          </w:p>
        </w:tc>
        <w:tc>
          <w:tcPr>
            <w:tcW w:w="70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1,076,010</w:t>
            </w:r>
          </w:p>
        </w:tc>
        <w:tc>
          <w:tcPr>
            <w:tcW w:w="780" w:type="dxa"/>
            <w:vAlign w:val="bottom"/>
            <w:shd w:val="clear" w:color="auto" w:fill="D8E7F3"/>
          </w:tcPr>
          <w:p>
            <w:pPr>
              <w:jc w:val="right"/>
              <w:ind w:right="297"/>
              <w:spacing w:after="0" w:line="147" w:lineRule="exact"/>
              <w:rPr>
                <w:sz w:val="20"/>
                <w:szCs w:val="20"/>
                <w:color w:val="auto"/>
              </w:rPr>
            </w:pPr>
            <w:r>
              <w:rPr>
                <w:rFonts w:ascii="Arial" w:cs="Arial" w:eastAsia="Arial" w:hAnsi="Arial"/>
                <w:sz w:val="13"/>
                <w:szCs w:val="13"/>
                <w:color w:val="auto"/>
              </w:rPr>
              <w:t>—</w:t>
            </w:r>
          </w:p>
        </w:tc>
        <w:tc>
          <w:tcPr>
            <w:tcW w:w="1440" w:type="dxa"/>
            <w:vAlign w:val="bottom"/>
            <w:shd w:val="clear" w:color="auto" w:fill="D8E7F3"/>
          </w:tcPr>
          <w:p>
            <w:pPr>
              <w:jc w:val="right"/>
              <w:ind w:right="397"/>
              <w:spacing w:after="0" w:line="147" w:lineRule="exact"/>
              <w:rPr>
                <w:sz w:val="20"/>
                <w:szCs w:val="20"/>
                <w:color w:val="auto"/>
              </w:rPr>
            </w:pPr>
            <w:r>
              <w:rPr>
                <w:rFonts w:ascii="Arial" w:cs="Arial" w:eastAsia="Arial" w:hAnsi="Arial"/>
                <w:sz w:val="13"/>
                <w:szCs w:val="13"/>
                <w:color w:val="auto"/>
              </w:rPr>
              <w:t>172,600</w:t>
            </w:r>
          </w:p>
        </w:tc>
        <w:tc>
          <w:tcPr>
            <w:tcW w:w="1420" w:type="dxa"/>
            <w:vAlign w:val="bottom"/>
            <w:shd w:val="clear" w:color="auto" w:fill="D8E7F3"/>
          </w:tcPr>
          <w:p>
            <w:pPr>
              <w:jc w:val="right"/>
              <w:ind w:right="277"/>
              <w:spacing w:after="0" w:line="147" w:lineRule="exact"/>
              <w:rPr>
                <w:sz w:val="20"/>
                <w:szCs w:val="20"/>
                <w:color w:val="auto"/>
              </w:rPr>
            </w:pPr>
            <w:r>
              <w:rPr>
                <w:rFonts w:ascii="Arial" w:cs="Arial" w:eastAsia="Arial" w:hAnsi="Arial"/>
                <w:sz w:val="13"/>
                <w:szCs w:val="13"/>
                <w:color w:val="auto"/>
              </w:rPr>
              <w:t>(982)</w:t>
            </w:r>
          </w:p>
        </w:tc>
        <w:tc>
          <w:tcPr>
            <w:tcW w:w="1460" w:type="dxa"/>
            <w:vAlign w:val="bottom"/>
            <w:shd w:val="clear" w:color="auto" w:fill="D8E7F3"/>
          </w:tcPr>
          <w:p>
            <w:pPr>
              <w:jc w:val="right"/>
              <w:ind w:right="317"/>
              <w:spacing w:after="0" w:line="147" w:lineRule="exact"/>
              <w:rPr>
                <w:sz w:val="20"/>
                <w:szCs w:val="20"/>
                <w:color w:val="auto"/>
              </w:rPr>
            </w:pPr>
            <w:r>
              <w:rPr>
                <w:rFonts w:ascii="Arial" w:cs="Arial" w:eastAsia="Arial" w:hAnsi="Arial"/>
                <w:sz w:val="13"/>
                <w:szCs w:val="13"/>
                <w:color w:val="auto"/>
              </w:rPr>
              <w:t>180,392</w:t>
            </w:r>
          </w:p>
        </w:tc>
        <w:tc>
          <w:tcPr>
            <w:tcW w:w="880" w:type="dxa"/>
            <w:vAlign w:val="bottom"/>
            <w:shd w:val="clear" w:color="auto" w:fill="D8E7F3"/>
          </w:tcPr>
          <w:p>
            <w:pPr>
              <w:jc w:val="right"/>
              <w:ind w:right="17"/>
              <w:spacing w:after="0" w:line="147" w:lineRule="exact"/>
              <w:rPr>
                <w:sz w:val="20"/>
                <w:szCs w:val="20"/>
                <w:color w:val="auto"/>
              </w:rPr>
            </w:pPr>
            <w:r>
              <w:rPr>
                <w:rFonts w:ascii="Arial" w:cs="Arial" w:eastAsia="Arial" w:hAnsi="Arial"/>
                <w:sz w:val="13"/>
                <w:szCs w:val="13"/>
                <w:color w:val="auto"/>
              </w:rPr>
              <w:t>2,009,894</w:t>
            </w: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shd w:val="clear" w:color="auto" w:fill="D8E7F3"/>
          </w:tcPr>
          <w:p>
            <w:pPr>
              <w:ind w:left="180"/>
              <w:spacing w:after="0" w:line="139" w:lineRule="exact"/>
              <w:rPr>
                <w:sz w:val="20"/>
                <w:szCs w:val="20"/>
                <w:color w:val="auto"/>
              </w:rPr>
            </w:pPr>
            <w:r>
              <w:rPr>
                <w:rFonts w:ascii="Arial" w:cs="Arial" w:eastAsia="Arial" w:hAnsi="Arial"/>
                <w:sz w:val="13"/>
                <w:szCs w:val="13"/>
                <w:color w:val="auto"/>
              </w:rPr>
              <w:t>Knight</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shd w:val="clear" w:color="auto" w:fill="D8E7F3"/>
          </w:tcPr>
          <w:p>
            <w:pPr>
              <w:ind w:left="180"/>
              <w:spacing w:after="0" w:line="147" w:lineRule="exact"/>
              <w:rPr>
                <w:sz w:val="20"/>
                <w:szCs w:val="20"/>
                <w:color w:val="auto"/>
              </w:rPr>
            </w:pPr>
            <w:r>
              <w:rPr>
                <w:rFonts w:ascii="Arial" w:cs="Arial" w:eastAsia="Arial" w:hAnsi="Arial"/>
                <w:sz w:val="13"/>
                <w:szCs w:val="13"/>
                <w:color w:val="auto"/>
                <w:w w:val="98"/>
              </w:rPr>
              <w:t>Executive Vice</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President,</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Customer</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w w:val="96"/>
              </w:rPr>
              <w:t>Transformation</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and Business</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shd w:val="clear" w:color="auto" w:fill="D8E7F3"/>
          </w:tcPr>
          <w:p>
            <w:pPr>
              <w:ind w:left="180"/>
              <w:spacing w:after="0" w:line="139" w:lineRule="exact"/>
              <w:rPr>
                <w:sz w:val="20"/>
                <w:szCs w:val="20"/>
                <w:color w:val="auto"/>
              </w:rPr>
            </w:pPr>
            <w:r>
              <w:rPr>
                <w:rFonts w:ascii="Arial" w:cs="Arial" w:eastAsia="Arial" w:hAnsi="Arial"/>
                <w:sz w:val="13"/>
                <w:szCs w:val="13"/>
                <w:color w:val="auto"/>
              </w:rPr>
              <w:t>Services</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tcPr>
          <w:p>
            <w:pPr>
              <w:ind w:left="60"/>
              <w:spacing w:after="0" w:line="147" w:lineRule="exact"/>
              <w:rPr>
                <w:sz w:val="20"/>
                <w:szCs w:val="20"/>
                <w:color w:val="auto"/>
              </w:rPr>
            </w:pPr>
            <w:r>
              <w:rPr>
                <w:rFonts w:ascii="Arial" w:cs="Arial" w:eastAsia="Arial" w:hAnsi="Arial"/>
                <w:sz w:val="13"/>
                <w:szCs w:val="13"/>
                <w:color w:val="auto"/>
              </w:rPr>
              <w:t>Scott M.</w:t>
            </w: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2020</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283,677</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97"/>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397"/>
              <w:spacing w:after="0" w:line="147"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277"/>
              <w:spacing w:after="0" w:line="147" w:lineRule="exact"/>
              <w:rPr>
                <w:sz w:val="20"/>
                <w:szCs w:val="20"/>
                <w:color w:val="auto"/>
              </w:rPr>
            </w:pPr>
            <w:r>
              <w:rPr>
                <w:rFonts w:ascii="Arial" w:cs="Arial" w:eastAsia="Arial" w:hAnsi="Arial"/>
                <w:sz w:val="13"/>
                <w:szCs w:val="13"/>
                <w:color w:val="auto"/>
              </w:rPr>
              <w:t>(1,008,367)</w:t>
            </w:r>
          </w:p>
        </w:tc>
        <w:tc>
          <w:tcPr>
            <w:tcW w:w="146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7,380,980</w:t>
            </w:r>
          </w:p>
        </w:tc>
        <w:tc>
          <w:tcPr>
            <w:tcW w:w="880" w:type="dxa"/>
            <w:vAlign w:val="bottom"/>
          </w:tcPr>
          <w:p>
            <w:pPr>
              <w:jc w:val="right"/>
              <w:ind w:right="17"/>
              <w:spacing w:after="0" w:line="147" w:lineRule="exact"/>
              <w:rPr>
                <w:sz w:val="20"/>
                <w:szCs w:val="20"/>
                <w:color w:val="auto"/>
              </w:rPr>
            </w:pPr>
            <w:r>
              <w:rPr>
                <w:rFonts w:ascii="Arial" w:cs="Arial" w:eastAsia="Arial" w:hAnsi="Arial"/>
                <w:sz w:val="13"/>
                <w:szCs w:val="13"/>
                <w:color w:val="auto"/>
              </w:rPr>
              <w:t>6,656,290</w:t>
            </w: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tcPr>
          <w:p>
            <w:pPr>
              <w:ind w:left="180"/>
              <w:spacing w:after="0" w:line="139" w:lineRule="exact"/>
              <w:rPr>
                <w:sz w:val="20"/>
                <w:szCs w:val="20"/>
                <w:color w:val="auto"/>
              </w:rPr>
            </w:pPr>
            <w:r>
              <w:rPr>
                <w:rFonts w:ascii="Arial" w:cs="Arial" w:eastAsia="Arial" w:hAnsi="Arial"/>
                <w:sz w:val="13"/>
                <w:szCs w:val="13"/>
                <w:color w:val="auto"/>
              </w:rPr>
              <w:t>Prochazka</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80"/>
              <w:spacing w:after="0" w:line="147" w:lineRule="exact"/>
              <w:rPr>
                <w:sz w:val="20"/>
                <w:szCs w:val="20"/>
                <w:color w:val="auto"/>
              </w:rPr>
            </w:pPr>
            <w:r>
              <w:rPr>
                <w:rFonts w:ascii="Arial" w:cs="Arial" w:eastAsia="Arial" w:hAnsi="Arial"/>
                <w:sz w:val="13"/>
                <w:szCs w:val="13"/>
                <w:color w:val="auto"/>
              </w:rPr>
              <w:t>Former</w:t>
            </w: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2019</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1,307,250</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5,953,495</w:t>
            </w:r>
          </w:p>
        </w:tc>
        <w:tc>
          <w:tcPr>
            <w:tcW w:w="780" w:type="dxa"/>
            <w:vAlign w:val="bottom"/>
          </w:tcPr>
          <w:p>
            <w:pPr>
              <w:jc w:val="right"/>
              <w:ind w:right="297"/>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397"/>
              <w:spacing w:after="0" w:line="147"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266,837</w:t>
            </w:r>
          </w:p>
        </w:tc>
        <w:tc>
          <w:tcPr>
            <w:tcW w:w="146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196,540</w:t>
            </w:r>
          </w:p>
        </w:tc>
        <w:tc>
          <w:tcPr>
            <w:tcW w:w="880" w:type="dxa"/>
            <w:vAlign w:val="bottom"/>
          </w:tcPr>
          <w:p>
            <w:pPr>
              <w:jc w:val="right"/>
              <w:ind w:right="17"/>
              <w:spacing w:after="0" w:line="147" w:lineRule="exact"/>
              <w:rPr>
                <w:sz w:val="20"/>
                <w:szCs w:val="20"/>
                <w:color w:val="auto"/>
              </w:rPr>
            </w:pPr>
            <w:r>
              <w:rPr>
                <w:rFonts w:ascii="Arial" w:cs="Arial" w:eastAsia="Arial" w:hAnsi="Arial"/>
                <w:sz w:val="13"/>
                <w:szCs w:val="13"/>
                <w:color w:val="auto"/>
              </w:rPr>
              <w:t>7,724,121</w:t>
            </w: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President and</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Chief</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2018</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1,245,000</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5,480,987</w:t>
            </w:r>
          </w:p>
        </w:tc>
        <w:tc>
          <w:tcPr>
            <w:tcW w:w="780" w:type="dxa"/>
            <w:vAlign w:val="bottom"/>
            <w:vMerge w:val="restart"/>
          </w:tcPr>
          <w:p>
            <w:pPr>
              <w:jc w:val="right"/>
              <w:ind w:right="297"/>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ind w:right="397"/>
              <w:spacing w:after="0"/>
              <w:rPr>
                <w:sz w:val="20"/>
                <w:szCs w:val="20"/>
                <w:color w:val="auto"/>
              </w:rPr>
            </w:pPr>
            <w:r>
              <w:rPr>
                <w:rFonts w:ascii="Arial" w:cs="Arial" w:eastAsia="Arial" w:hAnsi="Arial"/>
                <w:sz w:val="13"/>
                <w:szCs w:val="13"/>
                <w:color w:val="auto"/>
              </w:rPr>
              <w:t>1,875,593</w:t>
            </w:r>
          </w:p>
        </w:tc>
        <w:tc>
          <w:tcPr>
            <w:tcW w:w="1420" w:type="dxa"/>
            <w:vAlign w:val="bottom"/>
            <w:vMerge w:val="restart"/>
          </w:tcPr>
          <w:p>
            <w:pPr>
              <w:jc w:val="right"/>
              <w:ind w:right="317"/>
              <w:spacing w:after="0"/>
              <w:rPr>
                <w:sz w:val="20"/>
                <w:szCs w:val="20"/>
                <w:color w:val="auto"/>
              </w:rPr>
            </w:pPr>
            <w:r>
              <w:rPr>
                <w:rFonts w:ascii="Arial" w:cs="Arial" w:eastAsia="Arial" w:hAnsi="Arial"/>
                <w:sz w:val="13"/>
                <w:szCs w:val="13"/>
                <w:color w:val="auto"/>
              </w:rPr>
              <w:t>96,842</w:t>
            </w:r>
          </w:p>
        </w:tc>
        <w:tc>
          <w:tcPr>
            <w:tcW w:w="1460" w:type="dxa"/>
            <w:vAlign w:val="bottom"/>
            <w:vMerge w:val="restart"/>
          </w:tcPr>
          <w:p>
            <w:pPr>
              <w:jc w:val="right"/>
              <w:ind w:right="317"/>
              <w:spacing w:after="0"/>
              <w:rPr>
                <w:sz w:val="20"/>
                <w:szCs w:val="20"/>
                <w:color w:val="auto"/>
              </w:rPr>
            </w:pPr>
            <w:r>
              <w:rPr>
                <w:rFonts w:ascii="Arial" w:cs="Arial" w:eastAsia="Arial" w:hAnsi="Arial"/>
                <w:sz w:val="13"/>
                <w:szCs w:val="13"/>
                <w:color w:val="auto"/>
              </w:rPr>
              <w:t>189,559</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8,887,981</w:t>
            </w:r>
          </w:p>
        </w:tc>
        <w:tc>
          <w:tcPr>
            <w:tcW w:w="0" w:type="dxa"/>
            <w:vAlign w:val="bottom"/>
          </w:tcPr>
          <w:p>
            <w:pPr>
              <w:spacing w:after="0"/>
              <w:rPr>
                <w:sz w:val="1"/>
                <w:szCs w:val="1"/>
                <w:color w:val="auto"/>
              </w:rPr>
            </w:pPr>
          </w:p>
        </w:tc>
      </w:tr>
      <w:tr>
        <w:trPr>
          <w:trHeight w:val="81"/>
        </w:trPr>
        <w:tc>
          <w:tcPr>
            <w:tcW w:w="1040" w:type="dxa"/>
            <w:vAlign w:val="bottom"/>
            <w:vMerge w:val="restart"/>
          </w:tcPr>
          <w:p>
            <w:pPr>
              <w:ind w:left="180"/>
              <w:spacing w:after="0" w:line="143" w:lineRule="exact"/>
              <w:rPr>
                <w:sz w:val="20"/>
                <w:szCs w:val="20"/>
                <w:color w:val="auto"/>
              </w:rPr>
            </w:pPr>
            <w:r>
              <w:rPr>
                <w:rFonts w:ascii="Arial" w:cs="Arial" w:eastAsia="Arial" w:hAnsi="Arial"/>
                <w:sz w:val="13"/>
                <w:szCs w:val="13"/>
                <w:color w:val="auto"/>
              </w:rPr>
              <w:t>Executive</w:t>
            </w:r>
          </w:p>
        </w:tc>
        <w:tc>
          <w:tcPr>
            <w:tcW w:w="4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180"/>
              <w:spacing w:after="0" w:line="139" w:lineRule="exact"/>
              <w:rPr>
                <w:sz w:val="20"/>
                <w:szCs w:val="20"/>
                <w:color w:val="auto"/>
              </w:rPr>
            </w:pPr>
            <w:r>
              <w:rPr>
                <w:rFonts w:ascii="Arial" w:cs="Arial" w:eastAsia="Arial" w:hAnsi="Arial"/>
                <w:sz w:val="13"/>
                <w:szCs w:val="13"/>
                <w:color w:val="auto"/>
              </w:rPr>
              <w:t>Officer</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shd w:val="clear" w:color="auto" w:fill="D8E7F3"/>
          </w:tcPr>
          <w:p>
            <w:pPr>
              <w:ind w:left="60"/>
              <w:spacing w:after="0" w:line="147" w:lineRule="exact"/>
              <w:rPr>
                <w:sz w:val="20"/>
                <w:szCs w:val="20"/>
                <w:color w:val="auto"/>
              </w:rPr>
            </w:pPr>
            <w:r>
              <w:rPr>
                <w:rFonts w:ascii="Arial" w:cs="Arial" w:eastAsia="Arial" w:hAnsi="Arial"/>
                <w:sz w:val="13"/>
                <w:szCs w:val="13"/>
                <w:color w:val="auto"/>
              </w:rPr>
              <w:t>John W.</w:t>
            </w:r>
          </w:p>
        </w:tc>
        <w:tc>
          <w:tcPr>
            <w:tcW w:w="44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2020</w:t>
            </w:r>
          </w:p>
        </w:tc>
        <w:tc>
          <w:tcPr>
            <w:tcW w:w="68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366,667</w:t>
            </w:r>
          </w:p>
        </w:tc>
        <w:tc>
          <w:tcPr>
            <w:tcW w:w="66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364,384</w:t>
            </w:r>
          </w:p>
        </w:tc>
        <w:tc>
          <w:tcPr>
            <w:tcW w:w="70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2,272,619</w:t>
            </w:r>
          </w:p>
        </w:tc>
        <w:tc>
          <w:tcPr>
            <w:tcW w:w="780" w:type="dxa"/>
            <w:vAlign w:val="bottom"/>
            <w:shd w:val="clear" w:color="auto" w:fill="D8E7F3"/>
          </w:tcPr>
          <w:p>
            <w:pPr>
              <w:jc w:val="right"/>
              <w:ind w:right="297"/>
              <w:spacing w:after="0" w:line="147" w:lineRule="exact"/>
              <w:rPr>
                <w:sz w:val="20"/>
                <w:szCs w:val="20"/>
                <w:color w:val="auto"/>
              </w:rPr>
            </w:pPr>
            <w:r>
              <w:rPr>
                <w:rFonts w:ascii="Arial" w:cs="Arial" w:eastAsia="Arial" w:hAnsi="Arial"/>
                <w:sz w:val="13"/>
                <w:szCs w:val="13"/>
                <w:color w:val="auto"/>
              </w:rPr>
              <w:t>—</w:t>
            </w:r>
          </w:p>
        </w:tc>
        <w:tc>
          <w:tcPr>
            <w:tcW w:w="1440" w:type="dxa"/>
            <w:vAlign w:val="bottom"/>
            <w:shd w:val="clear" w:color="auto" w:fill="D8E7F3"/>
          </w:tcPr>
          <w:p>
            <w:pPr>
              <w:jc w:val="right"/>
              <w:ind w:right="397"/>
              <w:spacing w:after="0" w:line="147" w:lineRule="exact"/>
              <w:rPr>
                <w:sz w:val="20"/>
                <w:szCs w:val="20"/>
                <w:color w:val="auto"/>
              </w:rPr>
            </w:pPr>
            <w:r>
              <w:rPr>
                <w:rFonts w:ascii="Arial" w:cs="Arial" w:eastAsia="Arial" w:hAnsi="Arial"/>
                <w:sz w:val="13"/>
                <w:szCs w:val="13"/>
                <w:color w:val="auto"/>
              </w:rPr>
              <w:t>—</w:t>
            </w:r>
          </w:p>
        </w:tc>
        <w:tc>
          <w:tcPr>
            <w:tcW w:w="1420" w:type="dxa"/>
            <w:vAlign w:val="bottom"/>
            <w:shd w:val="clear" w:color="auto" w:fill="D8E7F3"/>
          </w:tcPr>
          <w:p>
            <w:pPr>
              <w:jc w:val="right"/>
              <w:ind w:right="317"/>
              <w:spacing w:after="0" w:line="147" w:lineRule="exact"/>
              <w:rPr>
                <w:sz w:val="20"/>
                <w:szCs w:val="20"/>
                <w:color w:val="auto"/>
              </w:rPr>
            </w:pPr>
            <w:r>
              <w:rPr>
                <w:rFonts w:ascii="Arial" w:cs="Arial" w:eastAsia="Arial" w:hAnsi="Arial"/>
                <w:sz w:val="13"/>
                <w:szCs w:val="13"/>
                <w:color w:val="auto"/>
              </w:rPr>
              <w:t>8,929</w:t>
            </w:r>
          </w:p>
        </w:tc>
        <w:tc>
          <w:tcPr>
            <w:tcW w:w="1460" w:type="dxa"/>
            <w:vAlign w:val="bottom"/>
            <w:shd w:val="clear" w:color="auto" w:fill="D8E7F3"/>
          </w:tcPr>
          <w:p>
            <w:pPr>
              <w:jc w:val="right"/>
              <w:ind w:right="317"/>
              <w:spacing w:after="0" w:line="147" w:lineRule="exact"/>
              <w:rPr>
                <w:sz w:val="20"/>
                <w:szCs w:val="20"/>
                <w:color w:val="auto"/>
              </w:rPr>
            </w:pPr>
            <w:r>
              <w:rPr>
                <w:rFonts w:ascii="Arial" w:cs="Arial" w:eastAsia="Arial" w:hAnsi="Arial"/>
                <w:sz w:val="13"/>
                <w:szCs w:val="13"/>
                <w:color w:val="auto"/>
              </w:rPr>
              <w:t>63,058</w:t>
            </w:r>
          </w:p>
        </w:tc>
        <w:tc>
          <w:tcPr>
            <w:tcW w:w="880" w:type="dxa"/>
            <w:vAlign w:val="bottom"/>
            <w:shd w:val="clear" w:color="auto" w:fill="D8E7F3"/>
          </w:tcPr>
          <w:p>
            <w:pPr>
              <w:jc w:val="right"/>
              <w:ind w:right="17"/>
              <w:spacing w:after="0" w:line="147" w:lineRule="exact"/>
              <w:rPr>
                <w:sz w:val="20"/>
                <w:szCs w:val="20"/>
                <w:color w:val="auto"/>
              </w:rPr>
            </w:pPr>
            <w:r>
              <w:rPr>
                <w:rFonts w:ascii="Arial" w:cs="Arial" w:eastAsia="Arial" w:hAnsi="Arial"/>
                <w:sz w:val="13"/>
                <w:szCs w:val="13"/>
                <w:color w:val="auto"/>
              </w:rPr>
              <w:t>3,075,656</w:t>
            </w: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shd w:val="clear" w:color="auto" w:fill="D8E7F3"/>
          </w:tcPr>
          <w:p>
            <w:pPr>
              <w:ind w:left="180"/>
              <w:spacing w:after="0" w:line="139" w:lineRule="exact"/>
              <w:rPr>
                <w:sz w:val="20"/>
                <w:szCs w:val="20"/>
                <w:color w:val="auto"/>
              </w:rPr>
            </w:pPr>
            <w:r>
              <w:rPr>
                <w:rFonts w:ascii="Arial" w:cs="Arial" w:eastAsia="Arial" w:hAnsi="Arial"/>
                <w:sz w:val="13"/>
                <w:szCs w:val="13"/>
                <w:color w:val="auto"/>
                <w:w w:val="98"/>
              </w:rPr>
              <w:t>Somerhalder II</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shd w:val="clear" w:color="auto" w:fill="D8E7F3"/>
          </w:tcPr>
          <w:p>
            <w:pPr>
              <w:ind w:left="180"/>
              <w:spacing w:after="0" w:line="147" w:lineRule="exact"/>
              <w:rPr>
                <w:sz w:val="20"/>
                <w:szCs w:val="20"/>
                <w:color w:val="auto"/>
              </w:rPr>
            </w:pPr>
            <w:r>
              <w:rPr>
                <w:rFonts w:ascii="Arial" w:cs="Arial" w:eastAsia="Arial" w:hAnsi="Arial"/>
                <w:sz w:val="13"/>
                <w:szCs w:val="13"/>
                <w:color w:val="auto"/>
                <w:w w:val="98"/>
              </w:rPr>
              <w:t>Former Interim</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President and</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Chief</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Borders>
              <w:left w:val="single" w:sz="8" w:color="D8E7F3"/>
            </w:tcBorders>
            <w:shd w:val="clear" w:color="auto" w:fill="D8E7F3"/>
          </w:tcPr>
          <w:p>
            <w:pPr>
              <w:ind w:left="180"/>
              <w:spacing w:after="0" w:line="143" w:lineRule="exact"/>
              <w:rPr>
                <w:sz w:val="20"/>
                <w:szCs w:val="20"/>
                <w:color w:val="auto"/>
              </w:rPr>
            </w:pPr>
            <w:r>
              <w:rPr>
                <w:rFonts w:ascii="Arial" w:cs="Arial" w:eastAsia="Arial" w:hAnsi="Arial"/>
                <w:sz w:val="13"/>
                <w:szCs w:val="13"/>
                <w:color w:val="auto"/>
              </w:rPr>
              <w:t>Executive</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shd w:val="clear" w:color="auto" w:fill="D8E7F3"/>
          </w:tcPr>
          <w:p>
            <w:pPr>
              <w:ind w:left="180"/>
              <w:spacing w:after="0" w:line="139" w:lineRule="exact"/>
              <w:rPr>
                <w:sz w:val="20"/>
                <w:szCs w:val="20"/>
                <w:color w:val="auto"/>
              </w:rPr>
            </w:pPr>
            <w:r>
              <w:rPr>
                <w:rFonts w:ascii="Arial" w:cs="Arial" w:eastAsia="Arial" w:hAnsi="Arial"/>
                <w:sz w:val="13"/>
                <w:szCs w:val="13"/>
                <w:color w:val="auto"/>
              </w:rPr>
              <w:t>Officer</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60"/>
              <w:spacing w:after="0" w:line="147" w:lineRule="exact"/>
              <w:rPr>
                <w:sz w:val="20"/>
                <w:szCs w:val="20"/>
                <w:color w:val="auto"/>
              </w:rPr>
            </w:pPr>
            <w:r>
              <w:rPr>
                <w:rFonts w:ascii="Arial" w:cs="Arial" w:eastAsia="Arial" w:hAnsi="Arial"/>
                <w:sz w:val="13"/>
                <w:szCs w:val="13"/>
                <w:color w:val="auto"/>
              </w:rPr>
              <w:t>Xia Liu</w:t>
            </w: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2020</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261,706</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1,394,975</w:t>
            </w:r>
          </w:p>
        </w:tc>
        <w:tc>
          <w:tcPr>
            <w:tcW w:w="780" w:type="dxa"/>
            <w:vAlign w:val="bottom"/>
          </w:tcPr>
          <w:p>
            <w:pPr>
              <w:jc w:val="right"/>
              <w:ind w:right="297"/>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397"/>
              <w:spacing w:after="0" w:line="147"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277"/>
              <w:spacing w:after="0" w:line="147" w:lineRule="exact"/>
              <w:rPr>
                <w:sz w:val="20"/>
                <w:szCs w:val="20"/>
                <w:color w:val="auto"/>
              </w:rPr>
            </w:pPr>
            <w:r>
              <w:rPr>
                <w:rFonts w:ascii="Arial" w:cs="Arial" w:eastAsia="Arial" w:hAnsi="Arial"/>
                <w:sz w:val="13"/>
                <w:szCs w:val="13"/>
                <w:color w:val="auto"/>
              </w:rPr>
              <w:t>(19,318)</w:t>
            </w:r>
          </w:p>
        </w:tc>
        <w:tc>
          <w:tcPr>
            <w:tcW w:w="1460" w:type="dxa"/>
            <w:vAlign w:val="bottom"/>
          </w:tcPr>
          <w:p>
            <w:pPr>
              <w:jc w:val="right"/>
              <w:ind w:right="317"/>
              <w:spacing w:after="0" w:line="147" w:lineRule="exact"/>
              <w:rPr>
                <w:sz w:val="20"/>
                <w:szCs w:val="20"/>
                <w:color w:val="auto"/>
              </w:rPr>
            </w:pPr>
            <w:r>
              <w:rPr>
                <w:rFonts w:ascii="Arial" w:cs="Arial" w:eastAsia="Arial" w:hAnsi="Arial"/>
                <w:sz w:val="13"/>
                <w:szCs w:val="13"/>
                <w:color w:val="auto"/>
              </w:rPr>
              <w:t>104,616</w:t>
            </w:r>
          </w:p>
        </w:tc>
        <w:tc>
          <w:tcPr>
            <w:tcW w:w="880" w:type="dxa"/>
            <w:vAlign w:val="bottom"/>
          </w:tcPr>
          <w:p>
            <w:pPr>
              <w:jc w:val="right"/>
              <w:ind w:right="17"/>
              <w:spacing w:after="0" w:line="147" w:lineRule="exact"/>
              <w:rPr>
                <w:sz w:val="20"/>
                <w:szCs w:val="20"/>
                <w:color w:val="auto"/>
              </w:rPr>
            </w:pPr>
            <w:r>
              <w:rPr>
                <w:rFonts w:ascii="Arial" w:cs="Arial" w:eastAsia="Arial" w:hAnsi="Arial"/>
                <w:sz w:val="13"/>
                <w:szCs w:val="13"/>
                <w:color w:val="auto"/>
              </w:rPr>
              <w:t>1,741,979</w:t>
            </w: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Former</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2019</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381,250</w:t>
            </w: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100,000</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1,782,562</w:t>
            </w:r>
          </w:p>
        </w:tc>
        <w:tc>
          <w:tcPr>
            <w:tcW w:w="780" w:type="dxa"/>
            <w:vAlign w:val="bottom"/>
          </w:tcPr>
          <w:p>
            <w:pPr>
              <w:spacing w:after="0"/>
              <w:rPr>
                <w:sz w:val="12"/>
                <w:szCs w:val="12"/>
                <w:color w:val="auto"/>
              </w:rPr>
            </w:pPr>
          </w:p>
        </w:tc>
        <w:tc>
          <w:tcPr>
            <w:tcW w:w="1440" w:type="dxa"/>
            <w:vAlign w:val="bottom"/>
          </w:tcPr>
          <w:p>
            <w:pPr>
              <w:jc w:val="right"/>
              <w:ind w:right="397"/>
              <w:spacing w:after="0" w:line="143" w:lineRule="exact"/>
              <w:rPr>
                <w:sz w:val="20"/>
                <w:szCs w:val="20"/>
                <w:color w:val="auto"/>
              </w:rPr>
            </w:pPr>
            <w:r>
              <w:rPr>
                <w:rFonts w:ascii="Arial" w:cs="Arial" w:eastAsia="Arial" w:hAnsi="Arial"/>
                <w:sz w:val="13"/>
                <w:szCs w:val="13"/>
                <w:color w:val="auto"/>
              </w:rPr>
              <w:t>520,000</w:t>
            </w:r>
          </w:p>
        </w:tc>
        <w:tc>
          <w:tcPr>
            <w:tcW w:w="14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19,318</w:t>
            </w:r>
          </w:p>
        </w:tc>
        <w:tc>
          <w:tcPr>
            <w:tcW w:w="146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192,271</w:t>
            </w:r>
          </w:p>
        </w:tc>
        <w:tc>
          <w:tcPr>
            <w:tcW w:w="880" w:type="dxa"/>
            <w:vAlign w:val="bottom"/>
          </w:tcPr>
          <w:p>
            <w:pPr>
              <w:jc w:val="right"/>
              <w:ind w:right="17"/>
              <w:spacing w:after="0" w:line="143" w:lineRule="exact"/>
              <w:rPr>
                <w:sz w:val="20"/>
                <w:szCs w:val="20"/>
                <w:color w:val="auto"/>
              </w:rPr>
            </w:pPr>
            <w:r>
              <w:rPr>
                <w:rFonts w:ascii="Arial" w:cs="Arial" w:eastAsia="Arial" w:hAnsi="Arial"/>
                <w:sz w:val="13"/>
                <w:szCs w:val="13"/>
                <w:color w:val="auto"/>
              </w:rPr>
              <w:t>2,995,401</w:t>
            </w: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w w:val="98"/>
              </w:rPr>
              <w:t>Executive Vice</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rPr>
              <w:t>President and</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ind w:left="180"/>
              <w:spacing w:after="0" w:line="143" w:lineRule="exact"/>
              <w:rPr>
                <w:sz w:val="20"/>
                <w:szCs w:val="20"/>
                <w:color w:val="auto"/>
              </w:rPr>
            </w:pPr>
            <w:r>
              <w:rPr>
                <w:rFonts w:ascii="Arial" w:cs="Arial" w:eastAsia="Arial" w:hAnsi="Arial"/>
                <w:sz w:val="13"/>
                <w:szCs w:val="13"/>
                <w:color w:val="auto"/>
                <w:w w:val="97"/>
              </w:rPr>
              <w:t>Chief Financial</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40" w:type="dxa"/>
            <w:vAlign w:val="bottom"/>
          </w:tcPr>
          <w:p>
            <w:pPr>
              <w:ind w:left="180"/>
              <w:spacing w:after="0" w:line="139" w:lineRule="exact"/>
              <w:rPr>
                <w:sz w:val="20"/>
                <w:szCs w:val="20"/>
                <w:color w:val="auto"/>
              </w:rPr>
            </w:pPr>
            <w:r>
              <w:rPr>
                <w:rFonts w:ascii="Arial" w:cs="Arial" w:eastAsia="Arial" w:hAnsi="Arial"/>
                <w:sz w:val="13"/>
                <w:szCs w:val="13"/>
                <w:color w:val="auto"/>
              </w:rPr>
              <w:t>Officer</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Borders>
              <w:left w:val="single" w:sz="8" w:color="D8E7F3"/>
            </w:tcBorders>
            <w:shd w:val="clear" w:color="auto" w:fill="D8E7F3"/>
          </w:tcPr>
          <w:p>
            <w:pPr>
              <w:ind w:left="60"/>
              <w:spacing w:after="0" w:line="147" w:lineRule="exact"/>
              <w:rPr>
                <w:sz w:val="20"/>
                <w:szCs w:val="20"/>
                <w:color w:val="auto"/>
              </w:rPr>
            </w:pPr>
            <w:r>
              <w:rPr>
                <w:rFonts w:ascii="Arial" w:cs="Arial" w:eastAsia="Arial" w:hAnsi="Arial"/>
                <w:sz w:val="13"/>
                <w:szCs w:val="13"/>
                <w:color w:val="auto"/>
              </w:rPr>
              <w:t>Joseph J.</w:t>
            </w:r>
          </w:p>
        </w:tc>
        <w:tc>
          <w:tcPr>
            <w:tcW w:w="44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2020</w:t>
            </w:r>
          </w:p>
        </w:tc>
        <w:tc>
          <w:tcPr>
            <w:tcW w:w="68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360,359</w:t>
            </w:r>
          </w:p>
        </w:tc>
        <w:tc>
          <w:tcPr>
            <w:tcW w:w="66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w:t>
            </w:r>
          </w:p>
        </w:tc>
        <w:tc>
          <w:tcPr>
            <w:tcW w:w="700" w:type="dxa"/>
            <w:vAlign w:val="bottom"/>
            <w:shd w:val="clear" w:color="auto" w:fill="D8E7F3"/>
          </w:tcPr>
          <w:p>
            <w:pPr>
              <w:jc w:val="right"/>
              <w:spacing w:after="0" w:line="147" w:lineRule="exact"/>
              <w:rPr>
                <w:sz w:val="20"/>
                <w:szCs w:val="20"/>
                <w:color w:val="auto"/>
              </w:rPr>
            </w:pPr>
            <w:r>
              <w:rPr>
                <w:rFonts w:ascii="Arial" w:cs="Arial" w:eastAsia="Arial" w:hAnsi="Arial"/>
                <w:sz w:val="13"/>
                <w:szCs w:val="13"/>
                <w:color w:val="auto"/>
              </w:rPr>
              <w:t>559,972</w:t>
            </w:r>
          </w:p>
        </w:tc>
        <w:tc>
          <w:tcPr>
            <w:tcW w:w="780" w:type="dxa"/>
            <w:vAlign w:val="bottom"/>
            <w:shd w:val="clear" w:color="auto" w:fill="D8E7F3"/>
          </w:tcPr>
          <w:p>
            <w:pPr>
              <w:jc w:val="right"/>
              <w:ind w:right="297"/>
              <w:spacing w:after="0" w:line="147" w:lineRule="exact"/>
              <w:rPr>
                <w:sz w:val="20"/>
                <w:szCs w:val="20"/>
                <w:color w:val="auto"/>
              </w:rPr>
            </w:pPr>
            <w:r>
              <w:rPr>
                <w:rFonts w:ascii="Arial" w:cs="Arial" w:eastAsia="Arial" w:hAnsi="Arial"/>
                <w:sz w:val="13"/>
                <w:szCs w:val="13"/>
                <w:color w:val="auto"/>
              </w:rPr>
              <w:t>—</w:t>
            </w:r>
          </w:p>
        </w:tc>
        <w:tc>
          <w:tcPr>
            <w:tcW w:w="1440" w:type="dxa"/>
            <w:vAlign w:val="bottom"/>
            <w:shd w:val="clear" w:color="auto" w:fill="D8E7F3"/>
          </w:tcPr>
          <w:p>
            <w:pPr>
              <w:jc w:val="right"/>
              <w:ind w:right="397"/>
              <w:spacing w:after="0" w:line="147" w:lineRule="exact"/>
              <w:rPr>
                <w:sz w:val="20"/>
                <w:szCs w:val="20"/>
                <w:color w:val="auto"/>
              </w:rPr>
            </w:pPr>
            <w:r>
              <w:rPr>
                <w:rFonts w:ascii="Arial" w:cs="Arial" w:eastAsia="Arial" w:hAnsi="Arial"/>
                <w:sz w:val="13"/>
                <w:szCs w:val="13"/>
                <w:color w:val="auto"/>
              </w:rPr>
              <w:t>234,233</w:t>
            </w:r>
          </w:p>
        </w:tc>
        <w:tc>
          <w:tcPr>
            <w:tcW w:w="1420" w:type="dxa"/>
            <w:vAlign w:val="bottom"/>
            <w:shd w:val="clear" w:color="auto" w:fill="D8E7F3"/>
          </w:tcPr>
          <w:p>
            <w:pPr>
              <w:jc w:val="right"/>
              <w:ind w:right="317"/>
              <w:spacing w:after="0" w:line="147" w:lineRule="exact"/>
              <w:rPr>
                <w:sz w:val="20"/>
                <w:szCs w:val="20"/>
                <w:color w:val="auto"/>
              </w:rPr>
            </w:pPr>
            <w:r>
              <w:rPr>
                <w:rFonts w:ascii="Arial" w:cs="Arial" w:eastAsia="Arial" w:hAnsi="Arial"/>
                <w:sz w:val="13"/>
                <w:szCs w:val="13"/>
                <w:color w:val="auto"/>
              </w:rPr>
              <w:t>105,227</w:t>
            </w:r>
          </w:p>
        </w:tc>
        <w:tc>
          <w:tcPr>
            <w:tcW w:w="1460" w:type="dxa"/>
            <w:vAlign w:val="bottom"/>
            <w:shd w:val="clear" w:color="auto" w:fill="D8E7F3"/>
          </w:tcPr>
          <w:p>
            <w:pPr>
              <w:jc w:val="right"/>
              <w:ind w:right="317"/>
              <w:spacing w:after="0" w:line="147" w:lineRule="exact"/>
              <w:rPr>
                <w:sz w:val="20"/>
                <w:szCs w:val="20"/>
                <w:color w:val="auto"/>
              </w:rPr>
            </w:pPr>
            <w:r>
              <w:rPr>
                <w:rFonts w:ascii="Arial" w:cs="Arial" w:eastAsia="Arial" w:hAnsi="Arial"/>
                <w:sz w:val="13"/>
                <w:szCs w:val="13"/>
                <w:color w:val="auto"/>
              </w:rPr>
              <w:t>957,680</w:t>
            </w:r>
          </w:p>
        </w:tc>
        <w:tc>
          <w:tcPr>
            <w:tcW w:w="880" w:type="dxa"/>
            <w:vAlign w:val="bottom"/>
            <w:shd w:val="clear" w:color="auto" w:fill="D8E7F3"/>
          </w:tcPr>
          <w:p>
            <w:pPr>
              <w:jc w:val="right"/>
              <w:ind w:right="17"/>
              <w:spacing w:after="0" w:line="147" w:lineRule="exact"/>
              <w:rPr>
                <w:sz w:val="20"/>
                <w:szCs w:val="20"/>
                <w:color w:val="auto"/>
              </w:rPr>
            </w:pPr>
            <w:r>
              <w:rPr>
                <w:rFonts w:ascii="Arial" w:cs="Arial" w:eastAsia="Arial" w:hAnsi="Arial"/>
                <w:sz w:val="13"/>
                <w:szCs w:val="13"/>
                <w:color w:val="auto"/>
              </w:rPr>
              <w:t>2,217,471</w:t>
            </w:r>
          </w:p>
        </w:tc>
        <w:tc>
          <w:tcPr>
            <w:tcW w:w="0" w:type="dxa"/>
            <w:vAlign w:val="bottom"/>
          </w:tcPr>
          <w:p>
            <w:pPr>
              <w:spacing w:after="0"/>
              <w:rPr>
                <w:sz w:val="1"/>
                <w:szCs w:val="1"/>
                <w:color w:val="auto"/>
              </w:rPr>
            </w:pPr>
          </w:p>
        </w:tc>
      </w:tr>
      <w:tr>
        <w:trPr>
          <w:trHeight w:val="139"/>
        </w:trPr>
        <w:tc>
          <w:tcPr>
            <w:tcW w:w="1040" w:type="dxa"/>
            <w:vAlign w:val="bottom"/>
            <w:tcBorders>
              <w:left w:val="single" w:sz="8" w:color="D8E7F3"/>
            </w:tcBorders>
            <w:shd w:val="clear" w:color="auto" w:fill="D8E7F3"/>
          </w:tcPr>
          <w:p>
            <w:pPr>
              <w:ind w:left="180"/>
              <w:spacing w:after="0" w:line="139" w:lineRule="exact"/>
              <w:rPr>
                <w:sz w:val="20"/>
                <w:szCs w:val="20"/>
                <w:color w:val="auto"/>
              </w:rPr>
            </w:pPr>
            <w:r>
              <w:rPr>
                <w:rFonts w:ascii="Arial" w:cs="Arial" w:eastAsia="Arial" w:hAnsi="Arial"/>
                <w:sz w:val="13"/>
                <w:szCs w:val="13"/>
                <w:color w:val="auto"/>
              </w:rPr>
              <w:t>Vortherms</w:t>
            </w:r>
          </w:p>
        </w:tc>
        <w:tc>
          <w:tcPr>
            <w:tcW w:w="44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66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1440" w:type="dxa"/>
            <w:vAlign w:val="bottom"/>
            <w:shd w:val="clear" w:color="auto" w:fill="D8E7F3"/>
          </w:tcPr>
          <w:p>
            <w:pPr>
              <w:spacing w:after="0"/>
              <w:rPr>
                <w:sz w:val="12"/>
                <w:szCs w:val="12"/>
                <w:color w:val="auto"/>
              </w:rPr>
            </w:pPr>
          </w:p>
        </w:tc>
        <w:tc>
          <w:tcPr>
            <w:tcW w:w="1420" w:type="dxa"/>
            <w:vAlign w:val="bottom"/>
            <w:shd w:val="clear" w:color="auto" w:fill="D8E7F3"/>
          </w:tcPr>
          <w:p>
            <w:pPr>
              <w:spacing w:after="0"/>
              <w:rPr>
                <w:sz w:val="12"/>
                <w:szCs w:val="12"/>
                <w:color w:val="auto"/>
              </w:rPr>
            </w:pPr>
          </w:p>
        </w:tc>
        <w:tc>
          <w:tcPr>
            <w:tcW w:w="146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-180975</wp:posOffset>
            </wp:positionV>
            <wp:extent cx="6037580" cy="6350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7580" cy="635000"/>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3"/>
          <w:szCs w:val="13"/>
          <w:color w:val="auto"/>
        </w:rPr>
        <w:t>Former Senior</w:t>
      </w:r>
    </w:p>
    <w:p>
      <w:pPr>
        <w:ind w:left="300"/>
        <w:spacing w:after="0" w:line="230" w:lineRule="auto"/>
        <w:rPr>
          <w:sz w:val="20"/>
          <w:szCs w:val="20"/>
          <w:color w:val="auto"/>
        </w:rPr>
      </w:pPr>
      <w:r>
        <w:rPr>
          <w:rFonts w:ascii="Arial" w:cs="Arial" w:eastAsia="Arial" w:hAnsi="Arial"/>
          <w:sz w:val="13"/>
          <w:szCs w:val="13"/>
          <w:color w:val="auto"/>
        </w:rPr>
        <w:t>Vice</w:t>
      </w:r>
    </w:p>
    <w:p>
      <w:pPr>
        <w:ind w:left="300"/>
        <w:spacing w:after="0" w:line="229" w:lineRule="auto"/>
        <w:rPr>
          <w:sz w:val="20"/>
          <w:szCs w:val="20"/>
          <w:color w:val="auto"/>
        </w:rPr>
      </w:pPr>
      <w:r>
        <w:rPr>
          <w:rFonts w:ascii="Arial" w:cs="Arial" w:eastAsia="Arial" w:hAnsi="Arial"/>
          <w:sz w:val="13"/>
          <w:szCs w:val="13"/>
          <w:color w:val="auto"/>
        </w:rPr>
        <w:t>President,</w:t>
      </w:r>
    </w:p>
    <w:p>
      <w:pPr>
        <w:ind w:left="300"/>
        <w:spacing w:after="0" w:line="229" w:lineRule="auto"/>
        <w:rPr>
          <w:sz w:val="20"/>
          <w:szCs w:val="20"/>
          <w:color w:val="auto"/>
        </w:rPr>
      </w:pPr>
      <w:r>
        <w:rPr>
          <w:rFonts w:ascii="Arial" w:cs="Arial" w:eastAsia="Arial" w:hAnsi="Arial"/>
          <w:sz w:val="13"/>
          <w:szCs w:val="13"/>
          <w:color w:val="auto"/>
        </w:rPr>
        <w:t>Energy</w:t>
      </w:r>
    </w:p>
    <w:p>
      <w:pPr>
        <w:ind w:left="300"/>
        <w:spacing w:after="0"/>
        <w:rPr>
          <w:sz w:val="20"/>
          <w:szCs w:val="20"/>
          <w:color w:val="auto"/>
        </w:rPr>
      </w:pPr>
      <w:r>
        <w:rPr>
          <w:rFonts w:ascii="Arial" w:cs="Arial" w:eastAsia="Arial" w:hAnsi="Arial"/>
          <w:sz w:val="13"/>
          <w:szCs w:val="13"/>
          <w:color w:val="auto"/>
        </w:rPr>
        <w:t>Services</w:t>
      </w:r>
    </w:p>
    <w:p>
      <w:pPr>
        <w:spacing w:after="0" w:line="209"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61" w:name="page62"/>
    <w:bookmarkEnd w:id="6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6" w:lineRule="exact"/>
        <w:rPr>
          <w:sz w:val="20"/>
          <w:szCs w:val="20"/>
          <w:color w:val="auto"/>
        </w:rPr>
      </w:pPr>
    </w:p>
    <w:p>
      <w:pPr>
        <w:jc w:val="both"/>
        <w:ind w:left="300" w:hanging="291"/>
        <w:spacing w:after="0" w:line="230" w:lineRule="auto"/>
        <w:tabs>
          <w:tab w:leader="none" w:pos="3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For 2018 and 2019, no discretionary bonus payments (discretionary payments above amounts under our short-term incentive plan) were made to our named executive officers. For 2020, amounts for Mr. Carroll include a cash bonus of $500,000 approved by the Compensation Committee in February 2020 in connection with his efforts during CenterPoint Energy’s leadership transition described in “Compensation Discussion and Analysis—Executive Summary—Leadership Transition” and a cash bonus of $881,475 approved by the Compensation Committee in February 2021 in recognition of his role in the development of CenterPoint Energy’s strategic initiatives and his increased responsibilities, among other key contributions, described in “Compensation Discussion and Analysis—2020 Executive Compensation Program— Short-Term Incentive Plan.” For 2020, amounts for Ms. Colvin include two quarterly cash payments approved by the Compensation Committee in respect to her additional responsibilities as the Company’s Interim Executive Vice President and Chief Financial Officer. For 2020, amounts for Mr. Knight include a sign-on cash bonus of $400,000 approved by the Compensation Committee in connection with Mr. Knight’s appointment as the Company’s Executive Vice President, Customer Transformation and Business Services effective August 17, 2020. For 2020, amounts for Mr. Somerhalder include a prorated cash incentive approved by the Compensation Committee of $364,384, paid at the end of his term as the Company’s Interim President and Chief Executive Officer. For 2019, amounts for Ms. Liu include a sign-on cash bonus of $100,000 approved by the Compensation Committee in connection with Ms. Liu’s appointment as the Company’s Executive Vice President and Chief Financial Officer effective April 22, 2019.</w:t>
      </w:r>
    </w:p>
    <w:p>
      <w:pPr>
        <w:spacing w:after="0" w:line="53" w:lineRule="exact"/>
        <w:rPr>
          <w:rFonts w:ascii="Arial" w:cs="Arial" w:eastAsia="Arial" w:hAnsi="Arial"/>
          <w:sz w:val="13"/>
          <w:szCs w:val="13"/>
          <w:color w:val="auto"/>
        </w:rPr>
      </w:pPr>
    </w:p>
    <w:p>
      <w:pPr>
        <w:jc w:val="both"/>
        <w:ind w:left="300" w:hanging="291"/>
        <w:spacing w:after="0" w:line="231" w:lineRule="auto"/>
        <w:tabs>
          <w:tab w:leader="none" w:pos="3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Reported amounts for our named executive officers represent the aggregate grant date fair value of awards computed in accordance with FASB ASC Topic 718 based on the probable achievement level of the underlying performance conditions as of the grant date. Assumptions, where applicable, are the same assumptions disclosed in “Stock Based Incentive Compensation Plans and Employee Benefit Plans” in Note 8 to our consolidated financial statements included in our annual report on Form 10-K for the year ended December 31, 2020. For purposes of the tables above and below, the effects of estimated forfeitures are excluded. Please also refer to the Grants of Plan-Based Awards for Fiscal Year 2020 table and the accompanying footnotes. For further information related to the vesting of Messrs. Prochazka’s and Vortherms’ awards in connection with their respective departures from the Company, see “Compensation Discussion and Analysis—Executive Summary—Our 2020 Executive Compensation Program.”</w:t>
      </w:r>
    </w:p>
    <w:p>
      <w:pPr>
        <w:spacing w:after="0" w:line="182" w:lineRule="exact"/>
        <w:rPr>
          <w:rFonts w:ascii="Arial" w:cs="Arial" w:eastAsia="Arial" w:hAnsi="Arial"/>
          <w:sz w:val="13"/>
          <w:szCs w:val="13"/>
          <w:color w:val="auto"/>
        </w:rPr>
      </w:pPr>
    </w:p>
    <w:p>
      <w:pPr>
        <w:ind w:left="300" w:right="120"/>
        <w:spacing w:after="0" w:line="237" w:lineRule="auto"/>
        <w:rPr>
          <w:rFonts w:ascii="Arial" w:cs="Arial" w:eastAsia="Arial" w:hAnsi="Arial"/>
          <w:sz w:val="13"/>
          <w:szCs w:val="13"/>
          <w:color w:val="auto"/>
        </w:rPr>
      </w:pPr>
      <w:r>
        <w:rPr>
          <w:rFonts w:ascii="Arial" w:cs="Arial" w:eastAsia="Arial" w:hAnsi="Arial"/>
          <w:sz w:val="13"/>
          <w:szCs w:val="13"/>
          <w:color w:val="auto"/>
        </w:rPr>
        <w:t>The maximum value at the grant date of stock awards for each of our named executive officers assuming the highest level of performance conditions is achieved is as follows: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800" w:type="dxa"/>
            <w:vAlign w:val="bottom"/>
            <w:shd w:val="clear" w:color="auto" w:fill="0061AF"/>
          </w:tcPr>
          <w:p>
            <w:pPr>
              <w:spacing w:after="0"/>
              <w:rPr>
                <w:sz w:val="13"/>
                <w:szCs w:val="13"/>
                <w:color w:val="auto"/>
              </w:rPr>
            </w:pPr>
          </w:p>
        </w:tc>
        <w:tc>
          <w:tcPr>
            <w:tcW w:w="3620" w:type="dxa"/>
            <w:vAlign w:val="bottom"/>
            <w:shd w:val="clear" w:color="auto" w:fill="0061AF"/>
          </w:tcPr>
          <w:p>
            <w:pPr>
              <w:spacing w:after="0"/>
              <w:rPr>
                <w:sz w:val="13"/>
                <w:szCs w:val="13"/>
                <w:color w:val="auto"/>
              </w:rPr>
            </w:pPr>
          </w:p>
        </w:tc>
        <w:tc>
          <w:tcPr>
            <w:tcW w:w="17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6"/>
              </w:rPr>
              <w:t>Maximum Value of</w:t>
            </w:r>
          </w:p>
        </w:tc>
      </w:tr>
      <w:tr>
        <w:trPr>
          <w:trHeight w:val="143"/>
        </w:trPr>
        <w:tc>
          <w:tcPr>
            <w:tcW w:w="3800" w:type="dxa"/>
            <w:vAlign w:val="bottom"/>
            <w:shd w:val="clear" w:color="auto" w:fill="0061AF"/>
          </w:tcPr>
          <w:p>
            <w:pPr>
              <w:spacing w:after="0"/>
              <w:rPr>
                <w:sz w:val="12"/>
                <w:szCs w:val="12"/>
                <w:color w:val="auto"/>
              </w:rPr>
            </w:pPr>
          </w:p>
        </w:tc>
        <w:tc>
          <w:tcPr>
            <w:tcW w:w="3620" w:type="dxa"/>
            <w:vAlign w:val="bottom"/>
            <w:shd w:val="clear" w:color="auto" w:fill="0061AF"/>
          </w:tcPr>
          <w:p>
            <w:pPr>
              <w:spacing w:after="0"/>
              <w:rPr>
                <w:sz w:val="12"/>
                <w:szCs w:val="12"/>
                <w:color w:val="auto"/>
              </w:rPr>
            </w:pPr>
          </w:p>
        </w:tc>
        <w:tc>
          <w:tcPr>
            <w:tcW w:w="17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Stock Awards</w:t>
            </w:r>
          </w:p>
        </w:tc>
      </w:tr>
      <w:tr>
        <w:trPr>
          <w:trHeight w:val="167"/>
        </w:trPr>
        <w:tc>
          <w:tcPr>
            <w:tcW w:w="380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3620" w:type="dxa"/>
            <w:vAlign w:val="bottom"/>
            <w:shd w:val="clear" w:color="auto" w:fill="0061AF"/>
          </w:tcPr>
          <w:p>
            <w:pPr>
              <w:jc w:val="right"/>
              <w:ind w:right="277"/>
              <w:spacing w:after="0"/>
              <w:rPr>
                <w:sz w:val="20"/>
                <w:szCs w:val="20"/>
                <w:color w:val="auto"/>
              </w:rPr>
            </w:pPr>
            <w:r>
              <w:rPr>
                <w:rFonts w:ascii="Arial" w:cs="Arial" w:eastAsia="Arial" w:hAnsi="Arial"/>
                <w:sz w:val="13"/>
                <w:szCs w:val="13"/>
                <w:b w:val="1"/>
                <w:bCs w:val="1"/>
                <w:color w:val="FFFFFF"/>
              </w:rPr>
              <w:t>Year</w:t>
            </w:r>
          </w:p>
        </w:tc>
        <w:tc>
          <w:tcPr>
            <w:tcW w:w="17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87"/>
              </w:rPr>
              <w:t>($)</w:t>
            </w:r>
          </w:p>
        </w:tc>
      </w:tr>
      <w:tr>
        <w:trPr>
          <w:trHeight w:val="143"/>
        </w:trPr>
        <w:tc>
          <w:tcPr>
            <w:tcW w:w="3800" w:type="dxa"/>
            <w:vAlign w:val="bottom"/>
          </w:tcPr>
          <w:p>
            <w:pPr>
              <w:ind w:left="60"/>
              <w:spacing w:after="0" w:line="143" w:lineRule="exact"/>
              <w:rPr>
                <w:sz w:val="20"/>
                <w:szCs w:val="20"/>
                <w:color w:val="auto"/>
              </w:rPr>
            </w:pPr>
            <w:r>
              <w:rPr>
                <w:rFonts w:ascii="Arial" w:cs="Arial" w:eastAsia="Arial" w:hAnsi="Arial"/>
                <w:sz w:val="13"/>
                <w:szCs w:val="13"/>
                <w:color w:val="auto"/>
              </w:rPr>
              <w:t>Lesar</w:t>
            </w:r>
          </w:p>
        </w:tc>
        <w:tc>
          <w:tcPr>
            <w:tcW w:w="362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2020</w:t>
            </w:r>
          </w:p>
        </w:tc>
        <w:tc>
          <w:tcPr>
            <w:tcW w:w="172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12,934,005</w:t>
            </w:r>
          </w:p>
        </w:tc>
      </w:tr>
      <w:tr>
        <w:trPr>
          <w:trHeight w:val="143"/>
        </w:trPr>
        <w:tc>
          <w:tcPr>
            <w:tcW w:w="38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Wells</w:t>
            </w:r>
          </w:p>
        </w:tc>
        <w:tc>
          <w:tcPr>
            <w:tcW w:w="362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2020</w:t>
            </w:r>
          </w:p>
        </w:tc>
        <w:tc>
          <w:tcPr>
            <w:tcW w:w="172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3,762,517</w:t>
            </w:r>
          </w:p>
        </w:tc>
      </w:tr>
      <w:tr>
        <w:trPr>
          <w:trHeight w:val="147"/>
        </w:trPr>
        <w:tc>
          <w:tcPr>
            <w:tcW w:w="3800" w:type="dxa"/>
            <w:vAlign w:val="bottom"/>
          </w:tcPr>
          <w:p>
            <w:pPr>
              <w:ind w:left="60"/>
              <w:spacing w:after="0" w:line="147" w:lineRule="exact"/>
              <w:rPr>
                <w:sz w:val="20"/>
                <w:szCs w:val="20"/>
                <w:color w:val="auto"/>
              </w:rPr>
            </w:pPr>
            <w:r>
              <w:rPr>
                <w:rFonts w:ascii="Arial" w:cs="Arial" w:eastAsia="Arial" w:hAnsi="Arial"/>
                <w:sz w:val="13"/>
                <w:szCs w:val="13"/>
                <w:color w:val="auto"/>
              </w:rPr>
              <w:t>Carroll</w:t>
            </w:r>
          </w:p>
        </w:tc>
        <w:tc>
          <w:tcPr>
            <w:tcW w:w="3620" w:type="dxa"/>
            <w:vAlign w:val="bottom"/>
          </w:tcPr>
          <w:p>
            <w:pPr>
              <w:jc w:val="right"/>
              <w:ind w:right="237"/>
              <w:spacing w:after="0" w:line="147" w:lineRule="exact"/>
              <w:rPr>
                <w:sz w:val="20"/>
                <w:szCs w:val="20"/>
                <w:color w:val="auto"/>
              </w:rPr>
            </w:pPr>
            <w:r>
              <w:rPr>
                <w:rFonts w:ascii="Arial" w:cs="Arial" w:eastAsia="Arial" w:hAnsi="Arial"/>
                <w:sz w:val="13"/>
                <w:szCs w:val="13"/>
                <w:color w:val="auto"/>
              </w:rPr>
              <w:t>2020</w:t>
            </w:r>
          </w:p>
        </w:tc>
        <w:tc>
          <w:tcPr>
            <w:tcW w:w="1720" w:type="dxa"/>
            <w:vAlign w:val="bottom"/>
          </w:tcPr>
          <w:p>
            <w:pPr>
              <w:jc w:val="right"/>
              <w:ind w:right="457"/>
              <w:spacing w:after="0" w:line="147" w:lineRule="exact"/>
              <w:rPr>
                <w:sz w:val="20"/>
                <w:szCs w:val="20"/>
                <w:color w:val="auto"/>
              </w:rPr>
            </w:pPr>
            <w:r>
              <w:rPr>
                <w:rFonts w:ascii="Arial" w:cs="Arial" w:eastAsia="Arial" w:hAnsi="Arial"/>
                <w:sz w:val="13"/>
                <w:szCs w:val="13"/>
                <w:color w:val="auto"/>
              </w:rPr>
              <w:t>6,030,521</w:t>
            </w:r>
          </w:p>
        </w:tc>
      </w:tr>
      <w:tr>
        <w:trPr>
          <w:trHeight w:val="143"/>
        </w:trPr>
        <w:tc>
          <w:tcPr>
            <w:tcW w:w="3800" w:type="dxa"/>
            <w:vAlign w:val="bottom"/>
          </w:tcPr>
          <w:p>
            <w:pPr>
              <w:spacing w:after="0"/>
              <w:rPr>
                <w:sz w:val="12"/>
                <w:szCs w:val="12"/>
                <w:color w:val="auto"/>
              </w:rPr>
            </w:pPr>
          </w:p>
        </w:tc>
        <w:tc>
          <w:tcPr>
            <w:tcW w:w="362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2019</w:t>
            </w:r>
          </w:p>
        </w:tc>
        <w:tc>
          <w:tcPr>
            <w:tcW w:w="172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4,198,993</w:t>
            </w:r>
          </w:p>
        </w:tc>
      </w:tr>
      <w:tr>
        <w:trPr>
          <w:trHeight w:val="139"/>
        </w:trPr>
        <w:tc>
          <w:tcPr>
            <w:tcW w:w="3800" w:type="dxa"/>
            <w:vAlign w:val="bottom"/>
          </w:tcPr>
          <w:p>
            <w:pPr>
              <w:spacing w:after="0"/>
              <w:rPr>
                <w:sz w:val="12"/>
                <w:szCs w:val="12"/>
                <w:color w:val="auto"/>
              </w:rPr>
            </w:pPr>
          </w:p>
        </w:tc>
        <w:tc>
          <w:tcPr>
            <w:tcW w:w="3620" w:type="dxa"/>
            <w:vAlign w:val="bottom"/>
          </w:tcPr>
          <w:p>
            <w:pPr>
              <w:jc w:val="right"/>
              <w:ind w:right="237"/>
              <w:spacing w:after="0" w:line="139" w:lineRule="exact"/>
              <w:rPr>
                <w:sz w:val="20"/>
                <w:szCs w:val="20"/>
                <w:color w:val="auto"/>
              </w:rPr>
            </w:pPr>
            <w:r>
              <w:rPr>
                <w:rFonts w:ascii="Arial" w:cs="Arial" w:eastAsia="Arial" w:hAnsi="Arial"/>
                <w:sz w:val="13"/>
                <w:szCs w:val="13"/>
                <w:color w:val="auto"/>
              </w:rPr>
              <w:t>2018</w:t>
            </w:r>
          </w:p>
        </w:tc>
        <w:tc>
          <w:tcPr>
            <w:tcW w:w="1720" w:type="dxa"/>
            <w:vAlign w:val="bottom"/>
          </w:tcPr>
          <w:p>
            <w:pPr>
              <w:jc w:val="right"/>
              <w:ind w:right="457"/>
              <w:spacing w:after="0" w:line="139" w:lineRule="exact"/>
              <w:rPr>
                <w:sz w:val="20"/>
                <w:szCs w:val="20"/>
                <w:color w:val="auto"/>
              </w:rPr>
            </w:pPr>
            <w:r>
              <w:rPr>
                <w:rFonts w:ascii="Arial" w:cs="Arial" w:eastAsia="Arial" w:hAnsi="Arial"/>
                <w:sz w:val="13"/>
                <w:szCs w:val="13"/>
                <w:color w:val="auto"/>
              </w:rPr>
              <w:t>3,621,006</w:t>
            </w:r>
          </w:p>
        </w:tc>
      </w:tr>
      <w:tr>
        <w:trPr>
          <w:trHeight w:val="143"/>
        </w:trPr>
        <w:tc>
          <w:tcPr>
            <w:tcW w:w="38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Colvin</w:t>
            </w:r>
          </w:p>
        </w:tc>
        <w:tc>
          <w:tcPr>
            <w:tcW w:w="362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2020</w:t>
            </w:r>
          </w:p>
        </w:tc>
        <w:tc>
          <w:tcPr>
            <w:tcW w:w="172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855,988</w:t>
            </w:r>
          </w:p>
        </w:tc>
      </w:tr>
      <w:tr>
        <w:trPr>
          <w:trHeight w:val="147"/>
        </w:trPr>
        <w:tc>
          <w:tcPr>
            <w:tcW w:w="3800" w:type="dxa"/>
            <w:vAlign w:val="bottom"/>
          </w:tcPr>
          <w:p>
            <w:pPr>
              <w:ind w:left="60"/>
              <w:spacing w:after="0" w:line="147" w:lineRule="exact"/>
              <w:rPr>
                <w:sz w:val="20"/>
                <w:szCs w:val="20"/>
                <w:color w:val="auto"/>
              </w:rPr>
            </w:pPr>
            <w:r>
              <w:rPr>
                <w:rFonts w:ascii="Arial" w:cs="Arial" w:eastAsia="Arial" w:hAnsi="Arial"/>
                <w:sz w:val="13"/>
                <w:szCs w:val="13"/>
                <w:color w:val="auto"/>
              </w:rPr>
              <w:t>Doyle</w:t>
            </w:r>
          </w:p>
        </w:tc>
        <w:tc>
          <w:tcPr>
            <w:tcW w:w="3620" w:type="dxa"/>
            <w:vAlign w:val="bottom"/>
          </w:tcPr>
          <w:p>
            <w:pPr>
              <w:jc w:val="right"/>
              <w:ind w:right="237"/>
              <w:spacing w:after="0" w:line="147" w:lineRule="exact"/>
              <w:rPr>
                <w:sz w:val="20"/>
                <w:szCs w:val="20"/>
                <w:color w:val="auto"/>
              </w:rPr>
            </w:pPr>
            <w:r>
              <w:rPr>
                <w:rFonts w:ascii="Arial" w:cs="Arial" w:eastAsia="Arial" w:hAnsi="Arial"/>
                <w:sz w:val="13"/>
                <w:szCs w:val="13"/>
                <w:color w:val="auto"/>
              </w:rPr>
              <w:t>2020</w:t>
            </w:r>
          </w:p>
        </w:tc>
        <w:tc>
          <w:tcPr>
            <w:tcW w:w="1720" w:type="dxa"/>
            <w:vAlign w:val="bottom"/>
          </w:tcPr>
          <w:p>
            <w:pPr>
              <w:jc w:val="right"/>
              <w:ind w:right="457"/>
              <w:spacing w:after="0" w:line="147" w:lineRule="exact"/>
              <w:rPr>
                <w:sz w:val="20"/>
                <w:szCs w:val="20"/>
                <w:color w:val="auto"/>
              </w:rPr>
            </w:pPr>
            <w:r>
              <w:rPr>
                <w:rFonts w:ascii="Arial" w:cs="Arial" w:eastAsia="Arial" w:hAnsi="Arial"/>
                <w:sz w:val="13"/>
                <w:szCs w:val="13"/>
                <w:color w:val="auto"/>
              </w:rPr>
              <w:t>1,444,981</w:t>
            </w:r>
          </w:p>
        </w:tc>
      </w:tr>
      <w:tr>
        <w:trPr>
          <w:trHeight w:val="139"/>
        </w:trPr>
        <w:tc>
          <w:tcPr>
            <w:tcW w:w="3800" w:type="dxa"/>
            <w:vAlign w:val="bottom"/>
          </w:tcPr>
          <w:p>
            <w:pPr>
              <w:spacing w:after="0"/>
              <w:rPr>
                <w:sz w:val="12"/>
                <w:szCs w:val="12"/>
                <w:color w:val="auto"/>
              </w:rPr>
            </w:pPr>
          </w:p>
        </w:tc>
        <w:tc>
          <w:tcPr>
            <w:tcW w:w="3620" w:type="dxa"/>
            <w:vAlign w:val="bottom"/>
          </w:tcPr>
          <w:p>
            <w:pPr>
              <w:jc w:val="right"/>
              <w:ind w:right="237"/>
              <w:spacing w:after="0" w:line="139" w:lineRule="exact"/>
              <w:rPr>
                <w:sz w:val="20"/>
                <w:szCs w:val="20"/>
                <w:color w:val="auto"/>
              </w:rPr>
            </w:pPr>
            <w:r>
              <w:rPr>
                <w:rFonts w:ascii="Arial" w:cs="Arial" w:eastAsia="Arial" w:hAnsi="Arial"/>
                <w:sz w:val="13"/>
                <w:szCs w:val="13"/>
                <w:color w:val="auto"/>
              </w:rPr>
              <w:t>2019</w:t>
            </w:r>
          </w:p>
        </w:tc>
        <w:tc>
          <w:tcPr>
            <w:tcW w:w="1720" w:type="dxa"/>
            <w:vAlign w:val="bottom"/>
          </w:tcPr>
          <w:p>
            <w:pPr>
              <w:jc w:val="right"/>
              <w:ind w:right="457"/>
              <w:spacing w:after="0" w:line="139" w:lineRule="exact"/>
              <w:rPr>
                <w:sz w:val="20"/>
                <w:szCs w:val="20"/>
                <w:color w:val="auto"/>
              </w:rPr>
            </w:pPr>
            <w:r>
              <w:rPr>
                <w:rFonts w:ascii="Arial" w:cs="Arial" w:eastAsia="Arial" w:hAnsi="Arial"/>
                <w:sz w:val="13"/>
                <w:szCs w:val="13"/>
                <w:color w:val="auto"/>
              </w:rPr>
              <w:t>1,147,467</w:t>
            </w:r>
          </w:p>
        </w:tc>
      </w:tr>
      <w:tr>
        <w:trPr>
          <w:trHeight w:val="143"/>
        </w:trPr>
        <w:tc>
          <w:tcPr>
            <w:tcW w:w="38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Knight</w:t>
            </w:r>
          </w:p>
        </w:tc>
        <w:tc>
          <w:tcPr>
            <w:tcW w:w="362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2020</w:t>
            </w:r>
          </w:p>
        </w:tc>
        <w:tc>
          <w:tcPr>
            <w:tcW w:w="172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1,619,208</w:t>
            </w:r>
          </w:p>
        </w:tc>
      </w:tr>
      <w:tr>
        <w:trPr>
          <w:trHeight w:val="147"/>
        </w:trPr>
        <w:tc>
          <w:tcPr>
            <w:tcW w:w="3800" w:type="dxa"/>
            <w:vAlign w:val="bottom"/>
          </w:tcPr>
          <w:p>
            <w:pPr>
              <w:ind w:left="60"/>
              <w:spacing w:after="0" w:line="147" w:lineRule="exact"/>
              <w:rPr>
                <w:sz w:val="20"/>
                <w:szCs w:val="20"/>
                <w:color w:val="auto"/>
              </w:rPr>
            </w:pPr>
            <w:r>
              <w:rPr>
                <w:rFonts w:ascii="Arial" w:cs="Arial" w:eastAsia="Arial" w:hAnsi="Arial"/>
                <w:sz w:val="13"/>
                <w:szCs w:val="13"/>
                <w:color w:val="auto"/>
              </w:rPr>
              <w:t>Prochazka</w:t>
            </w:r>
          </w:p>
        </w:tc>
        <w:tc>
          <w:tcPr>
            <w:tcW w:w="3620" w:type="dxa"/>
            <w:vAlign w:val="bottom"/>
          </w:tcPr>
          <w:p>
            <w:pPr>
              <w:jc w:val="right"/>
              <w:ind w:right="237"/>
              <w:spacing w:after="0" w:line="147" w:lineRule="exact"/>
              <w:rPr>
                <w:sz w:val="20"/>
                <w:szCs w:val="20"/>
                <w:color w:val="auto"/>
              </w:rPr>
            </w:pPr>
            <w:r>
              <w:rPr>
                <w:rFonts w:ascii="Arial" w:cs="Arial" w:eastAsia="Arial" w:hAnsi="Arial"/>
                <w:sz w:val="13"/>
                <w:szCs w:val="13"/>
                <w:color w:val="auto"/>
              </w:rPr>
              <w:t>2020</w:t>
            </w:r>
          </w:p>
        </w:tc>
        <w:tc>
          <w:tcPr>
            <w:tcW w:w="1720" w:type="dxa"/>
            <w:vAlign w:val="bottom"/>
          </w:tcPr>
          <w:p>
            <w:pPr>
              <w:jc w:val="right"/>
              <w:ind w:right="457"/>
              <w:spacing w:after="0" w:line="147" w:lineRule="exact"/>
              <w:rPr>
                <w:sz w:val="20"/>
                <w:szCs w:val="20"/>
                <w:color w:val="auto"/>
              </w:rPr>
            </w:pPr>
            <w:r>
              <w:rPr>
                <w:rFonts w:ascii="Arial" w:cs="Arial" w:eastAsia="Arial" w:hAnsi="Arial"/>
                <w:sz w:val="13"/>
                <w:szCs w:val="13"/>
                <w:color w:val="auto"/>
              </w:rPr>
              <w:t>—</w:t>
            </w:r>
          </w:p>
        </w:tc>
      </w:tr>
      <w:tr>
        <w:trPr>
          <w:trHeight w:val="143"/>
        </w:trPr>
        <w:tc>
          <w:tcPr>
            <w:tcW w:w="3800" w:type="dxa"/>
            <w:vAlign w:val="bottom"/>
          </w:tcPr>
          <w:p>
            <w:pPr>
              <w:spacing w:after="0"/>
              <w:rPr>
                <w:sz w:val="12"/>
                <w:szCs w:val="12"/>
                <w:color w:val="auto"/>
              </w:rPr>
            </w:pPr>
          </w:p>
        </w:tc>
        <w:tc>
          <w:tcPr>
            <w:tcW w:w="362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2019</w:t>
            </w:r>
          </w:p>
        </w:tc>
        <w:tc>
          <w:tcPr>
            <w:tcW w:w="172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10,120,935</w:t>
            </w:r>
          </w:p>
        </w:tc>
      </w:tr>
      <w:tr>
        <w:trPr>
          <w:trHeight w:val="139"/>
        </w:trPr>
        <w:tc>
          <w:tcPr>
            <w:tcW w:w="3800" w:type="dxa"/>
            <w:vAlign w:val="bottom"/>
          </w:tcPr>
          <w:p>
            <w:pPr>
              <w:spacing w:after="0"/>
              <w:rPr>
                <w:sz w:val="12"/>
                <w:szCs w:val="12"/>
                <w:color w:val="auto"/>
              </w:rPr>
            </w:pPr>
          </w:p>
        </w:tc>
        <w:tc>
          <w:tcPr>
            <w:tcW w:w="3620" w:type="dxa"/>
            <w:vAlign w:val="bottom"/>
          </w:tcPr>
          <w:p>
            <w:pPr>
              <w:jc w:val="right"/>
              <w:ind w:right="237"/>
              <w:spacing w:after="0" w:line="139" w:lineRule="exact"/>
              <w:rPr>
                <w:sz w:val="20"/>
                <w:szCs w:val="20"/>
                <w:color w:val="auto"/>
              </w:rPr>
            </w:pPr>
            <w:r>
              <w:rPr>
                <w:rFonts w:ascii="Arial" w:cs="Arial" w:eastAsia="Arial" w:hAnsi="Arial"/>
                <w:sz w:val="13"/>
                <w:szCs w:val="13"/>
                <w:color w:val="auto"/>
              </w:rPr>
              <w:t>2018</w:t>
            </w:r>
          </w:p>
        </w:tc>
        <w:tc>
          <w:tcPr>
            <w:tcW w:w="1720" w:type="dxa"/>
            <w:vAlign w:val="bottom"/>
          </w:tcPr>
          <w:p>
            <w:pPr>
              <w:jc w:val="right"/>
              <w:ind w:right="457"/>
              <w:spacing w:after="0" w:line="139" w:lineRule="exact"/>
              <w:rPr>
                <w:sz w:val="20"/>
                <w:szCs w:val="20"/>
                <w:color w:val="auto"/>
              </w:rPr>
            </w:pPr>
            <w:r>
              <w:rPr>
                <w:rFonts w:ascii="Arial" w:cs="Arial" w:eastAsia="Arial" w:hAnsi="Arial"/>
                <w:sz w:val="13"/>
                <w:szCs w:val="13"/>
                <w:color w:val="auto"/>
              </w:rPr>
              <w:t>9,317,677</w:t>
            </w:r>
          </w:p>
        </w:tc>
      </w:tr>
      <w:tr>
        <w:trPr>
          <w:trHeight w:val="143"/>
        </w:trPr>
        <w:tc>
          <w:tcPr>
            <w:tcW w:w="38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Somerhalder</w:t>
            </w:r>
          </w:p>
        </w:tc>
        <w:tc>
          <w:tcPr>
            <w:tcW w:w="362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2020</w:t>
            </w:r>
          </w:p>
        </w:tc>
        <w:tc>
          <w:tcPr>
            <w:tcW w:w="172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2,272,619</w:t>
            </w:r>
          </w:p>
        </w:tc>
      </w:tr>
      <w:tr>
        <w:trPr>
          <w:trHeight w:val="147"/>
        </w:trPr>
        <w:tc>
          <w:tcPr>
            <w:tcW w:w="3800" w:type="dxa"/>
            <w:vAlign w:val="bottom"/>
          </w:tcPr>
          <w:p>
            <w:pPr>
              <w:ind w:left="60"/>
              <w:spacing w:after="0" w:line="147" w:lineRule="exact"/>
              <w:rPr>
                <w:sz w:val="20"/>
                <w:szCs w:val="20"/>
                <w:color w:val="auto"/>
              </w:rPr>
            </w:pPr>
            <w:r>
              <w:rPr>
                <w:rFonts w:ascii="Arial" w:cs="Arial" w:eastAsia="Arial" w:hAnsi="Arial"/>
                <w:sz w:val="11"/>
                <w:szCs w:val="11"/>
                <w:color w:val="auto"/>
              </w:rPr>
              <w:t>Liu</w:t>
            </w:r>
            <w:r>
              <w:rPr>
                <w:rFonts w:ascii="Arial" w:cs="Arial" w:eastAsia="Arial" w:hAnsi="Arial"/>
                <w:sz w:val="17"/>
                <w:szCs w:val="17"/>
                <w:color w:val="auto"/>
                <w:vertAlign w:val="superscript"/>
              </w:rPr>
              <w:t>(a)</w:t>
            </w:r>
          </w:p>
        </w:tc>
        <w:tc>
          <w:tcPr>
            <w:tcW w:w="3620" w:type="dxa"/>
            <w:vAlign w:val="bottom"/>
          </w:tcPr>
          <w:p>
            <w:pPr>
              <w:jc w:val="right"/>
              <w:ind w:right="237"/>
              <w:spacing w:after="0" w:line="147" w:lineRule="exact"/>
              <w:rPr>
                <w:sz w:val="20"/>
                <w:szCs w:val="20"/>
                <w:color w:val="auto"/>
              </w:rPr>
            </w:pPr>
            <w:r>
              <w:rPr>
                <w:rFonts w:ascii="Arial" w:cs="Arial" w:eastAsia="Arial" w:hAnsi="Arial"/>
                <w:sz w:val="13"/>
                <w:szCs w:val="13"/>
                <w:color w:val="auto"/>
              </w:rPr>
              <w:t>2020</w:t>
            </w:r>
          </w:p>
        </w:tc>
        <w:tc>
          <w:tcPr>
            <w:tcW w:w="1720" w:type="dxa"/>
            <w:vAlign w:val="bottom"/>
          </w:tcPr>
          <w:p>
            <w:pPr>
              <w:jc w:val="right"/>
              <w:ind w:right="457"/>
              <w:spacing w:after="0" w:line="147" w:lineRule="exact"/>
              <w:rPr>
                <w:sz w:val="20"/>
                <w:szCs w:val="20"/>
                <w:color w:val="auto"/>
              </w:rPr>
            </w:pPr>
            <w:r>
              <w:rPr>
                <w:rFonts w:ascii="Arial" w:cs="Arial" w:eastAsia="Arial" w:hAnsi="Arial"/>
                <w:sz w:val="13"/>
                <w:szCs w:val="13"/>
                <w:color w:val="auto"/>
              </w:rPr>
              <w:t>2,371,458</w:t>
            </w:r>
          </w:p>
        </w:tc>
      </w:tr>
      <w:tr>
        <w:trPr>
          <w:trHeight w:val="139"/>
        </w:trPr>
        <w:tc>
          <w:tcPr>
            <w:tcW w:w="3800" w:type="dxa"/>
            <w:vAlign w:val="bottom"/>
          </w:tcPr>
          <w:p>
            <w:pPr>
              <w:spacing w:after="0"/>
              <w:rPr>
                <w:sz w:val="12"/>
                <w:szCs w:val="12"/>
                <w:color w:val="auto"/>
              </w:rPr>
            </w:pPr>
          </w:p>
        </w:tc>
        <w:tc>
          <w:tcPr>
            <w:tcW w:w="3620" w:type="dxa"/>
            <w:vAlign w:val="bottom"/>
          </w:tcPr>
          <w:p>
            <w:pPr>
              <w:jc w:val="right"/>
              <w:ind w:right="237"/>
              <w:spacing w:after="0" w:line="139" w:lineRule="exact"/>
              <w:rPr>
                <w:sz w:val="20"/>
                <w:szCs w:val="20"/>
                <w:color w:val="auto"/>
              </w:rPr>
            </w:pPr>
            <w:r>
              <w:rPr>
                <w:rFonts w:ascii="Arial" w:cs="Arial" w:eastAsia="Arial" w:hAnsi="Arial"/>
                <w:sz w:val="13"/>
                <w:szCs w:val="13"/>
                <w:color w:val="auto"/>
              </w:rPr>
              <w:t>2019</w:t>
            </w:r>
          </w:p>
        </w:tc>
        <w:tc>
          <w:tcPr>
            <w:tcW w:w="1720" w:type="dxa"/>
            <w:vAlign w:val="bottom"/>
          </w:tcPr>
          <w:p>
            <w:pPr>
              <w:jc w:val="right"/>
              <w:ind w:right="457"/>
              <w:spacing w:after="0" w:line="139" w:lineRule="exact"/>
              <w:rPr>
                <w:sz w:val="20"/>
                <w:szCs w:val="20"/>
                <w:color w:val="auto"/>
              </w:rPr>
            </w:pPr>
            <w:r>
              <w:rPr>
                <w:rFonts w:ascii="Arial" w:cs="Arial" w:eastAsia="Arial" w:hAnsi="Arial"/>
                <w:sz w:val="13"/>
                <w:szCs w:val="13"/>
                <w:color w:val="auto"/>
              </w:rPr>
              <w:t>2,496,952</w:t>
            </w:r>
          </w:p>
        </w:tc>
      </w:tr>
      <w:tr>
        <w:trPr>
          <w:trHeight w:val="143"/>
        </w:trPr>
        <w:tc>
          <w:tcPr>
            <w:tcW w:w="38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Vortherms</w:t>
            </w:r>
          </w:p>
        </w:tc>
        <w:tc>
          <w:tcPr>
            <w:tcW w:w="362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2020</w:t>
            </w:r>
          </w:p>
        </w:tc>
        <w:tc>
          <w:tcPr>
            <w:tcW w:w="172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951,956</w:t>
            </w:r>
          </w:p>
        </w:tc>
      </w:tr>
    </w:tbl>
    <w:p>
      <w:pPr>
        <w:spacing w:after="0" w:line="11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 Ms. Liu’s stock awards granted in 2019 and 2020 were forfeited upon her departure from the Company.</w:t>
      </w:r>
    </w:p>
    <w:p>
      <w:pPr>
        <w:spacing w:after="0" w:line="100" w:lineRule="exact"/>
        <w:rPr>
          <w:sz w:val="20"/>
          <w:szCs w:val="20"/>
          <w:color w:val="auto"/>
        </w:rPr>
      </w:pPr>
    </w:p>
    <w:p>
      <w:pPr>
        <w:ind w:left="300" w:hanging="291"/>
        <w:spacing w:after="0"/>
        <w:tabs>
          <w:tab w:leader="none" w:pos="3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CenterPoint Energy has not granted stock options since 2004.</w:t>
      </w:r>
    </w:p>
    <w:p>
      <w:pPr>
        <w:spacing w:after="0" w:line="52" w:lineRule="exact"/>
        <w:rPr>
          <w:rFonts w:ascii="Arial" w:cs="Arial" w:eastAsia="Arial" w:hAnsi="Arial"/>
          <w:sz w:val="13"/>
          <w:szCs w:val="13"/>
          <w:color w:val="auto"/>
        </w:rPr>
      </w:pPr>
    </w:p>
    <w:p>
      <w:pPr>
        <w:jc w:val="both"/>
        <w:ind w:left="300" w:hanging="291"/>
        <w:spacing w:after="0" w:line="231" w:lineRule="auto"/>
        <w:tabs>
          <w:tab w:leader="none" w:pos="3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Non-Equity Incentive Plan Compensation represents short-term incentive awards earned with respect to performance in the designated year and paid in the following year. For more information on the 2020 short-term incentive awards, refer to the Grants of Plan-Based Awards for Fiscal Year 2020 table and the accompanying footnotes. Under the terms of our short-term incentive plan, an individual age 55 or older with at least five years of service satisfies certain vesting provisions under the plan. If the individual terminates employment during the plan year, he or she is eligible for a pro rata payment at the target level of achievement. Mr. Vortherms satisfied these vesting provisions under the plan, and the amount shown for 2020 reflects payment under those provisions. Mr. Carroll was not eligible for short-term incentive awards. On February 19, 2021, the Compensation Committee determined that Mr. Carroll will be eligible to participate in the short-term incentive plan beginning with the 2021 plan year.</w:t>
      </w:r>
    </w:p>
    <w:p>
      <w:pPr>
        <w:spacing w:after="0" w:line="176" w:lineRule="exact"/>
        <w:rPr>
          <w:sz w:val="20"/>
          <w:szCs w:val="20"/>
          <w:color w:val="auto"/>
        </w:rPr>
      </w:pPr>
    </w:p>
    <w:p>
      <w:pPr>
        <w:ind w:left="400" w:hanging="391"/>
        <w:spacing w:after="0"/>
        <w:tabs>
          <w:tab w:leader="none" w:pos="400" w:val="left"/>
        </w:tabs>
        <w:numPr>
          <w:ilvl w:val="0"/>
          <w:numId w:val="64"/>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62" w:name="page63"/>
    <w:bookmarkEnd w:id="6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220" w:lineRule="exact"/>
        <w:rPr>
          <w:sz w:val="20"/>
          <w:szCs w:val="20"/>
          <w:color w:val="auto"/>
        </w:rPr>
      </w:pPr>
    </w:p>
    <w:p>
      <w:pPr>
        <w:ind w:left="300" w:hanging="291"/>
        <w:spacing w:after="0"/>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two components of the 2020 Change in Pension Value and Nonqualified Deferred Compensation Earnings are as follows: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640" w:type="dxa"/>
            <w:vAlign w:val="bottom"/>
            <w:shd w:val="clear" w:color="auto" w:fill="0061AF"/>
          </w:tcPr>
          <w:p>
            <w:pPr>
              <w:spacing w:after="0"/>
              <w:rPr>
                <w:sz w:val="13"/>
                <w:szCs w:val="13"/>
                <w:color w:val="auto"/>
              </w:rPr>
            </w:pPr>
          </w:p>
        </w:tc>
        <w:tc>
          <w:tcPr>
            <w:tcW w:w="3240" w:type="dxa"/>
            <w:vAlign w:val="bottom"/>
            <w:shd w:val="clear" w:color="auto" w:fill="0061AF"/>
          </w:tcPr>
          <w:p>
            <w:pPr>
              <w:spacing w:after="0"/>
              <w:rPr>
                <w:sz w:val="13"/>
                <w:szCs w:val="13"/>
                <w:color w:val="auto"/>
              </w:rPr>
            </w:pPr>
          </w:p>
        </w:tc>
        <w:tc>
          <w:tcPr>
            <w:tcW w:w="2280" w:type="dxa"/>
            <w:vAlign w:val="bottom"/>
            <w:shd w:val="clear" w:color="auto" w:fill="0061AF"/>
          </w:tcPr>
          <w:p>
            <w:pPr>
              <w:jc w:val="center"/>
              <w:ind w:left="17"/>
              <w:spacing w:after="0"/>
              <w:rPr>
                <w:sz w:val="20"/>
                <w:szCs w:val="20"/>
                <w:color w:val="auto"/>
              </w:rPr>
            </w:pPr>
            <w:r>
              <w:rPr>
                <w:rFonts w:ascii="Arial" w:cs="Arial" w:eastAsia="Arial" w:hAnsi="Arial"/>
                <w:sz w:val="13"/>
                <w:szCs w:val="13"/>
                <w:b w:val="1"/>
                <w:bCs w:val="1"/>
                <w:color w:val="FFFFFF"/>
                <w:w w:val="97"/>
              </w:rPr>
              <w:t>Above Market Earnings on</w:t>
            </w:r>
          </w:p>
        </w:tc>
        <w:tc>
          <w:tcPr>
            <w:tcW w:w="980" w:type="dxa"/>
            <w:vAlign w:val="bottom"/>
            <w:shd w:val="clear" w:color="auto" w:fill="0061AF"/>
          </w:tcPr>
          <w:p>
            <w:pPr>
              <w:spacing w:after="0"/>
              <w:rPr>
                <w:sz w:val="13"/>
                <w:szCs w:val="13"/>
                <w:color w:val="auto"/>
              </w:rPr>
            </w:pPr>
          </w:p>
        </w:tc>
      </w:tr>
      <w:tr>
        <w:trPr>
          <w:trHeight w:val="140"/>
        </w:trPr>
        <w:tc>
          <w:tcPr>
            <w:tcW w:w="2640" w:type="dxa"/>
            <w:vAlign w:val="bottom"/>
            <w:shd w:val="clear" w:color="auto" w:fill="0061AF"/>
          </w:tcPr>
          <w:p>
            <w:pPr>
              <w:spacing w:after="0"/>
              <w:rPr>
                <w:sz w:val="12"/>
                <w:szCs w:val="12"/>
                <w:color w:val="auto"/>
              </w:rPr>
            </w:pPr>
          </w:p>
        </w:tc>
        <w:tc>
          <w:tcPr>
            <w:tcW w:w="3240" w:type="dxa"/>
            <w:vAlign w:val="bottom"/>
            <w:shd w:val="clear" w:color="auto" w:fill="0061AF"/>
          </w:tcPr>
          <w:p>
            <w:pPr>
              <w:jc w:val="center"/>
              <w:ind w:left="1417"/>
              <w:spacing w:after="0" w:line="141" w:lineRule="exact"/>
              <w:rPr>
                <w:sz w:val="20"/>
                <w:szCs w:val="20"/>
                <w:color w:val="auto"/>
              </w:rPr>
            </w:pPr>
            <w:r>
              <w:rPr>
                <w:rFonts w:ascii="Arial" w:cs="Arial" w:eastAsia="Arial" w:hAnsi="Arial"/>
                <w:sz w:val="13"/>
                <w:szCs w:val="13"/>
                <w:b w:val="1"/>
                <w:bCs w:val="1"/>
                <w:color w:val="FFFFFF"/>
                <w:w w:val="95"/>
              </w:rPr>
              <w:t>Change in</w:t>
            </w:r>
          </w:p>
        </w:tc>
        <w:tc>
          <w:tcPr>
            <w:tcW w:w="2280" w:type="dxa"/>
            <w:vAlign w:val="bottom"/>
            <w:shd w:val="clear" w:color="auto" w:fill="0061AF"/>
          </w:tcPr>
          <w:p>
            <w:pPr>
              <w:jc w:val="center"/>
              <w:ind w:left="17"/>
              <w:spacing w:after="0" w:line="141" w:lineRule="exact"/>
              <w:rPr>
                <w:sz w:val="20"/>
                <w:szCs w:val="20"/>
                <w:color w:val="auto"/>
              </w:rPr>
            </w:pPr>
            <w:r>
              <w:rPr>
                <w:rFonts w:ascii="Arial" w:cs="Arial" w:eastAsia="Arial" w:hAnsi="Arial"/>
                <w:sz w:val="13"/>
                <w:szCs w:val="13"/>
                <w:b w:val="1"/>
                <w:bCs w:val="1"/>
                <w:color w:val="FFFFFF"/>
                <w:w w:val="97"/>
              </w:rPr>
              <w:t>Nonqualified Deferred</w:t>
            </w:r>
          </w:p>
        </w:tc>
        <w:tc>
          <w:tcPr>
            <w:tcW w:w="980" w:type="dxa"/>
            <w:vAlign w:val="bottom"/>
            <w:shd w:val="clear" w:color="auto" w:fill="0061AF"/>
          </w:tcPr>
          <w:p>
            <w:pPr>
              <w:spacing w:after="0"/>
              <w:rPr>
                <w:sz w:val="12"/>
                <w:szCs w:val="12"/>
                <w:color w:val="auto"/>
              </w:rPr>
            </w:pPr>
          </w:p>
        </w:tc>
      </w:tr>
      <w:tr>
        <w:trPr>
          <w:trHeight w:val="145"/>
        </w:trPr>
        <w:tc>
          <w:tcPr>
            <w:tcW w:w="2640" w:type="dxa"/>
            <w:vAlign w:val="bottom"/>
            <w:shd w:val="clear" w:color="auto" w:fill="0061AF"/>
          </w:tcPr>
          <w:p>
            <w:pPr>
              <w:spacing w:after="0"/>
              <w:rPr>
                <w:sz w:val="12"/>
                <w:szCs w:val="12"/>
                <w:color w:val="auto"/>
              </w:rPr>
            </w:pPr>
          </w:p>
        </w:tc>
        <w:tc>
          <w:tcPr>
            <w:tcW w:w="3240" w:type="dxa"/>
            <w:vAlign w:val="bottom"/>
            <w:shd w:val="clear" w:color="auto" w:fill="0061AF"/>
          </w:tcPr>
          <w:p>
            <w:pPr>
              <w:jc w:val="center"/>
              <w:ind w:left="1417"/>
              <w:spacing w:after="0" w:line="145" w:lineRule="exact"/>
              <w:rPr>
                <w:sz w:val="20"/>
                <w:szCs w:val="20"/>
                <w:color w:val="auto"/>
              </w:rPr>
            </w:pPr>
            <w:r>
              <w:rPr>
                <w:rFonts w:ascii="Arial" w:cs="Arial" w:eastAsia="Arial" w:hAnsi="Arial"/>
                <w:sz w:val="10"/>
                <w:szCs w:val="10"/>
                <w:b w:val="1"/>
                <w:bCs w:val="1"/>
                <w:color w:val="FFFFFF"/>
              </w:rPr>
              <w:t>Pension Value</w:t>
            </w:r>
            <w:r>
              <w:rPr>
                <w:rFonts w:ascii="Arial" w:cs="Arial" w:eastAsia="Arial" w:hAnsi="Arial"/>
                <w:sz w:val="16"/>
                <w:szCs w:val="16"/>
                <w:b w:val="1"/>
                <w:bCs w:val="1"/>
                <w:color w:val="FFFFFF"/>
                <w:vertAlign w:val="superscript"/>
              </w:rPr>
              <w:t>(a)</w:t>
            </w:r>
          </w:p>
        </w:tc>
        <w:tc>
          <w:tcPr>
            <w:tcW w:w="228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(b)</w:t>
            </w:r>
          </w:p>
        </w:tc>
        <w:tc>
          <w:tcPr>
            <w:tcW w:w="980" w:type="dxa"/>
            <w:vAlign w:val="bottom"/>
            <w:shd w:val="clear" w:color="auto" w:fill="0061AF"/>
          </w:tcPr>
          <w:p>
            <w:pPr>
              <w:jc w:val="right"/>
              <w:ind w:right="157"/>
              <w:spacing w:after="0" w:line="146" w:lineRule="exact"/>
              <w:rPr>
                <w:sz w:val="20"/>
                <w:szCs w:val="20"/>
                <w:color w:val="auto"/>
              </w:rPr>
            </w:pPr>
            <w:r>
              <w:rPr>
                <w:rFonts w:ascii="Arial" w:cs="Arial" w:eastAsia="Arial" w:hAnsi="Arial"/>
                <w:sz w:val="13"/>
                <w:szCs w:val="13"/>
                <w:b w:val="1"/>
                <w:bCs w:val="1"/>
                <w:color w:val="FFFFFF"/>
              </w:rPr>
              <w:t>Total</w:t>
            </w:r>
          </w:p>
        </w:tc>
      </w:tr>
      <w:tr>
        <w:trPr>
          <w:trHeight w:val="167"/>
        </w:trPr>
        <w:tc>
          <w:tcPr>
            <w:tcW w:w="264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3240" w:type="dxa"/>
            <w:vAlign w:val="bottom"/>
            <w:shd w:val="clear" w:color="auto" w:fill="0061AF"/>
          </w:tcPr>
          <w:p>
            <w:pPr>
              <w:jc w:val="center"/>
              <w:ind w:left="1417"/>
              <w:spacing w:after="0"/>
              <w:rPr>
                <w:sz w:val="20"/>
                <w:szCs w:val="20"/>
                <w:color w:val="auto"/>
              </w:rPr>
            </w:pPr>
            <w:r>
              <w:rPr>
                <w:rFonts w:ascii="Arial" w:cs="Arial" w:eastAsia="Arial" w:hAnsi="Arial"/>
                <w:sz w:val="13"/>
                <w:szCs w:val="13"/>
                <w:b w:val="1"/>
                <w:bCs w:val="1"/>
                <w:color w:val="FFFFFF"/>
              </w:rPr>
              <w:t>($)</w:t>
            </w:r>
          </w:p>
        </w:tc>
        <w:tc>
          <w:tcPr>
            <w:tcW w:w="2280" w:type="dxa"/>
            <w:vAlign w:val="bottom"/>
            <w:shd w:val="clear" w:color="auto" w:fill="0061AF"/>
          </w:tcPr>
          <w:p>
            <w:pPr>
              <w:jc w:val="center"/>
              <w:ind w:left="17"/>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0061AF"/>
          </w:tcPr>
          <w:p>
            <w:pPr>
              <w:jc w:val="right"/>
              <w:ind w:right="237"/>
              <w:spacing w:after="0"/>
              <w:rPr>
                <w:sz w:val="20"/>
                <w:szCs w:val="20"/>
                <w:color w:val="auto"/>
              </w:rPr>
            </w:pPr>
            <w:r>
              <w:rPr>
                <w:rFonts w:ascii="Arial" w:cs="Arial" w:eastAsia="Arial" w:hAnsi="Arial"/>
                <w:sz w:val="13"/>
                <w:szCs w:val="13"/>
                <w:b w:val="1"/>
                <w:bCs w:val="1"/>
                <w:color w:val="FFFFFF"/>
              </w:rPr>
              <w:t>($)</w:t>
            </w:r>
          </w:p>
        </w:tc>
      </w:tr>
      <w:tr>
        <w:trPr>
          <w:trHeight w:val="143"/>
        </w:trPr>
        <w:tc>
          <w:tcPr>
            <w:tcW w:w="2640" w:type="dxa"/>
            <w:vAlign w:val="bottom"/>
          </w:tcPr>
          <w:p>
            <w:pPr>
              <w:ind w:left="60"/>
              <w:spacing w:after="0" w:line="143" w:lineRule="exact"/>
              <w:rPr>
                <w:sz w:val="20"/>
                <w:szCs w:val="20"/>
                <w:color w:val="auto"/>
              </w:rPr>
            </w:pPr>
            <w:r>
              <w:rPr>
                <w:rFonts w:ascii="Arial" w:cs="Arial" w:eastAsia="Arial" w:hAnsi="Arial"/>
                <w:sz w:val="13"/>
                <w:szCs w:val="13"/>
                <w:color w:val="auto"/>
              </w:rPr>
              <w:t>Lesar</w:t>
            </w:r>
          </w:p>
        </w:tc>
        <w:tc>
          <w:tcPr>
            <w:tcW w:w="3240" w:type="dxa"/>
            <w:vAlign w:val="bottom"/>
          </w:tcPr>
          <w:p>
            <w:pPr>
              <w:jc w:val="right"/>
              <w:ind w:right="497"/>
              <w:spacing w:after="0" w:line="143" w:lineRule="exact"/>
              <w:rPr>
                <w:sz w:val="20"/>
                <w:szCs w:val="20"/>
                <w:color w:val="auto"/>
              </w:rPr>
            </w:pPr>
            <w:r>
              <w:rPr>
                <w:rFonts w:ascii="Arial" w:cs="Arial" w:eastAsia="Arial" w:hAnsi="Arial"/>
                <w:sz w:val="13"/>
                <w:szCs w:val="13"/>
                <w:color w:val="auto"/>
              </w:rPr>
              <w:t>—</w:t>
            </w:r>
          </w:p>
        </w:tc>
        <w:tc>
          <w:tcPr>
            <w:tcW w:w="2280" w:type="dxa"/>
            <w:vAlign w:val="bottom"/>
          </w:tcPr>
          <w:p>
            <w:pPr>
              <w:jc w:val="right"/>
              <w:ind w:right="817"/>
              <w:spacing w:after="0" w:line="143"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r>
      <w:tr>
        <w:trPr>
          <w:trHeight w:val="143"/>
        </w:trPr>
        <w:tc>
          <w:tcPr>
            <w:tcW w:w="264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Wells</w:t>
            </w:r>
          </w:p>
        </w:tc>
        <w:tc>
          <w:tcPr>
            <w:tcW w:w="3240" w:type="dxa"/>
            <w:vAlign w:val="bottom"/>
            <w:shd w:val="clear" w:color="auto" w:fill="D8E7F3"/>
          </w:tcPr>
          <w:p>
            <w:pPr>
              <w:jc w:val="right"/>
              <w:ind w:right="497"/>
              <w:spacing w:after="0" w:line="143" w:lineRule="exact"/>
              <w:rPr>
                <w:sz w:val="20"/>
                <w:szCs w:val="20"/>
                <w:color w:val="auto"/>
              </w:rPr>
            </w:pPr>
            <w:r>
              <w:rPr>
                <w:rFonts w:ascii="Arial" w:cs="Arial" w:eastAsia="Arial" w:hAnsi="Arial"/>
                <w:sz w:val="13"/>
                <w:szCs w:val="13"/>
                <w:color w:val="auto"/>
              </w:rPr>
              <w:t>—</w:t>
            </w:r>
          </w:p>
        </w:tc>
        <w:tc>
          <w:tcPr>
            <w:tcW w:w="2280" w:type="dxa"/>
            <w:vAlign w:val="bottom"/>
            <w:shd w:val="clear" w:color="auto" w:fill="D8E7F3"/>
          </w:tcPr>
          <w:p>
            <w:pPr>
              <w:jc w:val="right"/>
              <w:ind w:right="817"/>
              <w:spacing w:after="0" w:line="143" w:lineRule="exact"/>
              <w:rPr>
                <w:sz w:val="20"/>
                <w:szCs w:val="20"/>
                <w:color w:val="auto"/>
              </w:rPr>
            </w:pPr>
            <w:r>
              <w:rPr>
                <w:rFonts w:ascii="Arial" w:cs="Arial" w:eastAsia="Arial" w:hAnsi="Arial"/>
                <w:sz w:val="13"/>
                <w:szCs w:val="13"/>
                <w:color w:val="auto"/>
              </w:rPr>
              <w:t>—</w:t>
            </w:r>
          </w:p>
        </w:tc>
        <w:tc>
          <w:tcPr>
            <w:tcW w:w="9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r>
      <w:tr>
        <w:trPr>
          <w:trHeight w:val="143"/>
        </w:trPr>
        <w:tc>
          <w:tcPr>
            <w:tcW w:w="2640" w:type="dxa"/>
            <w:vAlign w:val="bottom"/>
          </w:tcPr>
          <w:p>
            <w:pPr>
              <w:ind w:left="60"/>
              <w:spacing w:after="0" w:line="143" w:lineRule="exact"/>
              <w:rPr>
                <w:sz w:val="20"/>
                <w:szCs w:val="20"/>
                <w:color w:val="auto"/>
              </w:rPr>
            </w:pPr>
            <w:r>
              <w:rPr>
                <w:rFonts w:ascii="Arial" w:cs="Arial" w:eastAsia="Arial" w:hAnsi="Arial"/>
                <w:sz w:val="13"/>
                <w:szCs w:val="13"/>
                <w:color w:val="auto"/>
              </w:rPr>
              <w:t>Carroll</w:t>
            </w:r>
          </w:p>
        </w:tc>
        <w:tc>
          <w:tcPr>
            <w:tcW w:w="3240" w:type="dxa"/>
            <w:vAlign w:val="bottom"/>
          </w:tcPr>
          <w:p>
            <w:pPr>
              <w:jc w:val="right"/>
              <w:ind w:right="497"/>
              <w:spacing w:after="0" w:line="143" w:lineRule="exact"/>
              <w:rPr>
                <w:sz w:val="20"/>
                <w:szCs w:val="20"/>
                <w:color w:val="auto"/>
              </w:rPr>
            </w:pPr>
            <w:r>
              <w:rPr>
                <w:rFonts w:ascii="Arial" w:cs="Arial" w:eastAsia="Arial" w:hAnsi="Arial"/>
                <w:sz w:val="13"/>
                <w:szCs w:val="13"/>
                <w:color w:val="auto"/>
              </w:rPr>
              <w:t>—</w:t>
            </w:r>
          </w:p>
        </w:tc>
        <w:tc>
          <w:tcPr>
            <w:tcW w:w="2280" w:type="dxa"/>
            <w:vAlign w:val="bottom"/>
          </w:tcPr>
          <w:p>
            <w:pPr>
              <w:jc w:val="right"/>
              <w:ind w:right="817"/>
              <w:spacing w:after="0" w:line="143" w:lineRule="exact"/>
              <w:rPr>
                <w:sz w:val="20"/>
                <w:szCs w:val="20"/>
                <w:color w:val="auto"/>
              </w:rPr>
            </w:pPr>
            <w:r>
              <w:rPr>
                <w:rFonts w:ascii="Arial" w:cs="Arial" w:eastAsia="Arial" w:hAnsi="Arial"/>
                <w:sz w:val="13"/>
                <w:szCs w:val="13"/>
                <w:color w:val="auto"/>
              </w:rPr>
              <w:t>64,658</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64,658</w:t>
            </w:r>
          </w:p>
        </w:tc>
      </w:tr>
      <w:tr>
        <w:trPr>
          <w:trHeight w:val="143"/>
        </w:trPr>
        <w:tc>
          <w:tcPr>
            <w:tcW w:w="264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Colvin</w:t>
            </w:r>
          </w:p>
        </w:tc>
        <w:tc>
          <w:tcPr>
            <w:tcW w:w="3240" w:type="dxa"/>
            <w:vAlign w:val="bottom"/>
            <w:shd w:val="clear" w:color="auto" w:fill="D8E7F3"/>
          </w:tcPr>
          <w:p>
            <w:pPr>
              <w:jc w:val="right"/>
              <w:ind w:right="497"/>
              <w:spacing w:after="0" w:line="143" w:lineRule="exact"/>
              <w:rPr>
                <w:sz w:val="20"/>
                <w:szCs w:val="20"/>
                <w:color w:val="auto"/>
              </w:rPr>
            </w:pPr>
            <w:r>
              <w:rPr>
                <w:rFonts w:ascii="Arial" w:cs="Arial" w:eastAsia="Arial" w:hAnsi="Arial"/>
                <w:sz w:val="13"/>
                <w:szCs w:val="13"/>
                <w:color w:val="auto"/>
              </w:rPr>
              <w:t>155,761</w:t>
            </w:r>
          </w:p>
        </w:tc>
        <w:tc>
          <w:tcPr>
            <w:tcW w:w="2280" w:type="dxa"/>
            <w:vAlign w:val="bottom"/>
            <w:shd w:val="clear" w:color="auto" w:fill="D8E7F3"/>
          </w:tcPr>
          <w:p>
            <w:pPr>
              <w:jc w:val="right"/>
              <w:ind w:right="817"/>
              <w:spacing w:after="0" w:line="143" w:lineRule="exact"/>
              <w:rPr>
                <w:sz w:val="20"/>
                <w:szCs w:val="20"/>
                <w:color w:val="auto"/>
              </w:rPr>
            </w:pPr>
            <w:r>
              <w:rPr>
                <w:rFonts w:ascii="Arial" w:cs="Arial" w:eastAsia="Arial" w:hAnsi="Arial"/>
                <w:sz w:val="13"/>
                <w:szCs w:val="13"/>
                <w:color w:val="auto"/>
              </w:rPr>
              <w:t>—</w:t>
            </w:r>
          </w:p>
        </w:tc>
        <w:tc>
          <w:tcPr>
            <w:tcW w:w="9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155,761</w:t>
            </w:r>
          </w:p>
        </w:tc>
      </w:tr>
      <w:tr>
        <w:trPr>
          <w:trHeight w:val="143"/>
        </w:trPr>
        <w:tc>
          <w:tcPr>
            <w:tcW w:w="2640" w:type="dxa"/>
            <w:vAlign w:val="bottom"/>
          </w:tcPr>
          <w:p>
            <w:pPr>
              <w:ind w:left="60"/>
              <w:spacing w:after="0" w:line="143" w:lineRule="exact"/>
              <w:rPr>
                <w:sz w:val="20"/>
                <w:szCs w:val="20"/>
                <w:color w:val="auto"/>
              </w:rPr>
            </w:pPr>
            <w:r>
              <w:rPr>
                <w:rFonts w:ascii="Arial" w:cs="Arial" w:eastAsia="Arial" w:hAnsi="Arial"/>
                <w:sz w:val="13"/>
                <w:szCs w:val="13"/>
                <w:color w:val="auto"/>
              </w:rPr>
              <w:t>Doyle</w:t>
            </w:r>
          </w:p>
        </w:tc>
        <w:tc>
          <w:tcPr>
            <w:tcW w:w="3240" w:type="dxa"/>
            <w:vAlign w:val="bottom"/>
          </w:tcPr>
          <w:p>
            <w:pPr>
              <w:jc w:val="right"/>
              <w:ind w:right="497"/>
              <w:spacing w:after="0" w:line="143" w:lineRule="exact"/>
              <w:rPr>
                <w:sz w:val="20"/>
                <w:szCs w:val="20"/>
                <w:color w:val="auto"/>
              </w:rPr>
            </w:pPr>
            <w:r>
              <w:rPr>
                <w:rFonts w:ascii="Arial" w:cs="Arial" w:eastAsia="Arial" w:hAnsi="Arial"/>
                <w:sz w:val="13"/>
                <w:szCs w:val="13"/>
                <w:color w:val="auto"/>
              </w:rPr>
              <w:t>104,018</w:t>
            </w:r>
          </w:p>
        </w:tc>
        <w:tc>
          <w:tcPr>
            <w:tcW w:w="2280" w:type="dxa"/>
            <w:vAlign w:val="bottom"/>
          </w:tcPr>
          <w:p>
            <w:pPr>
              <w:jc w:val="right"/>
              <w:ind w:right="817"/>
              <w:spacing w:after="0" w:line="143" w:lineRule="exact"/>
              <w:rPr>
                <w:sz w:val="20"/>
                <w:szCs w:val="20"/>
                <w:color w:val="auto"/>
              </w:rPr>
            </w:pPr>
            <w:r>
              <w:rPr>
                <w:rFonts w:ascii="Arial" w:cs="Arial" w:eastAsia="Arial" w:hAnsi="Arial"/>
                <w:sz w:val="13"/>
                <w:szCs w:val="13"/>
                <w:color w:val="auto"/>
              </w:rPr>
              <w:t>9,579</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113,597</w:t>
            </w:r>
          </w:p>
        </w:tc>
      </w:tr>
      <w:tr>
        <w:trPr>
          <w:trHeight w:val="143"/>
        </w:trPr>
        <w:tc>
          <w:tcPr>
            <w:tcW w:w="264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Knight</w:t>
            </w:r>
          </w:p>
        </w:tc>
        <w:tc>
          <w:tcPr>
            <w:tcW w:w="324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(982)</w:t>
            </w:r>
          </w:p>
        </w:tc>
        <w:tc>
          <w:tcPr>
            <w:tcW w:w="2280" w:type="dxa"/>
            <w:vAlign w:val="bottom"/>
            <w:shd w:val="clear" w:color="auto" w:fill="D8E7F3"/>
          </w:tcPr>
          <w:p>
            <w:pPr>
              <w:jc w:val="right"/>
              <w:ind w:right="817"/>
              <w:spacing w:after="0" w:line="143" w:lineRule="exact"/>
              <w:rPr>
                <w:sz w:val="20"/>
                <w:szCs w:val="20"/>
                <w:color w:val="auto"/>
              </w:rPr>
            </w:pPr>
            <w:r>
              <w:rPr>
                <w:rFonts w:ascii="Arial" w:cs="Arial" w:eastAsia="Arial" w:hAnsi="Arial"/>
                <w:sz w:val="13"/>
                <w:szCs w:val="13"/>
                <w:color w:val="auto"/>
              </w:rPr>
              <w:t>—</w:t>
            </w:r>
          </w:p>
        </w:tc>
        <w:tc>
          <w:tcPr>
            <w:tcW w:w="9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(982)</w:t>
            </w:r>
          </w:p>
        </w:tc>
      </w:tr>
      <w:tr>
        <w:trPr>
          <w:trHeight w:val="143"/>
        </w:trPr>
        <w:tc>
          <w:tcPr>
            <w:tcW w:w="2640" w:type="dxa"/>
            <w:vAlign w:val="bottom"/>
          </w:tcPr>
          <w:p>
            <w:pPr>
              <w:ind w:left="60"/>
              <w:spacing w:after="0" w:line="143" w:lineRule="exact"/>
              <w:rPr>
                <w:sz w:val="20"/>
                <w:szCs w:val="20"/>
                <w:color w:val="auto"/>
              </w:rPr>
            </w:pPr>
            <w:r>
              <w:rPr>
                <w:rFonts w:ascii="Arial" w:cs="Arial" w:eastAsia="Arial" w:hAnsi="Arial"/>
                <w:sz w:val="13"/>
                <w:szCs w:val="13"/>
                <w:color w:val="auto"/>
              </w:rPr>
              <w:t>Prochazka</w:t>
            </w:r>
          </w:p>
        </w:tc>
        <w:tc>
          <w:tcPr>
            <w:tcW w:w="324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(1,008,896)</w:t>
            </w:r>
          </w:p>
        </w:tc>
        <w:tc>
          <w:tcPr>
            <w:tcW w:w="2280" w:type="dxa"/>
            <w:vAlign w:val="bottom"/>
          </w:tcPr>
          <w:p>
            <w:pPr>
              <w:jc w:val="right"/>
              <w:ind w:right="817"/>
              <w:spacing w:after="0" w:line="143" w:lineRule="exact"/>
              <w:rPr>
                <w:sz w:val="20"/>
                <w:szCs w:val="20"/>
                <w:color w:val="auto"/>
              </w:rPr>
            </w:pPr>
            <w:r>
              <w:rPr>
                <w:rFonts w:ascii="Arial" w:cs="Arial" w:eastAsia="Arial" w:hAnsi="Arial"/>
                <w:sz w:val="13"/>
                <w:szCs w:val="13"/>
                <w:color w:val="auto"/>
              </w:rPr>
              <w:t>529</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(1,008,367)</w:t>
            </w:r>
          </w:p>
        </w:tc>
      </w:tr>
      <w:tr>
        <w:trPr>
          <w:trHeight w:val="143"/>
        </w:trPr>
        <w:tc>
          <w:tcPr>
            <w:tcW w:w="264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Somerhalder</w:t>
            </w:r>
          </w:p>
        </w:tc>
        <w:tc>
          <w:tcPr>
            <w:tcW w:w="3240" w:type="dxa"/>
            <w:vAlign w:val="bottom"/>
            <w:shd w:val="clear" w:color="auto" w:fill="D8E7F3"/>
          </w:tcPr>
          <w:p>
            <w:pPr>
              <w:jc w:val="right"/>
              <w:ind w:right="497"/>
              <w:spacing w:after="0" w:line="143" w:lineRule="exact"/>
              <w:rPr>
                <w:sz w:val="20"/>
                <w:szCs w:val="20"/>
                <w:color w:val="auto"/>
              </w:rPr>
            </w:pPr>
            <w:r>
              <w:rPr>
                <w:rFonts w:ascii="Arial" w:cs="Arial" w:eastAsia="Arial" w:hAnsi="Arial"/>
                <w:sz w:val="13"/>
                <w:szCs w:val="13"/>
                <w:color w:val="auto"/>
              </w:rPr>
              <w:t>—</w:t>
            </w:r>
          </w:p>
        </w:tc>
        <w:tc>
          <w:tcPr>
            <w:tcW w:w="2280" w:type="dxa"/>
            <w:vAlign w:val="bottom"/>
            <w:shd w:val="clear" w:color="auto" w:fill="D8E7F3"/>
          </w:tcPr>
          <w:p>
            <w:pPr>
              <w:jc w:val="right"/>
              <w:ind w:right="817"/>
              <w:spacing w:after="0" w:line="143" w:lineRule="exact"/>
              <w:rPr>
                <w:sz w:val="20"/>
                <w:szCs w:val="20"/>
                <w:color w:val="auto"/>
              </w:rPr>
            </w:pPr>
            <w:r>
              <w:rPr>
                <w:rFonts w:ascii="Arial" w:cs="Arial" w:eastAsia="Arial" w:hAnsi="Arial"/>
                <w:sz w:val="13"/>
                <w:szCs w:val="13"/>
                <w:color w:val="auto"/>
              </w:rPr>
              <w:t>8,929</w:t>
            </w:r>
          </w:p>
        </w:tc>
        <w:tc>
          <w:tcPr>
            <w:tcW w:w="9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8,929</w:t>
            </w:r>
          </w:p>
        </w:tc>
      </w:tr>
      <w:tr>
        <w:trPr>
          <w:trHeight w:val="143"/>
        </w:trPr>
        <w:tc>
          <w:tcPr>
            <w:tcW w:w="2640" w:type="dxa"/>
            <w:vAlign w:val="bottom"/>
          </w:tcPr>
          <w:p>
            <w:pPr>
              <w:ind w:left="60"/>
              <w:spacing w:after="0" w:line="143" w:lineRule="exact"/>
              <w:rPr>
                <w:sz w:val="20"/>
                <w:szCs w:val="20"/>
                <w:color w:val="auto"/>
              </w:rPr>
            </w:pPr>
            <w:r>
              <w:rPr>
                <w:rFonts w:ascii="Arial" w:cs="Arial" w:eastAsia="Arial" w:hAnsi="Arial"/>
                <w:sz w:val="13"/>
                <w:szCs w:val="13"/>
                <w:color w:val="auto"/>
              </w:rPr>
              <w:t>Liu</w:t>
            </w:r>
          </w:p>
        </w:tc>
        <w:tc>
          <w:tcPr>
            <w:tcW w:w="324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(19,318)</w:t>
            </w:r>
          </w:p>
        </w:tc>
        <w:tc>
          <w:tcPr>
            <w:tcW w:w="2280" w:type="dxa"/>
            <w:vAlign w:val="bottom"/>
          </w:tcPr>
          <w:p>
            <w:pPr>
              <w:jc w:val="right"/>
              <w:ind w:right="817"/>
              <w:spacing w:after="0" w:line="143"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(19,318)</w:t>
            </w:r>
          </w:p>
        </w:tc>
      </w:tr>
      <w:tr>
        <w:trPr>
          <w:trHeight w:val="143"/>
        </w:trPr>
        <w:tc>
          <w:tcPr>
            <w:tcW w:w="264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Vortherms</w:t>
            </w:r>
          </w:p>
        </w:tc>
        <w:tc>
          <w:tcPr>
            <w:tcW w:w="3240" w:type="dxa"/>
            <w:vAlign w:val="bottom"/>
            <w:shd w:val="clear" w:color="auto" w:fill="D8E7F3"/>
          </w:tcPr>
          <w:p>
            <w:pPr>
              <w:jc w:val="right"/>
              <w:ind w:right="497"/>
              <w:spacing w:after="0" w:line="143" w:lineRule="exact"/>
              <w:rPr>
                <w:sz w:val="20"/>
                <w:szCs w:val="20"/>
                <w:color w:val="auto"/>
              </w:rPr>
            </w:pPr>
            <w:r>
              <w:rPr>
                <w:rFonts w:ascii="Arial" w:cs="Arial" w:eastAsia="Arial" w:hAnsi="Arial"/>
                <w:sz w:val="13"/>
                <w:szCs w:val="13"/>
                <w:color w:val="auto"/>
              </w:rPr>
              <w:t>105,227</w:t>
            </w:r>
          </w:p>
        </w:tc>
        <w:tc>
          <w:tcPr>
            <w:tcW w:w="2280" w:type="dxa"/>
            <w:vAlign w:val="bottom"/>
            <w:shd w:val="clear" w:color="auto" w:fill="D8E7F3"/>
          </w:tcPr>
          <w:p>
            <w:pPr>
              <w:jc w:val="right"/>
              <w:ind w:right="817"/>
              <w:spacing w:after="0" w:line="143" w:lineRule="exact"/>
              <w:rPr>
                <w:sz w:val="20"/>
                <w:szCs w:val="20"/>
                <w:color w:val="auto"/>
              </w:rPr>
            </w:pPr>
            <w:r>
              <w:rPr>
                <w:rFonts w:ascii="Arial" w:cs="Arial" w:eastAsia="Arial" w:hAnsi="Arial"/>
                <w:sz w:val="13"/>
                <w:szCs w:val="13"/>
                <w:color w:val="auto"/>
              </w:rPr>
              <w:t>—</w:t>
            </w:r>
          </w:p>
        </w:tc>
        <w:tc>
          <w:tcPr>
            <w:tcW w:w="9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105,227</w:t>
            </w:r>
          </w:p>
        </w:tc>
      </w:tr>
    </w:tbl>
    <w:p>
      <w:pPr>
        <w:spacing w:after="0" w:line="111" w:lineRule="exact"/>
        <w:rPr>
          <w:sz w:val="20"/>
          <w:szCs w:val="20"/>
          <w:color w:val="auto"/>
        </w:rPr>
      </w:pPr>
    </w:p>
    <w:p>
      <w:pPr>
        <w:jc w:val="both"/>
        <w:ind w:left="480" w:right="100" w:hanging="186"/>
        <w:spacing w:after="0" w:line="254" w:lineRule="auto"/>
        <w:tabs>
          <w:tab w:leader="none" w:pos="480" w:val="left"/>
        </w:tabs>
        <w:numPr>
          <w:ilvl w:val="1"/>
          <w:numId w:val="66"/>
        </w:numPr>
        <w:rPr>
          <w:rFonts w:ascii="Arial" w:cs="Arial" w:eastAsia="Arial" w:hAnsi="Arial"/>
          <w:sz w:val="12"/>
          <w:szCs w:val="12"/>
          <w:color w:val="auto"/>
        </w:rPr>
      </w:pPr>
      <w:r>
        <w:rPr>
          <w:rFonts w:ascii="Arial" w:cs="Arial" w:eastAsia="Arial" w:hAnsi="Arial"/>
          <w:sz w:val="12"/>
          <w:szCs w:val="12"/>
          <w:color w:val="auto"/>
        </w:rPr>
        <w:t>The Change in Pension Value is the increase or decrease in the present value of accumulated benefits under our retirement plan and the related benefit restoration plans from December 31, 2019 to December 31, 2020. Benefits are assumed to commence as of the earliest age that an individual could retire without a reduction in benefits. The present value as of December 31, 2020 assumed a discount rate of 2.45% and lump sum conversion interest rate of 2.45% for benefits paid in all future years. The present value as of December 31, 2019 assumed a discount rate of 3.20% and lump sum conversion interest rate of 3.20% for benefits paid in all future years. Refer to the narrative accompanying the Pension Benefits table for a more detailed discussion of the present value calculation.</w:t>
      </w:r>
    </w:p>
    <w:p>
      <w:pPr>
        <w:spacing w:after="0" w:line="43" w:lineRule="exact"/>
        <w:rPr>
          <w:rFonts w:ascii="Arial" w:cs="Arial" w:eastAsia="Arial" w:hAnsi="Arial"/>
          <w:sz w:val="12"/>
          <w:szCs w:val="12"/>
          <w:color w:val="auto"/>
        </w:rPr>
      </w:pPr>
    </w:p>
    <w:p>
      <w:pPr>
        <w:ind w:left="480" w:hanging="186"/>
        <w:spacing w:after="0"/>
        <w:tabs>
          <w:tab w:leader="none" w:pos="4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Above Market Earnings consist of the amounts that exceed 120% of the applicable federal long-term rate at the time the interest rate was set.</w:t>
      </w:r>
    </w:p>
    <w:p>
      <w:pPr>
        <w:spacing w:after="0" w:line="52" w:lineRule="exact"/>
        <w:rPr>
          <w:rFonts w:ascii="Arial" w:cs="Arial" w:eastAsia="Arial" w:hAnsi="Arial"/>
          <w:sz w:val="13"/>
          <w:szCs w:val="13"/>
          <w:color w:val="auto"/>
        </w:rPr>
      </w:pPr>
    </w:p>
    <w:p>
      <w:pPr>
        <w:ind w:left="300" w:hanging="291"/>
        <w:spacing w:after="0"/>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following table sets forth the elements of All Other Compensation for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shd w:val="clear" w:color="auto" w:fill="0061AF"/>
          </w:tcPr>
          <w:p>
            <w:pPr>
              <w:spacing w:after="0"/>
              <w:rPr>
                <w:sz w:val="13"/>
                <w:szCs w:val="13"/>
                <w:color w:val="auto"/>
              </w:rPr>
            </w:pPr>
          </w:p>
        </w:tc>
        <w:tc>
          <w:tcPr>
            <w:tcW w:w="980" w:type="dxa"/>
            <w:vAlign w:val="bottom"/>
            <w:shd w:val="clear" w:color="auto" w:fill="0061AF"/>
          </w:tcPr>
          <w:p>
            <w:pPr>
              <w:spacing w:after="0"/>
              <w:rPr>
                <w:sz w:val="13"/>
                <w:szCs w:val="13"/>
                <w:color w:val="auto"/>
              </w:rPr>
            </w:pPr>
          </w:p>
        </w:tc>
        <w:tc>
          <w:tcPr>
            <w:tcW w:w="1480" w:type="dxa"/>
            <w:vAlign w:val="bottom"/>
            <w:shd w:val="clear" w:color="auto" w:fill="0061AF"/>
          </w:tcPr>
          <w:p>
            <w:pPr>
              <w:spacing w:after="0"/>
              <w:rPr>
                <w:sz w:val="13"/>
                <w:szCs w:val="13"/>
                <w:color w:val="auto"/>
              </w:rPr>
            </w:pPr>
          </w:p>
        </w:tc>
        <w:tc>
          <w:tcPr>
            <w:tcW w:w="11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8"/>
              </w:rPr>
              <w:t>Contributions</w:t>
            </w:r>
          </w:p>
        </w:tc>
        <w:tc>
          <w:tcPr>
            <w:tcW w:w="12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8"/>
              </w:rPr>
              <w:t>Contributions</w:t>
            </w:r>
          </w:p>
        </w:tc>
        <w:tc>
          <w:tcPr>
            <w:tcW w:w="1000" w:type="dxa"/>
            <w:vAlign w:val="bottom"/>
            <w:shd w:val="clear" w:color="auto" w:fill="0061AF"/>
          </w:tcPr>
          <w:p>
            <w:pPr>
              <w:spacing w:after="0"/>
              <w:rPr>
                <w:sz w:val="13"/>
                <w:szCs w:val="13"/>
                <w:color w:val="auto"/>
              </w:rPr>
            </w:pPr>
          </w:p>
        </w:tc>
        <w:tc>
          <w:tcPr>
            <w:tcW w:w="680" w:type="dxa"/>
            <w:vAlign w:val="bottom"/>
            <w:shd w:val="clear" w:color="auto" w:fill="0061AF"/>
          </w:tcPr>
          <w:p>
            <w:pPr>
              <w:spacing w:after="0"/>
              <w:rPr>
                <w:sz w:val="13"/>
                <w:szCs w:val="13"/>
                <w:color w:val="auto"/>
              </w:rPr>
            </w:pPr>
          </w:p>
        </w:tc>
        <w:tc>
          <w:tcPr>
            <w:tcW w:w="940" w:type="dxa"/>
            <w:vAlign w:val="bottom"/>
            <w:shd w:val="clear" w:color="auto" w:fill="0061AF"/>
          </w:tcPr>
          <w:p>
            <w:pPr>
              <w:spacing w:after="0"/>
              <w:rPr>
                <w:sz w:val="13"/>
                <w:szCs w:val="13"/>
                <w:color w:val="auto"/>
              </w:rPr>
            </w:pPr>
          </w:p>
        </w:tc>
        <w:tc>
          <w:tcPr>
            <w:tcW w:w="1400" w:type="dxa"/>
            <w:vAlign w:val="bottom"/>
            <w:shd w:val="clear" w:color="auto" w:fill="0061AF"/>
          </w:tcPr>
          <w:p>
            <w:pPr>
              <w:spacing w:after="0"/>
              <w:rPr>
                <w:sz w:val="13"/>
                <w:szCs w:val="13"/>
                <w:color w:val="auto"/>
              </w:rPr>
            </w:pPr>
          </w:p>
        </w:tc>
      </w:tr>
      <w:tr>
        <w:trPr>
          <w:trHeight w:val="143"/>
        </w:trPr>
        <w:tc>
          <w:tcPr>
            <w:tcW w:w="920" w:type="dxa"/>
            <w:vAlign w:val="bottom"/>
            <w:shd w:val="clear" w:color="auto" w:fill="0061AF"/>
          </w:tcPr>
          <w:p>
            <w:pPr>
              <w:spacing w:after="0"/>
              <w:rPr>
                <w:sz w:val="12"/>
                <w:szCs w:val="12"/>
                <w:color w:val="auto"/>
              </w:rPr>
            </w:pPr>
          </w:p>
        </w:tc>
        <w:tc>
          <w:tcPr>
            <w:tcW w:w="980" w:type="dxa"/>
            <w:vAlign w:val="bottom"/>
            <w:shd w:val="clear" w:color="auto" w:fill="0061AF"/>
          </w:tcPr>
          <w:p>
            <w:pPr>
              <w:spacing w:after="0"/>
              <w:rPr>
                <w:sz w:val="12"/>
                <w:szCs w:val="12"/>
                <w:color w:val="auto"/>
              </w:rPr>
            </w:pPr>
          </w:p>
        </w:tc>
        <w:tc>
          <w:tcPr>
            <w:tcW w:w="1480" w:type="dxa"/>
            <w:vAlign w:val="bottom"/>
            <w:shd w:val="clear" w:color="auto" w:fill="0061AF"/>
          </w:tcPr>
          <w:p>
            <w:pPr>
              <w:spacing w:after="0"/>
              <w:rPr>
                <w:sz w:val="12"/>
                <w:szCs w:val="12"/>
                <w:color w:val="auto"/>
              </w:rPr>
            </w:pPr>
          </w:p>
        </w:tc>
        <w:tc>
          <w:tcPr>
            <w:tcW w:w="11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to Vested and</w:t>
            </w:r>
          </w:p>
        </w:tc>
        <w:tc>
          <w:tcPr>
            <w:tcW w:w="12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to Vested and</w:t>
            </w:r>
          </w:p>
        </w:tc>
        <w:tc>
          <w:tcPr>
            <w:tcW w:w="100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940" w:type="dxa"/>
            <w:vAlign w:val="bottom"/>
            <w:shd w:val="clear" w:color="auto" w:fill="0061AF"/>
          </w:tcPr>
          <w:p>
            <w:pPr>
              <w:spacing w:after="0"/>
              <w:rPr>
                <w:sz w:val="12"/>
                <w:szCs w:val="12"/>
                <w:color w:val="auto"/>
              </w:rPr>
            </w:pPr>
          </w:p>
        </w:tc>
        <w:tc>
          <w:tcPr>
            <w:tcW w:w="1400" w:type="dxa"/>
            <w:vAlign w:val="bottom"/>
            <w:shd w:val="clear" w:color="auto" w:fill="0061AF"/>
          </w:tcPr>
          <w:p>
            <w:pPr>
              <w:spacing w:after="0"/>
              <w:rPr>
                <w:sz w:val="12"/>
                <w:szCs w:val="12"/>
                <w:color w:val="auto"/>
              </w:rPr>
            </w:pPr>
          </w:p>
        </w:tc>
      </w:tr>
      <w:tr>
        <w:trPr>
          <w:trHeight w:val="143"/>
        </w:trPr>
        <w:tc>
          <w:tcPr>
            <w:tcW w:w="920" w:type="dxa"/>
            <w:vAlign w:val="bottom"/>
            <w:shd w:val="clear" w:color="auto" w:fill="0061AF"/>
          </w:tcPr>
          <w:p>
            <w:pPr>
              <w:spacing w:after="0"/>
              <w:rPr>
                <w:sz w:val="12"/>
                <w:szCs w:val="12"/>
                <w:color w:val="auto"/>
              </w:rPr>
            </w:pPr>
          </w:p>
        </w:tc>
        <w:tc>
          <w:tcPr>
            <w:tcW w:w="980" w:type="dxa"/>
            <w:vAlign w:val="bottom"/>
            <w:shd w:val="clear" w:color="auto" w:fill="0061AF"/>
          </w:tcPr>
          <w:p>
            <w:pPr>
              <w:spacing w:after="0"/>
              <w:rPr>
                <w:sz w:val="12"/>
                <w:szCs w:val="12"/>
                <w:color w:val="auto"/>
              </w:rPr>
            </w:pPr>
          </w:p>
        </w:tc>
        <w:tc>
          <w:tcPr>
            <w:tcW w:w="1480" w:type="dxa"/>
            <w:vAlign w:val="bottom"/>
            <w:shd w:val="clear" w:color="auto" w:fill="0061AF"/>
          </w:tcPr>
          <w:p>
            <w:pPr>
              <w:spacing w:after="0"/>
              <w:rPr>
                <w:sz w:val="12"/>
                <w:szCs w:val="12"/>
                <w:color w:val="auto"/>
              </w:rPr>
            </w:pPr>
          </w:p>
        </w:tc>
        <w:tc>
          <w:tcPr>
            <w:tcW w:w="11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Unvested</w:t>
            </w:r>
          </w:p>
        </w:tc>
        <w:tc>
          <w:tcPr>
            <w:tcW w:w="12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9"/>
              </w:rPr>
              <w:t>Unvested</w:t>
            </w:r>
          </w:p>
        </w:tc>
        <w:tc>
          <w:tcPr>
            <w:tcW w:w="100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940" w:type="dxa"/>
            <w:vAlign w:val="bottom"/>
            <w:shd w:val="clear" w:color="auto" w:fill="0061AF"/>
          </w:tcPr>
          <w:p>
            <w:pPr>
              <w:spacing w:after="0"/>
              <w:rPr>
                <w:sz w:val="12"/>
                <w:szCs w:val="12"/>
                <w:color w:val="auto"/>
              </w:rPr>
            </w:pPr>
          </w:p>
        </w:tc>
        <w:tc>
          <w:tcPr>
            <w:tcW w:w="1400" w:type="dxa"/>
            <w:vAlign w:val="bottom"/>
            <w:shd w:val="clear" w:color="auto" w:fill="0061AF"/>
          </w:tcPr>
          <w:p>
            <w:pPr>
              <w:spacing w:after="0"/>
              <w:rPr>
                <w:sz w:val="12"/>
                <w:szCs w:val="12"/>
                <w:color w:val="auto"/>
              </w:rPr>
            </w:pPr>
          </w:p>
        </w:tc>
      </w:tr>
      <w:tr>
        <w:trPr>
          <w:trHeight w:val="143"/>
        </w:trPr>
        <w:tc>
          <w:tcPr>
            <w:tcW w:w="920" w:type="dxa"/>
            <w:vAlign w:val="bottom"/>
            <w:shd w:val="clear" w:color="auto" w:fill="0061AF"/>
          </w:tcPr>
          <w:p>
            <w:pPr>
              <w:spacing w:after="0"/>
              <w:rPr>
                <w:sz w:val="12"/>
                <w:szCs w:val="12"/>
                <w:color w:val="auto"/>
              </w:rPr>
            </w:pPr>
          </w:p>
        </w:tc>
        <w:tc>
          <w:tcPr>
            <w:tcW w:w="9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Perquisites</w:t>
            </w:r>
          </w:p>
        </w:tc>
        <w:tc>
          <w:tcPr>
            <w:tcW w:w="1480" w:type="dxa"/>
            <w:vAlign w:val="bottom"/>
            <w:shd w:val="clear" w:color="auto" w:fill="0061AF"/>
          </w:tcPr>
          <w:p>
            <w:pPr>
              <w:spacing w:after="0"/>
              <w:rPr>
                <w:sz w:val="12"/>
                <w:szCs w:val="12"/>
                <w:color w:val="auto"/>
              </w:rPr>
            </w:pPr>
          </w:p>
        </w:tc>
        <w:tc>
          <w:tcPr>
            <w:tcW w:w="11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rPr>
              <w:t>Defined</w:t>
            </w:r>
          </w:p>
        </w:tc>
        <w:tc>
          <w:tcPr>
            <w:tcW w:w="12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Defined</w:t>
            </w:r>
          </w:p>
        </w:tc>
        <w:tc>
          <w:tcPr>
            <w:tcW w:w="100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940" w:type="dxa"/>
            <w:vAlign w:val="bottom"/>
            <w:shd w:val="clear" w:color="auto" w:fill="0061AF"/>
          </w:tcPr>
          <w:p>
            <w:pPr>
              <w:jc w:val="center"/>
              <w:ind w:right="78"/>
              <w:spacing w:after="0" w:line="143" w:lineRule="exact"/>
              <w:rPr>
                <w:sz w:val="20"/>
                <w:szCs w:val="20"/>
                <w:color w:val="auto"/>
              </w:rPr>
            </w:pPr>
            <w:r>
              <w:rPr>
                <w:rFonts w:ascii="Arial" w:cs="Arial" w:eastAsia="Arial" w:hAnsi="Arial"/>
                <w:sz w:val="13"/>
                <w:szCs w:val="13"/>
                <w:b w:val="1"/>
                <w:bCs w:val="1"/>
                <w:color w:val="FFFFFF"/>
                <w:w w:val="96"/>
              </w:rPr>
              <w:t>Director</w:t>
            </w:r>
          </w:p>
        </w:tc>
        <w:tc>
          <w:tcPr>
            <w:tcW w:w="1400" w:type="dxa"/>
            <w:vAlign w:val="bottom"/>
            <w:shd w:val="clear" w:color="auto" w:fill="0061AF"/>
          </w:tcPr>
          <w:p>
            <w:pPr>
              <w:spacing w:after="0"/>
              <w:rPr>
                <w:sz w:val="12"/>
                <w:szCs w:val="12"/>
                <w:color w:val="auto"/>
              </w:rPr>
            </w:pPr>
          </w:p>
        </w:tc>
      </w:tr>
      <w:tr>
        <w:trPr>
          <w:trHeight w:val="143"/>
        </w:trPr>
        <w:tc>
          <w:tcPr>
            <w:tcW w:w="920" w:type="dxa"/>
            <w:vAlign w:val="bottom"/>
            <w:shd w:val="clear" w:color="auto" w:fill="0061AF"/>
          </w:tcPr>
          <w:p>
            <w:pPr>
              <w:spacing w:after="0"/>
              <w:rPr>
                <w:sz w:val="12"/>
                <w:szCs w:val="12"/>
                <w:color w:val="auto"/>
              </w:rPr>
            </w:pPr>
          </w:p>
        </w:tc>
        <w:tc>
          <w:tcPr>
            <w:tcW w:w="9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and Other</w:t>
            </w:r>
          </w:p>
        </w:tc>
        <w:tc>
          <w:tcPr>
            <w:tcW w:w="1480" w:type="dxa"/>
            <w:vAlign w:val="bottom"/>
            <w:shd w:val="clear" w:color="auto" w:fill="0061AF"/>
          </w:tcPr>
          <w:p>
            <w:pPr>
              <w:spacing w:after="0"/>
              <w:rPr>
                <w:sz w:val="12"/>
                <w:szCs w:val="12"/>
                <w:color w:val="auto"/>
              </w:rPr>
            </w:pPr>
          </w:p>
        </w:tc>
        <w:tc>
          <w:tcPr>
            <w:tcW w:w="11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Contribution</w:t>
            </w:r>
          </w:p>
        </w:tc>
        <w:tc>
          <w:tcPr>
            <w:tcW w:w="12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Contribution</w:t>
            </w:r>
          </w:p>
        </w:tc>
        <w:tc>
          <w:tcPr>
            <w:tcW w:w="1000" w:type="dxa"/>
            <w:vAlign w:val="bottom"/>
            <w:shd w:val="clear" w:color="auto" w:fill="0061AF"/>
          </w:tcPr>
          <w:p>
            <w:pPr>
              <w:spacing w:after="0"/>
              <w:rPr>
                <w:sz w:val="12"/>
                <w:szCs w:val="12"/>
                <w:color w:val="auto"/>
              </w:rPr>
            </w:pPr>
          </w:p>
        </w:tc>
        <w:tc>
          <w:tcPr>
            <w:tcW w:w="680" w:type="dxa"/>
            <w:vAlign w:val="bottom"/>
            <w:shd w:val="clear" w:color="auto" w:fill="0061AF"/>
          </w:tcPr>
          <w:p>
            <w:pPr>
              <w:spacing w:after="0"/>
              <w:rPr>
                <w:sz w:val="12"/>
                <w:szCs w:val="12"/>
                <w:color w:val="auto"/>
              </w:rPr>
            </w:pPr>
          </w:p>
        </w:tc>
        <w:tc>
          <w:tcPr>
            <w:tcW w:w="940" w:type="dxa"/>
            <w:vAlign w:val="bottom"/>
            <w:shd w:val="clear" w:color="auto" w:fill="0061AF"/>
          </w:tcPr>
          <w:p>
            <w:pPr>
              <w:jc w:val="center"/>
              <w:ind w:right="78"/>
              <w:spacing w:after="0" w:line="143" w:lineRule="exact"/>
              <w:rPr>
                <w:sz w:val="20"/>
                <w:szCs w:val="20"/>
                <w:color w:val="auto"/>
              </w:rPr>
            </w:pPr>
            <w:r>
              <w:rPr>
                <w:rFonts w:ascii="Arial" w:cs="Arial" w:eastAsia="Arial" w:hAnsi="Arial"/>
                <w:sz w:val="13"/>
                <w:szCs w:val="13"/>
                <w:b w:val="1"/>
                <w:bCs w:val="1"/>
                <w:color w:val="FFFFFF"/>
                <w:w w:val="98"/>
              </w:rPr>
              <w:t>Fees Earned</w:t>
            </w:r>
          </w:p>
        </w:tc>
        <w:tc>
          <w:tcPr>
            <w:tcW w:w="14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w w:val="93"/>
              </w:rPr>
              <w:t>Total All</w:t>
            </w:r>
          </w:p>
        </w:tc>
      </w:tr>
      <w:tr>
        <w:trPr>
          <w:trHeight w:val="140"/>
        </w:trPr>
        <w:tc>
          <w:tcPr>
            <w:tcW w:w="920" w:type="dxa"/>
            <w:vAlign w:val="bottom"/>
            <w:shd w:val="clear" w:color="auto" w:fill="0061AF"/>
          </w:tcPr>
          <w:p>
            <w:pPr>
              <w:spacing w:after="0"/>
              <w:rPr>
                <w:sz w:val="12"/>
                <w:szCs w:val="12"/>
                <w:color w:val="auto"/>
              </w:rPr>
            </w:pPr>
          </w:p>
        </w:tc>
        <w:tc>
          <w:tcPr>
            <w:tcW w:w="980" w:type="dxa"/>
            <w:vAlign w:val="bottom"/>
            <w:shd w:val="clear" w:color="auto" w:fill="0061AF"/>
          </w:tcPr>
          <w:p>
            <w:pPr>
              <w:jc w:val="center"/>
              <w:ind w:right="17"/>
              <w:spacing w:after="0" w:line="141" w:lineRule="exact"/>
              <w:rPr>
                <w:sz w:val="20"/>
                <w:szCs w:val="20"/>
                <w:color w:val="auto"/>
              </w:rPr>
            </w:pPr>
            <w:r>
              <w:rPr>
                <w:rFonts w:ascii="Arial" w:cs="Arial" w:eastAsia="Arial" w:hAnsi="Arial"/>
                <w:sz w:val="13"/>
                <w:szCs w:val="13"/>
                <w:b w:val="1"/>
                <w:bCs w:val="1"/>
                <w:color w:val="FFFFFF"/>
                <w:w w:val="98"/>
              </w:rPr>
              <w:t>Personal</w:t>
            </w:r>
          </w:p>
        </w:tc>
        <w:tc>
          <w:tcPr>
            <w:tcW w:w="148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7"/>
              </w:rPr>
              <w:t>Tax</w:t>
            </w:r>
          </w:p>
        </w:tc>
        <w:tc>
          <w:tcPr>
            <w:tcW w:w="116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2"/>
              </w:rPr>
              <w:t>Plans</w:t>
            </w:r>
          </w:p>
        </w:tc>
        <w:tc>
          <w:tcPr>
            <w:tcW w:w="126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7"/>
              </w:rPr>
              <w:t>Plans</w:t>
            </w:r>
          </w:p>
        </w:tc>
        <w:tc>
          <w:tcPr>
            <w:tcW w:w="100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7"/>
              </w:rPr>
              <w:t>Insurance</w:t>
            </w:r>
          </w:p>
        </w:tc>
        <w:tc>
          <w:tcPr>
            <w:tcW w:w="680" w:type="dxa"/>
            <w:vAlign w:val="bottom"/>
            <w:shd w:val="clear" w:color="auto" w:fill="0061AF"/>
          </w:tcPr>
          <w:p>
            <w:pPr>
              <w:spacing w:after="0"/>
              <w:rPr>
                <w:sz w:val="12"/>
                <w:szCs w:val="12"/>
                <w:color w:val="auto"/>
              </w:rPr>
            </w:pPr>
          </w:p>
        </w:tc>
        <w:tc>
          <w:tcPr>
            <w:tcW w:w="940" w:type="dxa"/>
            <w:vAlign w:val="bottom"/>
            <w:shd w:val="clear" w:color="auto" w:fill="0061AF"/>
          </w:tcPr>
          <w:p>
            <w:pPr>
              <w:jc w:val="center"/>
              <w:ind w:right="58"/>
              <w:spacing w:after="0" w:line="141" w:lineRule="exact"/>
              <w:rPr>
                <w:sz w:val="20"/>
                <w:szCs w:val="20"/>
                <w:color w:val="auto"/>
              </w:rPr>
            </w:pPr>
            <w:r>
              <w:rPr>
                <w:rFonts w:ascii="Arial" w:cs="Arial" w:eastAsia="Arial" w:hAnsi="Arial"/>
                <w:sz w:val="13"/>
                <w:szCs w:val="13"/>
                <w:b w:val="1"/>
                <w:bCs w:val="1"/>
                <w:color w:val="FFFFFF"/>
                <w:w w:val="97"/>
              </w:rPr>
              <w:t>or Paid in</w:t>
            </w:r>
          </w:p>
        </w:tc>
        <w:tc>
          <w:tcPr>
            <w:tcW w:w="1400" w:type="dxa"/>
            <w:vAlign w:val="bottom"/>
            <w:shd w:val="clear" w:color="auto" w:fill="0061AF"/>
          </w:tcPr>
          <w:p>
            <w:pPr>
              <w:jc w:val="center"/>
              <w:ind w:right="77"/>
              <w:spacing w:after="0" w:line="141" w:lineRule="exact"/>
              <w:rPr>
                <w:sz w:val="20"/>
                <w:szCs w:val="20"/>
                <w:color w:val="auto"/>
              </w:rPr>
            </w:pPr>
            <w:r>
              <w:rPr>
                <w:rFonts w:ascii="Arial" w:cs="Arial" w:eastAsia="Arial" w:hAnsi="Arial"/>
                <w:sz w:val="13"/>
                <w:szCs w:val="13"/>
                <w:b w:val="1"/>
                <w:bCs w:val="1"/>
                <w:color w:val="FFFFFF"/>
                <w:w w:val="97"/>
              </w:rPr>
              <w:t>Other</w:t>
            </w:r>
          </w:p>
        </w:tc>
      </w:tr>
      <w:tr>
        <w:trPr>
          <w:trHeight w:val="145"/>
        </w:trPr>
        <w:tc>
          <w:tcPr>
            <w:tcW w:w="920" w:type="dxa"/>
            <w:vAlign w:val="bottom"/>
            <w:shd w:val="clear" w:color="auto" w:fill="0061AF"/>
          </w:tcPr>
          <w:p>
            <w:pPr>
              <w:spacing w:after="0"/>
              <w:rPr>
                <w:sz w:val="12"/>
                <w:szCs w:val="12"/>
                <w:color w:val="auto"/>
              </w:rPr>
            </w:pPr>
          </w:p>
        </w:tc>
        <w:tc>
          <w:tcPr>
            <w:tcW w:w="98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Benefits</w:t>
            </w:r>
            <w:r>
              <w:rPr>
                <w:rFonts w:ascii="Arial" w:cs="Arial" w:eastAsia="Arial" w:hAnsi="Arial"/>
                <w:sz w:val="16"/>
                <w:szCs w:val="16"/>
                <w:b w:val="1"/>
                <w:bCs w:val="1"/>
                <w:color w:val="FFFFFF"/>
                <w:vertAlign w:val="superscript"/>
              </w:rPr>
              <w:t>(a)</w:t>
            </w:r>
          </w:p>
        </w:tc>
        <w:tc>
          <w:tcPr>
            <w:tcW w:w="148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Reimbursements</w:t>
            </w:r>
            <w:r>
              <w:rPr>
                <w:rFonts w:ascii="Arial" w:cs="Arial" w:eastAsia="Arial" w:hAnsi="Arial"/>
                <w:sz w:val="16"/>
                <w:szCs w:val="16"/>
                <w:b w:val="1"/>
                <w:bCs w:val="1"/>
                <w:color w:val="FFFFFF"/>
                <w:vertAlign w:val="superscript"/>
              </w:rPr>
              <w:t>(b)</w:t>
            </w:r>
          </w:p>
        </w:tc>
        <w:tc>
          <w:tcPr>
            <w:tcW w:w="116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(qualified)</w:t>
            </w:r>
            <w:r>
              <w:rPr>
                <w:rFonts w:ascii="Arial" w:cs="Arial" w:eastAsia="Arial" w:hAnsi="Arial"/>
                <w:sz w:val="16"/>
                <w:szCs w:val="16"/>
                <w:b w:val="1"/>
                <w:bCs w:val="1"/>
                <w:color w:val="FFFFFF"/>
                <w:vertAlign w:val="superscript"/>
              </w:rPr>
              <w:t>(c)</w:t>
            </w:r>
          </w:p>
        </w:tc>
        <w:tc>
          <w:tcPr>
            <w:tcW w:w="126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(nonqualified)</w:t>
            </w:r>
            <w:r>
              <w:rPr>
                <w:rFonts w:ascii="Arial" w:cs="Arial" w:eastAsia="Arial" w:hAnsi="Arial"/>
                <w:sz w:val="16"/>
                <w:szCs w:val="16"/>
                <w:b w:val="1"/>
                <w:bCs w:val="1"/>
                <w:color w:val="FFFFFF"/>
                <w:vertAlign w:val="superscript"/>
              </w:rPr>
              <w:t>(d)</w:t>
            </w:r>
          </w:p>
        </w:tc>
        <w:tc>
          <w:tcPr>
            <w:tcW w:w="100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Premiums</w:t>
            </w:r>
            <w:r>
              <w:rPr>
                <w:rFonts w:ascii="Arial" w:cs="Arial" w:eastAsia="Arial" w:hAnsi="Arial"/>
                <w:sz w:val="16"/>
                <w:szCs w:val="16"/>
                <w:b w:val="1"/>
                <w:bCs w:val="1"/>
                <w:color w:val="FFFFFF"/>
                <w:vertAlign w:val="superscript"/>
              </w:rPr>
              <w:t>(e)</w:t>
            </w:r>
          </w:p>
        </w:tc>
        <w:tc>
          <w:tcPr>
            <w:tcW w:w="680" w:type="dxa"/>
            <w:vAlign w:val="bottom"/>
            <w:shd w:val="clear" w:color="auto" w:fill="0061AF"/>
          </w:tcPr>
          <w:p>
            <w:pPr>
              <w:jc w:val="right"/>
              <w:ind w:right="38"/>
              <w:spacing w:after="0" w:line="145" w:lineRule="exact"/>
              <w:rPr>
                <w:sz w:val="20"/>
                <w:szCs w:val="20"/>
                <w:color w:val="auto"/>
              </w:rPr>
            </w:pPr>
            <w:r>
              <w:rPr>
                <w:rFonts w:ascii="Arial" w:cs="Arial" w:eastAsia="Arial" w:hAnsi="Arial"/>
                <w:sz w:val="10"/>
                <w:szCs w:val="10"/>
                <w:b w:val="1"/>
                <w:bCs w:val="1"/>
                <w:color w:val="FFFFFF"/>
              </w:rPr>
              <w:t>Other</w:t>
            </w:r>
            <w:r>
              <w:rPr>
                <w:rFonts w:ascii="Arial" w:cs="Arial" w:eastAsia="Arial" w:hAnsi="Arial"/>
                <w:sz w:val="16"/>
                <w:szCs w:val="16"/>
                <w:b w:val="1"/>
                <w:bCs w:val="1"/>
                <w:color w:val="FFFFFF"/>
                <w:vertAlign w:val="superscript"/>
              </w:rPr>
              <w:t>(f)</w:t>
            </w:r>
          </w:p>
        </w:tc>
        <w:tc>
          <w:tcPr>
            <w:tcW w:w="940" w:type="dxa"/>
            <w:vAlign w:val="bottom"/>
            <w:shd w:val="clear" w:color="auto" w:fill="0061AF"/>
          </w:tcPr>
          <w:p>
            <w:pPr>
              <w:jc w:val="center"/>
              <w:ind w:right="58"/>
              <w:spacing w:after="0" w:line="145" w:lineRule="exact"/>
              <w:rPr>
                <w:sz w:val="20"/>
                <w:szCs w:val="20"/>
                <w:color w:val="auto"/>
              </w:rPr>
            </w:pPr>
            <w:r>
              <w:rPr>
                <w:rFonts w:ascii="Arial" w:cs="Arial" w:eastAsia="Arial" w:hAnsi="Arial"/>
                <w:sz w:val="10"/>
                <w:szCs w:val="10"/>
                <w:b w:val="1"/>
                <w:bCs w:val="1"/>
                <w:color w:val="FFFFFF"/>
              </w:rPr>
              <w:t>Cash</w:t>
            </w:r>
            <w:r>
              <w:rPr>
                <w:rFonts w:ascii="Arial" w:cs="Arial" w:eastAsia="Arial" w:hAnsi="Arial"/>
                <w:sz w:val="16"/>
                <w:szCs w:val="16"/>
                <w:b w:val="1"/>
                <w:bCs w:val="1"/>
                <w:color w:val="FFFFFF"/>
                <w:vertAlign w:val="superscript"/>
              </w:rPr>
              <w:t>(g)</w:t>
            </w:r>
          </w:p>
        </w:tc>
        <w:tc>
          <w:tcPr>
            <w:tcW w:w="1400" w:type="dxa"/>
            <w:vAlign w:val="bottom"/>
            <w:shd w:val="clear" w:color="auto" w:fill="0061AF"/>
          </w:tcPr>
          <w:p>
            <w:pPr>
              <w:jc w:val="right"/>
              <w:ind w:right="297"/>
              <w:spacing w:after="0" w:line="146" w:lineRule="exact"/>
              <w:rPr>
                <w:sz w:val="20"/>
                <w:szCs w:val="20"/>
                <w:color w:val="auto"/>
              </w:rPr>
            </w:pPr>
            <w:r>
              <w:rPr>
                <w:rFonts w:ascii="Arial" w:cs="Arial" w:eastAsia="Arial" w:hAnsi="Arial"/>
                <w:sz w:val="13"/>
                <w:szCs w:val="13"/>
                <w:b w:val="1"/>
                <w:bCs w:val="1"/>
                <w:color w:val="FFFFFF"/>
              </w:rPr>
              <w:t>Compensation</w:t>
            </w:r>
          </w:p>
        </w:tc>
      </w:tr>
      <w:tr>
        <w:trPr>
          <w:trHeight w:val="167"/>
        </w:trPr>
        <w:tc>
          <w:tcPr>
            <w:tcW w:w="92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9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4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0061AF"/>
          </w:tcPr>
          <w:p>
            <w:pPr>
              <w:jc w:val="right"/>
              <w:ind w:right="198"/>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0061AF"/>
          </w:tcPr>
          <w:p>
            <w:pPr>
              <w:jc w:val="center"/>
              <w:ind w:right="78"/>
              <w:spacing w:after="0"/>
              <w:rPr>
                <w:sz w:val="20"/>
                <w:szCs w:val="20"/>
                <w:color w:val="auto"/>
              </w:rPr>
            </w:pPr>
            <w:r>
              <w:rPr>
                <w:rFonts w:ascii="Arial" w:cs="Arial" w:eastAsia="Arial" w:hAnsi="Arial"/>
                <w:sz w:val="13"/>
                <w:szCs w:val="13"/>
                <w:b w:val="1"/>
                <w:bCs w:val="1"/>
                <w:color w:val="FFFFFF"/>
              </w:rPr>
              <w:t>($)</w:t>
            </w:r>
          </w:p>
        </w:tc>
        <w:tc>
          <w:tcPr>
            <w:tcW w:w="1400" w:type="dxa"/>
            <w:vAlign w:val="bottom"/>
            <w:shd w:val="clear" w:color="auto" w:fill="0061AF"/>
          </w:tcPr>
          <w:p>
            <w:pPr>
              <w:jc w:val="center"/>
              <w:ind w:right="57"/>
              <w:spacing w:after="0"/>
              <w:rPr>
                <w:sz w:val="20"/>
                <w:szCs w:val="20"/>
                <w:color w:val="auto"/>
              </w:rPr>
            </w:pPr>
            <w:r>
              <w:rPr>
                <w:rFonts w:ascii="Arial" w:cs="Arial" w:eastAsia="Arial" w:hAnsi="Arial"/>
                <w:sz w:val="13"/>
                <w:szCs w:val="13"/>
                <w:b w:val="1"/>
                <w:bCs w:val="1"/>
                <w:color w:val="FFFFFF"/>
              </w:rPr>
              <w:t>($)</w:t>
            </w:r>
          </w:p>
        </w:tc>
      </w:tr>
      <w:tr>
        <w:trPr>
          <w:trHeight w:val="143"/>
        </w:trPr>
        <w:tc>
          <w:tcPr>
            <w:tcW w:w="9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Lesar</w:t>
            </w:r>
          </w:p>
        </w:tc>
        <w:tc>
          <w:tcPr>
            <w:tcW w:w="98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493,989</w:t>
            </w:r>
          </w:p>
        </w:tc>
        <w:tc>
          <w:tcPr>
            <w:tcW w:w="148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66,189</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25,650</w:t>
            </w:r>
          </w:p>
        </w:tc>
        <w:tc>
          <w:tcPr>
            <w:tcW w:w="12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35,100</w:t>
            </w:r>
          </w:p>
        </w:tc>
        <w:tc>
          <w:tcPr>
            <w:tcW w:w="100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shd w:val="clear" w:color="auto" w:fill="D8E7F3"/>
          </w:tcPr>
          <w:p>
            <w:pPr>
              <w:jc w:val="right"/>
              <w:ind w:right="118"/>
              <w:spacing w:after="0" w:line="143" w:lineRule="exact"/>
              <w:rPr>
                <w:sz w:val="20"/>
                <w:szCs w:val="20"/>
                <w:color w:val="auto"/>
              </w:rPr>
            </w:pPr>
            <w:r>
              <w:rPr>
                <w:rFonts w:ascii="Arial" w:cs="Arial" w:eastAsia="Arial" w:hAnsi="Arial"/>
                <w:sz w:val="13"/>
                <w:szCs w:val="13"/>
                <w:color w:val="auto"/>
              </w:rPr>
              <w:t>16,621</w:t>
            </w:r>
          </w:p>
        </w:tc>
        <w:tc>
          <w:tcPr>
            <w:tcW w:w="1400" w:type="dxa"/>
            <w:vAlign w:val="bottom"/>
            <w:shd w:val="clear" w:color="auto" w:fill="D8E7F3"/>
          </w:tcPr>
          <w:p>
            <w:pPr>
              <w:jc w:val="right"/>
              <w:ind w:right="397"/>
              <w:spacing w:after="0" w:line="143" w:lineRule="exact"/>
              <w:rPr>
                <w:sz w:val="20"/>
                <w:szCs w:val="20"/>
                <w:color w:val="auto"/>
              </w:rPr>
            </w:pPr>
            <w:r>
              <w:rPr>
                <w:rFonts w:ascii="Arial" w:cs="Arial" w:eastAsia="Arial" w:hAnsi="Arial"/>
                <w:sz w:val="13"/>
                <w:szCs w:val="13"/>
                <w:color w:val="auto"/>
              </w:rPr>
              <w:t>637,549</w:t>
            </w:r>
          </w:p>
        </w:tc>
      </w:tr>
      <w:tr>
        <w:trPr>
          <w:trHeight w:val="143"/>
        </w:trPr>
        <w:tc>
          <w:tcPr>
            <w:tcW w:w="920" w:type="dxa"/>
            <w:vAlign w:val="bottom"/>
          </w:tcPr>
          <w:p>
            <w:pPr>
              <w:ind w:left="80"/>
              <w:spacing w:after="0" w:line="143" w:lineRule="exact"/>
              <w:rPr>
                <w:sz w:val="20"/>
                <w:szCs w:val="20"/>
                <w:color w:val="auto"/>
              </w:rPr>
            </w:pPr>
            <w:r>
              <w:rPr>
                <w:rFonts w:ascii="Arial" w:cs="Arial" w:eastAsia="Arial" w:hAnsi="Arial"/>
                <w:sz w:val="13"/>
                <w:szCs w:val="13"/>
                <w:color w:val="auto"/>
              </w:rPr>
              <w:t>Wells</w:t>
            </w:r>
          </w:p>
        </w:tc>
        <w:tc>
          <w:tcPr>
            <w:tcW w:w="98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111,451</w:t>
            </w:r>
          </w:p>
        </w:tc>
        <w:tc>
          <w:tcPr>
            <w:tcW w:w="148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18,640</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6,722</w:t>
            </w:r>
          </w:p>
        </w:tc>
        <w:tc>
          <w:tcPr>
            <w:tcW w:w="12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tcPr>
          <w:p>
            <w:pPr>
              <w:spacing w:after="0"/>
              <w:rPr>
                <w:sz w:val="12"/>
                <w:szCs w:val="12"/>
                <w:color w:val="auto"/>
              </w:rPr>
            </w:pPr>
          </w:p>
        </w:tc>
        <w:tc>
          <w:tcPr>
            <w:tcW w:w="1400" w:type="dxa"/>
            <w:vAlign w:val="bottom"/>
          </w:tcPr>
          <w:p>
            <w:pPr>
              <w:jc w:val="right"/>
              <w:ind w:right="397"/>
              <w:spacing w:after="0" w:line="143" w:lineRule="exact"/>
              <w:rPr>
                <w:sz w:val="20"/>
                <w:szCs w:val="20"/>
                <w:color w:val="auto"/>
              </w:rPr>
            </w:pPr>
            <w:r>
              <w:rPr>
                <w:rFonts w:ascii="Arial" w:cs="Arial" w:eastAsia="Arial" w:hAnsi="Arial"/>
                <w:sz w:val="13"/>
                <w:szCs w:val="13"/>
                <w:color w:val="auto"/>
              </w:rPr>
              <w:t>136,813</w:t>
            </w:r>
          </w:p>
        </w:tc>
      </w:tr>
      <w:tr>
        <w:trPr>
          <w:trHeight w:val="143"/>
        </w:trPr>
        <w:tc>
          <w:tcPr>
            <w:tcW w:w="9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Carroll</w:t>
            </w:r>
          </w:p>
        </w:tc>
        <w:tc>
          <w:tcPr>
            <w:tcW w:w="98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148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815</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2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5,859</w:t>
            </w:r>
          </w:p>
        </w:tc>
        <w:tc>
          <w:tcPr>
            <w:tcW w:w="6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shd w:val="clear" w:color="auto" w:fill="D8E7F3"/>
          </w:tcPr>
          <w:p>
            <w:pPr>
              <w:spacing w:after="0"/>
              <w:rPr>
                <w:sz w:val="12"/>
                <w:szCs w:val="12"/>
                <w:color w:val="auto"/>
              </w:rPr>
            </w:pPr>
          </w:p>
        </w:tc>
        <w:tc>
          <w:tcPr>
            <w:tcW w:w="1400" w:type="dxa"/>
            <w:vAlign w:val="bottom"/>
            <w:shd w:val="clear" w:color="auto" w:fill="D8E7F3"/>
          </w:tcPr>
          <w:p>
            <w:pPr>
              <w:jc w:val="right"/>
              <w:ind w:right="397"/>
              <w:spacing w:after="0" w:line="143" w:lineRule="exact"/>
              <w:rPr>
                <w:sz w:val="20"/>
                <w:szCs w:val="20"/>
                <w:color w:val="auto"/>
              </w:rPr>
            </w:pPr>
            <w:r>
              <w:rPr>
                <w:rFonts w:ascii="Arial" w:cs="Arial" w:eastAsia="Arial" w:hAnsi="Arial"/>
                <w:sz w:val="13"/>
                <w:szCs w:val="13"/>
                <w:color w:val="auto"/>
              </w:rPr>
              <w:t>6,674</w:t>
            </w:r>
          </w:p>
        </w:tc>
      </w:tr>
      <w:tr>
        <w:trPr>
          <w:trHeight w:val="143"/>
        </w:trPr>
        <w:tc>
          <w:tcPr>
            <w:tcW w:w="920" w:type="dxa"/>
            <w:vAlign w:val="bottom"/>
          </w:tcPr>
          <w:p>
            <w:pPr>
              <w:ind w:left="80"/>
              <w:spacing w:after="0" w:line="143" w:lineRule="exact"/>
              <w:rPr>
                <w:sz w:val="20"/>
                <w:szCs w:val="20"/>
                <w:color w:val="auto"/>
              </w:rPr>
            </w:pPr>
            <w:r>
              <w:rPr>
                <w:rFonts w:ascii="Arial" w:cs="Arial" w:eastAsia="Arial" w:hAnsi="Arial"/>
                <w:sz w:val="13"/>
                <w:szCs w:val="13"/>
                <w:color w:val="auto"/>
              </w:rPr>
              <w:t>Colvin</w:t>
            </w:r>
          </w:p>
        </w:tc>
        <w:tc>
          <w:tcPr>
            <w:tcW w:w="98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17,100</w:t>
            </w:r>
          </w:p>
        </w:tc>
        <w:tc>
          <w:tcPr>
            <w:tcW w:w="12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30,459</w:t>
            </w:r>
          </w:p>
        </w:tc>
        <w:tc>
          <w:tcPr>
            <w:tcW w:w="100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tcPr>
          <w:p>
            <w:pPr>
              <w:spacing w:after="0"/>
              <w:rPr>
                <w:sz w:val="12"/>
                <w:szCs w:val="12"/>
                <w:color w:val="auto"/>
              </w:rPr>
            </w:pPr>
          </w:p>
        </w:tc>
        <w:tc>
          <w:tcPr>
            <w:tcW w:w="1400" w:type="dxa"/>
            <w:vAlign w:val="bottom"/>
          </w:tcPr>
          <w:p>
            <w:pPr>
              <w:jc w:val="right"/>
              <w:ind w:right="397"/>
              <w:spacing w:after="0" w:line="143" w:lineRule="exact"/>
              <w:rPr>
                <w:sz w:val="20"/>
                <w:szCs w:val="20"/>
                <w:color w:val="auto"/>
              </w:rPr>
            </w:pPr>
            <w:r>
              <w:rPr>
                <w:rFonts w:ascii="Arial" w:cs="Arial" w:eastAsia="Arial" w:hAnsi="Arial"/>
                <w:sz w:val="13"/>
                <w:szCs w:val="13"/>
                <w:color w:val="auto"/>
              </w:rPr>
              <w:t>47,559</w:t>
            </w:r>
          </w:p>
        </w:tc>
      </w:tr>
      <w:tr>
        <w:trPr>
          <w:trHeight w:val="143"/>
        </w:trPr>
        <w:tc>
          <w:tcPr>
            <w:tcW w:w="9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Doyle</w:t>
            </w:r>
          </w:p>
        </w:tc>
        <w:tc>
          <w:tcPr>
            <w:tcW w:w="98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15,377</w:t>
            </w:r>
          </w:p>
        </w:tc>
        <w:tc>
          <w:tcPr>
            <w:tcW w:w="148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17,100</w:t>
            </w:r>
          </w:p>
        </w:tc>
        <w:tc>
          <w:tcPr>
            <w:tcW w:w="12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28,590</w:t>
            </w:r>
          </w:p>
        </w:tc>
        <w:tc>
          <w:tcPr>
            <w:tcW w:w="100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shd w:val="clear" w:color="auto" w:fill="D8E7F3"/>
          </w:tcPr>
          <w:p>
            <w:pPr>
              <w:spacing w:after="0"/>
              <w:rPr>
                <w:sz w:val="12"/>
                <w:szCs w:val="12"/>
                <w:color w:val="auto"/>
              </w:rPr>
            </w:pPr>
          </w:p>
        </w:tc>
        <w:tc>
          <w:tcPr>
            <w:tcW w:w="1400" w:type="dxa"/>
            <w:vAlign w:val="bottom"/>
            <w:shd w:val="clear" w:color="auto" w:fill="D8E7F3"/>
          </w:tcPr>
          <w:p>
            <w:pPr>
              <w:jc w:val="right"/>
              <w:ind w:right="397"/>
              <w:spacing w:after="0" w:line="143" w:lineRule="exact"/>
              <w:rPr>
                <w:sz w:val="20"/>
                <w:szCs w:val="20"/>
                <w:color w:val="auto"/>
              </w:rPr>
            </w:pPr>
            <w:r>
              <w:rPr>
                <w:rFonts w:ascii="Arial" w:cs="Arial" w:eastAsia="Arial" w:hAnsi="Arial"/>
                <w:sz w:val="13"/>
                <w:szCs w:val="13"/>
                <w:color w:val="auto"/>
              </w:rPr>
              <w:t>61,067</w:t>
            </w:r>
          </w:p>
        </w:tc>
      </w:tr>
      <w:tr>
        <w:trPr>
          <w:trHeight w:val="143"/>
        </w:trPr>
        <w:tc>
          <w:tcPr>
            <w:tcW w:w="920" w:type="dxa"/>
            <w:vAlign w:val="bottom"/>
          </w:tcPr>
          <w:p>
            <w:pPr>
              <w:ind w:left="80"/>
              <w:spacing w:after="0" w:line="143" w:lineRule="exact"/>
              <w:rPr>
                <w:sz w:val="20"/>
                <w:szCs w:val="20"/>
                <w:color w:val="auto"/>
              </w:rPr>
            </w:pPr>
            <w:r>
              <w:rPr>
                <w:rFonts w:ascii="Arial" w:cs="Arial" w:eastAsia="Arial" w:hAnsi="Arial"/>
                <w:sz w:val="13"/>
                <w:szCs w:val="13"/>
                <w:color w:val="auto"/>
              </w:rPr>
              <w:t>Knight</w:t>
            </w:r>
          </w:p>
        </w:tc>
        <w:tc>
          <w:tcPr>
            <w:tcW w:w="98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153,477</w:t>
            </w:r>
          </w:p>
        </w:tc>
        <w:tc>
          <w:tcPr>
            <w:tcW w:w="148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15,395</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11,519</w:t>
            </w:r>
          </w:p>
        </w:tc>
        <w:tc>
          <w:tcPr>
            <w:tcW w:w="12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tcPr>
          <w:p>
            <w:pPr>
              <w:spacing w:after="0"/>
              <w:rPr>
                <w:sz w:val="12"/>
                <w:szCs w:val="12"/>
                <w:color w:val="auto"/>
              </w:rPr>
            </w:pPr>
          </w:p>
        </w:tc>
        <w:tc>
          <w:tcPr>
            <w:tcW w:w="1400" w:type="dxa"/>
            <w:vAlign w:val="bottom"/>
          </w:tcPr>
          <w:p>
            <w:pPr>
              <w:jc w:val="right"/>
              <w:ind w:right="397"/>
              <w:spacing w:after="0" w:line="143" w:lineRule="exact"/>
              <w:rPr>
                <w:sz w:val="20"/>
                <w:szCs w:val="20"/>
                <w:color w:val="auto"/>
              </w:rPr>
            </w:pPr>
            <w:r>
              <w:rPr>
                <w:rFonts w:ascii="Arial" w:cs="Arial" w:eastAsia="Arial" w:hAnsi="Arial"/>
                <w:sz w:val="13"/>
                <w:szCs w:val="13"/>
                <w:color w:val="auto"/>
              </w:rPr>
              <w:t>180,392</w:t>
            </w:r>
          </w:p>
        </w:tc>
      </w:tr>
      <w:tr>
        <w:trPr>
          <w:trHeight w:val="143"/>
        </w:trPr>
        <w:tc>
          <w:tcPr>
            <w:tcW w:w="9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Prochazka</w:t>
            </w:r>
          </w:p>
        </w:tc>
        <w:tc>
          <w:tcPr>
            <w:tcW w:w="98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15,375</w:t>
            </w:r>
          </w:p>
        </w:tc>
        <w:tc>
          <w:tcPr>
            <w:tcW w:w="148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17,021</w:t>
            </w:r>
          </w:p>
        </w:tc>
        <w:tc>
          <w:tcPr>
            <w:tcW w:w="12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7,348,584</w:t>
            </w:r>
          </w:p>
        </w:tc>
        <w:tc>
          <w:tcPr>
            <w:tcW w:w="940" w:type="dxa"/>
            <w:vAlign w:val="bottom"/>
            <w:shd w:val="clear" w:color="auto" w:fill="D8E7F3"/>
          </w:tcPr>
          <w:p>
            <w:pPr>
              <w:spacing w:after="0"/>
              <w:rPr>
                <w:sz w:val="12"/>
                <w:szCs w:val="12"/>
                <w:color w:val="auto"/>
              </w:rPr>
            </w:pPr>
          </w:p>
        </w:tc>
        <w:tc>
          <w:tcPr>
            <w:tcW w:w="1400" w:type="dxa"/>
            <w:vAlign w:val="bottom"/>
            <w:shd w:val="clear" w:color="auto" w:fill="D8E7F3"/>
          </w:tcPr>
          <w:p>
            <w:pPr>
              <w:jc w:val="right"/>
              <w:ind w:right="397"/>
              <w:spacing w:after="0" w:line="143" w:lineRule="exact"/>
              <w:rPr>
                <w:sz w:val="20"/>
                <w:szCs w:val="20"/>
                <w:color w:val="auto"/>
              </w:rPr>
            </w:pPr>
            <w:r>
              <w:rPr>
                <w:rFonts w:ascii="Arial" w:cs="Arial" w:eastAsia="Arial" w:hAnsi="Arial"/>
                <w:sz w:val="13"/>
                <w:szCs w:val="13"/>
                <w:color w:val="auto"/>
              </w:rPr>
              <w:t>7,380,980</w:t>
            </w:r>
          </w:p>
        </w:tc>
      </w:tr>
      <w:tr>
        <w:trPr>
          <w:trHeight w:val="143"/>
        </w:trPr>
        <w:tc>
          <w:tcPr>
            <w:tcW w:w="920" w:type="dxa"/>
            <w:vAlign w:val="bottom"/>
          </w:tcPr>
          <w:p>
            <w:pPr>
              <w:ind w:left="80"/>
              <w:spacing w:after="0" w:line="143" w:lineRule="exact"/>
              <w:rPr>
                <w:sz w:val="20"/>
                <w:szCs w:val="20"/>
                <w:color w:val="auto"/>
              </w:rPr>
            </w:pPr>
            <w:r>
              <w:rPr>
                <w:rFonts w:ascii="Arial" w:cs="Arial" w:eastAsia="Arial" w:hAnsi="Arial"/>
                <w:sz w:val="13"/>
                <w:szCs w:val="13"/>
                <w:color w:val="auto"/>
              </w:rPr>
              <w:t>Somerhalder</w:t>
            </w:r>
          </w:p>
        </w:tc>
        <w:tc>
          <w:tcPr>
            <w:tcW w:w="98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13,368</w:t>
            </w:r>
          </w:p>
        </w:tc>
        <w:tc>
          <w:tcPr>
            <w:tcW w:w="1480" w:type="dxa"/>
            <w:vAlign w:val="bottom"/>
          </w:tcPr>
          <w:p>
            <w:pPr>
              <w:jc w:val="right"/>
              <w:ind w:right="457"/>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25,650</w:t>
            </w:r>
          </w:p>
        </w:tc>
        <w:tc>
          <w:tcPr>
            <w:tcW w:w="12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18"/>
              <w:spacing w:after="0" w:line="143" w:lineRule="exact"/>
              <w:rPr>
                <w:sz w:val="20"/>
                <w:szCs w:val="20"/>
                <w:color w:val="auto"/>
              </w:rPr>
            </w:pPr>
            <w:r>
              <w:rPr>
                <w:rFonts w:ascii="Arial" w:cs="Arial" w:eastAsia="Arial" w:hAnsi="Arial"/>
                <w:sz w:val="13"/>
                <w:szCs w:val="13"/>
                <w:color w:val="auto"/>
              </w:rPr>
              <w:t>24,039</w:t>
            </w:r>
          </w:p>
        </w:tc>
        <w:tc>
          <w:tcPr>
            <w:tcW w:w="1400" w:type="dxa"/>
            <w:vAlign w:val="bottom"/>
          </w:tcPr>
          <w:p>
            <w:pPr>
              <w:jc w:val="right"/>
              <w:ind w:right="397"/>
              <w:spacing w:after="0" w:line="143" w:lineRule="exact"/>
              <w:rPr>
                <w:sz w:val="20"/>
                <w:szCs w:val="20"/>
                <w:color w:val="auto"/>
              </w:rPr>
            </w:pPr>
            <w:r>
              <w:rPr>
                <w:rFonts w:ascii="Arial" w:cs="Arial" w:eastAsia="Arial" w:hAnsi="Arial"/>
                <w:sz w:val="13"/>
                <w:szCs w:val="13"/>
                <w:color w:val="auto"/>
              </w:rPr>
              <w:t>63,058</w:t>
            </w:r>
          </w:p>
        </w:tc>
      </w:tr>
      <w:tr>
        <w:trPr>
          <w:trHeight w:val="143"/>
        </w:trPr>
        <w:tc>
          <w:tcPr>
            <w:tcW w:w="9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Liu</w:t>
            </w:r>
          </w:p>
        </w:tc>
        <w:tc>
          <w:tcPr>
            <w:tcW w:w="98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57,371</w:t>
            </w:r>
          </w:p>
        </w:tc>
        <w:tc>
          <w:tcPr>
            <w:tcW w:w="1480" w:type="dxa"/>
            <w:vAlign w:val="bottom"/>
            <w:shd w:val="clear" w:color="auto" w:fill="D8E7F3"/>
          </w:tcPr>
          <w:p>
            <w:pPr>
              <w:jc w:val="right"/>
              <w:ind w:right="457"/>
              <w:spacing w:after="0" w:line="143" w:lineRule="exact"/>
              <w:rPr>
                <w:sz w:val="20"/>
                <w:szCs w:val="20"/>
                <w:color w:val="auto"/>
              </w:rPr>
            </w:pPr>
            <w:r>
              <w:rPr>
                <w:rFonts w:ascii="Arial" w:cs="Arial" w:eastAsia="Arial" w:hAnsi="Arial"/>
                <w:sz w:val="13"/>
                <w:szCs w:val="13"/>
                <w:color w:val="auto"/>
              </w:rPr>
              <w:t>30,144</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17,100</w:t>
            </w:r>
          </w:p>
        </w:tc>
        <w:tc>
          <w:tcPr>
            <w:tcW w:w="12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shd w:val="clear" w:color="auto" w:fill="D8E7F3"/>
          </w:tcPr>
          <w:p>
            <w:pPr>
              <w:spacing w:after="0"/>
              <w:rPr>
                <w:sz w:val="12"/>
                <w:szCs w:val="12"/>
                <w:color w:val="auto"/>
              </w:rPr>
            </w:pPr>
          </w:p>
        </w:tc>
        <w:tc>
          <w:tcPr>
            <w:tcW w:w="1400" w:type="dxa"/>
            <w:vAlign w:val="bottom"/>
            <w:shd w:val="clear" w:color="auto" w:fill="D8E7F3"/>
          </w:tcPr>
          <w:p>
            <w:pPr>
              <w:jc w:val="right"/>
              <w:ind w:right="397"/>
              <w:spacing w:after="0" w:line="143" w:lineRule="exact"/>
              <w:rPr>
                <w:sz w:val="20"/>
                <w:szCs w:val="20"/>
                <w:color w:val="auto"/>
              </w:rPr>
            </w:pPr>
            <w:r>
              <w:rPr>
                <w:rFonts w:ascii="Arial" w:cs="Arial" w:eastAsia="Arial" w:hAnsi="Arial"/>
                <w:sz w:val="13"/>
                <w:szCs w:val="13"/>
                <w:color w:val="auto"/>
              </w:rPr>
              <w:t>104,616</w:t>
            </w:r>
          </w:p>
        </w:tc>
      </w:tr>
      <w:tr>
        <w:trPr>
          <w:trHeight w:val="157"/>
        </w:trPr>
        <w:tc>
          <w:tcPr>
            <w:tcW w:w="920" w:type="dxa"/>
            <w:vAlign w:val="bottom"/>
          </w:tcPr>
          <w:p>
            <w:pPr>
              <w:ind w:left="80"/>
              <w:spacing w:after="0"/>
              <w:rPr>
                <w:sz w:val="20"/>
                <w:szCs w:val="20"/>
                <w:color w:val="auto"/>
              </w:rPr>
            </w:pPr>
            <w:r>
              <w:rPr>
                <w:rFonts w:ascii="Arial" w:cs="Arial" w:eastAsia="Arial" w:hAnsi="Arial"/>
                <w:sz w:val="13"/>
                <w:szCs w:val="13"/>
                <w:color w:val="auto"/>
              </w:rPr>
              <w:t>Vortherms</w:t>
            </w:r>
          </w:p>
        </w:tc>
        <w:tc>
          <w:tcPr>
            <w:tcW w:w="980" w:type="dxa"/>
            <w:vAlign w:val="bottom"/>
          </w:tcPr>
          <w:p>
            <w:pPr>
              <w:jc w:val="right"/>
              <w:ind w:right="217"/>
              <w:spacing w:after="0"/>
              <w:rPr>
                <w:sz w:val="20"/>
                <w:szCs w:val="20"/>
                <w:color w:val="auto"/>
              </w:rPr>
            </w:pPr>
            <w:r>
              <w:rPr>
                <w:rFonts w:ascii="Arial" w:cs="Arial" w:eastAsia="Arial" w:hAnsi="Arial"/>
                <w:sz w:val="13"/>
                <w:szCs w:val="13"/>
                <w:color w:val="auto"/>
              </w:rPr>
              <w:t>15,579</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17,100</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925,000</w:t>
            </w:r>
          </w:p>
        </w:tc>
        <w:tc>
          <w:tcPr>
            <w:tcW w:w="940" w:type="dxa"/>
            <w:vAlign w:val="bottom"/>
          </w:tcPr>
          <w:p>
            <w:pPr>
              <w:spacing w:after="0"/>
              <w:rPr>
                <w:sz w:val="13"/>
                <w:szCs w:val="13"/>
                <w:color w:val="auto"/>
              </w:rPr>
            </w:pPr>
          </w:p>
        </w:tc>
        <w:tc>
          <w:tcPr>
            <w:tcW w:w="1400" w:type="dxa"/>
            <w:vAlign w:val="bottom"/>
          </w:tcPr>
          <w:p>
            <w:pPr>
              <w:jc w:val="right"/>
              <w:ind w:right="397"/>
              <w:spacing w:after="0"/>
              <w:rPr>
                <w:sz w:val="20"/>
                <w:szCs w:val="20"/>
                <w:color w:val="auto"/>
              </w:rPr>
            </w:pPr>
            <w:r>
              <w:rPr>
                <w:rFonts w:ascii="Arial" w:cs="Arial" w:eastAsia="Arial" w:hAnsi="Arial"/>
                <w:sz w:val="13"/>
                <w:szCs w:val="13"/>
                <w:color w:val="auto"/>
              </w:rPr>
              <w:t>957,680</w:t>
            </w:r>
          </w:p>
        </w:tc>
      </w:tr>
    </w:tbl>
    <w:p>
      <w:pPr>
        <w:spacing w:after="0" w:line="97" w:lineRule="exact"/>
        <w:rPr>
          <w:sz w:val="20"/>
          <w:szCs w:val="20"/>
          <w:color w:val="auto"/>
        </w:rPr>
      </w:pPr>
    </w:p>
    <w:p>
      <w:pPr>
        <w:jc w:val="both"/>
        <w:ind w:left="480" w:right="100" w:hanging="186"/>
        <w:spacing w:after="0" w:line="252" w:lineRule="auto"/>
        <w:tabs>
          <w:tab w:leader="none" w:pos="4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For Messrs. Lesar, Wells and Knight and Ms. Liu, the amount includes relocation payments during 2020 ($137,531, $65,076, $153,448 and $40,801, respectively). For Mr. Lesar, this amount includes the incremental cost to the Company attributable to security-related services provided to Mr. Lesar, including the use of a car and security personnel, such as a security driver, to mitigate risk to the Company by supporting Mr. Lesar’s safety, health and well-being. The Company considers costs for security-related services, which were put into place in accordance with the recommendations of an independent security consultant based on a security risk assessment, to be business expenses rather than personal benefits to Mr. Lesar; however, disclosure regulations require certain security expenses to be reported as personal benefits. The incremental cost for the use of the car is based on the annualized cost of the car over its useful life, including annual depreciation, as well as maintenance, insurance and fuel expense. The incremental cost of providing security personnel, including a security driver, includes the actual incremental cost of expenses incurred by such security personnel, but does not include the fixed costs associated with such personnel.</w:t>
      </w:r>
    </w:p>
    <w:p>
      <w:pPr>
        <w:spacing w:after="0" w:line="30" w:lineRule="exact"/>
        <w:rPr>
          <w:rFonts w:ascii="Arial" w:cs="Arial" w:eastAsia="Arial" w:hAnsi="Arial"/>
          <w:sz w:val="12"/>
          <w:szCs w:val="12"/>
          <w:color w:val="auto"/>
        </w:rPr>
      </w:pPr>
    </w:p>
    <w:p>
      <w:pPr>
        <w:jc w:val="both"/>
        <w:ind w:left="500" w:right="100"/>
        <w:spacing w:after="0" w:line="233" w:lineRule="auto"/>
        <w:rPr>
          <w:rFonts w:ascii="Arial" w:cs="Arial" w:eastAsia="Arial" w:hAnsi="Arial"/>
          <w:sz w:val="12"/>
          <w:szCs w:val="12"/>
          <w:color w:val="auto"/>
        </w:rPr>
      </w:pPr>
      <w:r>
        <w:rPr>
          <w:rFonts w:ascii="Arial" w:cs="Arial" w:eastAsia="Arial" w:hAnsi="Arial"/>
          <w:sz w:val="13"/>
          <w:szCs w:val="13"/>
          <w:color w:val="auto"/>
        </w:rPr>
        <w:t>For Messrs. Lesar, Somerhalder and Wells, due, in part, to safety concerns related to COVID-19 as well as security risk considerations identified in the aforementioned security assessment related to Mr. Lesar, this amount includes the incremental cost to the Company for personal travel on aircraft owned by the Company or provided by a third-party aircraft charter company. The incremental cost for personal travel on aircraft owned by the Company includes variable operating costs such as landing, parking, hanger and dead-head costs, crew</w:t>
      </w:r>
    </w:p>
    <w:p>
      <w:pPr>
        <w:spacing w:after="0" w:line="207"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820"/>
          </w:cols>
          <w:pgMar w:left="1080" w:top="305" w:right="999" w:bottom="1440" w:gutter="0" w:footer="0" w:header="0"/>
        </w:sectPr>
      </w:pPr>
    </w:p>
    <w:bookmarkStart w:id="63" w:name="page64"/>
    <w:bookmarkEnd w:id="6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6" w:lineRule="exact"/>
        <w:rPr>
          <w:sz w:val="20"/>
          <w:szCs w:val="20"/>
          <w:color w:val="auto"/>
        </w:rPr>
      </w:pPr>
    </w:p>
    <w:p>
      <w:pPr>
        <w:jc w:val="both"/>
        <w:ind w:left="500"/>
        <w:spacing w:after="0" w:line="231" w:lineRule="auto"/>
        <w:rPr>
          <w:sz w:val="20"/>
          <w:szCs w:val="20"/>
          <w:color w:val="auto"/>
        </w:rPr>
      </w:pPr>
      <w:r>
        <w:rPr>
          <w:rFonts w:ascii="Arial" w:cs="Arial" w:eastAsia="Arial" w:hAnsi="Arial"/>
          <w:sz w:val="13"/>
          <w:szCs w:val="13"/>
          <w:color w:val="auto"/>
        </w:rPr>
        <w:t>travel expenses, supplies and catering, fuel costs, and passenger ground transportation, and does not include an allocable share of fixed costs associated with the Company’s ownership of the aircraft ($68,352 and $10,233 for Messrs. Lesar and Somerhalder, respectively). No amounts were included where spouses or family members accompanied the executives on Company aircraft flights because there was no incremental cost to the Company. The incremental cost to the Company for personal travel on aircraft provided by a third-party aircraft charter company includes the amount invoiced to CenterPoint Energy for the hourly rate and operating costs of a particular flight ($230,480 and $41,012 for Messrs. Lesar and Wells, respectively). No amounts were included where spouses or family members accompanied the executives on flights provided by a third-party aircraft charter company because there was no incremental cost to the Company.</w:t>
      </w:r>
    </w:p>
    <w:p>
      <w:pPr>
        <w:spacing w:after="0" w:line="41" w:lineRule="exact"/>
        <w:rPr>
          <w:sz w:val="20"/>
          <w:szCs w:val="20"/>
          <w:color w:val="auto"/>
        </w:rPr>
      </w:pPr>
    </w:p>
    <w:p>
      <w:pPr>
        <w:jc w:val="both"/>
        <w:ind w:left="500"/>
        <w:spacing w:after="0" w:line="274" w:lineRule="auto"/>
        <w:rPr>
          <w:sz w:val="20"/>
          <w:szCs w:val="20"/>
          <w:color w:val="auto"/>
        </w:rPr>
      </w:pPr>
      <w:r>
        <w:rPr>
          <w:rFonts w:ascii="Arial" w:cs="Arial" w:eastAsia="Arial" w:hAnsi="Arial"/>
          <w:sz w:val="12"/>
          <w:szCs w:val="12"/>
          <w:color w:val="auto"/>
        </w:rPr>
        <w:t>Additionally, for Messrs. Lesar, Wells, Doyle, Prochazka and Vortherms and Ms. Liu, the amount includes financial planning services of $10,000, $4,002, $15,375, $15,375, $15,375 and $15,400, respectively. None of the other named executive officers received perquisites valued in excess of $10,000 during 2020.</w:t>
      </w:r>
    </w:p>
    <w:p>
      <w:pPr>
        <w:spacing w:after="0" w:line="30" w:lineRule="exact"/>
        <w:rPr>
          <w:sz w:val="20"/>
          <w:szCs w:val="20"/>
          <w:color w:val="auto"/>
        </w:rPr>
      </w:pPr>
    </w:p>
    <w:p>
      <w:pPr>
        <w:jc w:val="both"/>
        <w:ind w:left="480" w:hanging="186"/>
        <w:spacing w:after="0" w:line="231" w:lineRule="auto"/>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Messrs. Lesar, Wells and Knight, the tax reimbursement amount shown is for tax reimbursements paid to each of Messrs. Lesar, Wells and Knight, respectively, in respect of the taxes payable in respect of the relocation expenses we covered. For Mr. Carroll, the tax reimbursement amount shown represents the after-tax cost of imputed income that he is required to recognize as a result of coverage under the executive life insurance plan described in footnote (e) below. The tax reimbursement payments are calculated assuming the highest individual income tax rate is applicable. The annual premiums on the executive life insurance policies are payable solely by CenterPoint Energy, and in accordance with the Internal Revenue Code, Mr. Carroll must recognize imputed income based upon the insurer’s one-year level term rates. Mr. Carroll is also provided a tax reimbursement payment for all taxes due on the imputed income associated with the policy value so that coverage is provided at no cost to him.</w:t>
      </w:r>
    </w:p>
    <w:p>
      <w:pPr>
        <w:spacing w:after="0" w:line="51" w:lineRule="exact"/>
        <w:rPr>
          <w:rFonts w:ascii="Arial" w:cs="Arial" w:eastAsia="Arial" w:hAnsi="Arial"/>
          <w:sz w:val="13"/>
          <w:szCs w:val="13"/>
          <w:color w:val="auto"/>
        </w:rPr>
      </w:pPr>
    </w:p>
    <w:p>
      <w:pPr>
        <w:ind w:left="480" w:hanging="186"/>
        <w:spacing w:after="0"/>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These amounts represent CenterPoint Energy’s contributions to the savings plan, which is described under “Savings Plan and Savings Restoration Plans.”</w:t>
      </w:r>
    </w:p>
    <w:p>
      <w:pPr>
        <w:spacing w:after="0" w:line="52" w:lineRule="exact"/>
        <w:rPr>
          <w:rFonts w:ascii="Arial" w:cs="Arial" w:eastAsia="Arial" w:hAnsi="Arial"/>
          <w:sz w:val="13"/>
          <w:szCs w:val="13"/>
          <w:color w:val="auto"/>
        </w:rPr>
      </w:pPr>
    </w:p>
    <w:p>
      <w:pPr>
        <w:ind w:left="480" w:hanging="186"/>
        <w:spacing w:after="0"/>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These amounts represent benefits accrued under the savings restoration plan, which is described under “Savings Plan and Savings Restoration Plans.”</w:t>
      </w:r>
    </w:p>
    <w:p>
      <w:pPr>
        <w:spacing w:after="0" w:line="52" w:lineRule="exact"/>
        <w:rPr>
          <w:rFonts w:ascii="Arial" w:cs="Arial" w:eastAsia="Arial" w:hAnsi="Arial"/>
          <w:sz w:val="13"/>
          <w:szCs w:val="13"/>
          <w:color w:val="auto"/>
        </w:rPr>
      </w:pPr>
    </w:p>
    <w:p>
      <w:pPr>
        <w:jc w:val="both"/>
        <w:ind w:left="480" w:hanging="186"/>
        <w:spacing w:after="0" w:line="253" w:lineRule="auto"/>
        <w:tabs>
          <w:tab w:leader="none" w:pos="4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insurance premium amounts include annual premiums we pay to provide life insurance coverage and long-term disability coverage for our senior executive officers. Mr. Carroll participates in an executive life insurance plan as a director who was elected to the Board before 2001 and was not an employee of the Company at the time of his initial election. This executive life insurance plan provides endorsement split-dollar life insurance with a death benefit equal to six times the director’s annual retainer, excluding any supplemental retainer, with coverage continuing after the director’s retirement from the Board. Due to limits on the increases in the death benefit under this plan, the death benefit for Mr. Carroll under the plan is $180,000. Upon the death of the insured, the director’s beneficiaries will receive the specified death benefit, and CenterPoint Energy will receive any balance of the insurance proceeds payable in excess of the specified death benefit.</w:t>
      </w:r>
    </w:p>
    <w:p>
      <w:pPr>
        <w:spacing w:after="0" w:line="43" w:lineRule="exact"/>
        <w:rPr>
          <w:rFonts w:ascii="Arial" w:cs="Arial" w:eastAsia="Arial" w:hAnsi="Arial"/>
          <w:sz w:val="12"/>
          <w:szCs w:val="12"/>
          <w:color w:val="auto"/>
        </w:rPr>
      </w:pPr>
    </w:p>
    <w:p>
      <w:pPr>
        <w:ind w:left="480" w:hanging="186"/>
        <w:spacing w:after="0" w:line="237" w:lineRule="auto"/>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 connection with their respective departures from the Company effective February 19, 2020 and October 2, 2020, the Compensation Committee approved a lump-sum cash payment to each of Messrs. Prochazka and Vortherms, respectively.</w:t>
      </w:r>
    </w:p>
    <w:p>
      <w:pPr>
        <w:spacing w:after="0" w:line="49" w:lineRule="exact"/>
        <w:rPr>
          <w:rFonts w:ascii="Arial" w:cs="Arial" w:eastAsia="Arial" w:hAnsi="Arial"/>
          <w:sz w:val="13"/>
          <w:szCs w:val="13"/>
          <w:color w:val="auto"/>
        </w:rPr>
      </w:pPr>
    </w:p>
    <w:p>
      <w:pPr>
        <w:jc w:val="both"/>
        <w:ind w:left="480" w:hanging="186"/>
        <w:spacing w:after="0" w:line="233" w:lineRule="auto"/>
        <w:tabs>
          <w:tab w:leader="none" w:pos="4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Reported amounts in the table represent fees earned by Messrs. Lesar and Somerhalder during their respective capacities as independent directors of the Company. Effective February 19, 2020, Mr. Somerhalder was appointed as Interim President and Chief Executive Officer of the Company. Mr. Somerhalder resigned from his interim officer position and director position on June 30, 2020. Effective July 1, 2020, Mr. Lesar was appointed as President and Chief Executive Officer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Grants of Plan-Based Awards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following table presents the non-equity and equity incentive plan-based awards granted during 2020. The grant date fair value of equity awards is based on the probable achievement level of the underlying performance conditions as of the grant date at the closing price on the grant date, which was $26.43 for the February 19, 2020 grants, $23.82 for the March 13, 2020 grant (which reflects the closing price on March 4, 2020 in accordance with the terms of the compensation arrangements), $15.30 for the April 6, 2020 grants, $18.05 for the June 1, 2020 grant, $18.05 for the June 4, 2020 grant, $19.27 for the July 1, 2020 grants, $20.65 for the August 17, 2020 grant and $19.02 for the September 28, 2020 grant.</w:t>
      </w:r>
    </w:p>
    <w:p>
      <w:pPr>
        <w:spacing w:after="0" w:line="178" w:lineRule="exact"/>
        <w:rPr>
          <w:sz w:val="20"/>
          <w:szCs w:val="20"/>
          <w:color w:val="auto"/>
        </w:rPr>
      </w:pPr>
    </w:p>
    <w:p>
      <w:pPr>
        <w:ind w:left="400" w:hanging="391"/>
        <w:spacing w:after="0"/>
        <w:tabs>
          <w:tab w:leader="none" w:pos="400" w:val="left"/>
        </w:tabs>
        <w:numPr>
          <w:ilvl w:val="0"/>
          <w:numId w:val="70"/>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5"/>
        </w:trPr>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shd w:val="clear" w:color="auto" w:fill="0061AF"/>
          </w:tcPr>
          <w:p>
            <w:pPr>
              <w:spacing w:after="0"/>
              <w:rPr>
                <w:sz w:val="19"/>
                <w:szCs w:val="19"/>
                <w:color w:val="auto"/>
              </w:rPr>
            </w:pPr>
          </w:p>
        </w:tc>
        <w:tc>
          <w:tcPr>
            <w:tcW w:w="2040" w:type="dxa"/>
            <w:vAlign w:val="bottom"/>
            <w:gridSpan w:val="2"/>
            <w:shd w:val="clear" w:color="auto" w:fill="0061AF"/>
          </w:tcPr>
          <w:p>
            <w:pPr>
              <w:jc w:val="right"/>
              <w:ind w:right="77"/>
              <w:spacing w:after="0"/>
              <w:rPr>
                <w:sz w:val="20"/>
                <w:szCs w:val="20"/>
                <w:color w:val="auto"/>
              </w:rPr>
            </w:pPr>
            <w:r>
              <w:rPr>
                <w:rFonts w:ascii="Arial" w:cs="Arial" w:eastAsia="Arial" w:hAnsi="Arial"/>
                <w:sz w:val="16"/>
                <w:szCs w:val="16"/>
                <w:color w:val="FFFFFF"/>
              </w:rPr>
              <w:t>2021 Proxy Statement</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1400" w:type="dxa"/>
            <w:vAlign w:val="bottom"/>
            <w:tcBorders>
              <w:bottom w:val="single" w:sz="8" w:color="0061AF"/>
            </w:tcBorders>
          </w:tcPr>
          <w:p>
            <w:pPr>
              <w:spacing w:after="0"/>
              <w:rPr>
                <w:sz w:val="6"/>
                <w:szCs w:val="6"/>
                <w:color w:val="auto"/>
              </w:rPr>
            </w:pPr>
          </w:p>
        </w:tc>
        <w:tc>
          <w:tcPr>
            <w:tcW w:w="40" w:type="dxa"/>
            <w:vAlign w:val="bottom"/>
            <w:tcBorders>
              <w:bottom w:val="single" w:sz="8" w:color="0061AF"/>
            </w:tcBorders>
          </w:tcPr>
          <w:p>
            <w:pPr>
              <w:spacing w:after="0"/>
              <w:rPr>
                <w:sz w:val="6"/>
                <w:szCs w:val="6"/>
                <w:color w:val="auto"/>
              </w:rPr>
            </w:pPr>
          </w:p>
        </w:tc>
        <w:tc>
          <w:tcPr>
            <w:tcW w:w="820" w:type="dxa"/>
            <w:vAlign w:val="bottom"/>
            <w:tcBorders>
              <w:bottom w:val="single" w:sz="8" w:color="0061AF"/>
            </w:tcBorders>
          </w:tcPr>
          <w:p>
            <w:pPr>
              <w:spacing w:after="0"/>
              <w:rPr>
                <w:sz w:val="6"/>
                <w:szCs w:val="6"/>
                <w:color w:val="auto"/>
              </w:rPr>
            </w:pPr>
          </w:p>
        </w:tc>
        <w:tc>
          <w:tcPr>
            <w:tcW w:w="880" w:type="dxa"/>
            <w:vAlign w:val="bottom"/>
            <w:tcBorders>
              <w:bottom w:val="single" w:sz="8" w:color="0061AF"/>
            </w:tcBorders>
          </w:tcPr>
          <w:p>
            <w:pPr>
              <w:spacing w:after="0"/>
              <w:rPr>
                <w:sz w:val="6"/>
                <w:szCs w:val="6"/>
                <w:color w:val="auto"/>
              </w:rPr>
            </w:pPr>
          </w:p>
        </w:tc>
        <w:tc>
          <w:tcPr>
            <w:tcW w:w="780" w:type="dxa"/>
            <w:vAlign w:val="bottom"/>
            <w:tcBorders>
              <w:bottom w:val="single" w:sz="8" w:color="0061AF"/>
            </w:tcBorders>
          </w:tcPr>
          <w:p>
            <w:pPr>
              <w:spacing w:after="0"/>
              <w:rPr>
                <w:sz w:val="6"/>
                <w:szCs w:val="6"/>
                <w:color w:val="auto"/>
              </w:rPr>
            </w:pPr>
          </w:p>
        </w:tc>
        <w:tc>
          <w:tcPr>
            <w:tcW w:w="860" w:type="dxa"/>
            <w:vAlign w:val="bottom"/>
            <w:tcBorders>
              <w:bottom w:val="single" w:sz="8" w:color="0061AF"/>
            </w:tcBorders>
          </w:tcPr>
          <w:p>
            <w:pPr>
              <w:spacing w:after="0"/>
              <w:rPr>
                <w:sz w:val="6"/>
                <w:szCs w:val="6"/>
                <w:color w:val="auto"/>
              </w:rPr>
            </w:pPr>
          </w:p>
        </w:tc>
        <w:tc>
          <w:tcPr>
            <w:tcW w:w="740" w:type="dxa"/>
            <w:vAlign w:val="bottom"/>
            <w:tcBorders>
              <w:bottom w:val="single" w:sz="8" w:color="0061AF"/>
            </w:tcBorders>
          </w:tcPr>
          <w:p>
            <w:pPr>
              <w:spacing w:after="0"/>
              <w:rPr>
                <w:sz w:val="6"/>
                <w:szCs w:val="6"/>
                <w:color w:val="auto"/>
              </w:rPr>
            </w:pPr>
          </w:p>
        </w:tc>
        <w:tc>
          <w:tcPr>
            <w:tcW w:w="800" w:type="dxa"/>
            <w:vAlign w:val="bottom"/>
            <w:tcBorders>
              <w:bottom w:val="single" w:sz="8" w:color="0061AF"/>
            </w:tcBorders>
          </w:tcPr>
          <w:p>
            <w:pPr>
              <w:spacing w:after="0"/>
              <w:rPr>
                <w:sz w:val="6"/>
                <w:szCs w:val="6"/>
                <w:color w:val="auto"/>
              </w:rPr>
            </w:pPr>
          </w:p>
        </w:tc>
        <w:tc>
          <w:tcPr>
            <w:tcW w:w="920" w:type="dxa"/>
            <w:vAlign w:val="bottom"/>
            <w:tcBorders>
              <w:bottom w:val="single" w:sz="8" w:color="0061AF"/>
            </w:tcBorders>
          </w:tcPr>
          <w:p>
            <w:pPr>
              <w:spacing w:after="0"/>
              <w:rPr>
                <w:sz w:val="6"/>
                <w:szCs w:val="6"/>
                <w:color w:val="auto"/>
              </w:rPr>
            </w:pPr>
          </w:p>
        </w:tc>
        <w:tc>
          <w:tcPr>
            <w:tcW w:w="340" w:type="dxa"/>
            <w:vAlign w:val="bottom"/>
            <w:tcBorders>
              <w:bottom w:val="single" w:sz="8" w:color="0061AF"/>
            </w:tcBorders>
          </w:tcPr>
          <w:p>
            <w:pPr>
              <w:spacing w:after="0"/>
              <w:rPr>
                <w:sz w:val="6"/>
                <w:szCs w:val="6"/>
                <w:color w:val="auto"/>
              </w:rPr>
            </w:pPr>
          </w:p>
        </w:tc>
        <w:tc>
          <w:tcPr>
            <w:tcW w:w="100" w:type="dxa"/>
            <w:vAlign w:val="bottom"/>
            <w:tcBorders>
              <w:bottom w:val="single" w:sz="8" w:color="0061AF"/>
            </w:tcBorders>
            <w:shd w:val="clear" w:color="auto" w:fill="0061AF"/>
          </w:tcPr>
          <w:p>
            <w:pPr>
              <w:spacing w:after="0"/>
              <w:rPr>
                <w:sz w:val="6"/>
                <w:szCs w:val="6"/>
                <w:color w:val="auto"/>
              </w:rPr>
            </w:pPr>
          </w:p>
        </w:tc>
        <w:tc>
          <w:tcPr>
            <w:tcW w:w="2040" w:type="dxa"/>
            <w:vAlign w:val="bottom"/>
            <w:tcBorders>
              <w:bottom w:val="single" w:sz="8" w:color="0061AF"/>
            </w:tcBorders>
            <w:gridSpan w:val="2"/>
            <w:shd w:val="clear" w:color="auto" w:fill="0061AF"/>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i w:val="1"/>
                <w:iCs w:val="1"/>
                <w:color w:val="auto"/>
                <w:w w:val="74"/>
              </w:rPr>
              <w:t>Executive</w:t>
            </w:r>
          </w:p>
        </w:tc>
        <w:tc>
          <w:tcPr>
            <w:tcW w:w="2040" w:type="dxa"/>
            <w:vAlign w:val="bottom"/>
            <w:gridSpan w:val="2"/>
          </w:tcPr>
          <w:p>
            <w:pPr>
              <w:jc w:val="right"/>
              <w:spacing w:after="0"/>
              <w:rPr>
                <w:sz w:val="20"/>
                <w:szCs w:val="20"/>
                <w:color w:val="auto"/>
              </w:rPr>
            </w:pPr>
            <w:r>
              <w:rPr>
                <w:rFonts w:ascii="Arial" w:cs="Arial" w:eastAsia="Arial" w:hAnsi="Arial"/>
                <w:sz w:val="13"/>
                <w:szCs w:val="13"/>
                <w:i w:val="1"/>
                <w:iCs w:val="1"/>
                <w:color w:val="auto"/>
              </w:rPr>
              <w:t>Compensation Tables (continued)</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8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400" w:type="dxa"/>
            <w:vAlign w:val="bottom"/>
            <w:shd w:val="clear" w:color="auto" w:fill="0061AF"/>
          </w:tcPr>
          <w:p>
            <w:pPr>
              <w:spacing w:after="0"/>
              <w:rPr>
                <w:sz w:val="10"/>
                <w:szCs w:val="10"/>
                <w:color w:val="auto"/>
              </w:rPr>
            </w:pPr>
          </w:p>
        </w:tc>
        <w:tc>
          <w:tcPr>
            <w:tcW w:w="40" w:type="dxa"/>
            <w:vAlign w:val="bottom"/>
            <w:shd w:val="clear" w:color="auto" w:fill="0061AF"/>
          </w:tcPr>
          <w:p>
            <w:pPr>
              <w:spacing w:after="0"/>
              <w:rPr>
                <w:sz w:val="10"/>
                <w:szCs w:val="10"/>
                <w:color w:val="auto"/>
              </w:rPr>
            </w:pPr>
          </w:p>
        </w:tc>
        <w:tc>
          <w:tcPr>
            <w:tcW w:w="820" w:type="dxa"/>
            <w:vAlign w:val="bottom"/>
            <w:shd w:val="clear" w:color="auto" w:fill="0061AF"/>
          </w:tcPr>
          <w:p>
            <w:pPr>
              <w:spacing w:after="0"/>
              <w:rPr>
                <w:sz w:val="10"/>
                <w:szCs w:val="10"/>
                <w:color w:val="auto"/>
              </w:rPr>
            </w:pPr>
          </w:p>
        </w:tc>
        <w:tc>
          <w:tcPr>
            <w:tcW w:w="880" w:type="dxa"/>
            <w:vAlign w:val="bottom"/>
            <w:shd w:val="clear" w:color="auto" w:fill="0061AF"/>
          </w:tcPr>
          <w:p>
            <w:pPr>
              <w:spacing w:after="0"/>
              <w:rPr>
                <w:sz w:val="10"/>
                <w:szCs w:val="10"/>
                <w:color w:val="auto"/>
              </w:rPr>
            </w:pPr>
          </w:p>
        </w:tc>
        <w:tc>
          <w:tcPr>
            <w:tcW w:w="2380" w:type="dxa"/>
            <w:vAlign w:val="bottom"/>
            <w:gridSpan w:val="3"/>
            <w:shd w:val="clear" w:color="auto" w:fill="0061AF"/>
          </w:tcPr>
          <w:p>
            <w:pPr>
              <w:jc w:val="center"/>
              <w:ind w:right="117"/>
              <w:spacing w:after="0" w:line="117" w:lineRule="exact"/>
              <w:rPr>
                <w:sz w:val="20"/>
                <w:szCs w:val="20"/>
                <w:color w:val="auto"/>
              </w:rPr>
            </w:pPr>
            <w:r>
              <w:rPr>
                <w:rFonts w:ascii="Arial" w:cs="Arial" w:eastAsia="Arial" w:hAnsi="Arial"/>
                <w:sz w:val="12"/>
                <w:szCs w:val="12"/>
                <w:b w:val="1"/>
                <w:bCs w:val="1"/>
                <w:color w:val="FFFFFF"/>
                <w:w w:val="98"/>
              </w:rPr>
              <w:t>Estimated Possible Payouts Under</w:t>
            </w:r>
          </w:p>
        </w:tc>
        <w:tc>
          <w:tcPr>
            <w:tcW w:w="800" w:type="dxa"/>
            <w:vAlign w:val="bottom"/>
            <w:shd w:val="clear" w:color="auto" w:fill="0061AF"/>
          </w:tcPr>
          <w:p>
            <w:pPr>
              <w:spacing w:after="0"/>
              <w:rPr>
                <w:sz w:val="10"/>
                <w:szCs w:val="10"/>
                <w:color w:val="auto"/>
              </w:rPr>
            </w:pPr>
          </w:p>
        </w:tc>
        <w:tc>
          <w:tcPr>
            <w:tcW w:w="920" w:type="dxa"/>
            <w:vAlign w:val="bottom"/>
            <w:shd w:val="clear" w:color="auto" w:fill="0061AF"/>
          </w:tcPr>
          <w:p>
            <w:pPr>
              <w:spacing w:after="0"/>
              <w:rPr>
                <w:sz w:val="10"/>
                <w:szCs w:val="10"/>
                <w:color w:val="auto"/>
              </w:rPr>
            </w:pPr>
          </w:p>
        </w:tc>
        <w:tc>
          <w:tcPr>
            <w:tcW w:w="340" w:type="dxa"/>
            <w:vAlign w:val="bottom"/>
            <w:shd w:val="clear" w:color="auto" w:fill="0061AF"/>
          </w:tcPr>
          <w:p>
            <w:pPr>
              <w:spacing w:after="0"/>
              <w:rPr>
                <w:sz w:val="10"/>
                <w:szCs w:val="10"/>
                <w:color w:val="auto"/>
              </w:rPr>
            </w:pPr>
          </w:p>
        </w:tc>
        <w:tc>
          <w:tcPr>
            <w:tcW w:w="100" w:type="dxa"/>
            <w:vAlign w:val="bottom"/>
            <w:shd w:val="clear" w:color="auto" w:fill="0061AF"/>
          </w:tcPr>
          <w:p>
            <w:pPr>
              <w:spacing w:after="0"/>
              <w:rPr>
                <w:sz w:val="10"/>
                <w:szCs w:val="10"/>
                <w:color w:val="auto"/>
              </w:rPr>
            </w:pPr>
          </w:p>
        </w:tc>
        <w:tc>
          <w:tcPr>
            <w:tcW w:w="840" w:type="dxa"/>
            <w:vAlign w:val="bottom"/>
            <w:shd w:val="clear" w:color="auto" w:fill="0061AF"/>
          </w:tcPr>
          <w:p>
            <w:pPr>
              <w:spacing w:after="0"/>
              <w:rPr>
                <w:sz w:val="10"/>
                <w:szCs w:val="10"/>
                <w:color w:val="auto"/>
              </w:rPr>
            </w:pPr>
          </w:p>
        </w:tc>
        <w:tc>
          <w:tcPr>
            <w:tcW w:w="1200" w:type="dxa"/>
            <w:vAlign w:val="bottom"/>
            <w:shd w:val="clear" w:color="auto" w:fill="0061AF"/>
          </w:tcPr>
          <w:p>
            <w:pPr>
              <w:spacing w:after="0"/>
              <w:rPr>
                <w:sz w:val="10"/>
                <w:szCs w:val="10"/>
                <w:color w:val="auto"/>
              </w:rPr>
            </w:pPr>
          </w:p>
        </w:tc>
        <w:tc>
          <w:tcPr>
            <w:tcW w:w="60" w:type="dxa"/>
            <w:vAlign w:val="bottom"/>
            <w:shd w:val="clear" w:color="auto" w:fill="0061AF"/>
          </w:tcPr>
          <w:p>
            <w:pPr>
              <w:spacing w:after="0"/>
              <w:rPr>
                <w:sz w:val="10"/>
                <w:szCs w:val="10"/>
                <w:color w:val="auto"/>
              </w:rPr>
            </w:pPr>
          </w:p>
        </w:tc>
        <w:tc>
          <w:tcPr>
            <w:tcW w:w="740" w:type="dxa"/>
            <w:vAlign w:val="bottom"/>
            <w:shd w:val="clear" w:color="auto" w:fill="0061A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400" w:type="dxa"/>
            <w:vAlign w:val="bottom"/>
            <w:shd w:val="clear" w:color="auto" w:fill="0061AF"/>
          </w:tcPr>
          <w:p>
            <w:pPr>
              <w:spacing w:after="0"/>
              <w:rPr>
                <w:sz w:val="11"/>
                <w:szCs w:val="11"/>
                <w:color w:val="auto"/>
              </w:rPr>
            </w:pPr>
          </w:p>
        </w:tc>
        <w:tc>
          <w:tcPr>
            <w:tcW w:w="40" w:type="dxa"/>
            <w:vAlign w:val="bottom"/>
            <w:shd w:val="clear" w:color="auto" w:fill="0061AF"/>
          </w:tcPr>
          <w:p>
            <w:pPr>
              <w:spacing w:after="0"/>
              <w:rPr>
                <w:sz w:val="11"/>
                <w:szCs w:val="11"/>
                <w:color w:val="auto"/>
              </w:rPr>
            </w:pPr>
          </w:p>
        </w:tc>
        <w:tc>
          <w:tcPr>
            <w:tcW w:w="820" w:type="dxa"/>
            <w:vAlign w:val="bottom"/>
            <w:shd w:val="clear" w:color="auto" w:fill="0061AF"/>
          </w:tcPr>
          <w:p>
            <w:pPr>
              <w:spacing w:after="0"/>
              <w:rPr>
                <w:sz w:val="11"/>
                <w:szCs w:val="11"/>
                <w:color w:val="auto"/>
              </w:rPr>
            </w:pPr>
          </w:p>
        </w:tc>
        <w:tc>
          <w:tcPr>
            <w:tcW w:w="880" w:type="dxa"/>
            <w:vAlign w:val="bottom"/>
            <w:shd w:val="clear" w:color="auto" w:fill="0061AF"/>
          </w:tcPr>
          <w:p>
            <w:pPr>
              <w:spacing w:after="0"/>
              <w:rPr>
                <w:sz w:val="11"/>
                <w:szCs w:val="11"/>
                <w:color w:val="auto"/>
              </w:rPr>
            </w:pPr>
          </w:p>
        </w:tc>
        <w:tc>
          <w:tcPr>
            <w:tcW w:w="2380" w:type="dxa"/>
            <w:vAlign w:val="bottom"/>
            <w:gridSpan w:val="3"/>
            <w:shd w:val="clear" w:color="auto" w:fill="0061AF"/>
          </w:tcPr>
          <w:p>
            <w:pPr>
              <w:jc w:val="center"/>
              <w:ind w:right="97"/>
              <w:spacing w:after="0" w:line="131" w:lineRule="exact"/>
              <w:rPr>
                <w:sz w:val="20"/>
                <w:szCs w:val="20"/>
                <w:color w:val="auto"/>
              </w:rPr>
            </w:pPr>
            <w:r>
              <w:rPr>
                <w:rFonts w:ascii="Arial" w:cs="Arial" w:eastAsia="Arial" w:hAnsi="Arial"/>
                <w:sz w:val="12"/>
                <w:szCs w:val="12"/>
                <w:b w:val="1"/>
                <w:bCs w:val="1"/>
                <w:color w:val="FFFFFF"/>
                <w:w w:val="98"/>
              </w:rPr>
              <w:t>Non-Equity Incentive Plan</w:t>
            </w:r>
          </w:p>
        </w:tc>
        <w:tc>
          <w:tcPr>
            <w:tcW w:w="800" w:type="dxa"/>
            <w:vAlign w:val="bottom"/>
            <w:shd w:val="clear" w:color="auto" w:fill="0061AF"/>
          </w:tcPr>
          <w:p>
            <w:pPr>
              <w:spacing w:after="0"/>
              <w:rPr>
                <w:sz w:val="11"/>
                <w:szCs w:val="11"/>
                <w:color w:val="auto"/>
              </w:rPr>
            </w:pPr>
          </w:p>
        </w:tc>
        <w:tc>
          <w:tcPr>
            <w:tcW w:w="3460" w:type="dxa"/>
            <w:vAlign w:val="bottom"/>
            <w:gridSpan w:val="6"/>
            <w:shd w:val="clear" w:color="auto" w:fill="0061AF"/>
          </w:tcPr>
          <w:p>
            <w:pPr>
              <w:ind w:left="100"/>
              <w:spacing w:after="0" w:line="131" w:lineRule="exact"/>
              <w:rPr>
                <w:sz w:val="20"/>
                <w:szCs w:val="20"/>
                <w:color w:val="auto"/>
              </w:rPr>
            </w:pPr>
            <w:r>
              <w:rPr>
                <w:rFonts w:ascii="Arial" w:cs="Arial" w:eastAsia="Arial" w:hAnsi="Arial"/>
                <w:sz w:val="12"/>
                <w:szCs w:val="12"/>
                <w:b w:val="1"/>
                <w:bCs w:val="1"/>
                <w:color w:val="FFFFFF"/>
              </w:rPr>
              <w:t>Estimated Future Payouts Under Equity Incentive Plan</w:t>
            </w:r>
          </w:p>
        </w:tc>
        <w:tc>
          <w:tcPr>
            <w:tcW w:w="740" w:type="dxa"/>
            <w:vAlign w:val="bottom"/>
            <w:shd w:val="clear" w:color="auto" w:fill="0061A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00" w:type="dxa"/>
            <w:vAlign w:val="bottom"/>
            <w:shd w:val="clear" w:color="auto" w:fill="0061AF"/>
          </w:tcPr>
          <w:p>
            <w:pPr>
              <w:spacing w:after="0"/>
              <w:rPr>
                <w:sz w:val="12"/>
                <w:szCs w:val="12"/>
                <w:color w:val="auto"/>
              </w:rPr>
            </w:pPr>
          </w:p>
        </w:tc>
        <w:tc>
          <w:tcPr>
            <w:tcW w:w="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860" w:type="dxa"/>
            <w:vAlign w:val="bottom"/>
            <w:shd w:val="clear" w:color="auto" w:fill="0061AF"/>
          </w:tcPr>
          <w:p>
            <w:pPr>
              <w:jc w:val="center"/>
              <w:ind w:right="157"/>
              <w:spacing w:after="0"/>
              <w:rPr>
                <w:sz w:val="20"/>
                <w:szCs w:val="20"/>
                <w:color w:val="auto"/>
              </w:rPr>
            </w:pPr>
            <w:r>
              <w:rPr>
                <w:rFonts w:ascii="Arial" w:cs="Arial" w:eastAsia="Arial" w:hAnsi="Arial"/>
                <w:sz w:val="12"/>
                <w:szCs w:val="12"/>
                <w:b w:val="1"/>
                <w:bCs w:val="1"/>
                <w:color w:val="FFFFFF"/>
              </w:rPr>
              <w:t>Awards</w:t>
            </w:r>
            <w:r>
              <w:rPr>
                <w:rFonts w:ascii="Arial" w:cs="Arial" w:eastAsia="Arial" w:hAnsi="Arial"/>
                <w:sz w:val="10"/>
                <w:szCs w:val="10"/>
                <w:b w:val="1"/>
                <w:bCs w:val="1"/>
                <w:color w:val="FFFFFF"/>
              </w:rPr>
              <w:t>(1)</w:t>
            </w:r>
          </w:p>
        </w:tc>
        <w:tc>
          <w:tcPr>
            <w:tcW w:w="740" w:type="dxa"/>
            <w:vAlign w:val="bottom"/>
            <w:shd w:val="clear" w:color="auto" w:fill="0061AF"/>
          </w:tcPr>
          <w:p>
            <w:pPr>
              <w:spacing w:after="0"/>
              <w:rPr>
                <w:sz w:val="12"/>
                <w:szCs w:val="12"/>
                <w:color w:val="auto"/>
              </w:rPr>
            </w:pPr>
          </w:p>
        </w:tc>
        <w:tc>
          <w:tcPr>
            <w:tcW w:w="800" w:type="dxa"/>
            <w:vAlign w:val="bottom"/>
            <w:shd w:val="clear" w:color="auto" w:fill="0061AF"/>
          </w:tcPr>
          <w:p>
            <w:pPr>
              <w:spacing w:after="0"/>
              <w:rPr>
                <w:sz w:val="12"/>
                <w:szCs w:val="12"/>
                <w:color w:val="auto"/>
              </w:rPr>
            </w:pPr>
          </w:p>
        </w:tc>
        <w:tc>
          <w:tcPr>
            <w:tcW w:w="920" w:type="dxa"/>
            <w:vAlign w:val="bottom"/>
            <w:shd w:val="clear" w:color="auto" w:fill="0061AF"/>
          </w:tcPr>
          <w:p>
            <w:pPr>
              <w:spacing w:after="0"/>
              <w:rPr>
                <w:sz w:val="12"/>
                <w:szCs w:val="12"/>
                <w:color w:val="auto"/>
              </w:rPr>
            </w:pPr>
          </w:p>
        </w:tc>
        <w:tc>
          <w:tcPr>
            <w:tcW w:w="340" w:type="dxa"/>
            <w:vAlign w:val="bottom"/>
            <w:shd w:val="clear" w:color="auto" w:fill="0061AF"/>
          </w:tcPr>
          <w:p>
            <w:pPr>
              <w:spacing w:after="0"/>
              <w:rPr>
                <w:sz w:val="12"/>
                <w:szCs w:val="12"/>
                <w:color w:val="auto"/>
              </w:rPr>
            </w:pPr>
          </w:p>
        </w:tc>
        <w:tc>
          <w:tcPr>
            <w:tcW w:w="100" w:type="dxa"/>
            <w:vAlign w:val="bottom"/>
            <w:shd w:val="clear" w:color="auto" w:fill="0061AF"/>
          </w:tcPr>
          <w:p>
            <w:pPr>
              <w:spacing w:after="0"/>
              <w:rPr>
                <w:sz w:val="12"/>
                <w:szCs w:val="12"/>
                <w:color w:val="auto"/>
              </w:rPr>
            </w:pPr>
          </w:p>
        </w:tc>
        <w:tc>
          <w:tcPr>
            <w:tcW w:w="840" w:type="dxa"/>
            <w:vAlign w:val="bottom"/>
            <w:shd w:val="clear" w:color="auto" w:fill="0061AF"/>
          </w:tcPr>
          <w:p>
            <w:pPr>
              <w:jc w:val="right"/>
              <w:ind w:right="197"/>
              <w:spacing w:after="0"/>
              <w:rPr>
                <w:sz w:val="20"/>
                <w:szCs w:val="20"/>
                <w:color w:val="auto"/>
              </w:rPr>
            </w:pPr>
            <w:r>
              <w:rPr>
                <w:rFonts w:ascii="Arial" w:cs="Arial" w:eastAsia="Arial" w:hAnsi="Arial"/>
                <w:sz w:val="12"/>
                <w:szCs w:val="12"/>
                <w:b w:val="1"/>
                <w:bCs w:val="1"/>
                <w:color w:val="FFFFFF"/>
              </w:rPr>
              <w:t>Awards</w:t>
            </w:r>
            <w:r>
              <w:rPr>
                <w:rFonts w:ascii="Arial" w:cs="Arial" w:eastAsia="Arial" w:hAnsi="Arial"/>
                <w:sz w:val="10"/>
                <w:szCs w:val="10"/>
                <w:b w:val="1"/>
                <w:bCs w:val="1"/>
                <w:color w:val="FFFFFF"/>
              </w:rPr>
              <w:t>(2)</w:t>
            </w:r>
          </w:p>
        </w:tc>
        <w:tc>
          <w:tcPr>
            <w:tcW w:w="1200" w:type="dxa"/>
            <w:vAlign w:val="bottom"/>
            <w:shd w:val="clear" w:color="auto" w:fill="0061AF"/>
          </w:tcPr>
          <w:p>
            <w:pPr>
              <w:spacing w:after="0"/>
              <w:rPr>
                <w:sz w:val="12"/>
                <w:szCs w:val="12"/>
                <w:color w:val="auto"/>
              </w:rPr>
            </w:pPr>
          </w:p>
        </w:tc>
        <w:tc>
          <w:tcPr>
            <w:tcW w:w="60" w:type="dxa"/>
            <w:vAlign w:val="bottom"/>
            <w:shd w:val="clear" w:color="auto" w:fill="0061AF"/>
          </w:tcPr>
          <w:p>
            <w:pPr>
              <w:spacing w:after="0"/>
              <w:rPr>
                <w:sz w:val="12"/>
                <w:szCs w:val="12"/>
                <w:color w:val="auto"/>
              </w:rPr>
            </w:pPr>
          </w:p>
        </w:tc>
        <w:tc>
          <w:tcPr>
            <w:tcW w:w="740" w:type="dxa"/>
            <w:vAlign w:val="bottom"/>
            <w:vMerge w:val="restart"/>
            <w:shd w:val="clear" w:color="auto" w:fill="0061AF"/>
          </w:tcPr>
          <w:p>
            <w:pPr>
              <w:jc w:val="center"/>
              <w:spacing w:after="0"/>
              <w:rPr>
                <w:sz w:val="20"/>
                <w:szCs w:val="20"/>
                <w:color w:val="auto"/>
              </w:rPr>
            </w:pPr>
            <w:r>
              <w:rPr>
                <w:rFonts w:ascii="Arial" w:cs="Arial" w:eastAsia="Arial" w:hAnsi="Arial"/>
                <w:sz w:val="12"/>
                <w:szCs w:val="12"/>
                <w:b w:val="1"/>
                <w:bCs w:val="1"/>
                <w:color w:val="FFFFFF"/>
                <w:w w:val="97"/>
              </w:rPr>
              <w:t>Grant Date</w:t>
            </w:r>
          </w:p>
        </w:tc>
        <w:tc>
          <w:tcPr>
            <w:tcW w:w="0" w:type="dxa"/>
            <w:vAlign w:val="bottom"/>
          </w:tcPr>
          <w:p>
            <w:pPr>
              <w:spacing w:after="0"/>
              <w:rPr>
                <w:sz w:val="1"/>
                <w:szCs w:val="1"/>
                <w:color w:val="auto"/>
              </w:rPr>
            </w:pPr>
          </w:p>
        </w:tc>
      </w:tr>
      <w:tr>
        <w:trPr>
          <w:trHeight w:val="116"/>
        </w:trPr>
        <w:tc>
          <w:tcPr>
            <w:tcW w:w="1400" w:type="dxa"/>
            <w:vAlign w:val="bottom"/>
            <w:shd w:val="clear" w:color="auto" w:fill="0061AF"/>
          </w:tcPr>
          <w:p>
            <w:pPr>
              <w:spacing w:after="0"/>
              <w:rPr>
                <w:sz w:val="10"/>
                <w:szCs w:val="10"/>
                <w:color w:val="auto"/>
              </w:rPr>
            </w:pPr>
          </w:p>
        </w:tc>
        <w:tc>
          <w:tcPr>
            <w:tcW w:w="40" w:type="dxa"/>
            <w:vAlign w:val="bottom"/>
            <w:shd w:val="clear" w:color="auto" w:fill="0061AF"/>
          </w:tcPr>
          <w:p>
            <w:pPr>
              <w:spacing w:after="0"/>
              <w:rPr>
                <w:sz w:val="10"/>
                <w:szCs w:val="10"/>
                <w:color w:val="auto"/>
              </w:rPr>
            </w:pPr>
          </w:p>
        </w:tc>
        <w:tc>
          <w:tcPr>
            <w:tcW w:w="820" w:type="dxa"/>
            <w:vAlign w:val="bottom"/>
            <w:shd w:val="clear" w:color="auto" w:fill="0061AF"/>
          </w:tcPr>
          <w:p>
            <w:pPr>
              <w:spacing w:after="0"/>
              <w:rPr>
                <w:sz w:val="10"/>
                <w:szCs w:val="10"/>
                <w:color w:val="auto"/>
              </w:rPr>
            </w:pPr>
          </w:p>
        </w:tc>
        <w:tc>
          <w:tcPr>
            <w:tcW w:w="880" w:type="dxa"/>
            <w:vAlign w:val="bottom"/>
            <w:shd w:val="clear" w:color="auto" w:fill="0061AF"/>
          </w:tcPr>
          <w:p>
            <w:pPr>
              <w:spacing w:after="0"/>
              <w:rPr>
                <w:sz w:val="10"/>
                <w:szCs w:val="10"/>
                <w:color w:val="auto"/>
              </w:rPr>
            </w:pPr>
          </w:p>
        </w:tc>
        <w:tc>
          <w:tcPr>
            <w:tcW w:w="780" w:type="dxa"/>
            <w:vAlign w:val="bottom"/>
            <w:shd w:val="clear" w:color="auto" w:fill="0061AF"/>
          </w:tcPr>
          <w:p>
            <w:pPr>
              <w:spacing w:after="0"/>
              <w:rPr>
                <w:sz w:val="10"/>
                <w:szCs w:val="10"/>
                <w:color w:val="auto"/>
              </w:rPr>
            </w:pPr>
          </w:p>
        </w:tc>
        <w:tc>
          <w:tcPr>
            <w:tcW w:w="860" w:type="dxa"/>
            <w:vAlign w:val="bottom"/>
            <w:shd w:val="clear" w:color="auto" w:fill="0061AF"/>
          </w:tcPr>
          <w:p>
            <w:pPr>
              <w:spacing w:after="0"/>
              <w:rPr>
                <w:sz w:val="10"/>
                <w:szCs w:val="10"/>
                <w:color w:val="auto"/>
              </w:rPr>
            </w:pPr>
          </w:p>
        </w:tc>
        <w:tc>
          <w:tcPr>
            <w:tcW w:w="740" w:type="dxa"/>
            <w:vAlign w:val="bottom"/>
            <w:shd w:val="clear" w:color="auto" w:fill="0061AF"/>
          </w:tcPr>
          <w:p>
            <w:pPr>
              <w:spacing w:after="0"/>
              <w:rPr>
                <w:sz w:val="10"/>
                <w:szCs w:val="10"/>
                <w:color w:val="auto"/>
              </w:rPr>
            </w:pPr>
          </w:p>
        </w:tc>
        <w:tc>
          <w:tcPr>
            <w:tcW w:w="800" w:type="dxa"/>
            <w:vAlign w:val="bottom"/>
            <w:shd w:val="clear" w:color="auto" w:fill="0061AF"/>
          </w:tcPr>
          <w:p>
            <w:pPr>
              <w:spacing w:after="0"/>
              <w:rPr>
                <w:sz w:val="10"/>
                <w:szCs w:val="10"/>
                <w:color w:val="auto"/>
              </w:rPr>
            </w:pPr>
          </w:p>
        </w:tc>
        <w:tc>
          <w:tcPr>
            <w:tcW w:w="920" w:type="dxa"/>
            <w:vAlign w:val="bottom"/>
            <w:shd w:val="clear" w:color="auto" w:fill="0061AF"/>
          </w:tcPr>
          <w:p>
            <w:pPr>
              <w:spacing w:after="0"/>
              <w:rPr>
                <w:sz w:val="10"/>
                <w:szCs w:val="10"/>
                <w:color w:val="auto"/>
              </w:rPr>
            </w:pPr>
          </w:p>
        </w:tc>
        <w:tc>
          <w:tcPr>
            <w:tcW w:w="340" w:type="dxa"/>
            <w:vAlign w:val="bottom"/>
            <w:shd w:val="clear" w:color="auto" w:fill="0061AF"/>
          </w:tcPr>
          <w:p>
            <w:pPr>
              <w:spacing w:after="0"/>
              <w:rPr>
                <w:sz w:val="10"/>
                <w:szCs w:val="10"/>
                <w:color w:val="auto"/>
              </w:rPr>
            </w:pPr>
          </w:p>
        </w:tc>
        <w:tc>
          <w:tcPr>
            <w:tcW w:w="100" w:type="dxa"/>
            <w:vAlign w:val="bottom"/>
            <w:shd w:val="clear" w:color="auto" w:fill="0061AF"/>
          </w:tcPr>
          <w:p>
            <w:pPr>
              <w:spacing w:after="0"/>
              <w:rPr>
                <w:sz w:val="10"/>
                <w:szCs w:val="10"/>
                <w:color w:val="auto"/>
              </w:rPr>
            </w:pPr>
          </w:p>
        </w:tc>
        <w:tc>
          <w:tcPr>
            <w:tcW w:w="840" w:type="dxa"/>
            <w:vAlign w:val="bottom"/>
            <w:shd w:val="clear" w:color="auto" w:fill="0061AF"/>
          </w:tcPr>
          <w:p>
            <w:pPr>
              <w:spacing w:after="0"/>
              <w:rPr>
                <w:sz w:val="10"/>
                <w:szCs w:val="10"/>
                <w:color w:val="auto"/>
              </w:rPr>
            </w:pPr>
          </w:p>
        </w:tc>
        <w:tc>
          <w:tcPr>
            <w:tcW w:w="1200" w:type="dxa"/>
            <w:vAlign w:val="bottom"/>
            <w:shd w:val="clear" w:color="auto" w:fill="0061AF"/>
          </w:tcPr>
          <w:p>
            <w:pPr>
              <w:spacing w:after="0"/>
              <w:rPr>
                <w:sz w:val="10"/>
                <w:szCs w:val="10"/>
                <w:color w:val="auto"/>
              </w:rPr>
            </w:pPr>
          </w:p>
        </w:tc>
        <w:tc>
          <w:tcPr>
            <w:tcW w:w="60" w:type="dxa"/>
            <w:vAlign w:val="bottom"/>
            <w:shd w:val="clear" w:color="auto" w:fill="0061AF"/>
          </w:tcPr>
          <w:p>
            <w:pPr>
              <w:spacing w:after="0"/>
              <w:rPr>
                <w:sz w:val="10"/>
                <w:szCs w:val="10"/>
                <w:color w:val="auto"/>
              </w:rPr>
            </w:pPr>
          </w:p>
        </w:tc>
        <w:tc>
          <w:tcPr>
            <w:tcW w:w="740" w:type="dxa"/>
            <w:vAlign w:val="bottom"/>
            <w:vMerge w:val="continue"/>
            <w:shd w:val="clear" w:color="auto" w:fill="0061A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400" w:type="dxa"/>
            <w:vAlign w:val="bottom"/>
            <w:shd w:val="clear" w:color="auto" w:fill="0061AF"/>
          </w:tcPr>
          <w:p>
            <w:pPr>
              <w:spacing w:after="0"/>
              <w:rPr>
                <w:sz w:val="11"/>
                <w:szCs w:val="11"/>
                <w:color w:val="auto"/>
              </w:rPr>
            </w:pPr>
          </w:p>
        </w:tc>
        <w:tc>
          <w:tcPr>
            <w:tcW w:w="40" w:type="dxa"/>
            <w:vAlign w:val="bottom"/>
            <w:shd w:val="clear" w:color="auto" w:fill="0061AF"/>
          </w:tcPr>
          <w:p>
            <w:pPr>
              <w:spacing w:after="0"/>
              <w:rPr>
                <w:sz w:val="11"/>
                <w:szCs w:val="11"/>
                <w:color w:val="auto"/>
              </w:rPr>
            </w:pPr>
          </w:p>
        </w:tc>
        <w:tc>
          <w:tcPr>
            <w:tcW w:w="820" w:type="dxa"/>
            <w:vAlign w:val="bottom"/>
            <w:shd w:val="clear" w:color="auto" w:fill="0061AF"/>
          </w:tcPr>
          <w:p>
            <w:pPr>
              <w:spacing w:after="0"/>
              <w:rPr>
                <w:sz w:val="11"/>
                <w:szCs w:val="11"/>
                <w:color w:val="auto"/>
              </w:rPr>
            </w:pPr>
          </w:p>
        </w:tc>
        <w:tc>
          <w:tcPr>
            <w:tcW w:w="880" w:type="dxa"/>
            <w:vAlign w:val="bottom"/>
            <w:shd w:val="clear" w:color="auto" w:fill="0061AF"/>
          </w:tcPr>
          <w:p>
            <w:pPr>
              <w:spacing w:after="0"/>
              <w:rPr>
                <w:sz w:val="11"/>
                <w:szCs w:val="11"/>
                <w:color w:val="auto"/>
              </w:rPr>
            </w:pPr>
          </w:p>
        </w:tc>
        <w:tc>
          <w:tcPr>
            <w:tcW w:w="780" w:type="dxa"/>
            <w:vAlign w:val="bottom"/>
            <w:shd w:val="clear" w:color="auto" w:fill="0061AF"/>
          </w:tcPr>
          <w:p>
            <w:pPr>
              <w:spacing w:after="0"/>
              <w:rPr>
                <w:sz w:val="11"/>
                <w:szCs w:val="11"/>
                <w:color w:val="auto"/>
              </w:rPr>
            </w:pPr>
          </w:p>
        </w:tc>
        <w:tc>
          <w:tcPr>
            <w:tcW w:w="860" w:type="dxa"/>
            <w:vAlign w:val="bottom"/>
            <w:shd w:val="clear" w:color="auto" w:fill="0061AF"/>
          </w:tcPr>
          <w:p>
            <w:pPr>
              <w:spacing w:after="0"/>
              <w:rPr>
                <w:sz w:val="11"/>
                <w:szCs w:val="11"/>
                <w:color w:val="auto"/>
              </w:rPr>
            </w:pPr>
          </w:p>
        </w:tc>
        <w:tc>
          <w:tcPr>
            <w:tcW w:w="740" w:type="dxa"/>
            <w:vAlign w:val="bottom"/>
            <w:shd w:val="clear" w:color="auto" w:fill="0061AF"/>
          </w:tcPr>
          <w:p>
            <w:pPr>
              <w:spacing w:after="0"/>
              <w:rPr>
                <w:sz w:val="11"/>
                <w:szCs w:val="11"/>
                <w:color w:val="auto"/>
              </w:rPr>
            </w:pPr>
          </w:p>
        </w:tc>
        <w:tc>
          <w:tcPr>
            <w:tcW w:w="800" w:type="dxa"/>
            <w:vAlign w:val="bottom"/>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w w:val="99"/>
              </w:rPr>
              <w:t>Threshold:</w:t>
            </w:r>
          </w:p>
        </w:tc>
        <w:tc>
          <w:tcPr>
            <w:tcW w:w="920" w:type="dxa"/>
            <w:vAlign w:val="bottom"/>
            <w:shd w:val="clear" w:color="auto" w:fill="0061AF"/>
          </w:tcPr>
          <w:p>
            <w:pPr>
              <w:jc w:val="center"/>
              <w:ind w:left="257"/>
              <w:spacing w:after="0" w:line="131" w:lineRule="exact"/>
              <w:rPr>
                <w:sz w:val="20"/>
                <w:szCs w:val="20"/>
                <w:color w:val="auto"/>
              </w:rPr>
            </w:pPr>
            <w:r>
              <w:rPr>
                <w:rFonts w:ascii="Arial" w:cs="Arial" w:eastAsia="Arial" w:hAnsi="Arial"/>
                <w:sz w:val="12"/>
                <w:szCs w:val="12"/>
                <w:b w:val="1"/>
                <w:bCs w:val="1"/>
                <w:color w:val="FFFFFF"/>
                <w:w w:val="98"/>
              </w:rPr>
              <w:t>Target:</w:t>
            </w:r>
          </w:p>
        </w:tc>
        <w:tc>
          <w:tcPr>
            <w:tcW w:w="340" w:type="dxa"/>
            <w:vAlign w:val="bottom"/>
            <w:shd w:val="clear" w:color="auto" w:fill="0061AF"/>
          </w:tcPr>
          <w:p>
            <w:pPr>
              <w:spacing w:after="0"/>
              <w:rPr>
                <w:sz w:val="11"/>
                <w:szCs w:val="11"/>
                <w:color w:val="auto"/>
              </w:rPr>
            </w:pPr>
          </w:p>
        </w:tc>
        <w:tc>
          <w:tcPr>
            <w:tcW w:w="100" w:type="dxa"/>
            <w:vAlign w:val="bottom"/>
            <w:shd w:val="clear" w:color="auto" w:fill="0061AF"/>
          </w:tcPr>
          <w:p>
            <w:pPr>
              <w:spacing w:after="0"/>
              <w:rPr>
                <w:sz w:val="11"/>
                <w:szCs w:val="11"/>
                <w:color w:val="auto"/>
              </w:rPr>
            </w:pPr>
          </w:p>
        </w:tc>
        <w:tc>
          <w:tcPr>
            <w:tcW w:w="840" w:type="dxa"/>
            <w:vAlign w:val="bottom"/>
            <w:shd w:val="clear" w:color="auto" w:fill="0061AF"/>
          </w:tcPr>
          <w:p>
            <w:pPr>
              <w:jc w:val="center"/>
              <w:ind w:right="117"/>
              <w:spacing w:after="0" w:line="131" w:lineRule="exact"/>
              <w:rPr>
                <w:sz w:val="20"/>
                <w:szCs w:val="20"/>
                <w:color w:val="auto"/>
              </w:rPr>
            </w:pPr>
            <w:r>
              <w:rPr>
                <w:rFonts w:ascii="Arial" w:cs="Arial" w:eastAsia="Arial" w:hAnsi="Arial"/>
                <w:sz w:val="12"/>
                <w:szCs w:val="12"/>
                <w:b w:val="1"/>
                <w:bCs w:val="1"/>
                <w:color w:val="FFFFFF"/>
                <w:w w:val="97"/>
              </w:rPr>
              <w:t>Maximum:</w:t>
            </w:r>
          </w:p>
        </w:tc>
        <w:tc>
          <w:tcPr>
            <w:tcW w:w="1260" w:type="dxa"/>
            <w:vAlign w:val="bottom"/>
            <w:gridSpan w:val="2"/>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w w:val="96"/>
              </w:rPr>
              <w:t>All Other Stock</w:t>
            </w:r>
          </w:p>
        </w:tc>
        <w:tc>
          <w:tcPr>
            <w:tcW w:w="740" w:type="dxa"/>
            <w:vAlign w:val="bottom"/>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w w:val="97"/>
              </w:rPr>
              <w:t>Fair Value</w:t>
            </w:r>
          </w:p>
        </w:tc>
        <w:tc>
          <w:tcPr>
            <w:tcW w:w="0" w:type="dxa"/>
            <w:vAlign w:val="bottom"/>
          </w:tcPr>
          <w:p>
            <w:pPr>
              <w:spacing w:after="0"/>
              <w:rPr>
                <w:sz w:val="1"/>
                <w:szCs w:val="1"/>
                <w:color w:val="auto"/>
              </w:rPr>
            </w:pPr>
          </w:p>
        </w:tc>
      </w:tr>
      <w:tr>
        <w:trPr>
          <w:trHeight w:val="131"/>
        </w:trPr>
        <w:tc>
          <w:tcPr>
            <w:tcW w:w="1400" w:type="dxa"/>
            <w:vAlign w:val="bottom"/>
            <w:shd w:val="clear" w:color="auto" w:fill="0061AF"/>
          </w:tcPr>
          <w:p>
            <w:pPr>
              <w:spacing w:after="0"/>
              <w:rPr>
                <w:sz w:val="11"/>
                <w:szCs w:val="11"/>
                <w:color w:val="auto"/>
              </w:rPr>
            </w:pPr>
          </w:p>
        </w:tc>
        <w:tc>
          <w:tcPr>
            <w:tcW w:w="40" w:type="dxa"/>
            <w:vAlign w:val="bottom"/>
            <w:shd w:val="clear" w:color="auto" w:fill="0061AF"/>
          </w:tcPr>
          <w:p>
            <w:pPr>
              <w:spacing w:after="0"/>
              <w:rPr>
                <w:sz w:val="11"/>
                <w:szCs w:val="11"/>
                <w:color w:val="auto"/>
              </w:rPr>
            </w:pPr>
          </w:p>
        </w:tc>
        <w:tc>
          <w:tcPr>
            <w:tcW w:w="820" w:type="dxa"/>
            <w:vAlign w:val="bottom"/>
            <w:shd w:val="clear" w:color="auto" w:fill="0061AF"/>
          </w:tcPr>
          <w:p>
            <w:pPr>
              <w:spacing w:after="0"/>
              <w:rPr>
                <w:sz w:val="11"/>
                <w:szCs w:val="11"/>
                <w:color w:val="auto"/>
              </w:rPr>
            </w:pPr>
          </w:p>
        </w:tc>
        <w:tc>
          <w:tcPr>
            <w:tcW w:w="880" w:type="dxa"/>
            <w:vAlign w:val="bottom"/>
            <w:shd w:val="clear" w:color="auto" w:fill="0061AF"/>
          </w:tcPr>
          <w:p>
            <w:pPr>
              <w:spacing w:after="0"/>
              <w:rPr>
                <w:sz w:val="11"/>
                <w:szCs w:val="11"/>
                <w:color w:val="auto"/>
              </w:rPr>
            </w:pPr>
          </w:p>
        </w:tc>
        <w:tc>
          <w:tcPr>
            <w:tcW w:w="780" w:type="dxa"/>
            <w:vAlign w:val="bottom"/>
            <w:shd w:val="clear" w:color="auto" w:fill="0061AF"/>
          </w:tcPr>
          <w:p>
            <w:pPr>
              <w:spacing w:after="0"/>
              <w:rPr>
                <w:sz w:val="11"/>
                <w:szCs w:val="11"/>
                <w:color w:val="auto"/>
              </w:rPr>
            </w:pPr>
          </w:p>
        </w:tc>
        <w:tc>
          <w:tcPr>
            <w:tcW w:w="860" w:type="dxa"/>
            <w:vAlign w:val="bottom"/>
            <w:shd w:val="clear" w:color="auto" w:fill="0061AF"/>
          </w:tcPr>
          <w:p>
            <w:pPr>
              <w:spacing w:after="0"/>
              <w:rPr>
                <w:sz w:val="11"/>
                <w:szCs w:val="11"/>
                <w:color w:val="auto"/>
              </w:rPr>
            </w:pPr>
          </w:p>
        </w:tc>
        <w:tc>
          <w:tcPr>
            <w:tcW w:w="740" w:type="dxa"/>
            <w:vAlign w:val="bottom"/>
            <w:shd w:val="clear" w:color="auto" w:fill="0061AF"/>
          </w:tcPr>
          <w:p>
            <w:pPr>
              <w:spacing w:after="0"/>
              <w:rPr>
                <w:sz w:val="11"/>
                <w:szCs w:val="11"/>
                <w:color w:val="auto"/>
              </w:rPr>
            </w:pPr>
          </w:p>
        </w:tc>
        <w:tc>
          <w:tcPr>
            <w:tcW w:w="800" w:type="dxa"/>
            <w:vAlign w:val="bottom"/>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w w:val="99"/>
              </w:rPr>
              <w:t>Number of</w:t>
            </w:r>
          </w:p>
        </w:tc>
        <w:tc>
          <w:tcPr>
            <w:tcW w:w="920" w:type="dxa"/>
            <w:vAlign w:val="bottom"/>
            <w:shd w:val="clear" w:color="auto" w:fill="0061AF"/>
          </w:tcPr>
          <w:p>
            <w:pPr>
              <w:jc w:val="center"/>
              <w:ind w:left="257"/>
              <w:spacing w:after="0" w:line="131" w:lineRule="exact"/>
              <w:rPr>
                <w:sz w:val="20"/>
                <w:szCs w:val="20"/>
                <w:color w:val="auto"/>
              </w:rPr>
            </w:pPr>
            <w:r>
              <w:rPr>
                <w:rFonts w:ascii="Arial" w:cs="Arial" w:eastAsia="Arial" w:hAnsi="Arial"/>
                <w:sz w:val="12"/>
                <w:szCs w:val="12"/>
                <w:b w:val="1"/>
                <w:bCs w:val="1"/>
                <w:color w:val="FFFFFF"/>
                <w:w w:val="99"/>
              </w:rPr>
              <w:t>Number of</w:t>
            </w:r>
          </w:p>
        </w:tc>
        <w:tc>
          <w:tcPr>
            <w:tcW w:w="340" w:type="dxa"/>
            <w:vAlign w:val="bottom"/>
            <w:shd w:val="clear" w:color="auto" w:fill="0061AF"/>
          </w:tcPr>
          <w:p>
            <w:pPr>
              <w:spacing w:after="0"/>
              <w:rPr>
                <w:sz w:val="11"/>
                <w:szCs w:val="11"/>
                <w:color w:val="auto"/>
              </w:rPr>
            </w:pPr>
          </w:p>
        </w:tc>
        <w:tc>
          <w:tcPr>
            <w:tcW w:w="100" w:type="dxa"/>
            <w:vAlign w:val="bottom"/>
            <w:shd w:val="clear" w:color="auto" w:fill="0061AF"/>
          </w:tcPr>
          <w:p>
            <w:pPr>
              <w:spacing w:after="0"/>
              <w:rPr>
                <w:sz w:val="11"/>
                <w:szCs w:val="11"/>
                <w:color w:val="auto"/>
              </w:rPr>
            </w:pPr>
          </w:p>
        </w:tc>
        <w:tc>
          <w:tcPr>
            <w:tcW w:w="840" w:type="dxa"/>
            <w:vAlign w:val="bottom"/>
            <w:shd w:val="clear" w:color="auto" w:fill="0061AF"/>
          </w:tcPr>
          <w:p>
            <w:pPr>
              <w:jc w:val="center"/>
              <w:ind w:right="137"/>
              <w:spacing w:after="0" w:line="131" w:lineRule="exact"/>
              <w:rPr>
                <w:sz w:val="20"/>
                <w:szCs w:val="20"/>
                <w:color w:val="auto"/>
              </w:rPr>
            </w:pPr>
            <w:r>
              <w:rPr>
                <w:rFonts w:ascii="Arial" w:cs="Arial" w:eastAsia="Arial" w:hAnsi="Arial"/>
                <w:sz w:val="12"/>
                <w:szCs w:val="12"/>
                <w:b w:val="1"/>
                <w:bCs w:val="1"/>
                <w:color w:val="FFFFFF"/>
                <w:w w:val="99"/>
              </w:rPr>
              <w:t>Number of</w:t>
            </w:r>
          </w:p>
        </w:tc>
        <w:tc>
          <w:tcPr>
            <w:tcW w:w="1260" w:type="dxa"/>
            <w:vAlign w:val="bottom"/>
            <w:gridSpan w:val="2"/>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w w:val="99"/>
              </w:rPr>
              <w:t>Awards: # of</w:t>
            </w:r>
          </w:p>
        </w:tc>
        <w:tc>
          <w:tcPr>
            <w:tcW w:w="740" w:type="dxa"/>
            <w:vAlign w:val="bottom"/>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rPr>
              <w:t>of Stock</w:t>
            </w:r>
          </w:p>
        </w:tc>
        <w:tc>
          <w:tcPr>
            <w:tcW w:w="0" w:type="dxa"/>
            <w:vAlign w:val="bottom"/>
          </w:tcPr>
          <w:p>
            <w:pPr>
              <w:spacing w:after="0"/>
              <w:rPr>
                <w:sz w:val="1"/>
                <w:szCs w:val="1"/>
                <w:color w:val="auto"/>
              </w:rPr>
            </w:pPr>
          </w:p>
        </w:tc>
      </w:tr>
      <w:tr>
        <w:trPr>
          <w:trHeight w:val="131"/>
        </w:trPr>
        <w:tc>
          <w:tcPr>
            <w:tcW w:w="1400" w:type="dxa"/>
            <w:vAlign w:val="bottom"/>
            <w:shd w:val="clear" w:color="auto" w:fill="0061AF"/>
          </w:tcPr>
          <w:p>
            <w:pPr>
              <w:spacing w:after="0"/>
              <w:rPr>
                <w:sz w:val="11"/>
                <w:szCs w:val="11"/>
                <w:color w:val="auto"/>
              </w:rPr>
            </w:pPr>
          </w:p>
        </w:tc>
        <w:tc>
          <w:tcPr>
            <w:tcW w:w="40" w:type="dxa"/>
            <w:vAlign w:val="bottom"/>
            <w:shd w:val="clear" w:color="auto" w:fill="0061AF"/>
          </w:tcPr>
          <w:p>
            <w:pPr>
              <w:spacing w:after="0"/>
              <w:rPr>
                <w:sz w:val="11"/>
                <w:szCs w:val="11"/>
                <w:color w:val="auto"/>
              </w:rPr>
            </w:pPr>
          </w:p>
        </w:tc>
        <w:tc>
          <w:tcPr>
            <w:tcW w:w="820" w:type="dxa"/>
            <w:vAlign w:val="bottom"/>
            <w:shd w:val="clear" w:color="auto" w:fill="0061AF"/>
          </w:tcPr>
          <w:p>
            <w:pPr>
              <w:spacing w:after="0"/>
              <w:rPr>
                <w:sz w:val="11"/>
                <w:szCs w:val="11"/>
                <w:color w:val="auto"/>
              </w:rPr>
            </w:pPr>
          </w:p>
        </w:tc>
        <w:tc>
          <w:tcPr>
            <w:tcW w:w="880" w:type="dxa"/>
            <w:vAlign w:val="bottom"/>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w w:val="99"/>
              </w:rPr>
              <w:t>Committee</w:t>
            </w:r>
          </w:p>
        </w:tc>
        <w:tc>
          <w:tcPr>
            <w:tcW w:w="780" w:type="dxa"/>
            <w:vAlign w:val="bottom"/>
            <w:shd w:val="clear" w:color="auto" w:fill="0061AF"/>
          </w:tcPr>
          <w:p>
            <w:pPr>
              <w:jc w:val="right"/>
              <w:spacing w:after="0" w:line="131" w:lineRule="exact"/>
              <w:rPr>
                <w:sz w:val="20"/>
                <w:szCs w:val="20"/>
                <w:color w:val="auto"/>
              </w:rPr>
            </w:pPr>
            <w:r>
              <w:rPr>
                <w:rFonts w:ascii="Arial" w:cs="Arial" w:eastAsia="Arial" w:hAnsi="Arial"/>
                <w:sz w:val="12"/>
                <w:szCs w:val="12"/>
                <w:b w:val="1"/>
                <w:bCs w:val="1"/>
                <w:color w:val="FFFFFF"/>
              </w:rPr>
              <w:t>Threshold</w:t>
            </w:r>
          </w:p>
        </w:tc>
        <w:tc>
          <w:tcPr>
            <w:tcW w:w="860" w:type="dxa"/>
            <w:vAlign w:val="bottom"/>
            <w:shd w:val="clear" w:color="auto" w:fill="0061AF"/>
          </w:tcPr>
          <w:p>
            <w:pPr>
              <w:jc w:val="right"/>
              <w:ind w:right="137"/>
              <w:spacing w:after="0" w:line="131" w:lineRule="exact"/>
              <w:rPr>
                <w:sz w:val="20"/>
                <w:szCs w:val="20"/>
                <w:color w:val="auto"/>
              </w:rPr>
            </w:pPr>
            <w:r>
              <w:rPr>
                <w:rFonts w:ascii="Arial" w:cs="Arial" w:eastAsia="Arial" w:hAnsi="Arial"/>
                <w:sz w:val="12"/>
                <w:szCs w:val="12"/>
                <w:b w:val="1"/>
                <w:bCs w:val="1"/>
                <w:color w:val="FFFFFF"/>
              </w:rPr>
              <w:t>Target</w:t>
            </w:r>
          </w:p>
        </w:tc>
        <w:tc>
          <w:tcPr>
            <w:tcW w:w="740" w:type="dxa"/>
            <w:vAlign w:val="bottom"/>
            <w:shd w:val="clear" w:color="auto" w:fill="0061AF"/>
          </w:tcPr>
          <w:p>
            <w:pPr>
              <w:jc w:val="right"/>
              <w:ind w:right="97"/>
              <w:spacing w:after="0" w:line="131" w:lineRule="exact"/>
              <w:rPr>
                <w:sz w:val="20"/>
                <w:szCs w:val="20"/>
                <w:color w:val="auto"/>
              </w:rPr>
            </w:pPr>
            <w:r>
              <w:rPr>
                <w:rFonts w:ascii="Arial" w:cs="Arial" w:eastAsia="Arial" w:hAnsi="Arial"/>
                <w:sz w:val="12"/>
                <w:szCs w:val="12"/>
                <w:b w:val="1"/>
                <w:bCs w:val="1"/>
                <w:color w:val="FFFFFF"/>
              </w:rPr>
              <w:t>Maximum</w:t>
            </w:r>
          </w:p>
        </w:tc>
        <w:tc>
          <w:tcPr>
            <w:tcW w:w="800" w:type="dxa"/>
            <w:vAlign w:val="bottom"/>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w w:val="99"/>
              </w:rPr>
              <w:t>Shares</w:t>
            </w:r>
          </w:p>
        </w:tc>
        <w:tc>
          <w:tcPr>
            <w:tcW w:w="920" w:type="dxa"/>
            <w:vAlign w:val="bottom"/>
            <w:shd w:val="clear" w:color="auto" w:fill="0061AF"/>
          </w:tcPr>
          <w:p>
            <w:pPr>
              <w:jc w:val="center"/>
              <w:ind w:left="257"/>
              <w:spacing w:after="0" w:line="131" w:lineRule="exact"/>
              <w:rPr>
                <w:sz w:val="20"/>
                <w:szCs w:val="20"/>
                <w:color w:val="auto"/>
              </w:rPr>
            </w:pPr>
            <w:r>
              <w:rPr>
                <w:rFonts w:ascii="Arial" w:cs="Arial" w:eastAsia="Arial" w:hAnsi="Arial"/>
                <w:sz w:val="12"/>
                <w:szCs w:val="12"/>
                <w:b w:val="1"/>
                <w:bCs w:val="1"/>
                <w:color w:val="FFFFFF"/>
                <w:w w:val="99"/>
              </w:rPr>
              <w:t>Shares</w:t>
            </w:r>
          </w:p>
        </w:tc>
        <w:tc>
          <w:tcPr>
            <w:tcW w:w="340" w:type="dxa"/>
            <w:vAlign w:val="bottom"/>
            <w:shd w:val="clear" w:color="auto" w:fill="0061AF"/>
          </w:tcPr>
          <w:p>
            <w:pPr>
              <w:spacing w:after="0"/>
              <w:rPr>
                <w:sz w:val="11"/>
                <w:szCs w:val="11"/>
                <w:color w:val="auto"/>
              </w:rPr>
            </w:pPr>
          </w:p>
        </w:tc>
        <w:tc>
          <w:tcPr>
            <w:tcW w:w="100" w:type="dxa"/>
            <w:vAlign w:val="bottom"/>
            <w:shd w:val="clear" w:color="auto" w:fill="0061AF"/>
          </w:tcPr>
          <w:p>
            <w:pPr>
              <w:spacing w:after="0"/>
              <w:rPr>
                <w:sz w:val="11"/>
                <w:szCs w:val="11"/>
                <w:color w:val="auto"/>
              </w:rPr>
            </w:pPr>
          </w:p>
        </w:tc>
        <w:tc>
          <w:tcPr>
            <w:tcW w:w="840" w:type="dxa"/>
            <w:vAlign w:val="bottom"/>
            <w:shd w:val="clear" w:color="auto" w:fill="0061AF"/>
          </w:tcPr>
          <w:p>
            <w:pPr>
              <w:jc w:val="center"/>
              <w:ind w:right="137"/>
              <w:spacing w:after="0" w:line="131" w:lineRule="exact"/>
              <w:rPr>
                <w:sz w:val="20"/>
                <w:szCs w:val="20"/>
                <w:color w:val="auto"/>
              </w:rPr>
            </w:pPr>
            <w:r>
              <w:rPr>
                <w:rFonts w:ascii="Arial" w:cs="Arial" w:eastAsia="Arial" w:hAnsi="Arial"/>
                <w:sz w:val="12"/>
                <w:szCs w:val="12"/>
                <w:b w:val="1"/>
                <w:bCs w:val="1"/>
                <w:color w:val="FFFFFF"/>
                <w:w w:val="99"/>
              </w:rPr>
              <w:t>Shares</w:t>
            </w:r>
          </w:p>
        </w:tc>
        <w:tc>
          <w:tcPr>
            <w:tcW w:w="1260" w:type="dxa"/>
            <w:vAlign w:val="bottom"/>
            <w:gridSpan w:val="2"/>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rPr>
              <w:t>Shares of</w:t>
            </w:r>
          </w:p>
        </w:tc>
        <w:tc>
          <w:tcPr>
            <w:tcW w:w="740" w:type="dxa"/>
            <w:vAlign w:val="bottom"/>
            <w:shd w:val="clear" w:color="auto" w:fill="0061AF"/>
          </w:tcPr>
          <w:p>
            <w:pPr>
              <w:jc w:val="center"/>
              <w:spacing w:after="0" w:line="131"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45"/>
        </w:trPr>
        <w:tc>
          <w:tcPr>
            <w:tcW w:w="1400" w:type="dxa"/>
            <w:vAlign w:val="bottom"/>
            <w:shd w:val="clear" w:color="auto" w:fill="0061AF"/>
          </w:tcPr>
          <w:p>
            <w:pPr>
              <w:ind w:left="80"/>
              <w:spacing w:after="0"/>
              <w:rPr>
                <w:sz w:val="20"/>
                <w:szCs w:val="20"/>
                <w:color w:val="auto"/>
              </w:rPr>
            </w:pPr>
            <w:r>
              <w:rPr>
                <w:rFonts w:ascii="Arial" w:cs="Arial" w:eastAsia="Arial" w:hAnsi="Arial"/>
                <w:sz w:val="12"/>
                <w:szCs w:val="12"/>
                <w:b w:val="1"/>
                <w:bCs w:val="1"/>
                <w:color w:val="FFFFFF"/>
              </w:rPr>
              <w:t>Name</w:t>
            </w:r>
          </w:p>
        </w:tc>
        <w:tc>
          <w:tcPr>
            <w:tcW w:w="40" w:type="dxa"/>
            <w:vAlign w:val="bottom"/>
            <w:shd w:val="clear" w:color="auto" w:fill="0061AF"/>
          </w:tcPr>
          <w:p>
            <w:pPr>
              <w:spacing w:after="0"/>
              <w:rPr>
                <w:sz w:val="12"/>
                <w:szCs w:val="12"/>
                <w:color w:val="auto"/>
              </w:rPr>
            </w:pPr>
          </w:p>
        </w:tc>
        <w:tc>
          <w:tcPr>
            <w:tcW w:w="820" w:type="dxa"/>
            <w:vAlign w:val="bottom"/>
            <w:shd w:val="clear" w:color="auto" w:fill="0061AF"/>
          </w:tcPr>
          <w:p>
            <w:pPr>
              <w:jc w:val="right"/>
              <w:ind w:right="37"/>
              <w:spacing w:after="0"/>
              <w:rPr>
                <w:sz w:val="20"/>
                <w:szCs w:val="20"/>
                <w:color w:val="auto"/>
              </w:rPr>
            </w:pPr>
            <w:r>
              <w:rPr>
                <w:rFonts w:ascii="Arial" w:cs="Arial" w:eastAsia="Arial" w:hAnsi="Arial"/>
                <w:sz w:val="12"/>
                <w:szCs w:val="12"/>
                <w:b w:val="1"/>
                <w:bCs w:val="1"/>
                <w:color w:val="FFFFFF"/>
              </w:rPr>
              <w:t>Grant Date</w:t>
            </w:r>
          </w:p>
        </w:tc>
        <w:tc>
          <w:tcPr>
            <w:tcW w:w="880" w:type="dxa"/>
            <w:vAlign w:val="bottom"/>
            <w:shd w:val="clear" w:color="auto" w:fill="0061AF"/>
          </w:tcPr>
          <w:p>
            <w:pPr>
              <w:jc w:val="center"/>
              <w:spacing w:after="0"/>
              <w:rPr>
                <w:sz w:val="20"/>
                <w:szCs w:val="20"/>
                <w:color w:val="auto"/>
              </w:rPr>
            </w:pPr>
            <w:r>
              <w:rPr>
                <w:rFonts w:ascii="Arial" w:cs="Arial" w:eastAsia="Arial" w:hAnsi="Arial"/>
                <w:sz w:val="12"/>
                <w:szCs w:val="12"/>
                <w:b w:val="1"/>
                <w:bCs w:val="1"/>
                <w:color w:val="FFFFFF"/>
                <w:w w:val="98"/>
              </w:rPr>
              <w:t>Action Date</w:t>
            </w:r>
          </w:p>
        </w:tc>
        <w:tc>
          <w:tcPr>
            <w:tcW w:w="780" w:type="dxa"/>
            <w:vAlign w:val="bottom"/>
            <w:shd w:val="clear" w:color="auto" w:fill="0061AF"/>
          </w:tcPr>
          <w:p>
            <w:pPr>
              <w:jc w:val="right"/>
              <w:ind w:right="218"/>
              <w:spacing w:after="0"/>
              <w:rPr>
                <w:sz w:val="20"/>
                <w:szCs w:val="20"/>
                <w:color w:val="auto"/>
              </w:rPr>
            </w:pPr>
            <w:r>
              <w:rPr>
                <w:rFonts w:ascii="Arial" w:cs="Arial" w:eastAsia="Arial" w:hAnsi="Arial"/>
                <w:sz w:val="12"/>
                <w:szCs w:val="12"/>
                <w:b w:val="1"/>
                <w:bCs w:val="1"/>
                <w:color w:val="FFFFFF"/>
              </w:rPr>
              <w:t>($)</w:t>
            </w:r>
          </w:p>
        </w:tc>
        <w:tc>
          <w:tcPr>
            <w:tcW w:w="860" w:type="dxa"/>
            <w:vAlign w:val="bottom"/>
            <w:shd w:val="clear" w:color="auto" w:fill="0061AF"/>
          </w:tcPr>
          <w:p>
            <w:pPr>
              <w:jc w:val="right"/>
              <w:ind w:right="237"/>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0061AF"/>
          </w:tcPr>
          <w:p>
            <w:pPr>
              <w:jc w:val="right"/>
              <w:ind w:right="297"/>
              <w:spacing w:after="0"/>
              <w:rPr>
                <w:sz w:val="20"/>
                <w:szCs w:val="20"/>
                <w:color w:val="auto"/>
              </w:rPr>
            </w:pPr>
            <w:r>
              <w:rPr>
                <w:rFonts w:ascii="Arial" w:cs="Arial" w:eastAsia="Arial" w:hAnsi="Arial"/>
                <w:sz w:val="12"/>
                <w:szCs w:val="12"/>
                <w:b w:val="1"/>
                <w:bCs w:val="1"/>
                <w:color w:val="FFFFFF"/>
              </w:rPr>
              <w:t>($)</w:t>
            </w:r>
          </w:p>
        </w:tc>
        <w:tc>
          <w:tcPr>
            <w:tcW w:w="800" w:type="dxa"/>
            <w:vAlign w:val="bottom"/>
            <w:shd w:val="clear" w:color="auto" w:fill="0061AF"/>
          </w:tcPr>
          <w:p>
            <w:pPr>
              <w:jc w:val="center"/>
              <w:spacing w:after="0"/>
              <w:rPr>
                <w:sz w:val="20"/>
                <w:szCs w:val="20"/>
                <w:color w:val="auto"/>
              </w:rPr>
            </w:pPr>
            <w:r>
              <w:rPr>
                <w:rFonts w:ascii="Arial" w:cs="Arial" w:eastAsia="Arial" w:hAnsi="Arial"/>
                <w:sz w:val="12"/>
                <w:szCs w:val="12"/>
                <w:b w:val="1"/>
                <w:bCs w:val="1"/>
                <w:color w:val="FFFFFF"/>
                <w:w w:val="95"/>
              </w:rPr>
              <w:t>(#)</w:t>
            </w:r>
          </w:p>
        </w:tc>
        <w:tc>
          <w:tcPr>
            <w:tcW w:w="920" w:type="dxa"/>
            <w:vAlign w:val="bottom"/>
            <w:shd w:val="clear" w:color="auto" w:fill="0061AF"/>
          </w:tcPr>
          <w:p>
            <w:pPr>
              <w:jc w:val="center"/>
              <w:ind w:left="277"/>
              <w:spacing w:after="0"/>
              <w:rPr>
                <w:sz w:val="20"/>
                <w:szCs w:val="20"/>
                <w:color w:val="auto"/>
              </w:rPr>
            </w:pPr>
            <w:r>
              <w:rPr>
                <w:rFonts w:ascii="Arial" w:cs="Arial" w:eastAsia="Arial" w:hAnsi="Arial"/>
                <w:sz w:val="12"/>
                <w:szCs w:val="12"/>
                <w:b w:val="1"/>
                <w:bCs w:val="1"/>
                <w:color w:val="FFFFFF"/>
                <w:w w:val="95"/>
              </w:rPr>
              <w:t>(#)</w:t>
            </w:r>
          </w:p>
        </w:tc>
        <w:tc>
          <w:tcPr>
            <w:tcW w:w="1280" w:type="dxa"/>
            <w:vAlign w:val="bottom"/>
            <w:gridSpan w:val="3"/>
            <w:shd w:val="clear" w:color="auto" w:fill="0061AF"/>
          </w:tcPr>
          <w:p>
            <w:pPr>
              <w:jc w:val="center"/>
              <w:ind w:left="197"/>
              <w:spacing w:after="0"/>
              <w:rPr>
                <w:sz w:val="20"/>
                <w:szCs w:val="20"/>
                <w:color w:val="auto"/>
              </w:rPr>
            </w:pPr>
            <w:r>
              <w:rPr>
                <w:rFonts w:ascii="Arial" w:cs="Arial" w:eastAsia="Arial" w:hAnsi="Arial"/>
                <w:sz w:val="12"/>
                <w:szCs w:val="12"/>
                <w:b w:val="1"/>
                <w:bCs w:val="1"/>
                <w:color w:val="FFFFFF"/>
                <w:w w:val="95"/>
              </w:rPr>
              <w:t>(#)</w:t>
            </w:r>
          </w:p>
        </w:tc>
        <w:tc>
          <w:tcPr>
            <w:tcW w:w="1260" w:type="dxa"/>
            <w:vAlign w:val="bottom"/>
            <w:gridSpan w:val="2"/>
            <w:shd w:val="clear" w:color="auto" w:fill="0061AF"/>
          </w:tcPr>
          <w:p>
            <w:pPr>
              <w:jc w:val="center"/>
              <w:spacing w:after="0"/>
              <w:rPr>
                <w:sz w:val="20"/>
                <w:szCs w:val="20"/>
                <w:color w:val="auto"/>
              </w:rPr>
            </w:pPr>
            <w:r>
              <w:rPr>
                <w:rFonts w:ascii="Arial" w:cs="Arial" w:eastAsia="Arial" w:hAnsi="Arial"/>
                <w:sz w:val="12"/>
                <w:szCs w:val="12"/>
                <w:b w:val="1"/>
                <w:bCs w:val="1"/>
                <w:color w:val="FFFFFF"/>
                <w:w w:val="98"/>
              </w:rPr>
              <w:t>Stock or Units</w:t>
            </w:r>
          </w:p>
        </w:tc>
        <w:tc>
          <w:tcPr>
            <w:tcW w:w="740" w:type="dxa"/>
            <w:vAlign w:val="bottom"/>
            <w:shd w:val="clear" w:color="auto" w:fill="0061AF"/>
          </w:tcPr>
          <w:p>
            <w:pPr>
              <w:jc w:val="cente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7"/>
        </w:trPr>
        <w:tc>
          <w:tcPr>
            <w:tcW w:w="1400" w:type="dxa"/>
            <w:vAlign w:val="bottom"/>
          </w:tcPr>
          <w:p>
            <w:pPr>
              <w:ind w:left="80"/>
              <w:spacing w:after="0"/>
              <w:rPr>
                <w:sz w:val="20"/>
                <w:szCs w:val="20"/>
                <w:color w:val="auto"/>
              </w:rPr>
            </w:pPr>
            <w:r>
              <w:rPr>
                <w:rFonts w:ascii="Arial" w:cs="Arial" w:eastAsia="Arial" w:hAnsi="Arial"/>
                <w:sz w:val="13"/>
                <w:szCs w:val="13"/>
                <w:color w:val="auto"/>
              </w:rPr>
              <w:t>David J. Lesar</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6/4/2020</w:t>
            </w:r>
            <w:r>
              <w:rPr>
                <w:rFonts w:ascii="Arial" w:cs="Arial" w:eastAsia="Arial" w:hAnsi="Arial"/>
                <w:sz w:val="21"/>
                <w:szCs w:val="21"/>
                <w:b w:val="1"/>
                <w:bCs w:val="1"/>
                <w:color w:val="auto"/>
                <w:vertAlign w:val="superscript"/>
              </w:rPr>
              <w:t>(3)</w:t>
            </w:r>
          </w:p>
        </w:tc>
        <w:tc>
          <w:tcPr>
            <w:tcW w:w="880" w:type="dxa"/>
            <w:vAlign w:val="bottom"/>
          </w:tcPr>
          <w:p>
            <w:pPr>
              <w:spacing w:after="0"/>
              <w:rPr>
                <w:sz w:val="13"/>
                <w:szCs w:val="13"/>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843,750</w:t>
            </w:r>
          </w:p>
        </w:tc>
        <w:tc>
          <w:tcPr>
            <w:tcW w:w="860" w:type="dxa"/>
            <w:vAlign w:val="bottom"/>
          </w:tcPr>
          <w:p>
            <w:pPr>
              <w:jc w:val="right"/>
              <w:spacing w:after="0"/>
              <w:rPr>
                <w:sz w:val="20"/>
                <w:szCs w:val="20"/>
                <w:color w:val="auto"/>
              </w:rPr>
            </w:pPr>
            <w:r>
              <w:rPr>
                <w:rFonts w:ascii="Arial" w:cs="Arial" w:eastAsia="Arial" w:hAnsi="Arial"/>
                <w:sz w:val="13"/>
                <w:szCs w:val="13"/>
                <w:color w:val="auto"/>
              </w:rPr>
              <w:t>1,687,500</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3,121,875</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vMerge w:val="restart"/>
          </w:tcPr>
          <w:p>
            <w:pPr>
              <w:jc w:val="right"/>
              <w:ind w:right="237"/>
              <w:spacing w:after="0"/>
              <w:rPr>
                <w:sz w:val="20"/>
                <w:szCs w:val="20"/>
                <w:color w:val="auto"/>
              </w:rPr>
            </w:pPr>
            <w:r>
              <w:rPr>
                <w:rFonts w:ascii="Arial" w:cs="Arial" w:eastAsia="Arial" w:hAnsi="Arial"/>
                <w:sz w:val="13"/>
                <w:szCs w:val="13"/>
                <w:color w:val="auto"/>
              </w:rPr>
              <w:t>8,310</w:t>
            </w:r>
          </w:p>
        </w:tc>
        <w:tc>
          <w:tcPr>
            <w:tcW w:w="60" w:type="dxa"/>
            <w:vAlign w:val="bottom"/>
          </w:tcPr>
          <w:p>
            <w:pPr>
              <w:spacing w:after="0"/>
              <w:rPr>
                <w:sz w:val="13"/>
                <w:szCs w:val="13"/>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149,996</w:t>
            </w: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7/1/2020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161,183</w:t>
            </w:r>
          </w:p>
        </w:tc>
        <w:tc>
          <w:tcPr>
            <w:tcW w:w="60" w:type="dxa"/>
            <w:vAlign w:val="bottom"/>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3,105,996</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7/1/2020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48,087</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145,719</w:t>
            </w:r>
          </w:p>
        </w:tc>
        <w:tc>
          <w:tcPr>
            <w:tcW w:w="1280" w:type="dxa"/>
            <w:vAlign w:val="bottom"/>
            <w:gridSpan w:val="3"/>
          </w:tcPr>
          <w:p>
            <w:pPr>
              <w:jc w:val="right"/>
              <w:ind w:right="197"/>
              <w:spacing w:after="0" w:line="143" w:lineRule="exact"/>
              <w:rPr>
                <w:sz w:val="20"/>
                <w:szCs w:val="20"/>
                <w:color w:val="auto"/>
              </w:rPr>
            </w:pPr>
            <w:r>
              <w:rPr>
                <w:rFonts w:ascii="Arial" w:cs="Arial" w:eastAsia="Arial" w:hAnsi="Arial"/>
                <w:sz w:val="13"/>
                <w:szCs w:val="13"/>
                <w:color w:val="auto"/>
              </w:rPr>
              <w:t>291,438</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2,808,005</w:t>
            </w: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39" w:lineRule="exact"/>
              <w:rPr>
                <w:sz w:val="20"/>
                <w:szCs w:val="20"/>
                <w:color w:val="auto"/>
              </w:rPr>
            </w:pPr>
            <w:r>
              <w:rPr>
                <w:rFonts w:ascii="Arial" w:cs="Arial" w:eastAsia="Arial" w:hAnsi="Arial"/>
                <w:sz w:val="13"/>
                <w:szCs w:val="13"/>
                <w:color w:val="auto"/>
              </w:rPr>
              <w:t>7/1/2020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39" w:lineRule="exact"/>
              <w:rPr>
                <w:sz w:val="20"/>
                <w:szCs w:val="20"/>
                <w:color w:val="auto"/>
              </w:rPr>
            </w:pPr>
            <w:r>
              <w:rPr>
                <w:rFonts w:ascii="Arial" w:cs="Arial" w:eastAsia="Arial" w:hAnsi="Arial"/>
                <w:sz w:val="13"/>
                <w:szCs w:val="13"/>
                <w:color w:val="auto"/>
              </w:rPr>
              <w:t>54,645</w:t>
            </w: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109,289</w:t>
            </w:r>
          </w:p>
        </w:tc>
        <w:tc>
          <w:tcPr>
            <w:tcW w:w="1280" w:type="dxa"/>
            <w:vAlign w:val="bottom"/>
            <w:gridSpan w:val="3"/>
          </w:tcPr>
          <w:p>
            <w:pPr>
              <w:jc w:val="right"/>
              <w:ind w:right="197"/>
              <w:spacing w:after="0" w:line="139" w:lineRule="exact"/>
              <w:rPr>
                <w:sz w:val="20"/>
                <w:szCs w:val="20"/>
                <w:color w:val="auto"/>
              </w:rPr>
            </w:pPr>
            <w:r>
              <w:rPr>
                <w:rFonts w:ascii="Arial" w:cs="Arial" w:eastAsia="Arial" w:hAnsi="Arial"/>
                <w:sz w:val="13"/>
                <w:szCs w:val="13"/>
                <w:color w:val="auto"/>
              </w:rPr>
              <w:t>218,578</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7"/>
              <w:spacing w:after="0" w:line="139" w:lineRule="exact"/>
              <w:rPr>
                <w:sz w:val="20"/>
                <w:szCs w:val="20"/>
                <w:color w:val="auto"/>
              </w:rPr>
            </w:pPr>
            <w:r>
              <w:rPr>
                <w:rFonts w:ascii="Arial" w:cs="Arial" w:eastAsia="Arial" w:hAnsi="Arial"/>
                <w:sz w:val="13"/>
                <w:szCs w:val="13"/>
                <w:color w:val="auto"/>
              </w:rPr>
              <w:t>2,105,999</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Jason P. Wells</w:t>
            </w:r>
          </w:p>
        </w:tc>
        <w:tc>
          <w:tcPr>
            <w:tcW w:w="40" w:type="dxa"/>
            <w:vAlign w:val="bottom"/>
            <w:shd w:val="clear" w:color="auto" w:fill="D8E7F3"/>
          </w:tcPr>
          <w:p>
            <w:pPr>
              <w:spacing w:after="0"/>
              <w:rPr>
                <w:sz w:val="12"/>
                <w:szCs w:val="12"/>
                <w:color w:val="auto"/>
              </w:rPr>
            </w:pPr>
          </w:p>
        </w:tc>
        <w:tc>
          <w:tcPr>
            <w:tcW w:w="820" w:type="dxa"/>
            <w:vAlign w:val="bottom"/>
            <w:vMerge w:val="restart"/>
            <w:shd w:val="clear" w:color="auto" w:fill="D8E7F3"/>
          </w:tcPr>
          <w:p>
            <w:pPr>
              <w:jc w:val="right"/>
              <w:ind w:right="117"/>
              <w:spacing w:after="0"/>
              <w:rPr>
                <w:sz w:val="20"/>
                <w:szCs w:val="20"/>
                <w:color w:val="auto"/>
              </w:rPr>
            </w:pPr>
            <w:r>
              <w:rPr>
                <w:rFonts w:ascii="Arial" w:cs="Arial" w:eastAsia="Arial" w:hAnsi="Arial"/>
                <w:sz w:val="13"/>
                <w:szCs w:val="13"/>
                <w:color w:val="auto"/>
              </w:rPr>
              <w:t>9/28/2020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jc w:val="right"/>
              <w:ind w:right="38"/>
              <w:spacing w:after="0" w:line="143" w:lineRule="exact"/>
              <w:rPr>
                <w:sz w:val="20"/>
                <w:szCs w:val="20"/>
                <w:color w:val="auto"/>
              </w:rPr>
            </w:pPr>
            <w:r>
              <w:rPr>
                <w:rFonts w:ascii="Arial" w:cs="Arial" w:eastAsia="Arial" w:hAnsi="Arial"/>
                <w:sz w:val="13"/>
                <w:szCs w:val="13"/>
                <w:color w:val="auto"/>
              </w:rPr>
              <w:t>243,750</w:t>
            </w:r>
          </w:p>
        </w:tc>
        <w:tc>
          <w:tcPr>
            <w:tcW w:w="8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487,500</w:t>
            </w:r>
          </w:p>
        </w:tc>
        <w:tc>
          <w:tcPr>
            <w:tcW w:w="7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901,875</w:t>
            </w: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restart"/>
            <w:shd w:val="clear" w:color="auto" w:fill="D8E7F3"/>
          </w:tcPr>
          <w:p>
            <w:pPr>
              <w:jc w:val="right"/>
              <w:ind w:right="237"/>
              <w:spacing w:after="0"/>
              <w:rPr>
                <w:sz w:val="20"/>
                <w:szCs w:val="20"/>
                <w:color w:val="auto"/>
              </w:rPr>
            </w:pPr>
            <w:r>
              <w:rPr>
                <w:rFonts w:ascii="Arial" w:cs="Arial" w:eastAsia="Arial" w:hAnsi="Arial"/>
                <w:sz w:val="13"/>
                <w:szCs w:val="13"/>
                <w:color w:val="auto"/>
              </w:rPr>
              <w:t>78,207</w:t>
            </w:r>
          </w:p>
        </w:tc>
        <w:tc>
          <w:tcPr>
            <w:tcW w:w="60" w:type="dxa"/>
            <w:vAlign w:val="bottom"/>
            <w:shd w:val="clear" w:color="auto" w:fill="D8E7F3"/>
          </w:tcPr>
          <w:p>
            <w:pPr>
              <w:spacing w:after="0"/>
              <w:rPr>
                <w:sz w:val="12"/>
                <w:szCs w:val="12"/>
                <w:color w:val="auto"/>
              </w:rPr>
            </w:pPr>
          </w:p>
        </w:tc>
        <w:tc>
          <w:tcPr>
            <w:tcW w:w="740" w:type="dxa"/>
            <w:vAlign w:val="bottom"/>
            <w:vMerge w:val="restart"/>
            <w:shd w:val="clear" w:color="auto" w:fill="D8E7F3"/>
          </w:tcPr>
          <w:p>
            <w:pPr>
              <w:jc w:val="right"/>
              <w:ind w:right="17"/>
              <w:spacing w:after="0"/>
              <w:rPr>
                <w:sz w:val="20"/>
                <w:szCs w:val="20"/>
                <w:color w:val="auto"/>
              </w:rPr>
            </w:pPr>
            <w:r>
              <w:rPr>
                <w:rFonts w:ascii="Arial" w:cs="Arial" w:eastAsia="Arial" w:hAnsi="Arial"/>
                <w:sz w:val="13"/>
                <w:szCs w:val="13"/>
                <w:color w:val="auto"/>
              </w:rPr>
              <w:t>1,487,497</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vMerge w:val="continue"/>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continue"/>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vMerge w:val="continue"/>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9/28/2020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11,278</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34,175</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68,350</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650,009</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9/28/2020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12,816</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25,631</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51,262</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487,502</w:t>
            </w:r>
          </w:p>
        </w:tc>
        <w:tc>
          <w:tcPr>
            <w:tcW w:w="0" w:type="dxa"/>
            <w:vAlign w:val="bottom"/>
          </w:tcPr>
          <w:p>
            <w:pPr>
              <w:spacing w:after="0"/>
              <w:rPr>
                <w:sz w:val="1"/>
                <w:szCs w:val="1"/>
                <w:color w:val="auto"/>
              </w:rPr>
            </w:pPr>
          </w:p>
        </w:tc>
      </w:tr>
      <w:tr>
        <w:trPr>
          <w:trHeight w:val="157"/>
        </w:trPr>
        <w:tc>
          <w:tcPr>
            <w:tcW w:w="1400" w:type="dxa"/>
            <w:vAlign w:val="bottom"/>
          </w:tcPr>
          <w:p>
            <w:pPr>
              <w:ind w:left="80"/>
              <w:spacing w:after="0"/>
              <w:rPr>
                <w:sz w:val="20"/>
                <w:szCs w:val="20"/>
                <w:color w:val="auto"/>
              </w:rPr>
            </w:pPr>
            <w:r>
              <w:rPr>
                <w:rFonts w:ascii="Arial" w:cs="Arial" w:eastAsia="Arial" w:hAnsi="Arial"/>
                <w:sz w:val="13"/>
                <w:szCs w:val="13"/>
                <w:color w:val="auto"/>
              </w:rPr>
              <w:t>Milton Carroll</w:t>
            </w:r>
          </w:p>
        </w:tc>
        <w:tc>
          <w:tcPr>
            <w:tcW w:w="8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3"/>
                <w:szCs w:val="13"/>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vMerge w:val="restart"/>
          </w:tcPr>
          <w:p>
            <w:pPr>
              <w:jc w:val="right"/>
              <w:ind w:right="237"/>
              <w:spacing w:after="0"/>
              <w:rPr>
                <w:sz w:val="20"/>
                <w:szCs w:val="20"/>
                <w:color w:val="auto"/>
              </w:rPr>
            </w:pPr>
            <w:r>
              <w:rPr>
                <w:rFonts w:ascii="Arial" w:cs="Arial" w:eastAsia="Arial" w:hAnsi="Arial"/>
                <w:sz w:val="13"/>
                <w:szCs w:val="13"/>
                <w:color w:val="auto"/>
              </w:rPr>
              <w:t>30,250</w:t>
            </w:r>
          </w:p>
        </w:tc>
        <w:tc>
          <w:tcPr>
            <w:tcW w:w="60" w:type="dxa"/>
            <w:vAlign w:val="bottom"/>
          </w:tcPr>
          <w:p>
            <w:pPr>
              <w:spacing w:after="0"/>
              <w:rPr>
                <w:sz w:val="13"/>
                <w:szCs w:val="13"/>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799,508</w:t>
            </w: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13,310</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40,333</w:t>
            </w:r>
          </w:p>
        </w:tc>
        <w:tc>
          <w:tcPr>
            <w:tcW w:w="1280" w:type="dxa"/>
            <w:vAlign w:val="bottom"/>
            <w:gridSpan w:val="3"/>
          </w:tcPr>
          <w:p>
            <w:pPr>
              <w:jc w:val="right"/>
              <w:ind w:right="197"/>
              <w:spacing w:after="0" w:line="143" w:lineRule="exact"/>
              <w:rPr>
                <w:sz w:val="20"/>
                <w:szCs w:val="20"/>
                <w:color w:val="auto"/>
              </w:rPr>
            </w:pPr>
            <w:r>
              <w:rPr>
                <w:rFonts w:ascii="Arial" w:cs="Arial" w:eastAsia="Arial" w:hAnsi="Arial"/>
                <w:sz w:val="13"/>
                <w:szCs w:val="13"/>
                <w:color w:val="auto"/>
              </w:rPr>
              <w:t>80,666</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1,066,001</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15,125</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30,250</w:t>
            </w:r>
          </w:p>
        </w:tc>
        <w:tc>
          <w:tcPr>
            <w:tcW w:w="1280" w:type="dxa"/>
            <w:vAlign w:val="bottom"/>
            <w:gridSpan w:val="3"/>
          </w:tcPr>
          <w:p>
            <w:pPr>
              <w:jc w:val="right"/>
              <w:ind w:right="197"/>
              <w:spacing w:after="0" w:line="143" w:lineRule="exact"/>
              <w:rPr>
                <w:sz w:val="20"/>
                <w:szCs w:val="20"/>
                <w:color w:val="auto"/>
              </w:rPr>
            </w:pPr>
            <w:r>
              <w:rPr>
                <w:rFonts w:ascii="Arial" w:cs="Arial" w:eastAsia="Arial" w:hAnsi="Arial"/>
                <w:sz w:val="13"/>
                <w:szCs w:val="13"/>
                <w:color w:val="auto"/>
              </w:rPr>
              <w:t>60,500</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799,508</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7/1/2020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25,947</w:t>
            </w:r>
          </w:p>
        </w:tc>
        <w:tc>
          <w:tcPr>
            <w:tcW w:w="60" w:type="dxa"/>
            <w:vAlign w:val="bottom"/>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499,999</w:t>
            </w: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39" w:lineRule="exact"/>
              <w:rPr>
                <w:sz w:val="20"/>
                <w:szCs w:val="20"/>
                <w:color w:val="auto"/>
              </w:rPr>
            </w:pPr>
            <w:r>
              <w:rPr>
                <w:rFonts w:ascii="Arial" w:cs="Arial" w:eastAsia="Arial" w:hAnsi="Arial"/>
                <w:sz w:val="13"/>
                <w:szCs w:val="13"/>
                <w:color w:val="auto"/>
              </w:rPr>
              <w:t>7/1/2020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right"/>
              <w:ind w:right="237"/>
              <w:spacing w:after="0" w:line="139" w:lineRule="exact"/>
              <w:rPr>
                <w:sz w:val="20"/>
                <w:szCs w:val="20"/>
                <w:color w:val="auto"/>
              </w:rPr>
            </w:pPr>
            <w:r>
              <w:rPr>
                <w:rFonts w:ascii="Arial" w:cs="Arial" w:eastAsia="Arial" w:hAnsi="Arial"/>
                <w:sz w:val="13"/>
                <w:szCs w:val="13"/>
                <w:color w:val="auto"/>
              </w:rPr>
              <w:t>51,894</w:t>
            </w:r>
          </w:p>
        </w:tc>
        <w:tc>
          <w:tcPr>
            <w:tcW w:w="60" w:type="dxa"/>
            <w:vAlign w:val="bottom"/>
          </w:tcPr>
          <w:p>
            <w:pPr>
              <w:spacing w:after="0"/>
              <w:rPr>
                <w:sz w:val="12"/>
                <w:szCs w:val="12"/>
                <w:color w:val="auto"/>
              </w:rPr>
            </w:pPr>
          </w:p>
        </w:tc>
        <w:tc>
          <w:tcPr>
            <w:tcW w:w="740" w:type="dxa"/>
            <w:vAlign w:val="bottom"/>
          </w:tcPr>
          <w:p>
            <w:pPr>
              <w:jc w:val="right"/>
              <w:ind w:right="17"/>
              <w:spacing w:after="0" w:line="139" w:lineRule="exact"/>
              <w:rPr>
                <w:sz w:val="20"/>
                <w:szCs w:val="20"/>
                <w:color w:val="auto"/>
              </w:rPr>
            </w:pPr>
            <w:r>
              <w:rPr>
                <w:rFonts w:ascii="Arial" w:cs="Arial" w:eastAsia="Arial" w:hAnsi="Arial"/>
                <w:sz w:val="13"/>
                <w:szCs w:val="13"/>
                <w:color w:val="auto"/>
              </w:rPr>
              <w:t>999,997</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Kristie L. Colvin</w:t>
            </w: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jc w:val="right"/>
              <w:ind w:right="38"/>
              <w:spacing w:after="0" w:line="143" w:lineRule="exact"/>
              <w:rPr>
                <w:sz w:val="20"/>
                <w:szCs w:val="20"/>
                <w:color w:val="auto"/>
              </w:rPr>
            </w:pPr>
            <w:r>
              <w:rPr>
                <w:rFonts w:ascii="Arial" w:cs="Arial" w:eastAsia="Arial" w:hAnsi="Arial"/>
                <w:sz w:val="13"/>
                <w:szCs w:val="13"/>
                <w:color w:val="auto"/>
              </w:rPr>
              <w:t>104,500</w:t>
            </w:r>
          </w:p>
        </w:tc>
        <w:tc>
          <w:tcPr>
            <w:tcW w:w="8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209,000</w:t>
            </w:r>
          </w:p>
        </w:tc>
        <w:tc>
          <w:tcPr>
            <w:tcW w:w="7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386,650</w:t>
            </w: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restart"/>
            <w:shd w:val="clear" w:color="auto" w:fill="D8E7F3"/>
          </w:tcPr>
          <w:p>
            <w:pPr>
              <w:jc w:val="right"/>
              <w:ind w:right="237"/>
              <w:spacing w:after="0"/>
              <w:rPr>
                <w:sz w:val="20"/>
                <w:szCs w:val="20"/>
                <w:color w:val="auto"/>
              </w:rPr>
            </w:pPr>
            <w:r>
              <w:rPr>
                <w:rFonts w:ascii="Arial" w:cs="Arial" w:eastAsia="Arial" w:hAnsi="Arial"/>
                <w:sz w:val="13"/>
                <w:szCs w:val="13"/>
                <w:color w:val="auto"/>
              </w:rPr>
              <w:t>3,396</w:t>
            </w:r>
          </w:p>
        </w:tc>
        <w:tc>
          <w:tcPr>
            <w:tcW w:w="60" w:type="dxa"/>
            <w:vAlign w:val="bottom"/>
            <w:shd w:val="clear" w:color="auto" w:fill="D8E7F3"/>
          </w:tcPr>
          <w:p>
            <w:pPr>
              <w:spacing w:after="0"/>
              <w:rPr>
                <w:sz w:val="12"/>
                <w:szCs w:val="12"/>
                <w:color w:val="auto"/>
              </w:rPr>
            </w:pPr>
          </w:p>
        </w:tc>
        <w:tc>
          <w:tcPr>
            <w:tcW w:w="740" w:type="dxa"/>
            <w:vAlign w:val="bottom"/>
            <w:vMerge w:val="restart"/>
            <w:shd w:val="clear" w:color="auto" w:fill="D8E7F3"/>
          </w:tcPr>
          <w:p>
            <w:pPr>
              <w:jc w:val="right"/>
              <w:ind w:right="17"/>
              <w:spacing w:after="0"/>
              <w:rPr>
                <w:sz w:val="20"/>
                <w:szCs w:val="20"/>
                <w:color w:val="auto"/>
              </w:rPr>
            </w:pPr>
            <w:r>
              <w:rPr>
                <w:rFonts w:ascii="Arial" w:cs="Arial" w:eastAsia="Arial" w:hAnsi="Arial"/>
                <w:sz w:val="13"/>
                <w:szCs w:val="13"/>
                <w:color w:val="auto"/>
              </w:rPr>
              <w:t>89,756</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continue"/>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vMerge w:val="continue"/>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1,494</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4,528</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9,056</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119,675</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1,698</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3,396</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6,792</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89,756</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4/6/2020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8,447</w:t>
            </w: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129,239</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4/6/2020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697</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2,113</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4,226</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32,329</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4/6/2020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792</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1,584</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3,168</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24,235</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7/1/2020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5,449</w:t>
            </w: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105,002</w:t>
            </w:r>
          </w:p>
        </w:tc>
        <w:tc>
          <w:tcPr>
            <w:tcW w:w="0" w:type="dxa"/>
            <w:vAlign w:val="bottom"/>
          </w:tcPr>
          <w:p>
            <w:pPr>
              <w:spacing w:after="0"/>
              <w:rPr>
                <w:sz w:val="1"/>
                <w:szCs w:val="1"/>
                <w:color w:val="auto"/>
              </w:rPr>
            </w:pPr>
          </w:p>
        </w:tc>
      </w:tr>
      <w:tr>
        <w:trPr>
          <w:trHeight w:val="157"/>
        </w:trPr>
        <w:tc>
          <w:tcPr>
            <w:tcW w:w="1400" w:type="dxa"/>
            <w:vAlign w:val="bottom"/>
          </w:tcPr>
          <w:p>
            <w:pPr>
              <w:ind w:left="80"/>
              <w:spacing w:after="0"/>
              <w:rPr>
                <w:sz w:val="20"/>
                <w:szCs w:val="20"/>
                <w:color w:val="auto"/>
              </w:rPr>
            </w:pPr>
            <w:r>
              <w:rPr>
                <w:rFonts w:ascii="Arial" w:cs="Arial" w:eastAsia="Arial" w:hAnsi="Arial"/>
                <w:sz w:val="13"/>
                <w:szCs w:val="13"/>
                <w:color w:val="auto"/>
              </w:rPr>
              <w:t>Scott E. Doyle</w:t>
            </w:r>
          </w:p>
        </w:tc>
        <w:tc>
          <w:tcPr>
            <w:tcW w:w="8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3"/>
                <w:szCs w:val="13"/>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158,437</w:t>
            </w:r>
          </w:p>
        </w:tc>
        <w:tc>
          <w:tcPr>
            <w:tcW w:w="860" w:type="dxa"/>
            <w:vAlign w:val="bottom"/>
          </w:tcPr>
          <w:p>
            <w:pPr>
              <w:jc w:val="right"/>
              <w:spacing w:after="0"/>
              <w:rPr>
                <w:sz w:val="20"/>
                <w:szCs w:val="20"/>
                <w:color w:val="auto"/>
              </w:rPr>
            </w:pPr>
            <w:r>
              <w:rPr>
                <w:rFonts w:ascii="Arial" w:cs="Arial" w:eastAsia="Arial" w:hAnsi="Arial"/>
                <w:sz w:val="13"/>
                <w:szCs w:val="13"/>
                <w:color w:val="auto"/>
              </w:rPr>
              <w:t>316,875</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586,219</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vMerge w:val="restart"/>
          </w:tcPr>
          <w:p>
            <w:pPr>
              <w:jc w:val="right"/>
              <w:ind w:right="237"/>
              <w:spacing w:after="0"/>
              <w:rPr>
                <w:sz w:val="20"/>
                <w:szCs w:val="20"/>
                <w:color w:val="auto"/>
              </w:rPr>
            </w:pPr>
            <w:r>
              <w:rPr>
                <w:rFonts w:ascii="Arial" w:cs="Arial" w:eastAsia="Arial" w:hAnsi="Arial"/>
                <w:sz w:val="13"/>
                <w:szCs w:val="13"/>
                <w:color w:val="auto"/>
              </w:rPr>
              <w:t>9,648</w:t>
            </w:r>
          </w:p>
        </w:tc>
        <w:tc>
          <w:tcPr>
            <w:tcW w:w="60" w:type="dxa"/>
            <w:vAlign w:val="bottom"/>
          </w:tcPr>
          <w:p>
            <w:pPr>
              <w:spacing w:after="0"/>
              <w:rPr>
                <w:sz w:val="13"/>
                <w:szCs w:val="13"/>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254,997</w:t>
            </w: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4,245</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12,864</w:t>
            </w:r>
          </w:p>
        </w:tc>
        <w:tc>
          <w:tcPr>
            <w:tcW w:w="1280" w:type="dxa"/>
            <w:vAlign w:val="bottom"/>
            <w:gridSpan w:val="3"/>
          </w:tcPr>
          <w:p>
            <w:pPr>
              <w:jc w:val="right"/>
              <w:ind w:right="197"/>
              <w:spacing w:after="0" w:line="143" w:lineRule="exact"/>
              <w:rPr>
                <w:sz w:val="20"/>
                <w:szCs w:val="20"/>
                <w:color w:val="auto"/>
              </w:rPr>
            </w:pPr>
            <w:r>
              <w:rPr>
                <w:rFonts w:ascii="Arial" w:cs="Arial" w:eastAsia="Arial" w:hAnsi="Arial"/>
                <w:sz w:val="13"/>
                <w:szCs w:val="13"/>
                <w:color w:val="auto"/>
              </w:rPr>
              <w:t>25,728</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339,996</w:t>
            </w: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39" w:lineRule="exact"/>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39" w:lineRule="exact"/>
              <w:rPr>
                <w:sz w:val="20"/>
                <w:szCs w:val="20"/>
                <w:color w:val="auto"/>
              </w:rPr>
            </w:pPr>
            <w:r>
              <w:rPr>
                <w:rFonts w:ascii="Arial" w:cs="Arial" w:eastAsia="Arial" w:hAnsi="Arial"/>
                <w:sz w:val="13"/>
                <w:szCs w:val="13"/>
                <w:color w:val="auto"/>
              </w:rPr>
              <w:t>4,824</w:t>
            </w: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9,648</w:t>
            </w:r>
          </w:p>
        </w:tc>
        <w:tc>
          <w:tcPr>
            <w:tcW w:w="1280" w:type="dxa"/>
            <w:vAlign w:val="bottom"/>
            <w:gridSpan w:val="3"/>
          </w:tcPr>
          <w:p>
            <w:pPr>
              <w:jc w:val="right"/>
              <w:ind w:right="197"/>
              <w:spacing w:after="0" w:line="139" w:lineRule="exact"/>
              <w:rPr>
                <w:sz w:val="20"/>
                <w:szCs w:val="20"/>
                <w:color w:val="auto"/>
              </w:rPr>
            </w:pPr>
            <w:r>
              <w:rPr>
                <w:rFonts w:ascii="Arial" w:cs="Arial" w:eastAsia="Arial" w:hAnsi="Arial"/>
                <w:sz w:val="13"/>
                <w:szCs w:val="13"/>
                <w:color w:val="auto"/>
              </w:rPr>
              <w:t>19,296</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7"/>
              <w:spacing w:after="0" w:line="139" w:lineRule="exact"/>
              <w:rPr>
                <w:sz w:val="20"/>
                <w:szCs w:val="20"/>
                <w:color w:val="auto"/>
              </w:rPr>
            </w:pPr>
            <w:r>
              <w:rPr>
                <w:rFonts w:ascii="Arial" w:cs="Arial" w:eastAsia="Arial" w:hAnsi="Arial"/>
                <w:sz w:val="13"/>
                <w:szCs w:val="13"/>
                <w:color w:val="auto"/>
              </w:rPr>
              <w:t>254,997</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Gregory E. Knight</w:t>
            </w: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jc w:val="right"/>
              <w:ind w:right="38"/>
              <w:spacing w:after="0" w:line="143" w:lineRule="exact"/>
              <w:rPr>
                <w:sz w:val="20"/>
                <w:szCs w:val="20"/>
                <w:color w:val="auto"/>
              </w:rPr>
            </w:pPr>
            <w:r>
              <w:rPr>
                <w:rFonts w:ascii="Arial" w:cs="Arial" w:eastAsia="Arial" w:hAnsi="Arial"/>
                <w:sz w:val="13"/>
                <w:szCs w:val="13"/>
                <w:color w:val="auto"/>
              </w:rPr>
              <w:t>59,109</w:t>
            </w:r>
          </w:p>
        </w:tc>
        <w:tc>
          <w:tcPr>
            <w:tcW w:w="8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118,219</w:t>
            </w:r>
          </w:p>
        </w:tc>
        <w:tc>
          <w:tcPr>
            <w:tcW w:w="7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218,705</w:t>
            </w: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restart"/>
            <w:shd w:val="clear" w:color="auto" w:fill="D8E7F3"/>
          </w:tcPr>
          <w:p>
            <w:pPr>
              <w:jc w:val="right"/>
              <w:ind w:right="237"/>
              <w:spacing w:after="0"/>
              <w:rPr>
                <w:sz w:val="20"/>
                <w:szCs w:val="20"/>
                <w:color w:val="auto"/>
              </w:rPr>
            </w:pPr>
            <w:r>
              <w:rPr>
                <w:rFonts w:ascii="Arial" w:cs="Arial" w:eastAsia="Arial" w:hAnsi="Arial"/>
                <w:sz w:val="13"/>
                <w:szCs w:val="13"/>
                <w:color w:val="auto"/>
              </w:rPr>
              <w:t>25,802</w:t>
            </w:r>
          </w:p>
        </w:tc>
        <w:tc>
          <w:tcPr>
            <w:tcW w:w="60" w:type="dxa"/>
            <w:vAlign w:val="bottom"/>
            <w:shd w:val="clear" w:color="auto" w:fill="D8E7F3"/>
          </w:tcPr>
          <w:p>
            <w:pPr>
              <w:spacing w:after="0"/>
              <w:rPr>
                <w:sz w:val="12"/>
                <w:szCs w:val="12"/>
                <w:color w:val="auto"/>
              </w:rPr>
            </w:pPr>
          </w:p>
        </w:tc>
        <w:tc>
          <w:tcPr>
            <w:tcW w:w="740" w:type="dxa"/>
            <w:vAlign w:val="bottom"/>
            <w:vMerge w:val="restart"/>
            <w:shd w:val="clear" w:color="auto" w:fill="D8E7F3"/>
          </w:tcPr>
          <w:p>
            <w:pPr>
              <w:jc w:val="right"/>
              <w:ind w:right="17"/>
              <w:spacing w:after="0"/>
              <w:rPr>
                <w:sz w:val="20"/>
                <w:szCs w:val="20"/>
                <w:color w:val="auto"/>
              </w:rPr>
            </w:pPr>
            <w:r>
              <w:rPr>
                <w:rFonts w:ascii="Arial" w:cs="Arial" w:eastAsia="Arial" w:hAnsi="Arial"/>
                <w:sz w:val="13"/>
                <w:szCs w:val="13"/>
                <w:color w:val="auto"/>
              </w:rPr>
              <w:t>532,811</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8/17/2020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continue"/>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vMerge w:val="continue"/>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8/17/2020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4,960</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15,031</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30,062</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310,390</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8/17/2020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5,637</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11,274</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22,548</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232,808</w:t>
            </w:r>
          </w:p>
        </w:tc>
        <w:tc>
          <w:tcPr>
            <w:tcW w:w="0" w:type="dxa"/>
            <w:vAlign w:val="bottom"/>
          </w:tcPr>
          <w:p>
            <w:pPr>
              <w:spacing w:after="0"/>
              <w:rPr>
                <w:sz w:val="1"/>
                <w:szCs w:val="1"/>
                <w:color w:val="auto"/>
              </w:rPr>
            </w:pPr>
          </w:p>
        </w:tc>
      </w:tr>
      <w:tr>
        <w:trPr>
          <w:trHeight w:val="157"/>
        </w:trPr>
        <w:tc>
          <w:tcPr>
            <w:tcW w:w="1400" w:type="dxa"/>
            <w:vAlign w:val="bottom"/>
          </w:tcPr>
          <w:p>
            <w:pPr>
              <w:ind w:left="80"/>
              <w:spacing w:after="0"/>
              <w:rPr>
                <w:sz w:val="20"/>
                <w:szCs w:val="20"/>
                <w:color w:val="auto"/>
              </w:rPr>
            </w:pPr>
            <w:r>
              <w:rPr>
                <w:rFonts w:ascii="Arial" w:cs="Arial" w:eastAsia="Arial" w:hAnsi="Arial"/>
                <w:sz w:val="13"/>
                <w:szCs w:val="13"/>
                <w:color w:val="auto"/>
              </w:rPr>
              <w:t>Scott M. Prochazka</w:t>
            </w:r>
          </w:p>
        </w:tc>
        <w:tc>
          <w:tcPr>
            <w:tcW w:w="8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3"/>
                <w:szCs w:val="13"/>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39" w:lineRule="exact"/>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39"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97"/>
              <w:spacing w:after="0" w:line="139" w:lineRule="exact"/>
              <w:rPr>
                <w:sz w:val="20"/>
                <w:szCs w:val="20"/>
                <w:color w:val="auto"/>
              </w:rPr>
            </w:pPr>
            <w:r>
              <w:rPr>
                <w:rFonts w:ascii="Arial" w:cs="Arial" w:eastAsia="Arial" w:hAnsi="Arial"/>
                <w:sz w:val="13"/>
                <w:szCs w:val="13"/>
                <w:color w:val="auto"/>
              </w:rPr>
              <w: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w w:val="95"/>
              </w:rPr>
              <w:t>John W. Somerhalder II</w:t>
            </w: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spacing w:after="0"/>
              <w:rPr>
                <w:sz w:val="12"/>
                <w:szCs w:val="12"/>
                <w:color w:val="auto"/>
              </w:rPr>
            </w:pPr>
          </w:p>
        </w:tc>
        <w:tc>
          <w:tcPr>
            <w:tcW w:w="880" w:type="dxa"/>
            <w:vAlign w:val="bottom"/>
            <w:vMerge w:val="restart"/>
            <w:shd w:val="clear" w:color="auto" w:fill="D8E7F3"/>
          </w:tcPr>
          <w:p>
            <w:pPr>
              <w:jc w:val="center"/>
              <w:spacing w:after="0"/>
              <w:rPr>
                <w:sz w:val="20"/>
                <w:szCs w:val="20"/>
                <w:color w:val="auto"/>
              </w:rPr>
            </w:pPr>
            <w:r>
              <w:rPr>
                <w:rFonts w:ascii="Arial" w:cs="Arial" w:eastAsia="Arial" w:hAnsi="Arial"/>
                <w:sz w:val="13"/>
                <w:szCs w:val="13"/>
                <w:color w:val="auto"/>
                <w:w w:val="91"/>
              </w:rPr>
              <w:t>3/4/2020</w:t>
            </w:r>
            <w:r>
              <w:rPr>
                <w:rFonts w:ascii="Arial" w:cs="Arial" w:eastAsia="Arial" w:hAnsi="Arial"/>
                <w:sz w:val="21"/>
                <w:szCs w:val="21"/>
                <w:color w:val="auto"/>
                <w:w w:val="91"/>
                <w:vertAlign w:val="superscript"/>
              </w:rPr>
              <w:t>(4)</w:t>
            </w:r>
          </w:p>
        </w:tc>
        <w:tc>
          <w:tcPr>
            <w:tcW w:w="780" w:type="dxa"/>
            <w:vAlign w:val="bottom"/>
            <w:shd w:val="clear" w:color="auto" w:fill="D8E7F3"/>
          </w:tcPr>
          <w:p>
            <w:pPr>
              <w:jc w:val="right"/>
              <w:ind w:right="38"/>
              <w:spacing w:after="0" w:line="143" w:lineRule="exact"/>
              <w:rPr>
                <w:sz w:val="20"/>
                <w:szCs w:val="20"/>
                <w:color w:val="auto"/>
              </w:rPr>
            </w:pPr>
            <w:r>
              <w:rPr>
                <w:rFonts w:ascii="Arial" w:cs="Arial" w:eastAsia="Arial" w:hAnsi="Arial"/>
                <w:sz w:val="13"/>
                <w:szCs w:val="13"/>
                <w:color w:val="auto"/>
              </w:rPr>
              <w:t>—</w:t>
            </w:r>
          </w:p>
        </w:tc>
        <w:tc>
          <w:tcPr>
            <w:tcW w:w="8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restart"/>
            <w:shd w:val="clear" w:color="auto" w:fill="D8E7F3"/>
          </w:tcPr>
          <w:p>
            <w:pPr>
              <w:jc w:val="right"/>
              <w:ind w:right="237"/>
              <w:spacing w:after="0"/>
              <w:rPr>
                <w:sz w:val="20"/>
                <w:szCs w:val="20"/>
                <w:color w:val="auto"/>
              </w:rPr>
            </w:pPr>
            <w:r>
              <w:rPr>
                <w:rFonts w:ascii="Arial" w:cs="Arial" w:eastAsia="Arial" w:hAnsi="Arial"/>
                <w:sz w:val="13"/>
                <w:szCs w:val="13"/>
                <w:color w:val="auto"/>
              </w:rPr>
              <w:t>57,725</w:t>
            </w:r>
          </w:p>
        </w:tc>
        <w:tc>
          <w:tcPr>
            <w:tcW w:w="60" w:type="dxa"/>
            <w:vAlign w:val="bottom"/>
            <w:shd w:val="clear" w:color="auto" w:fill="D8E7F3"/>
          </w:tcPr>
          <w:p>
            <w:pPr>
              <w:spacing w:after="0"/>
              <w:rPr>
                <w:sz w:val="12"/>
                <w:szCs w:val="12"/>
                <w:color w:val="auto"/>
              </w:rPr>
            </w:pPr>
          </w:p>
        </w:tc>
        <w:tc>
          <w:tcPr>
            <w:tcW w:w="740" w:type="dxa"/>
            <w:vAlign w:val="bottom"/>
            <w:vMerge w:val="restart"/>
            <w:shd w:val="clear" w:color="auto" w:fill="D8E7F3"/>
          </w:tcPr>
          <w:p>
            <w:pPr>
              <w:jc w:val="right"/>
              <w:ind w:right="17"/>
              <w:spacing w:after="0"/>
              <w:rPr>
                <w:sz w:val="20"/>
                <w:szCs w:val="20"/>
                <w:color w:val="auto"/>
              </w:rPr>
            </w:pPr>
            <w:r>
              <w:rPr>
                <w:rFonts w:ascii="Arial" w:cs="Arial" w:eastAsia="Arial" w:hAnsi="Arial"/>
                <w:sz w:val="13"/>
                <w:szCs w:val="13"/>
                <w:color w:val="auto"/>
              </w:rPr>
              <w:t>897,624</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3/13/2020</w:t>
            </w:r>
          </w:p>
        </w:tc>
        <w:tc>
          <w:tcPr>
            <w:tcW w:w="880" w:type="dxa"/>
            <w:vAlign w:val="bottom"/>
            <w:vMerge w:val="continue"/>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continue"/>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vMerge w:val="continue"/>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6/1/2020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76,177</w:t>
            </w: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1,374,995</w:t>
            </w:r>
          </w:p>
        </w:tc>
        <w:tc>
          <w:tcPr>
            <w:tcW w:w="0" w:type="dxa"/>
            <w:vAlign w:val="bottom"/>
          </w:tcPr>
          <w:p>
            <w:pPr>
              <w:spacing w:after="0"/>
              <w:rPr>
                <w:sz w:val="1"/>
                <w:szCs w:val="1"/>
                <w:color w:val="auto"/>
              </w:rPr>
            </w:pPr>
          </w:p>
        </w:tc>
      </w:tr>
      <w:tr>
        <w:trPr>
          <w:trHeight w:val="157"/>
        </w:trPr>
        <w:tc>
          <w:tcPr>
            <w:tcW w:w="1400" w:type="dxa"/>
            <w:vAlign w:val="bottom"/>
          </w:tcPr>
          <w:p>
            <w:pPr>
              <w:ind w:left="80"/>
              <w:spacing w:after="0"/>
              <w:rPr>
                <w:sz w:val="20"/>
                <w:szCs w:val="20"/>
                <w:color w:val="auto"/>
              </w:rPr>
            </w:pPr>
            <w:r>
              <w:rPr>
                <w:rFonts w:ascii="Arial" w:cs="Arial" w:eastAsia="Arial" w:hAnsi="Arial"/>
                <w:sz w:val="13"/>
                <w:szCs w:val="13"/>
                <w:color w:val="auto"/>
              </w:rPr>
              <w:t>Xia Liu</w:t>
            </w:r>
          </w:p>
        </w:tc>
        <w:tc>
          <w:tcPr>
            <w:tcW w:w="8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3"/>
                <w:szCs w:val="13"/>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98,140</w:t>
            </w:r>
          </w:p>
        </w:tc>
        <w:tc>
          <w:tcPr>
            <w:tcW w:w="860" w:type="dxa"/>
            <w:vAlign w:val="bottom"/>
          </w:tcPr>
          <w:p>
            <w:pPr>
              <w:jc w:val="right"/>
              <w:spacing w:after="0"/>
              <w:rPr>
                <w:sz w:val="20"/>
                <w:szCs w:val="20"/>
                <w:color w:val="auto"/>
              </w:rPr>
            </w:pPr>
            <w:r>
              <w:rPr>
                <w:rFonts w:ascii="Arial" w:cs="Arial" w:eastAsia="Arial" w:hAnsi="Arial"/>
                <w:sz w:val="13"/>
                <w:szCs w:val="13"/>
                <w:color w:val="auto"/>
              </w:rPr>
              <w:t>196,279</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363,116</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vMerge w:val="restart"/>
          </w:tcPr>
          <w:p>
            <w:pPr>
              <w:jc w:val="right"/>
              <w:ind w:right="237"/>
              <w:spacing w:after="0"/>
              <w:rPr>
                <w:sz w:val="20"/>
                <w:szCs w:val="20"/>
                <w:color w:val="auto"/>
              </w:rPr>
            </w:pPr>
            <w:r>
              <w:rPr>
                <w:rFonts w:ascii="Arial" w:cs="Arial" w:eastAsia="Arial" w:hAnsi="Arial"/>
                <w:sz w:val="13"/>
                <w:szCs w:val="13"/>
                <w:color w:val="auto"/>
              </w:rPr>
              <w:t>15,834</w:t>
            </w:r>
          </w:p>
        </w:tc>
        <w:tc>
          <w:tcPr>
            <w:tcW w:w="60" w:type="dxa"/>
            <w:vAlign w:val="bottom"/>
          </w:tcPr>
          <w:p>
            <w:pPr>
              <w:spacing w:after="0"/>
              <w:rPr>
                <w:sz w:val="13"/>
                <w:szCs w:val="13"/>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418,493</w:t>
            </w:r>
          </w:p>
        </w:tc>
        <w:tc>
          <w:tcPr>
            <w:tcW w:w="0" w:type="dxa"/>
            <w:vAlign w:val="bottom"/>
          </w:tcPr>
          <w:p>
            <w:pPr>
              <w:spacing w:after="0"/>
              <w:rPr>
                <w:sz w:val="1"/>
                <w:szCs w:val="1"/>
                <w:color w:val="auto"/>
              </w:rPr>
            </w:pPr>
          </w:p>
        </w:tc>
      </w:tr>
      <w:tr>
        <w:trPr>
          <w:trHeight w:val="133"/>
        </w:trPr>
        <w:tc>
          <w:tcPr>
            <w:tcW w:w="14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6,967</w:t>
            </w: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21,112</w:t>
            </w:r>
          </w:p>
        </w:tc>
        <w:tc>
          <w:tcPr>
            <w:tcW w:w="1280" w:type="dxa"/>
            <w:vAlign w:val="bottom"/>
            <w:gridSpan w:val="3"/>
          </w:tcPr>
          <w:p>
            <w:pPr>
              <w:jc w:val="right"/>
              <w:ind w:right="197"/>
              <w:spacing w:after="0" w:line="143" w:lineRule="exact"/>
              <w:rPr>
                <w:sz w:val="20"/>
                <w:szCs w:val="20"/>
                <w:color w:val="auto"/>
              </w:rPr>
            </w:pPr>
            <w:r>
              <w:rPr>
                <w:rFonts w:ascii="Arial" w:cs="Arial" w:eastAsia="Arial" w:hAnsi="Arial"/>
                <w:sz w:val="13"/>
                <w:szCs w:val="13"/>
                <w:color w:val="auto"/>
              </w:rPr>
              <w:t>42,224</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557,990</w:t>
            </w: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860" w:type="dxa"/>
            <w:vAlign w:val="bottom"/>
            <w:gridSpan w:val="2"/>
          </w:tcPr>
          <w:p>
            <w:pPr>
              <w:jc w:val="right"/>
              <w:ind w:right="117"/>
              <w:spacing w:after="0" w:line="139" w:lineRule="exact"/>
              <w:rPr>
                <w:sz w:val="20"/>
                <w:szCs w:val="20"/>
                <w:color w:val="auto"/>
              </w:rPr>
            </w:pPr>
            <w:r>
              <w:rPr>
                <w:rFonts w:ascii="Arial" w:cs="Arial" w:eastAsia="Arial" w:hAnsi="Arial"/>
                <w:sz w:val="13"/>
                <w:szCs w:val="13"/>
                <w:color w:val="auto"/>
              </w:rPr>
              <w:t>2/19/2020</w:t>
            </w: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right"/>
              <w:ind w:right="117"/>
              <w:spacing w:after="0" w:line="139" w:lineRule="exact"/>
              <w:rPr>
                <w:sz w:val="20"/>
                <w:szCs w:val="20"/>
                <w:color w:val="auto"/>
              </w:rPr>
            </w:pPr>
            <w:r>
              <w:rPr>
                <w:rFonts w:ascii="Arial" w:cs="Arial" w:eastAsia="Arial" w:hAnsi="Arial"/>
                <w:sz w:val="13"/>
                <w:szCs w:val="13"/>
                <w:color w:val="auto"/>
              </w:rPr>
              <w:t>7,917</w:t>
            </w: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15,834</w:t>
            </w:r>
          </w:p>
        </w:tc>
        <w:tc>
          <w:tcPr>
            <w:tcW w:w="1280" w:type="dxa"/>
            <w:vAlign w:val="bottom"/>
            <w:gridSpan w:val="3"/>
          </w:tcPr>
          <w:p>
            <w:pPr>
              <w:jc w:val="right"/>
              <w:ind w:right="197"/>
              <w:spacing w:after="0" w:line="139" w:lineRule="exact"/>
              <w:rPr>
                <w:sz w:val="20"/>
                <w:szCs w:val="20"/>
                <w:color w:val="auto"/>
              </w:rPr>
            </w:pPr>
            <w:r>
              <w:rPr>
                <w:rFonts w:ascii="Arial" w:cs="Arial" w:eastAsia="Arial" w:hAnsi="Arial"/>
                <w:sz w:val="13"/>
                <w:szCs w:val="13"/>
                <w:color w:val="auto"/>
              </w:rPr>
              <w:t>31,668</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7"/>
              <w:spacing w:after="0" w:line="139" w:lineRule="exact"/>
              <w:rPr>
                <w:sz w:val="20"/>
                <w:szCs w:val="20"/>
                <w:color w:val="auto"/>
              </w:rPr>
            </w:pPr>
            <w:r>
              <w:rPr>
                <w:rFonts w:ascii="Arial" w:cs="Arial" w:eastAsia="Arial" w:hAnsi="Arial"/>
                <w:sz w:val="13"/>
                <w:szCs w:val="13"/>
                <w:color w:val="auto"/>
              </w:rPr>
              <w:t>418,493</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Joseph J. Vortherms</w:t>
            </w: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jc w:val="right"/>
              <w:ind w:right="38"/>
              <w:spacing w:after="0" w:line="143" w:lineRule="exact"/>
              <w:rPr>
                <w:sz w:val="20"/>
                <w:szCs w:val="20"/>
                <w:color w:val="auto"/>
              </w:rPr>
            </w:pPr>
            <w:r>
              <w:rPr>
                <w:rFonts w:ascii="Arial" w:cs="Arial" w:eastAsia="Arial" w:hAnsi="Arial"/>
                <w:sz w:val="13"/>
                <w:szCs w:val="13"/>
                <w:color w:val="auto"/>
              </w:rPr>
              <w:t>117,117</w:t>
            </w:r>
          </w:p>
        </w:tc>
        <w:tc>
          <w:tcPr>
            <w:tcW w:w="8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234,233</w:t>
            </w:r>
          </w:p>
        </w:tc>
        <w:tc>
          <w:tcPr>
            <w:tcW w:w="7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433,332</w:t>
            </w: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restart"/>
            <w:shd w:val="clear" w:color="auto" w:fill="D8E7F3"/>
          </w:tcPr>
          <w:p>
            <w:pPr>
              <w:jc w:val="right"/>
              <w:ind w:right="237"/>
              <w:spacing w:after="0"/>
              <w:rPr>
                <w:sz w:val="20"/>
                <w:szCs w:val="20"/>
                <w:color w:val="auto"/>
              </w:rPr>
            </w:pPr>
            <w:r>
              <w:rPr>
                <w:rFonts w:ascii="Arial" w:cs="Arial" w:eastAsia="Arial" w:hAnsi="Arial"/>
                <w:sz w:val="13"/>
                <w:szCs w:val="13"/>
                <w:color w:val="auto"/>
              </w:rPr>
              <w:t>6,356</w:t>
            </w:r>
          </w:p>
        </w:tc>
        <w:tc>
          <w:tcPr>
            <w:tcW w:w="60" w:type="dxa"/>
            <w:vAlign w:val="bottom"/>
            <w:shd w:val="clear" w:color="auto" w:fill="D8E7F3"/>
          </w:tcPr>
          <w:p>
            <w:pPr>
              <w:spacing w:after="0"/>
              <w:rPr>
                <w:sz w:val="12"/>
                <w:szCs w:val="12"/>
                <w:color w:val="auto"/>
              </w:rPr>
            </w:pPr>
          </w:p>
        </w:tc>
        <w:tc>
          <w:tcPr>
            <w:tcW w:w="740" w:type="dxa"/>
            <w:vAlign w:val="bottom"/>
            <w:vMerge w:val="restart"/>
            <w:shd w:val="clear" w:color="auto" w:fill="D8E7F3"/>
          </w:tcPr>
          <w:p>
            <w:pPr>
              <w:jc w:val="right"/>
              <w:ind w:right="17"/>
              <w:spacing w:after="0"/>
              <w:rPr>
                <w:sz w:val="20"/>
                <w:szCs w:val="20"/>
                <w:color w:val="auto"/>
              </w:rPr>
            </w:pPr>
            <w:r>
              <w:rPr>
                <w:rFonts w:ascii="Arial" w:cs="Arial" w:eastAsia="Arial" w:hAnsi="Arial"/>
                <w:sz w:val="13"/>
                <w:szCs w:val="13"/>
                <w:color w:val="auto"/>
              </w:rPr>
              <w:t>167,989</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spacing w:after="0"/>
              <w:rPr>
                <w:sz w:val="12"/>
                <w:szCs w:val="12"/>
                <w:color w:val="auto"/>
              </w:rPr>
            </w:pPr>
          </w:p>
        </w:tc>
        <w:tc>
          <w:tcPr>
            <w:tcW w:w="9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840" w:type="dxa"/>
            <w:vAlign w:val="bottom"/>
            <w:shd w:val="clear" w:color="auto" w:fill="D8E7F3"/>
          </w:tcPr>
          <w:p>
            <w:pPr>
              <w:spacing w:after="0"/>
              <w:rPr>
                <w:sz w:val="12"/>
                <w:szCs w:val="12"/>
                <w:color w:val="auto"/>
              </w:rPr>
            </w:pPr>
          </w:p>
        </w:tc>
        <w:tc>
          <w:tcPr>
            <w:tcW w:w="1200" w:type="dxa"/>
            <w:vAlign w:val="bottom"/>
            <w:vMerge w:val="continue"/>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vMerge w:val="continue"/>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2,797</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8,475</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16,950</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223,994</w:t>
            </w:r>
          </w:p>
        </w:tc>
        <w:tc>
          <w:tcPr>
            <w:tcW w:w="0" w:type="dxa"/>
            <w:vAlign w:val="bottom"/>
          </w:tcPr>
          <w:p>
            <w:pPr>
              <w:spacing w:after="0"/>
              <w:rPr>
                <w:sz w:val="1"/>
                <w:szCs w:val="1"/>
                <w:color w:val="auto"/>
              </w:rPr>
            </w:pPr>
          </w:p>
        </w:tc>
      </w:tr>
      <w:tr>
        <w:trPr>
          <w:trHeight w:val="143"/>
        </w:trPr>
        <w:tc>
          <w:tcPr>
            <w:tcW w:w="140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82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2/19/2020</w:t>
            </w:r>
          </w:p>
        </w:tc>
        <w:tc>
          <w:tcPr>
            <w:tcW w:w="8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86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80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3,178</w:t>
            </w:r>
          </w:p>
        </w:tc>
        <w:tc>
          <w:tcPr>
            <w:tcW w:w="9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6,356</w:t>
            </w:r>
          </w:p>
        </w:tc>
        <w:tc>
          <w:tcPr>
            <w:tcW w:w="1280" w:type="dxa"/>
            <w:vAlign w:val="bottom"/>
            <w:gridSpan w:val="3"/>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12,712</w:t>
            </w:r>
          </w:p>
        </w:tc>
        <w:tc>
          <w:tcPr>
            <w:tcW w:w="120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740" w:type="dxa"/>
            <w:vAlign w:val="bottom"/>
            <w:shd w:val="clear" w:color="auto" w:fill="D8E7F3"/>
          </w:tcPr>
          <w:p>
            <w:pPr>
              <w:jc w:val="right"/>
              <w:ind w:right="17"/>
              <w:spacing w:after="0" w:line="143" w:lineRule="exact"/>
              <w:rPr>
                <w:sz w:val="20"/>
                <w:szCs w:val="20"/>
                <w:color w:val="auto"/>
              </w:rPr>
            </w:pPr>
            <w:r>
              <w:rPr>
                <w:rFonts w:ascii="Arial" w:cs="Arial" w:eastAsia="Arial" w:hAnsi="Arial"/>
                <w:sz w:val="13"/>
                <w:szCs w:val="13"/>
                <w:color w:val="auto"/>
              </w:rPr>
              <w:t>167,989</w:t>
            </w:r>
          </w:p>
        </w:tc>
        <w:tc>
          <w:tcPr>
            <w:tcW w:w="0" w:type="dxa"/>
            <w:vAlign w:val="bottom"/>
          </w:tcPr>
          <w:p>
            <w:pPr>
              <w:spacing w:after="0"/>
              <w:rPr>
                <w:sz w:val="1"/>
                <w:szCs w:val="1"/>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3435" cy="228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There were no other equity awards granted to the named executive officers during the year.</w:t>
      </w:r>
    </w:p>
    <w:p>
      <w:pPr>
        <w:spacing w:after="0" w:line="107" w:lineRule="exact"/>
        <w:rPr>
          <w:sz w:val="20"/>
          <w:szCs w:val="20"/>
          <w:color w:val="auto"/>
        </w:rPr>
      </w:pPr>
    </w:p>
    <w:p>
      <w:pPr>
        <w:ind w:left="300" w:right="800" w:hanging="291"/>
        <w:spacing w:after="0" w:line="237" w:lineRule="auto"/>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estimated payouts under non-equity incentive plan awards are based on the terms of our 2020 short-term incentive plan. Based on the goals adopted in 2020, the maximum payout amount (as shown in the Maximum column) is 185% of target for our senior executive officers.</w:t>
      </w:r>
    </w:p>
    <w:p>
      <w:pPr>
        <w:spacing w:after="0" w:line="206"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10520"/>
          </w:cols>
          <w:pgMar w:left="1080" w:top="270" w:right="299" w:bottom="1440" w:gutter="0" w:footer="0" w:header="0"/>
        </w:sectPr>
      </w:pPr>
    </w:p>
    <w:bookmarkStart w:id="65" w:name="page66"/>
    <w:bookmarkEnd w:id="65"/>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6" w:lineRule="exact"/>
        <w:rPr>
          <w:sz w:val="20"/>
          <w:szCs w:val="20"/>
          <w:color w:val="auto"/>
        </w:rPr>
      </w:pPr>
    </w:p>
    <w:p>
      <w:pPr>
        <w:jc w:val="both"/>
        <w:ind w:left="300"/>
        <w:spacing w:after="0" w:line="234" w:lineRule="auto"/>
        <w:rPr>
          <w:sz w:val="20"/>
          <w:szCs w:val="20"/>
          <w:color w:val="auto"/>
        </w:rPr>
      </w:pPr>
      <w:r>
        <w:rPr>
          <w:rFonts w:ascii="Arial" w:cs="Arial" w:eastAsia="Arial" w:hAnsi="Arial"/>
          <w:sz w:val="13"/>
          <w:szCs w:val="13"/>
          <w:color w:val="auto"/>
        </w:rPr>
        <w:t>Actual amounts paid in 2021 for 2020 performance are shown in the Non-Equity Incentive Plan Compensation column of the Summary Compensation Table. Any amount awarded by the Compensation Committee to an individual executive officer in excess of the actual performance level of the underlying performance objectives is reflected in the Summary Compensation Table in the Bonus column.</w:t>
      </w:r>
    </w:p>
    <w:p>
      <w:pPr>
        <w:spacing w:after="0" w:line="98" w:lineRule="exact"/>
        <w:rPr>
          <w:sz w:val="20"/>
          <w:szCs w:val="20"/>
          <w:color w:val="auto"/>
        </w:rPr>
      </w:pPr>
    </w:p>
    <w:p>
      <w:pPr>
        <w:jc w:val="both"/>
        <w:ind w:left="300" w:hanging="291"/>
        <w:spacing w:after="0" w:line="251" w:lineRule="auto"/>
        <w:tabs>
          <w:tab w:leader="none" w:pos="3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annual grants of equity incentive plan awards consist of two types of awards for each named executive officer: a restricted stock unit award covering a number of shares listed in the All Other Stock Awards column, and two performance share unit awards, for which threshold, target and maximum numbers of shares are shown in the columns under Estimated Future Payouts Under Equity Incentive Plan Awards. For Messrs. Lesar and Wells, amounts include their sign-on equity incentive award of restricted stock units valued at $1,000,000 as of the grant date, respectively. For Mr. Knight, amounts include his sign-on equity incentive award of restricted stock units valued at $300,000 as of the grant date. For Ms. Colvin, amounts include her quarterly restricted stock unit awards with a value at each grant date equal to $105,000 and awards authorized in addition to her February 19, 2020 awards upon her appointment as Interim Executive Vice President and Chief Financial Officer to reflect changes made to her base salary and long-term incentive target award level. All of the restricted stock unit awards and the performance share unit awards accrue dividend equivalents over the vesting period or performance cycle, respectively, until they are delivered at the same level as dividends earned by shareholders on shares of common stock outstanding. Dividend equivalents on the vested shares will be paid in cash. These awards are granted under our long-term incentive plan. Refer to the footnotes to the Outstanding Equity Awards at Fiscal Year-End 2020 table for the vesting date of each of these awards.</w:t>
      </w:r>
    </w:p>
    <w:p>
      <w:pPr>
        <w:spacing w:after="0" w:line="91" w:lineRule="exact"/>
        <w:rPr>
          <w:rFonts w:ascii="Arial" w:cs="Arial" w:eastAsia="Arial" w:hAnsi="Arial"/>
          <w:sz w:val="12"/>
          <w:szCs w:val="12"/>
          <w:color w:val="auto"/>
        </w:rPr>
      </w:pPr>
    </w:p>
    <w:p>
      <w:pPr>
        <w:ind w:left="300" w:hanging="291"/>
        <w:spacing w:after="0" w:line="237" w:lineRule="auto"/>
        <w:tabs>
          <w:tab w:leader="none" w:pos="3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While serving as a non-employee director of the Company, Mr. Lesar received a value-based stock award under our Stock Plan for Outside Directors in 2020. For further information on Mr. Lesar’s stock award, please see “Item 1: Election of Directors—Compensation of Directors—Stock Plan for Outside Directors.”</w:t>
      </w:r>
    </w:p>
    <w:p>
      <w:pPr>
        <w:spacing w:after="0" w:line="97" w:lineRule="exact"/>
        <w:rPr>
          <w:rFonts w:ascii="Arial" w:cs="Arial" w:eastAsia="Arial" w:hAnsi="Arial"/>
          <w:sz w:val="13"/>
          <w:szCs w:val="13"/>
          <w:color w:val="auto"/>
        </w:rPr>
      </w:pPr>
    </w:p>
    <w:p>
      <w:pPr>
        <w:ind w:left="300" w:right="20" w:hanging="291"/>
        <w:spacing w:after="0" w:line="237" w:lineRule="auto"/>
        <w:tabs>
          <w:tab w:leader="none" w:pos="3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Reflects the date on which the Compensation Committee approved Mr. Somerhalder’s compensation arrangements as further described in “Compensation Discussion and Analysis—2020 Executive Compensation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Non-Equity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Each of the short-term incentive plan performance objectives is described in detail below.</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To determine “Overall Company Core Net Income,” we adjust our reported consolidated net income to remove the effect of specified items, either positive or negative, to reflect what we consider to be our core business performance in the period being measured. Adjustments are the following:</w:t>
      </w:r>
    </w:p>
    <w:p>
      <w:pPr>
        <w:spacing w:after="0" w:line="98" w:lineRule="exact"/>
        <w:rPr>
          <w:sz w:val="20"/>
          <w:szCs w:val="20"/>
          <w:color w:val="auto"/>
        </w:rPr>
      </w:pPr>
    </w:p>
    <w:p>
      <w:pPr>
        <w:ind w:left="380" w:hanging="276"/>
        <w:spacing w:after="0"/>
        <w:tabs>
          <w:tab w:leader="none" w:pos="380" w:val="left"/>
        </w:tabs>
        <w:numPr>
          <w:ilvl w:val="0"/>
          <w:numId w:val="73"/>
        </w:numPr>
        <w:rPr>
          <w:rFonts w:ascii="Arial" w:cs="Arial" w:eastAsia="Arial" w:hAnsi="Arial"/>
          <w:sz w:val="16"/>
          <w:szCs w:val="16"/>
          <w:color w:val="0061AF"/>
        </w:rPr>
      </w:pPr>
      <w:r>
        <w:rPr>
          <w:rFonts w:ascii="Arial" w:cs="Arial" w:eastAsia="Arial" w:hAnsi="Arial"/>
          <w:sz w:val="16"/>
          <w:szCs w:val="16"/>
          <w:color w:val="auto"/>
        </w:rPr>
        <w:t>minus net income from our midstream investments business segment;</w:t>
      </w:r>
    </w:p>
    <w:p>
      <w:pPr>
        <w:spacing w:after="0" w:line="101" w:lineRule="exact"/>
        <w:rPr>
          <w:rFonts w:ascii="Arial" w:cs="Arial" w:eastAsia="Arial" w:hAnsi="Arial"/>
          <w:sz w:val="16"/>
          <w:szCs w:val="16"/>
          <w:color w:val="0061AF"/>
        </w:rPr>
      </w:pPr>
    </w:p>
    <w:p>
      <w:pPr>
        <w:ind w:left="380" w:right="20" w:hanging="276"/>
        <w:spacing w:after="0"/>
        <w:tabs>
          <w:tab w:leader="none" w:pos="380" w:val="left"/>
        </w:tabs>
        <w:numPr>
          <w:ilvl w:val="0"/>
          <w:numId w:val="73"/>
        </w:numPr>
        <w:rPr>
          <w:rFonts w:ascii="Arial" w:cs="Arial" w:eastAsia="Arial" w:hAnsi="Arial"/>
          <w:sz w:val="16"/>
          <w:szCs w:val="16"/>
          <w:color w:val="0061AF"/>
        </w:rPr>
      </w:pPr>
      <w:r>
        <w:rPr>
          <w:rFonts w:ascii="Arial" w:cs="Arial" w:eastAsia="Arial" w:hAnsi="Arial"/>
          <w:sz w:val="16"/>
          <w:szCs w:val="16"/>
          <w:color w:val="auto"/>
        </w:rPr>
        <w:t>plus or minus the financial impacts of any changes in accounting standards, the unplanned change in application of accounting standards and impairments of goodwill;</w:t>
      </w:r>
    </w:p>
    <w:p>
      <w:pPr>
        <w:spacing w:after="0" w:line="96" w:lineRule="exact"/>
        <w:rPr>
          <w:rFonts w:ascii="Arial" w:cs="Arial" w:eastAsia="Arial" w:hAnsi="Arial"/>
          <w:sz w:val="16"/>
          <w:szCs w:val="16"/>
          <w:color w:val="0061AF"/>
        </w:rPr>
      </w:pPr>
    </w:p>
    <w:p>
      <w:pPr>
        <w:ind w:left="380" w:hanging="276"/>
        <w:spacing w:after="0"/>
        <w:tabs>
          <w:tab w:leader="none" w:pos="380" w:val="left"/>
        </w:tabs>
        <w:numPr>
          <w:ilvl w:val="0"/>
          <w:numId w:val="73"/>
        </w:numPr>
        <w:rPr>
          <w:rFonts w:ascii="Arial" w:cs="Arial" w:eastAsia="Arial" w:hAnsi="Arial"/>
          <w:sz w:val="16"/>
          <w:szCs w:val="16"/>
          <w:color w:val="0061AF"/>
        </w:rPr>
      </w:pPr>
      <w:r>
        <w:rPr>
          <w:rFonts w:ascii="Arial" w:cs="Arial" w:eastAsia="Arial" w:hAnsi="Arial"/>
          <w:sz w:val="16"/>
          <w:szCs w:val="16"/>
          <w:color w:val="auto"/>
        </w:rPr>
        <w:t>plus or minus any impact to income from the change in the value of the ZENS-related securities and the effects of mergers, acquisitions and divestitures on those securities;</w:t>
      </w:r>
    </w:p>
    <w:p>
      <w:pPr>
        <w:spacing w:after="0" w:line="96" w:lineRule="exact"/>
        <w:rPr>
          <w:rFonts w:ascii="Arial" w:cs="Arial" w:eastAsia="Arial" w:hAnsi="Arial"/>
          <w:sz w:val="16"/>
          <w:szCs w:val="16"/>
          <w:color w:val="0061AF"/>
        </w:rPr>
      </w:pPr>
    </w:p>
    <w:p>
      <w:pPr>
        <w:ind w:left="380" w:hanging="276"/>
        <w:spacing w:after="0"/>
        <w:tabs>
          <w:tab w:leader="none" w:pos="380" w:val="left"/>
        </w:tabs>
        <w:numPr>
          <w:ilvl w:val="0"/>
          <w:numId w:val="73"/>
        </w:numPr>
        <w:rPr>
          <w:rFonts w:ascii="Arial" w:cs="Arial" w:eastAsia="Arial" w:hAnsi="Arial"/>
          <w:sz w:val="16"/>
          <w:szCs w:val="16"/>
          <w:color w:val="0061AF"/>
        </w:rPr>
      </w:pPr>
      <w:r>
        <w:rPr>
          <w:rFonts w:ascii="Arial" w:cs="Arial" w:eastAsia="Arial" w:hAnsi="Arial"/>
          <w:sz w:val="16"/>
          <w:szCs w:val="16"/>
          <w:color w:val="auto"/>
        </w:rPr>
        <w:t>plus or minus mark-to-market accounting entries and net natural gas inventory adjustments not reflected in the plan;</w:t>
      </w:r>
    </w:p>
    <w:p>
      <w:pPr>
        <w:spacing w:after="0" w:line="101" w:lineRule="exact"/>
        <w:rPr>
          <w:rFonts w:ascii="Arial" w:cs="Arial" w:eastAsia="Arial" w:hAnsi="Arial"/>
          <w:sz w:val="16"/>
          <w:szCs w:val="16"/>
          <w:color w:val="0061AF"/>
        </w:rPr>
      </w:pPr>
    </w:p>
    <w:p>
      <w:pPr>
        <w:jc w:val="both"/>
        <w:ind w:left="380" w:hanging="276"/>
        <w:spacing w:after="0" w:line="234" w:lineRule="auto"/>
        <w:tabs>
          <w:tab w:leader="none" w:pos="380" w:val="left"/>
        </w:tabs>
        <w:numPr>
          <w:ilvl w:val="0"/>
          <w:numId w:val="73"/>
        </w:numPr>
        <w:rPr>
          <w:rFonts w:ascii="Arial" w:cs="Arial" w:eastAsia="Arial" w:hAnsi="Arial"/>
          <w:sz w:val="16"/>
          <w:szCs w:val="16"/>
          <w:color w:val="0061AF"/>
        </w:rPr>
      </w:pPr>
      <w:r>
        <w:rPr>
          <w:rFonts w:ascii="Arial" w:cs="Arial" w:eastAsia="Arial" w:hAnsi="Arial"/>
          <w:sz w:val="16"/>
          <w:szCs w:val="16"/>
          <w:color w:val="auto"/>
        </w:rPr>
        <w:t>plus or minus 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amortization of intangibles or other purchase price accounting impacts attributable to the Vectren merger; benefit retirement plan settlement expenses triggered by lump sum distribution; costs associated with early retirement of long-term debt; adoption of the FASB-issued ASU No. 2017-07 Compensation—Retirement Benefits; gains/losses or expenses required by GAAP for mergers and acquisitions; or other unplanned items that receive written approval from the Chief Executive Officer and/or Executive Committee.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For 2020, the various levels of achievement for “Overall Company Core Net Income,” the most significant performance objective for</w:t>
      </w:r>
    </w:p>
    <w:p>
      <w:pPr>
        <w:spacing w:after="0"/>
        <w:rPr>
          <w:sz w:val="20"/>
          <w:szCs w:val="20"/>
          <w:color w:val="auto"/>
        </w:rPr>
      </w:pPr>
      <w:r>
        <w:rPr>
          <w:rFonts w:ascii="Arial" w:cs="Arial" w:eastAsia="Arial" w:hAnsi="Arial"/>
          <w:sz w:val="16"/>
          <w:szCs w:val="16"/>
          <w:color w:val="auto"/>
        </w:rPr>
        <w:t>CenterPoint Energy,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shd w:val="clear" w:color="auto" w:fill="0061AF"/>
          </w:tcPr>
          <w:p>
            <w:pPr>
              <w:spacing w:after="0"/>
              <w:rPr>
                <w:sz w:val="16"/>
                <w:szCs w:val="16"/>
                <w:color w:val="auto"/>
              </w:rPr>
            </w:pPr>
          </w:p>
        </w:tc>
        <w:tc>
          <w:tcPr>
            <w:tcW w:w="1440" w:type="dxa"/>
            <w:vAlign w:val="bottom"/>
            <w:shd w:val="clear" w:color="auto" w:fill="0061AF"/>
          </w:tcPr>
          <w:p>
            <w:pPr>
              <w:spacing w:after="0"/>
              <w:rPr>
                <w:sz w:val="16"/>
                <w:szCs w:val="16"/>
                <w:color w:val="auto"/>
              </w:rPr>
            </w:pPr>
          </w:p>
        </w:tc>
        <w:tc>
          <w:tcPr>
            <w:tcW w:w="2080" w:type="dxa"/>
            <w:vAlign w:val="bottom"/>
            <w:gridSpan w:val="2"/>
            <w:shd w:val="clear" w:color="auto" w:fill="0061AF"/>
          </w:tcPr>
          <w:p>
            <w:pPr>
              <w:ind w:left="400"/>
              <w:spacing w:after="0"/>
              <w:rPr>
                <w:sz w:val="20"/>
                <w:szCs w:val="20"/>
                <w:color w:val="auto"/>
              </w:rPr>
            </w:pPr>
            <w:r>
              <w:rPr>
                <w:rFonts w:ascii="Arial" w:cs="Arial" w:eastAsia="Arial" w:hAnsi="Arial"/>
                <w:sz w:val="13"/>
                <w:szCs w:val="13"/>
                <w:b w:val="1"/>
                <w:bCs w:val="1"/>
                <w:color w:val="FFFFFF"/>
              </w:rPr>
              <w:t>In Millions (except %)</w:t>
            </w:r>
          </w:p>
        </w:tc>
        <w:tc>
          <w:tcPr>
            <w:tcW w:w="1260" w:type="dxa"/>
            <w:vAlign w:val="bottom"/>
            <w:shd w:val="clear" w:color="auto" w:fill="0061AF"/>
          </w:tcPr>
          <w:p>
            <w:pPr>
              <w:spacing w:after="0"/>
              <w:rPr>
                <w:sz w:val="16"/>
                <w:szCs w:val="16"/>
                <w:color w:val="auto"/>
              </w:rPr>
            </w:pPr>
          </w:p>
        </w:tc>
        <w:tc>
          <w:tcPr>
            <w:tcW w:w="400" w:type="dxa"/>
            <w:vAlign w:val="bottom"/>
            <w:shd w:val="clear" w:color="auto" w:fill="0061AF"/>
          </w:tcPr>
          <w:p>
            <w:pPr>
              <w:spacing w:after="0"/>
              <w:rPr>
                <w:sz w:val="16"/>
                <w:szCs w:val="16"/>
                <w:color w:val="auto"/>
              </w:rPr>
            </w:pPr>
          </w:p>
        </w:tc>
        <w:tc>
          <w:tcPr>
            <w:tcW w:w="800" w:type="dxa"/>
            <w:vAlign w:val="bottom"/>
            <w:shd w:val="clear" w:color="auto" w:fill="0061AF"/>
          </w:tcPr>
          <w:p>
            <w:pPr>
              <w:spacing w:after="0"/>
              <w:rPr>
                <w:sz w:val="16"/>
                <w:szCs w:val="16"/>
                <w:color w:val="auto"/>
              </w:rPr>
            </w:pPr>
          </w:p>
        </w:tc>
      </w:tr>
      <w:tr>
        <w:trPr>
          <w:trHeight w:val="133"/>
        </w:trPr>
        <w:tc>
          <w:tcPr>
            <w:tcW w:w="3740" w:type="dxa"/>
            <w:vAlign w:val="bottom"/>
            <w:shd w:val="clear" w:color="auto" w:fill="0061AF"/>
          </w:tcPr>
          <w:p>
            <w:pPr>
              <w:spacing w:after="0"/>
              <w:rPr>
                <w:sz w:val="11"/>
                <w:szCs w:val="11"/>
                <w:color w:val="auto"/>
              </w:rPr>
            </w:pPr>
          </w:p>
        </w:tc>
        <w:tc>
          <w:tcPr>
            <w:tcW w:w="1440" w:type="dxa"/>
            <w:vAlign w:val="bottom"/>
            <w:shd w:val="clear" w:color="auto" w:fill="0061AF"/>
          </w:tcPr>
          <w:p>
            <w:pPr>
              <w:jc w:val="center"/>
              <w:ind w:left="97"/>
              <w:spacing w:after="0" w:line="133" w:lineRule="exact"/>
              <w:rPr>
                <w:sz w:val="20"/>
                <w:szCs w:val="20"/>
                <w:color w:val="auto"/>
              </w:rPr>
            </w:pPr>
            <w:r>
              <w:rPr>
                <w:rFonts w:ascii="Arial" w:cs="Arial" w:eastAsia="Arial" w:hAnsi="Arial"/>
                <w:sz w:val="13"/>
                <w:szCs w:val="13"/>
                <w:b w:val="1"/>
                <w:bCs w:val="1"/>
                <w:color w:val="FFFFFF"/>
                <w:w w:val="95"/>
              </w:rPr>
              <w:t>Threshold</w:t>
            </w:r>
          </w:p>
        </w:tc>
        <w:tc>
          <w:tcPr>
            <w:tcW w:w="680" w:type="dxa"/>
            <w:vAlign w:val="bottom"/>
            <w:shd w:val="clear" w:color="auto" w:fill="0061AF"/>
          </w:tcPr>
          <w:p>
            <w:pPr>
              <w:spacing w:after="0"/>
              <w:rPr>
                <w:sz w:val="11"/>
                <w:szCs w:val="11"/>
                <w:color w:val="auto"/>
              </w:rPr>
            </w:pPr>
          </w:p>
        </w:tc>
        <w:tc>
          <w:tcPr>
            <w:tcW w:w="1400" w:type="dxa"/>
            <w:vAlign w:val="bottom"/>
            <w:shd w:val="clear" w:color="auto" w:fill="0061AF"/>
          </w:tcPr>
          <w:p>
            <w:pPr>
              <w:jc w:val="center"/>
              <w:spacing w:after="0" w:line="133" w:lineRule="exact"/>
              <w:rPr>
                <w:sz w:val="20"/>
                <w:szCs w:val="20"/>
                <w:color w:val="auto"/>
              </w:rPr>
            </w:pPr>
            <w:r>
              <w:rPr>
                <w:rFonts w:ascii="Arial" w:cs="Arial" w:eastAsia="Arial" w:hAnsi="Arial"/>
                <w:sz w:val="13"/>
                <w:szCs w:val="13"/>
                <w:b w:val="1"/>
                <w:bCs w:val="1"/>
                <w:color w:val="FFFFFF"/>
                <w:w w:val="99"/>
              </w:rPr>
              <w:t>Maximum</w:t>
            </w:r>
          </w:p>
        </w:tc>
        <w:tc>
          <w:tcPr>
            <w:tcW w:w="1260" w:type="dxa"/>
            <w:vAlign w:val="bottom"/>
            <w:shd w:val="clear" w:color="auto" w:fill="0061AF"/>
          </w:tcPr>
          <w:p>
            <w:pPr>
              <w:jc w:val="center"/>
              <w:spacing w:after="0" w:line="133" w:lineRule="exact"/>
              <w:rPr>
                <w:sz w:val="20"/>
                <w:szCs w:val="20"/>
                <w:color w:val="auto"/>
              </w:rPr>
            </w:pPr>
            <w:r>
              <w:rPr>
                <w:rFonts w:ascii="Arial" w:cs="Arial" w:eastAsia="Arial" w:hAnsi="Arial"/>
                <w:sz w:val="13"/>
                <w:szCs w:val="13"/>
                <w:b w:val="1"/>
                <w:bCs w:val="1"/>
                <w:color w:val="FFFFFF"/>
                <w:w w:val="98"/>
              </w:rPr>
              <w:t>Exceptional</w:t>
            </w:r>
          </w:p>
        </w:tc>
        <w:tc>
          <w:tcPr>
            <w:tcW w:w="400" w:type="dxa"/>
            <w:vAlign w:val="bottom"/>
            <w:shd w:val="clear" w:color="auto" w:fill="0061AF"/>
          </w:tcPr>
          <w:p>
            <w:pPr>
              <w:spacing w:after="0"/>
              <w:rPr>
                <w:sz w:val="11"/>
                <w:szCs w:val="11"/>
                <w:color w:val="auto"/>
              </w:rPr>
            </w:pPr>
          </w:p>
        </w:tc>
        <w:tc>
          <w:tcPr>
            <w:tcW w:w="800" w:type="dxa"/>
            <w:vAlign w:val="bottom"/>
            <w:shd w:val="clear" w:color="auto" w:fill="0061AF"/>
          </w:tcPr>
          <w:p>
            <w:pPr>
              <w:ind w:left="60"/>
              <w:spacing w:after="0" w:line="133" w:lineRule="exact"/>
              <w:rPr>
                <w:sz w:val="20"/>
                <w:szCs w:val="20"/>
                <w:color w:val="auto"/>
              </w:rPr>
            </w:pPr>
            <w:r>
              <w:rPr>
                <w:rFonts w:ascii="Arial" w:cs="Arial" w:eastAsia="Arial" w:hAnsi="Arial"/>
                <w:sz w:val="13"/>
                <w:szCs w:val="13"/>
                <w:b w:val="1"/>
                <w:bCs w:val="1"/>
                <w:color w:val="FFFFFF"/>
              </w:rPr>
              <w:t>Actual</w:t>
            </w:r>
          </w:p>
        </w:tc>
      </w:tr>
      <w:tr>
        <w:trPr>
          <w:trHeight w:val="143"/>
        </w:trPr>
        <w:tc>
          <w:tcPr>
            <w:tcW w:w="3740" w:type="dxa"/>
            <w:vAlign w:val="bottom"/>
            <w:shd w:val="clear" w:color="auto" w:fill="0061AF"/>
          </w:tcPr>
          <w:p>
            <w:pPr>
              <w:spacing w:after="0"/>
              <w:rPr>
                <w:sz w:val="12"/>
                <w:szCs w:val="12"/>
                <w:color w:val="auto"/>
              </w:rPr>
            </w:pPr>
          </w:p>
        </w:tc>
        <w:tc>
          <w:tcPr>
            <w:tcW w:w="14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6"/>
              </w:rPr>
              <w:t>(Target less 7%)</w:t>
            </w:r>
          </w:p>
        </w:tc>
        <w:tc>
          <w:tcPr>
            <w:tcW w:w="680" w:type="dxa"/>
            <w:vAlign w:val="bottom"/>
            <w:shd w:val="clear" w:color="auto" w:fill="0061AF"/>
          </w:tcPr>
          <w:p>
            <w:pPr>
              <w:ind w:left="140"/>
              <w:spacing w:after="0" w:line="143" w:lineRule="exact"/>
              <w:rPr>
                <w:sz w:val="20"/>
                <w:szCs w:val="20"/>
                <w:color w:val="auto"/>
              </w:rPr>
            </w:pPr>
            <w:r>
              <w:rPr>
                <w:rFonts w:ascii="Arial" w:cs="Arial" w:eastAsia="Arial" w:hAnsi="Arial"/>
                <w:sz w:val="13"/>
                <w:szCs w:val="13"/>
                <w:b w:val="1"/>
                <w:bCs w:val="1"/>
                <w:color w:val="FFFFFF"/>
              </w:rPr>
              <w:t>Target</w:t>
            </w:r>
          </w:p>
        </w:tc>
        <w:tc>
          <w:tcPr>
            <w:tcW w:w="14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(Target plus 3.5%)</w:t>
            </w:r>
          </w:p>
        </w:tc>
        <w:tc>
          <w:tcPr>
            <w:tcW w:w="12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(Target plus 7%)</w:t>
            </w:r>
          </w:p>
        </w:tc>
        <w:tc>
          <w:tcPr>
            <w:tcW w:w="400" w:type="dxa"/>
            <w:vAlign w:val="bottom"/>
            <w:shd w:val="clear" w:color="auto" w:fill="0061AF"/>
          </w:tcPr>
          <w:p>
            <w:pPr>
              <w:spacing w:after="0"/>
              <w:rPr>
                <w:sz w:val="12"/>
                <w:szCs w:val="12"/>
                <w:color w:val="auto"/>
              </w:rPr>
            </w:pPr>
          </w:p>
        </w:tc>
        <w:tc>
          <w:tcPr>
            <w:tcW w:w="800" w:type="dxa"/>
            <w:vAlign w:val="bottom"/>
            <w:shd w:val="clear" w:color="auto" w:fill="0061AF"/>
          </w:tcPr>
          <w:p>
            <w:pPr>
              <w:spacing w:after="0"/>
              <w:rPr>
                <w:sz w:val="12"/>
                <w:szCs w:val="12"/>
                <w:color w:val="auto"/>
              </w:rPr>
            </w:pPr>
          </w:p>
        </w:tc>
      </w:tr>
      <w:tr>
        <w:trPr>
          <w:trHeight w:val="182"/>
        </w:trPr>
        <w:tc>
          <w:tcPr>
            <w:tcW w:w="3740" w:type="dxa"/>
            <w:vAlign w:val="bottom"/>
            <w:tcBorders>
              <w:bottom w:val="single" w:sz="8" w:color="0061AF"/>
            </w:tcBorders>
            <w:shd w:val="clear" w:color="auto" w:fill="0061AF"/>
          </w:tcPr>
          <w:p>
            <w:pPr>
              <w:spacing w:after="0"/>
              <w:rPr>
                <w:sz w:val="15"/>
                <w:szCs w:val="15"/>
                <w:color w:val="auto"/>
              </w:rPr>
            </w:pPr>
          </w:p>
        </w:tc>
        <w:tc>
          <w:tcPr>
            <w:tcW w:w="1440" w:type="dxa"/>
            <w:vAlign w:val="bottom"/>
            <w:tcBorders>
              <w:bottom w:val="single" w:sz="8" w:color="0061AF"/>
            </w:tcBorders>
            <w:shd w:val="clear" w:color="auto" w:fill="0061AF"/>
          </w:tcPr>
          <w:p>
            <w:pPr>
              <w:jc w:val="right"/>
              <w:ind w:right="537"/>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bottom w:val="single" w:sz="8" w:color="0061AF"/>
            </w:tcBorders>
            <w:shd w:val="clear" w:color="auto" w:fill="0061AF"/>
          </w:tcPr>
          <w:p>
            <w:pPr>
              <w:jc w:val="right"/>
              <w:ind w:right="237"/>
              <w:spacing w:after="0"/>
              <w:rPr>
                <w:sz w:val="20"/>
                <w:szCs w:val="20"/>
                <w:color w:val="auto"/>
              </w:rPr>
            </w:pPr>
            <w:r>
              <w:rPr>
                <w:rFonts w:ascii="Arial" w:cs="Arial" w:eastAsia="Arial" w:hAnsi="Arial"/>
                <w:sz w:val="13"/>
                <w:szCs w:val="13"/>
                <w:b w:val="1"/>
                <w:bCs w:val="1"/>
                <w:color w:val="FFFFFF"/>
              </w:rPr>
              <w:t>$</w:t>
            </w:r>
          </w:p>
        </w:tc>
        <w:tc>
          <w:tcPr>
            <w:tcW w:w="1400" w:type="dxa"/>
            <w:vAlign w:val="bottom"/>
            <w:tcBorders>
              <w:bottom w:val="single" w:sz="8" w:color="0061AF"/>
            </w:tcBorders>
            <w:shd w:val="clear" w:color="auto" w:fill="0061AF"/>
          </w:tcPr>
          <w:p>
            <w:pPr>
              <w:jc w:val="right"/>
              <w:ind w:right="597"/>
              <w:spacing w:after="0"/>
              <w:rPr>
                <w:sz w:val="20"/>
                <w:szCs w:val="20"/>
                <w:color w:val="auto"/>
              </w:rPr>
            </w:pPr>
            <w:r>
              <w:rPr>
                <w:rFonts w:ascii="Arial" w:cs="Arial" w:eastAsia="Arial" w:hAnsi="Arial"/>
                <w:sz w:val="13"/>
                <w:szCs w:val="13"/>
                <w:b w:val="1"/>
                <w:bCs w:val="1"/>
                <w:color w:val="FFFFFF"/>
              </w:rPr>
              <w:t>$</w:t>
            </w:r>
          </w:p>
        </w:tc>
        <w:tc>
          <w:tcPr>
            <w:tcW w:w="1260" w:type="dxa"/>
            <w:vAlign w:val="bottom"/>
            <w:tcBorders>
              <w:bottom w:val="single" w:sz="8" w:color="0061AF"/>
            </w:tcBorders>
            <w:shd w:val="clear" w:color="auto" w:fill="0061AF"/>
          </w:tcPr>
          <w:p>
            <w:pPr>
              <w:jc w:val="right"/>
              <w:ind w:right="517"/>
              <w:spacing w:after="0"/>
              <w:rPr>
                <w:sz w:val="20"/>
                <w:szCs w:val="20"/>
                <w:color w:val="auto"/>
              </w:rPr>
            </w:pPr>
            <w:r>
              <w:rPr>
                <w:rFonts w:ascii="Arial" w:cs="Arial" w:eastAsia="Arial" w:hAnsi="Arial"/>
                <w:sz w:val="13"/>
                <w:szCs w:val="13"/>
                <w:b w:val="1"/>
                <w:bCs w:val="1"/>
                <w:color w:val="FFFFFF"/>
              </w:rPr>
              <w:t>$</w:t>
            </w:r>
          </w:p>
        </w:tc>
        <w:tc>
          <w:tcPr>
            <w:tcW w:w="400" w:type="dxa"/>
            <w:vAlign w:val="bottom"/>
            <w:tcBorders>
              <w:bottom w:val="single" w:sz="8" w:color="0061AF"/>
            </w:tcBorders>
            <w:shd w:val="clear" w:color="auto" w:fill="0061AF"/>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0061AF"/>
            </w:tcBorders>
            <w:shd w:val="clear" w:color="auto" w:fill="0061AF"/>
          </w:tcPr>
          <w:p>
            <w:pPr>
              <w:ind w:left="400"/>
              <w:spacing w:after="0"/>
              <w:rPr>
                <w:sz w:val="20"/>
                <w:szCs w:val="20"/>
                <w:color w:val="auto"/>
              </w:rPr>
            </w:pPr>
            <w:r>
              <w:rPr>
                <w:rFonts w:ascii="Arial" w:cs="Arial" w:eastAsia="Arial" w:hAnsi="Arial"/>
                <w:sz w:val="13"/>
                <w:szCs w:val="13"/>
                <w:b w:val="1"/>
                <w:bCs w:val="1"/>
                <w:color w:val="FFFFFF"/>
              </w:rPr>
              <w:t>%</w:t>
            </w:r>
          </w:p>
        </w:tc>
      </w:tr>
      <w:tr>
        <w:trPr>
          <w:trHeight w:val="157"/>
        </w:trPr>
        <w:tc>
          <w:tcPr>
            <w:tcW w:w="3740" w:type="dxa"/>
            <w:vAlign w:val="bottom"/>
          </w:tcPr>
          <w:p>
            <w:pPr>
              <w:ind w:left="80"/>
              <w:spacing w:after="0"/>
              <w:rPr>
                <w:sz w:val="20"/>
                <w:szCs w:val="20"/>
                <w:color w:val="auto"/>
              </w:rPr>
            </w:pPr>
            <w:r>
              <w:rPr>
                <w:rFonts w:ascii="Arial" w:cs="Arial" w:eastAsia="Arial" w:hAnsi="Arial"/>
                <w:sz w:val="13"/>
                <w:szCs w:val="13"/>
                <w:color w:val="auto"/>
              </w:rPr>
              <w:t>Overall Company Core Net Income</w:t>
            </w:r>
          </w:p>
        </w:tc>
        <w:tc>
          <w:tcPr>
            <w:tcW w:w="1440" w:type="dxa"/>
            <w:vAlign w:val="bottom"/>
          </w:tcPr>
          <w:p>
            <w:pPr>
              <w:jc w:val="right"/>
              <w:ind w:right="477"/>
              <w:spacing w:after="0"/>
              <w:rPr>
                <w:sz w:val="20"/>
                <w:szCs w:val="20"/>
                <w:color w:val="auto"/>
              </w:rPr>
            </w:pPr>
            <w:r>
              <w:rPr>
                <w:rFonts w:ascii="Arial" w:cs="Arial" w:eastAsia="Arial" w:hAnsi="Arial"/>
                <w:sz w:val="13"/>
                <w:szCs w:val="13"/>
                <w:color w:val="auto"/>
              </w:rPr>
              <w:t>497</w:t>
            </w:r>
          </w:p>
        </w:tc>
        <w:tc>
          <w:tcPr>
            <w:tcW w:w="680" w:type="dxa"/>
            <w:vAlign w:val="bottom"/>
          </w:tcPr>
          <w:p>
            <w:pPr>
              <w:jc w:val="right"/>
              <w:ind w:right="177"/>
              <w:spacing w:after="0"/>
              <w:rPr>
                <w:sz w:val="20"/>
                <w:szCs w:val="20"/>
                <w:color w:val="auto"/>
              </w:rPr>
            </w:pPr>
            <w:r>
              <w:rPr>
                <w:rFonts w:ascii="Arial" w:cs="Arial" w:eastAsia="Arial" w:hAnsi="Arial"/>
                <w:sz w:val="13"/>
                <w:szCs w:val="13"/>
                <w:color w:val="auto"/>
              </w:rPr>
              <w:t>534</w:t>
            </w:r>
          </w:p>
        </w:tc>
        <w:tc>
          <w:tcPr>
            <w:tcW w:w="1400" w:type="dxa"/>
            <w:vAlign w:val="bottom"/>
          </w:tcPr>
          <w:p>
            <w:pPr>
              <w:jc w:val="right"/>
              <w:ind w:right="537"/>
              <w:spacing w:after="0"/>
              <w:rPr>
                <w:sz w:val="20"/>
                <w:szCs w:val="20"/>
                <w:color w:val="auto"/>
              </w:rPr>
            </w:pPr>
            <w:r>
              <w:rPr>
                <w:rFonts w:ascii="Arial" w:cs="Arial" w:eastAsia="Arial" w:hAnsi="Arial"/>
                <w:sz w:val="13"/>
                <w:szCs w:val="13"/>
                <w:color w:val="auto"/>
              </w:rPr>
              <w:t>553</w:t>
            </w:r>
          </w:p>
        </w:tc>
        <w:tc>
          <w:tcPr>
            <w:tcW w:w="1260" w:type="dxa"/>
            <w:vAlign w:val="bottom"/>
          </w:tcPr>
          <w:p>
            <w:pPr>
              <w:jc w:val="right"/>
              <w:ind w:right="437"/>
              <w:spacing w:after="0"/>
              <w:rPr>
                <w:sz w:val="20"/>
                <w:szCs w:val="20"/>
                <w:color w:val="auto"/>
              </w:rPr>
            </w:pPr>
            <w:r>
              <w:rPr>
                <w:rFonts w:ascii="Arial" w:cs="Arial" w:eastAsia="Arial" w:hAnsi="Arial"/>
                <w:sz w:val="13"/>
                <w:szCs w:val="13"/>
                <w:color w:val="auto"/>
              </w:rPr>
              <w:t>571</w:t>
            </w:r>
          </w:p>
        </w:tc>
        <w:tc>
          <w:tcPr>
            <w:tcW w:w="400" w:type="dxa"/>
            <w:vAlign w:val="bottom"/>
          </w:tcPr>
          <w:p>
            <w:pPr>
              <w:jc w:val="right"/>
              <w:spacing w:after="0"/>
              <w:rPr>
                <w:sz w:val="20"/>
                <w:szCs w:val="20"/>
                <w:color w:val="auto"/>
              </w:rPr>
            </w:pPr>
            <w:r>
              <w:rPr>
                <w:rFonts w:ascii="Arial" w:cs="Arial" w:eastAsia="Arial" w:hAnsi="Arial"/>
                <w:sz w:val="13"/>
                <w:szCs w:val="13"/>
                <w:color w:val="auto"/>
              </w:rPr>
              <w:t>592</w:t>
            </w:r>
          </w:p>
        </w:tc>
        <w:tc>
          <w:tcPr>
            <w:tcW w:w="800" w:type="dxa"/>
            <w:vAlign w:val="bottom"/>
          </w:tcPr>
          <w:p>
            <w:pPr>
              <w:ind w:left="400"/>
              <w:spacing w:after="0"/>
              <w:rPr>
                <w:sz w:val="20"/>
                <w:szCs w:val="20"/>
                <w:color w:val="auto"/>
              </w:rPr>
            </w:pPr>
            <w:r>
              <w:rPr>
                <w:rFonts w:ascii="Arial" w:cs="Arial" w:eastAsia="Arial" w:hAnsi="Arial"/>
                <w:sz w:val="13"/>
                <w:szCs w:val="13"/>
                <w:color w:val="auto"/>
              </w:rPr>
              <w:t>200</w:t>
            </w:r>
          </w:p>
        </w:tc>
      </w:tr>
    </w:tbl>
    <w:p>
      <w:pPr>
        <w:spacing w:after="0" w:line="173" w:lineRule="exact"/>
        <w:rPr>
          <w:sz w:val="20"/>
          <w:szCs w:val="20"/>
          <w:color w:val="auto"/>
        </w:rPr>
      </w:pPr>
    </w:p>
    <w:p>
      <w:pPr>
        <w:ind w:left="400" w:hanging="391"/>
        <w:spacing w:after="0"/>
        <w:tabs>
          <w:tab w:leader="none" w:pos="400" w:val="left"/>
        </w:tabs>
        <w:numPr>
          <w:ilvl w:val="0"/>
          <w:numId w:val="74"/>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66" w:name="page67"/>
    <w:bookmarkEnd w:id="66"/>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target level above is based on our 2020 business plan as approved by the Board of Directors.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“Utility Diluted Earnings Per Share” is defined as diluted earnings per share pursuant to GAAP (using the weighted average diluted shares outstanding during the year), adjusted, positively or negatively, to reflect what we consider to be our true financial performance in the period being measured. Adjustments are for the following:</w:t>
      </w:r>
    </w:p>
    <w:p>
      <w:pPr>
        <w:spacing w:after="0" w:line="98" w:lineRule="exact"/>
        <w:rPr>
          <w:sz w:val="20"/>
          <w:szCs w:val="20"/>
          <w:color w:val="auto"/>
        </w:rPr>
      </w:pPr>
    </w:p>
    <w:p>
      <w:pPr>
        <w:ind w:left="380" w:hanging="276"/>
        <w:spacing w:after="0"/>
        <w:tabs>
          <w:tab w:leader="none" w:pos="380" w:val="left"/>
        </w:tabs>
        <w:numPr>
          <w:ilvl w:val="0"/>
          <w:numId w:val="75"/>
        </w:numPr>
        <w:rPr>
          <w:rFonts w:ascii="Arial" w:cs="Arial" w:eastAsia="Arial" w:hAnsi="Arial"/>
          <w:sz w:val="16"/>
          <w:szCs w:val="16"/>
          <w:color w:val="0061AF"/>
        </w:rPr>
      </w:pPr>
      <w:r>
        <w:rPr>
          <w:rFonts w:ascii="Arial" w:cs="Arial" w:eastAsia="Arial" w:hAnsi="Arial"/>
          <w:sz w:val="16"/>
          <w:szCs w:val="16"/>
          <w:color w:val="auto"/>
        </w:rPr>
        <w:t>minus diluted earnings per share from our midstream investments business segment, including a proportionate share of negative corporate earnings;</w:t>
      </w:r>
    </w:p>
    <w:p>
      <w:pPr>
        <w:spacing w:after="0" w:line="96" w:lineRule="exact"/>
        <w:rPr>
          <w:rFonts w:ascii="Arial" w:cs="Arial" w:eastAsia="Arial" w:hAnsi="Arial"/>
          <w:sz w:val="16"/>
          <w:szCs w:val="16"/>
          <w:color w:val="0061AF"/>
        </w:rPr>
      </w:pPr>
    </w:p>
    <w:p>
      <w:pPr>
        <w:ind w:left="380" w:hanging="276"/>
        <w:spacing w:after="0"/>
        <w:tabs>
          <w:tab w:leader="none" w:pos="380" w:val="left"/>
        </w:tabs>
        <w:numPr>
          <w:ilvl w:val="0"/>
          <w:numId w:val="75"/>
        </w:numPr>
        <w:rPr>
          <w:rFonts w:ascii="Arial" w:cs="Arial" w:eastAsia="Arial" w:hAnsi="Arial"/>
          <w:sz w:val="16"/>
          <w:szCs w:val="16"/>
          <w:color w:val="0061AF"/>
        </w:rPr>
      </w:pPr>
      <w:r>
        <w:rPr>
          <w:rFonts w:ascii="Arial" w:cs="Arial" w:eastAsia="Arial" w:hAnsi="Arial"/>
          <w:sz w:val="16"/>
          <w:szCs w:val="16"/>
          <w:color w:val="auto"/>
        </w:rPr>
        <w:t>minus diluted earnings per share from our energy services and infrastructure services businesses (both of which the Company divested in 2020), including a proportionate share of negative corporate earnings;</w:t>
      </w:r>
    </w:p>
    <w:p>
      <w:pPr>
        <w:spacing w:after="0" w:line="96" w:lineRule="exact"/>
        <w:rPr>
          <w:rFonts w:ascii="Arial" w:cs="Arial" w:eastAsia="Arial" w:hAnsi="Arial"/>
          <w:sz w:val="16"/>
          <w:szCs w:val="16"/>
          <w:color w:val="0061AF"/>
        </w:rPr>
      </w:pPr>
    </w:p>
    <w:p>
      <w:pPr>
        <w:ind w:left="380" w:right="20" w:hanging="276"/>
        <w:spacing w:after="0"/>
        <w:tabs>
          <w:tab w:leader="none" w:pos="380" w:val="left"/>
        </w:tabs>
        <w:numPr>
          <w:ilvl w:val="0"/>
          <w:numId w:val="75"/>
        </w:numPr>
        <w:rPr>
          <w:rFonts w:ascii="Arial" w:cs="Arial" w:eastAsia="Arial" w:hAnsi="Arial"/>
          <w:sz w:val="16"/>
          <w:szCs w:val="16"/>
          <w:color w:val="0061AF"/>
        </w:rPr>
      </w:pPr>
      <w:r>
        <w:rPr>
          <w:rFonts w:ascii="Arial" w:cs="Arial" w:eastAsia="Arial" w:hAnsi="Arial"/>
          <w:sz w:val="16"/>
          <w:szCs w:val="16"/>
          <w:color w:val="auto"/>
        </w:rPr>
        <w:t>plus or minus the financial impacts of any changes in accounting standards, the unplanned change in application of accounting standards and impairments of goodwill;</w:t>
      </w:r>
    </w:p>
    <w:p>
      <w:pPr>
        <w:spacing w:after="0" w:line="96" w:lineRule="exact"/>
        <w:rPr>
          <w:rFonts w:ascii="Arial" w:cs="Arial" w:eastAsia="Arial" w:hAnsi="Arial"/>
          <w:sz w:val="16"/>
          <w:szCs w:val="16"/>
          <w:color w:val="0061AF"/>
        </w:rPr>
      </w:pPr>
    </w:p>
    <w:p>
      <w:pPr>
        <w:ind w:left="380" w:hanging="276"/>
        <w:spacing w:after="0"/>
        <w:tabs>
          <w:tab w:leader="none" w:pos="380" w:val="left"/>
        </w:tabs>
        <w:numPr>
          <w:ilvl w:val="0"/>
          <w:numId w:val="75"/>
        </w:numPr>
        <w:rPr>
          <w:rFonts w:ascii="Arial" w:cs="Arial" w:eastAsia="Arial" w:hAnsi="Arial"/>
          <w:sz w:val="16"/>
          <w:szCs w:val="16"/>
          <w:color w:val="0061AF"/>
        </w:rPr>
      </w:pPr>
      <w:r>
        <w:rPr>
          <w:rFonts w:ascii="Arial" w:cs="Arial" w:eastAsia="Arial" w:hAnsi="Arial"/>
          <w:sz w:val="16"/>
          <w:szCs w:val="16"/>
          <w:color w:val="auto"/>
        </w:rPr>
        <w:t>plus or minus any impact to income from the change in the value of the ZENS-related securities and the effects of mergers, acquisitions and divestitures on those securities;</w:t>
      </w:r>
    </w:p>
    <w:p>
      <w:pPr>
        <w:spacing w:after="0" w:line="96" w:lineRule="exact"/>
        <w:rPr>
          <w:rFonts w:ascii="Arial" w:cs="Arial" w:eastAsia="Arial" w:hAnsi="Arial"/>
          <w:sz w:val="16"/>
          <w:szCs w:val="16"/>
          <w:color w:val="0061AF"/>
        </w:rPr>
      </w:pPr>
    </w:p>
    <w:p>
      <w:pPr>
        <w:ind w:left="380" w:hanging="276"/>
        <w:spacing w:after="0"/>
        <w:tabs>
          <w:tab w:leader="none" w:pos="380" w:val="left"/>
        </w:tabs>
        <w:numPr>
          <w:ilvl w:val="0"/>
          <w:numId w:val="75"/>
        </w:numPr>
        <w:rPr>
          <w:rFonts w:ascii="Arial" w:cs="Arial" w:eastAsia="Arial" w:hAnsi="Arial"/>
          <w:sz w:val="16"/>
          <w:szCs w:val="16"/>
          <w:color w:val="0061AF"/>
        </w:rPr>
      </w:pPr>
      <w:r>
        <w:rPr>
          <w:rFonts w:ascii="Arial" w:cs="Arial" w:eastAsia="Arial" w:hAnsi="Arial"/>
          <w:sz w:val="16"/>
          <w:szCs w:val="16"/>
          <w:color w:val="auto"/>
        </w:rPr>
        <w:t>plus or minus mark-to-market accounting entries and net natural gas inventory adjustments not reflected in the plan;</w:t>
      </w:r>
    </w:p>
    <w:p>
      <w:pPr>
        <w:spacing w:after="0" w:line="101" w:lineRule="exact"/>
        <w:rPr>
          <w:rFonts w:ascii="Arial" w:cs="Arial" w:eastAsia="Arial" w:hAnsi="Arial"/>
          <w:sz w:val="16"/>
          <w:szCs w:val="16"/>
          <w:color w:val="0061AF"/>
        </w:rPr>
      </w:pPr>
    </w:p>
    <w:p>
      <w:pPr>
        <w:jc w:val="both"/>
        <w:ind w:left="380" w:hanging="276"/>
        <w:spacing w:after="0" w:line="234" w:lineRule="auto"/>
        <w:tabs>
          <w:tab w:leader="none" w:pos="380" w:val="left"/>
        </w:tabs>
        <w:numPr>
          <w:ilvl w:val="0"/>
          <w:numId w:val="75"/>
        </w:numPr>
        <w:rPr>
          <w:rFonts w:ascii="Arial" w:cs="Arial" w:eastAsia="Arial" w:hAnsi="Arial"/>
          <w:sz w:val="16"/>
          <w:szCs w:val="16"/>
          <w:color w:val="0061AF"/>
        </w:rPr>
      </w:pPr>
      <w:r>
        <w:rPr>
          <w:rFonts w:ascii="Arial" w:cs="Arial" w:eastAsia="Arial" w:hAnsi="Arial"/>
          <w:sz w:val="16"/>
          <w:szCs w:val="16"/>
          <w:color w:val="auto"/>
        </w:rPr>
        <w:t>plus or minus 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amortization of intangibles or other purchase price accounting impacts attributable to the Vectren merger; benefit retirement plan settlement expenses triggered by lump sum distribution; costs associated with the early retirement of long-term debt; adoption of the FASB-issued ASU No. 2017-07 Compensation—Retirement Benefits; gains/losses or expenses required by GAAP for mergers and acquisitions; or other unplanned items that receive written approval from the Chief Executive Officer and/or Executive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2020, various levels of achievement for “Utility Diluted Earnings Per Share”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shd w:val="clear" w:color="auto" w:fill="0061AF"/>
          </w:tcPr>
          <w:p>
            <w:pPr>
              <w:spacing w:after="0"/>
              <w:rPr>
                <w:sz w:val="13"/>
                <w:szCs w:val="13"/>
                <w:color w:val="auto"/>
              </w:rPr>
            </w:pPr>
          </w:p>
        </w:tc>
        <w:tc>
          <w:tcPr>
            <w:tcW w:w="2200" w:type="dxa"/>
            <w:vAlign w:val="bottom"/>
            <w:shd w:val="clear" w:color="auto" w:fill="0061AF"/>
          </w:tcPr>
          <w:p>
            <w:pPr>
              <w:jc w:val="center"/>
              <w:ind w:left="877"/>
              <w:spacing w:after="0"/>
              <w:rPr>
                <w:sz w:val="20"/>
                <w:szCs w:val="20"/>
                <w:color w:val="auto"/>
              </w:rPr>
            </w:pPr>
            <w:r>
              <w:rPr>
                <w:rFonts w:ascii="Arial" w:cs="Arial" w:eastAsia="Arial" w:hAnsi="Arial"/>
                <w:sz w:val="13"/>
                <w:szCs w:val="13"/>
                <w:b w:val="1"/>
                <w:bCs w:val="1"/>
                <w:color w:val="FFFFFF"/>
                <w:w w:val="98"/>
              </w:rPr>
              <w:t>Threshold</w:t>
            </w:r>
          </w:p>
        </w:tc>
        <w:tc>
          <w:tcPr>
            <w:tcW w:w="700" w:type="dxa"/>
            <w:vAlign w:val="bottom"/>
            <w:shd w:val="clear" w:color="auto" w:fill="0061AF"/>
          </w:tcPr>
          <w:p>
            <w:pPr>
              <w:spacing w:after="0"/>
              <w:rPr>
                <w:sz w:val="13"/>
                <w:szCs w:val="13"/>
                <w:color w:val="auto"/>
              </w:rPr>
            </w:pPr>
          </w:p>
        </w:tc>
        <w:tc>
          <w:tcPr>
            <w:tcW w:w="14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2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8"/>
              </w:rPr>
              <w:t>Exceptional</w:t>
            </w:r>
          </w:p>
        </w:tc>
        <w:tc>
          <w:tcPr>
            <w:tcW w:w="420" w:type="dxa"/>
            <w:vAlign w:val="bottom"/>
            <w:shd w:val="clear" w:color="auto" w:fill="0061AF"/>
          </w:tcPr>
          <w:p>
            <w:pPr>
              <w:spacing w:after="0"/>
              <w:rPr>
                <w:sz w:val="13"/>
                <w:szCs w:val="13"/>
                <w:color w:val="auto"/>
              </w:rPr>
            </w:pPr>
          </w:p>
        </w:tc>
        <w:tc>
          <w:tcPr>
            <w:tcW w:w="660" w:type="dxa"/>
            <w:vAlign w:val="bottom"/>
            <w:shd w:val="clear" w:color="auto" w:fill="0061AF"/>
          </w:tcPr>
          <w:p>
            <w:pPr>
              <w:jc w:val="right"/>
              <w:ind w:right="197"/>
              <w:spacing w:after="0"/>
              <w:rPr>
                <w:sz w:val="20"/>
                <w:szCs w:val="20"/>
                <w:color w:val="auto"/>
              </w:rPr>
            </w:pPr>
            <w:r>
              <w:rPr>
                <w:rFonts w:ascii="Arial" w:cs="Arial" w:eastAsia="Arial" w:hAnsi="Arial"/>
                <w:sz w:val="13"/>
                <w:szCs w:val="13"/>
                <w:b w:val="1"/>
                <w:bCs w:val="1"/>
                <w:color w:val="FFFFFF"/>
                <w:w w:val="95"/>
              </w:rPr>
              <w:t>Actual</w:t>
            </w:r>
          </w:p>
        </w:tc>
      </w:tr>
      <w:tr>
        <w:trPr>
          <w:trHeight w:val="143"/>
        </w:trPr>
        <w:tc>
          <w:tcPr>
            <w:tcW w:w="3060" w:type="dxa"/>
            <w:vAlign w:val="bottom"/>
            <w:shd w:val="clear" w:color="auto" w:fill="0061AF"/>
          </w:tcPr>
          <w:p>
            <w:pPr>
              <w:spacing w:after="0"/>
              <w:rPr>
                <w:sz w:val="12"/>
                <w:szCs w:val="12"/>
                <w:color w:val="auto"/>
              </w:rPr>
            </w:pPr>
          </w:p>
        </w:tc>
        <w:tc>
          <w:tcPr>
            <w:tcW w:w="2200" w:type="dxa"/>
            <w:vAlign w:val="bottom"/>
            <w:shd w:val="clear" w:color="auto" w:fill="0061AF"/>
          </w:tcPr>
          <w:p>
            <w:pPr>
              <w:jc w:val="center"/>
              <w:ind w:left="897"/>
              <w:spacing w:after="0" w:line="143" w:lineRule="exact"/>
              <w:rPr>
                <w:sz w:val="20"/>
                <w:szCs w:val="20"/>
                <w:color w:val="auto"/>
              </w:rPr>
            </w:pPr>
            <w:r>
              <w:rPr>
                <w:rFonts w:ascii="Arial" w:cs="Arial" w:eastAsia="Arial" w:hAnsi="Arial"/>
                <w:sz w:val="13"/>
                <w:szCs w:val="13"/>
                <w:b w:val="1"/>
                <w:bCs w:val="1"/>
                <w:color w:val="FFFFFF"/>
                <w:w w:val="96"/>
              </w:rPr>
              <w:t>(Target less 7%)</w:t>
            </w:r>
          </w:p>
        </w:tc>
        <w:tc>
          <w:tcPr>
            <w:tcW w:w="700" w:type="dxa"/>
            <w:vAlign w:val="bottom"/>
            <w:shd w:val="clear" w:color="auto" w:fill="0061AF"/>
          </w:tcPr>
          <w:p>
            <w:pPr>
              <w:ind w:left="160"/>
              <w:spacing w:after="0" w:line="143" w:lineRule="exact"/>
              <w:rPr>
                <w:sz w:val="20"/>
                <w:szCs w:val="20"/>
                <w:color w:val="auto"/>
              </w:rPr>
            </w:pPr>
            <w:r>
              <w:rPr>
                <w:rFonts w:ascii="Arial" w:cs="Arial" w:eastAsia="Arial" w:hAnsi="Arial"/>
                <w:sz w:val="13"/>
                <w:szCs w:val="13"/>
                <w:b w:val="1"/>
                <w:bCs w:val="1"/>
                <w:color w:val="FFFFFF"/>
              </w:rPr>
              <w:t>Target</w:t>
            </w:r>
          </w:p>
        </w:tc>
        <w:tc>
          <w:tcPr>
            <w:tcW w:w="14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(Target plus 3.5%)</w:t>
            </w:r>
          </w:p>
        </w:tc>
        <w:tc>
          <w:tcPr>
            <w:tcW w:w="12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4"/>
              </w:rPr>
              <w:t>(Target plus 7%)</w:t>
            </w:r>
          </w:p>
        </w:tc>
        <w:tc>
          <w:tcPr>
            <w:tcW w:w="420" w:type="dxa"/>
            <w:vAlign w:val="bottom"/>
            <w:shd w:val="clear" w:color="auto" w:fill="0061AF"/>
          </w:tcPr>
          <w:p>
            <w:pPr>
              <w:spacing w:after="0"/>
              <w:rPr>
                <w:sz w:val="12"/>
                <w:szCs w:val="12"/>
                <w:color w:val="auto"/>
              </w:rPr>
            </w:pPr>
          </w:p>
        </w:tc>
        <w:tc>
          <w:tcPr>
            <w:tcW w:w="660" w:type="dxa"/>
            <w:vAlign w:val="bottom"/>
            <w:shd w:val="clear" w:color="auto" w:fill="0061AF"/>
          </w:tcPr>
          <w:p>
            <w:pPr>
              <w:spacing w:after="0"/>
              <w:rPr>
                <w:sz w:val="12"/>
                <w:szCs w:val="12"/>
                <w:color w:val="auto"/>
              </w:rPr>
            </w:pPr>
          </w:p>
        </w:tc>
      </w:tr>
      <w:tr>
        <w:trPr>
          <w:trHeight w:val="167"/>
        </w:trPr>
        <w:tc>
          <w:tcPr>
            <w:tcW w:w="3060" w:type="dxa"/>
            <w:vAlign w:val="bottom"/>
            <w:shd w:val="clear" w:color="auto" w:fill="0061AF"/>
          </w:tcPr>
          <w:p>
            <w:pPr>
              <w:spacing w:after="0"/>
              <w:rPr>
                <w:sz w:val="14"/>
                <w:szCs w:val="14"/>
                <w:color w:val="auto"/>
              </w:rPr>
            </w:pPr>
          </w:p>
        </w:tc>
        <w:tc>
          <w:tcPr>
            <w:tcW w:w="2200" w:type="dxa"/>
            <w:vAlign w:val="bottom"/>
            <w:shd w:val="clear" w:color="auto" w:fill="0061AF"/>
          </w:tcPr>
          <w:p>
            <w:pPr>
              <w:jc w:val="right"/>
              <w:ind w:right="537"/>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061AF"/>
          </w:tcPr>
          <w:p>
            <w:pPr>
              <w:jc w:val="right"/>
              <w:ind w:right="257"/>
              <w:spacing w:after="0"/>
              <w:rPr>
                <w:sz w:val="20"/>
                <w:szCs w:val="20"/>
                <w:color w:val="auto"/>
              </w:rPr>
            </w:pPr>
            <w:r>
              <w:rPr>
                <w:rFonts w:ascii="Arial" w:cs="Arial" w:eastAsia="Arial" w:hAnsi="Arial"/>
                <w:sz w:val="13"/>
                <w:szCs w:val="13"/>
                <w:b w:val="1"/>
                <w:bCs w:val="1"/>
                <w:color w:val="FFFFFF"/>
              </w:rPr>
              <w:t>$</w:t>
            </w:r>
          </w:p>
        </w:tc>
        <w:tc>
          <w:tcPr>
            <w:tcW w:w="1400" w:type="dxa"/>
            <w:vAlign w:val="bottom"/>
            <w:shd w:val="clear" w:color="auto" w:fill="0061AF"/>
          </w:tcPr>
          <w:p>
            <w:pPr>
              <w:jc w:val="right"/>
              <w:ind w:right="597"/>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0061AF"/>
          </w:tcPr>
          <w:p>
            <w:pPr>
              <w:jc w:val="right"/>
              <w:ind w:right="537"/>
              <w:spacing w:after="0"/>
              <w:rPr>
                <w:sz w:val="20"/>
                <w:szCs w:val="20"/>
                <w:color w:val="auto"/>
              </w:rPr>
            </w:pPr>
            <w:r>
              <w:rPr>
                <w:rFonts w:ascii="Arial" w:cs="Arial" w:eastAsia="Arial" w:hAnsi="Arial"/>
                <w:sz w:val="13"/>
                <w:szCs w:val="13"/>
                <w:b w:val="1"/>
                <w:bCs w:val="1"/>
                <w:color w:val="FFFFFF"/>
              </w:rPr>
              <w:t>$</w:t>
            </w:r>
          </w:p>
        </w:tc>
        <w:tc>
          <w:tcPr>
            <w:tcW w:w="420" w:type="dxa"/>
            <w:vAlign w:val="bottom"/>
            <w:shd w:val="clear" w:color="auto" w:fill="0061AF"/>
          </w:tcPr>
          <w:p>
            <w:pPr>
              <w:jc w:val="right"/>
              <w:spacing w:after="0"/>
              <w:rPr>
                <w:sz w:val="20"/>
                <w:szCs w:val="20"/>
                <w:color w:val="auto"/>
              </w:rPr>
            </w:pPr>
            <w:r>
              <w:rPr>
                <w:rFonts w:ascii="Arial" w:cs="Arial" w:eastAsia="Arial" w:hAnsi="Arial"/>
                <w:sz w:val="13"/>
                <w:szCs w:val="13"/>
                <w:b w:val="1"/>
                <w:bCs w:val="1"/>
                <w:color w:val="FFFFFF"/>
              </w:rPr>
              <w:t>$</w:t>
            </w:r>
          </w:p>
        </w:tc>
        <w:tc>
          <w:tcPr>
            <w:tcW w:w="660" w:type="dxa"/>
            <w:vAlign w:val="bottom"/>
            <w:shd w:val="clear" w:color="auto" w:fill="0061AF"/>
          </w:tcPr>
          <w:p>
            <w:pPr>
              <w:jc w:val="right"/>
              <w:ind w:right="217"/>
              <w:spacing w:after="0"/>
              <w:rPr>
                <w:sz w:val="20"/>
                <w:szCs w:val="20"/>
                <w:color w:val="auto"/>
              </w:rPr>
            </w:pPr>
            <w:r>
              <w:rPr>
                <w:rFonts w:ascii="Arial" w:cs="Arial" w:eastAsia="Arial" w:hAnsi="Arial"/>
                <w:sz w:val="13"/>
                <w:szCs w:val="13"/>
                <w:b w:val="1"/>
                <w:bCs w:val="1"/>
                <w:color w:val="FFFFFF"/>
              </w:rPr>
              <w:t>%</w:t>
            </w:r>
          </w:p>
        </w:tc>
      </w:tr>
      <w:tr>
        <w:trPr>
          <w:trHeight w:val="157"/>
        </w:trPr>
        <w:tc>
          <w:tcPr>
            <w:tcW w:w="3060" w:type="dxa"/>
            <w:vAlign w:val="bottom"/>
          </w:tcPr>
          <w:p>
            <w:pPr>
              <w:ind w:left="80"/>
              <w:spacing w:after="0"/>
              <w:rPr>
                <w:sz w:val="20"/>
                <w:szCs w:val="20"/>
                <w:color w:val="auto"/>
              </w:rPr>
            </w:pPr>
            <w:r>
              <w:rPr>
                <w:rFonts w:ascii="Arial" w:cs="Arial" w:eastAsia="Arial" w:hAnsi="Arial"/>
                <w:sz w:val="13"/>
                <w:szCs w:val="13"/>
                <w:color w:val="auto"/>
              </w:rPr>
              <w:t>Utility Diluted Earnings Per Share</w:t>
            </w:r>
          </w:p>
        </w:tc>
        <w:tc>
          <w:tcPr>
            <w:tcW w:w="2200" w:type="dxa"/>
            <w:vAlign w:val="bottom"/>
          </w:tcPr>
          <w:p>
            <w:pPr>
              <w:jc w:val="right"/>
              <w:ind w:right="437"/>
              <w:spacing w:after="0"/>
              <w:rPr>
                <w:sz w:val="20"/>
                <w:szCs w:val="20"/>
                <w:color w:val="auto"/>
              </w:rPr>
            </w:pPr>
            <w:r>
              <w:rPr>
                <w:rFonts w:ascii="Arial" w:cs="Arial" w:eastAsia="Arial" w:hAnsi="Arial"/>
                <w:sz w:val="13"/>
                <w:szCs w:val="13"/>
                <w:color w:val="auto"/>
              </w:rPr>
              <w:t>1.06</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1.14</w:t>
            </w:r>
          </w:p>
        </w:tc>
        <w:tc>
          <w:tcPr>
            <w:tcW w:w="1400" w:type="dxa"/>
            <w:vAlign w:val="bottom"/>
          </w:tcPr>
          <w:p>
            <w:pPr>
              <w:jc w:val="right"/>
              <w:ind w:right="517"/>
              <w:spacing w:after="0"/>
              <w:rPr>
                <w:sz w:val="20"/>
                <w:szCs w:val="20"/>
                <w:color w:val="auto"/>
              </w:rPr>
            </w:pPr>
            <w:r>
              <w:rPr>
                <w:rFonts w:ascii="Arial" w:cs="Arial" w:eastAsia="Arial" w:hAnsi="Arial"/>
                <w:sz w:val="13"/>
                <w:szCs w:val="13"/>
                <w:color w:val="auto"/>
              </w:rPr>
              <w:t>1.18</w:t>
            </w:r>
          </w:p>
        </w:tc>
        <w:tc>
          <w:tcPr>
            <w:tcW w:w="1280" w:type="dxa"/>
            <w:vAlign w:val="bottom"/>
          </w:tcPr>
          <w:p>
            <w:pPr>
              <w:jc w:val="right"/>
              <w:ind w:right="457"/>
              <w:spacing w:after="0"/>
              <w:rPr>
                <w:sz w:val="20"/>
                <w:szCs w:val="20"/>
                <w:color w:val="auto"/>
              </w:rPr>
            </w:pPr>
            <w:r>
              <w:rPr>
                <w:rFonts w:ascii="Arial" w:cs="Arial" w:eastAsia="Arial" w:hAnsi="Arial"/>
                <w:sz w:val="13"/>
                <w:szCs w:val="13"/>
                <w:color w:val="auto"/>
              </w:rPr>
              <w:t>1.22</w:t>
            </w:r>
          </w:p>
        </w:tc>
        <w:tc>
          <w:tcPr>
            <w:tcW w:w="420" w:type="dxa"/>
            <w:vAlign w:val="bottom"/>
          </w:tcPr>
          <w:p>
            <w:pPr>
              <w:jc w:val="right"/>
              <w:spacing w:after="0"/>
              <w:rPr>
                <w:sz w:val="20"/>
                <w:szCs w:val="20"/>
                <w:color w:val="auto"/>
              </w:rPr>
            </w:pPr>
            <w:r>
              <w:rPr>
                <w:rFonts w:ascii="Arial" w:cs="Arial" w:eastAsia="Arial" w:hAnsi="Arial"/>
                <w:sz w:val="13"/>
                <w:szCs w:val="13"/>
                <w:color w:val="auto"/>
              </w:rPr>
              <w:t>1.15</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113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target level above is based on our 2020 business plan as approved by the Board of Directors.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“Overall Company Operations and Maintenance Expenditures” is defined as all operations and maintenance expenses (excluding transmission cost of service, stranded cost recovery and system restoration bonds) with the following adjustments:</w:t>
      </w:r>
    </w:p>
    <w:p>
      <w:pPr>
        <w:spacing w:after="0" w:line="96" w:lineRule="exact"/>
        <w:rPr>
          <w:sz w:val="20"/>
          <w:szCs w:val="20"/>
          <w:color w:val="auto"/>
        </w:rPr>
      </w:pPr>
    </w:p>
    <w:p>
      <w:pPr>
        <w:ind w:left="380" w:hanging="276"/>
        <w:spacing w:after="0"/>
        <w:tabs>
          <w:tab w:leader="none" w:pos="380" w:val="left"/>
        </w:tabs>
        <w:numPr>
          <w:ilvl w:val="0"/>
          <w:numId w:val="76"/>
        </w:numPr>
        <w:rPr>
          <w:rFonts w:ascii="Arial" w:cs="Arial" w:eastAsia="Arial" w:hAnsi="Arial"/>
          <w:sz w:val="15"/>
          <w:szCs w:val="15"/>
          <w:color w:val="0061AF"/>
        </w:rPr>
      </w:pPr>
      <w:r>
        <w:rPr>
          <w:rFonts w:ascii="Arial" w:cs="Arial" w:eastAsia="Arial" w:hAnsi="Arial"/>
          <w:sz w:val="15"/>
          <w:szCs w:val="15"/>
          <w:color w:val="auto"/>
        </w:rPr>
        <w:t>minus amounts on the company’s infrastructure services business (which the Company divested in 2020) and energy systems group;</w:t>
      </w:r>
    </w:p>
    <w:p>
      <w:pPr>
        <w:spacing w:after="0" w:line="113" w:lineRule="exact"/>
        <w:rPr>
          <w:rFonts w:ascii="Arial" w:cs="Arial" w:eastAsia="Arial" w:hAnsi="Arial"/>
          <w:sz w:val="15"/>
          <w:szCs w:val="15"/>
          <w:color w:val="0061AF"/>
        </w:rPr>
      </w:pPr>
    </w:p>
    <w:p>
      <w:pPr>
        <w:ind w:left="380" w:right="20" w:hanging="276"/>
        <w:spacing w:after="0"/>
        <w:tabs>
          <w:tab w:leader="none" w:pos="380" w:val="left"/>
        </w:tabs>
        <w:numPr>
          <w:ilvl w:val="0"/>
          <w:numId w:val="76"/>
        </w:numPr>
        <w:rPr>
          <w:rFonts w:ascii="Arial" w:cs="Arial" w:eastAsia="Arial" w:hAnsi="Arial"/>
          <w:sz w:val="16"/>
          <w:szCs w:val="16"/>
          <w:color w:val="0061AF"/>
        </w:rPr>
      </w:pPr>
      <w:r>
        <w:rPr>
          <w:rFonts w:ascii="Arial" w:cs="Arial" w:eastAsia="Arial" w:hAnsi="Arial"/>
          <w:sz w:val="16"/>
          <w:szCs w:val="16"/>
          <w:color w:val="auto"/>
        </w:rPr>
        <w:t>plus or minus the financial impacts of any changes in accounting standards, the unplanned change in application of accounting standards and impairments of goodwill;</w:t>
      </w:r>
    </w:p>
    <w:p>
      <w:pPr>
        <w:spacing w:after="0" w:line="96" w:lineRule="exact"/>
        <w:rPr>
          <w:rFonts w:ascii="Arial" w:cs="Arial" w:eastAsia="Arial" w:hAnsi="Arial"/>
          <w:sz w:val="16"/>
          <w:szCs w:val="16"/>
          <w:color w:val="0061AF"/>
        </w:rPr>
      </w:pPr>
    </w:p>
    <w:p>
      <w:pPr>
        <w:jc w:val="both"/>
        <w:ind w:left="380" w:hanging="276"/>
        <w:spacing w:after="0" w:line="236" w:lineRule="auto"/>
        <w:tabs>
          <w:tab w:leader="none" w:pos="380" w:val="left"/>
        </w:tabs>
        <w:numPr>
          <w:ilvl w:val="0"/>
          <w:numId w:val="76"/>
        </w:numPr>
        <w:rPr>
          <w:rFonts w:ascii="Arial" w:cs="Arial" w:eastAsia="Arial" w:hAnsi="Arial"/>
          <w:sz w:val="16"/>
          <w:szCs w:val="16"/>
          <w:color w:val="0061AF"/>
        </w:rPr>
      </w:pPr>
      <w:r>
        <w:rPr>
          <w:rFonts w:ascii="Arial" w:cs="Arial" w:eastAsia="Arial" w:hAnsi="Arial"/>
          <w:sz w:val="16"/>
          <w:szCs w:val="16"/>
          <w:color w:val="auto"/>
        </w:rPr>
        <w:t>minus expenditures recovered in revenue on a dollar-for-dollar basis through expense recovery mechanisms, such as energy efficiency costs (which include mandated spending and tracked costs but excludes bonus achievement for Conservation Improvement (CIP) costs, energy efficiency costs, Gas Affordability Program (GAP) or any similar newly approved regulatory mechanisms;</w:t>
      </w:r>
    </w:p>
    <w:p>
      <w:pPr>
        <w:spacing w:after="0" w:line="97" w:lineRule="exact"/>
        <w:rPr>
          <w:rFonts w:ascii="Arial" w:cs="Arial" w:eastAsia="Arial" w:hAnsi="Arial"/>
          <w:sz w:val="16"/>
          <w:szCs w:val="16"/>
          <w:color w:val="0061AF"/>
        </w:rPr>
      </w:pPr>
    </w:p>
    <w:p>
      <w:pPr>
        <w:ind w:left="380" w:hanging="276"/>
        <w:spacing w:after="0"/>
        <w:tabs>
          <w:tab w:leader="none" w:pos="380" w:val="left"/>
        </w:tabs>
        <w:numPr>
          <w:ilvl w:val="0"/>
          <w:numId w:val="76"/>
        </w:numPr>
        <w:rPr>
          <w:rFonts w:ascii="Arial" w:cs="Arial" w:eastAsia="Arial" w:hAnsi="Arial"/>
          <w:sz w:val="16"/>
          <w:szCs w:val="16"/>
          <w:color w:val="0061AF"/>
        </w:rPr>
      </w:pPr>
      <w:r>
        <w:rPr>
          <w:rFonts w:ascii="Arial" w:cs="Arial" w:eastAsia="Arial" w:hAnsi="Arial"/>
          <w:sz w:val="16"/>
          <w:szCs w:val="16"/>
          <w:color w:val="auto"/>
        </w:rPr>
        <w:t>minus any differences between plan and actual expenditures required to generate additional revenues, including Home Service Plus labor and benefits costs;</w:t>
      </w:r>
    </w:p>
    <w:p>
      <w:pPr>
        <w:spacing w:after="0" w:line="210"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67" w:name="page68"/>
    <w:bookmarkEnd w:id="6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1" w:lineRule="exact"/>
        <w:rPr>
          <w:sz w:val="20"/>
          <w:szCs w:val="20"/>
          <w:color w:val="auto"/>
        </w:rPr>
      </w:pPr>
    </w:p>
    <w:p>
      <w:pPr>
        <w:jc w:val="both"/>
        <w:ind w:left="380" w:hanging="276"/>
        <w:spacing w:after="0" w:line="235" w:lineRule="auto"/>
        <w:tabs>
          <w:tab w:leader="none" w:pos="380" w:val="left"/>
        </w:tabs>
        <w:numPr>
          <w:ilvl w:val="0"/>
          <w:numId w:val="77"/>
        </w:numPr>
        <w:rPr>
          <w:rFonts w:ascii="Arial" w:cs="Arial" w:eastAsia="Arial" w:hAnsi="Arial"/>
          <w:sz w:val="16"/>
          <w:szCs w:val="16"/>
          <w:color w:val="0061AF"/>
        </w:rPr>
      </w:pPr>
      <w:r>
        <w:rPr>
          <w:rFonts w:ascii="Arial" w:cs="Arial" w:eastAsia="Arial" w:hAnsi="Arial"/>
          <w:sz w:val="16"/>
          <w:szCs w:val="16"/>
          <w:color w:val="auto"/>
        </w:rPr>
        <w:t>plus or minus 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amortization of intangibles or other purchase price accounting impacts attributable to the Vectren merger; benefit retirement plan settlement expenses triggered by lump sum distribution; adoption of the FASB-issued ASU No. 2017-07 Compensation—Retirement Benefits; or other unplanned items that receive written approval from the Chief Executive Officer and/or Executive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2020, various levels of achievement for “Overall Company Operations and Maintenance Expenditures”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shd w:val="clear" w:color="auto" w:fill="0061AF"/>
          </w:tcPr>
          <w:p>
            <w:pPr>
              <w:spacing w:after="0"/>
              <w:rPr>
                <w:sz w:val="16"/>
                <w:szCs w:val="16"/>
                <w:color w:val="auto"/>
              </w:rPr>
            </w:pPr>
          </w:p>
        </w:tc>
        <w:tc>
          <w:tcPr>
            <w:tcW w:w="1340" w:type="dxa"/>
            <w:vAlign w:val="bottom"/>
            <w:shd w:val="clear" w:color="auto" w:fill="0061AF"/>
          </w:tcPr>
          <w:p>
            <w:pPr>
              <w:spacing w:after="0"/>
              <w:rPr>
                <w:sz w:val="16"/>
                <w:szCs w:val="16"/>
                <w:color w:val="auto"/>
              </w:rPr>
            </w:pPr>
          </w:p>
        </w:tc>
        <w:tc>
          <w:tcPr>
            <w:tcW w:w="1860" w:type="dxa"/>
            <w:vAlign w:val="bottom"/>
            <w:gridSpan w:val="2"/>
            <w:shd w:val="clear" w:color="auto" w:fill="0061AF"/>
          </w:tcPr>
          <w:p>
            <w:pPr>
              <w:ind w:left="280"/>
              <w:spacing w:after="0"/>
              <w:rPr>
                <w:sz w:val="20"/>
                <w:szCs w:val="20"/>
                <w:color w:val="auto"/>
              </w:rPr>
            </w:pPr>
            <w:r>
              <w:rPr>
                <w:rFonts w:ascii="Arial" w:cs="Arial" w:eastAsia="Arial" w:hAnsi="Arial"/>
                <w:sz w:val="13"/>
                <w:szCs w:val="13"/>
                <w:b w:val="1"/>
                <w:bCs w:val="1"/>
                <w:color w:val="FFFFFF"/>
              </w:rPr>
              <w:t>In Millions (except %)</w:t>
            </w:r>
          </w:p>
        </w:tc>
        <w:tc>
          <w:tcPr>
            <w:tcW w:w="1200" w:type="dxa"/>
            <w:vAlign w:val="bottom"/>
            <w:shd w:val="clear" w:color="auto" w:fill="0061AF"/>
          </w:tcPr>
          <w:p>
            <w:pPr>
              <w:spacing w:after="0"/>
              <w:rPr>
                <w:sz w:val="16"/>
                <w:szCs w:val="16"/>
                <w:color w:val="auto"/>
              </w:rPr>
            </w:pPr>
          </w:p>
        </w:tc>
        <w:tc>
          <w:tcPr>
            <w:tcW w:w="580" w:type="dxa"/>
            <w:vAlign w:val="bottom"/>
            <w:shd w:val="clear" w:color="auto" w:fill="0061AF"/>
          </w:tcPr>
          <w:p>
            <w:pPr>
              <w:spacing w:after="0"/>
              <w:rPr>
                <w:sz w:val="16"/>
                <w:szCs w:val="16"/>
                <w:color w:val="auto"/>
              </w:rPr>
            </w:pPr>
          </w:p>
        </w:tc>
        <w:tc>
          <w:tcPr>
            <w:tcW w:w="480" w:type="dxa"/>
            <w:vAlign w:val="bottom"/>
            <w:shd w:val="clear" w:color="auto" w:fill="0061AF"/>
          </w:tcPr>
          <w:p>
            <w:pPr>
              <w:spacing w:after="0"/>
              <w:rPr>
                <w:sz w:val="16"/>
                <w:szCs w:val="16"/>
                <w:color w:val="auto"/>
              </w:rPr>
            </w:pPr>
          </w:p>
        </w:tc>
      </w:tr>
      <w:tr>
        <w:trPr>
          <w:trHeight w:val="133"/>
        </w:trPr>
        <w:tc>
          <w:tcPr>
            <w:tcW w:w="4260" w:type="dxa"/>
            <w:vAlign w:val="bottom"/>
            <w:shd w:val="clear" w:color="auto" w:fill="0061AF"/>
          </w:tcPr>
          <w:p>
            <w:pPr>
              <w:spacing w:after="0"/>
              <w:rPr>
                <w:sz w:val="11"/>
                <w:szCs w:val="11"/>
                <w:color w:val="auto"/>
              </w:rPr>
            </w:pPr>
          </w:p>
        </w:tc>
        <w:tc>
          <w:tcPr>
            <w:tcW w:w="1340" w:type="dxa"/>
            <w:vAlign w:val="bottom"/>
            <w:shd w:val="clear" w:color="auto" w:fill="0061AF"/>
          </w:tcPr>
          <w:p>
            <w:pPr>
              <w:jc w:val="center"/>
              <w:ind w:left="57"/>
              <w:spacing w:after="0" w:line="133" w:lineRule="exact"/>
              <w:rPr>
                <w:sz w:val="20"/>
                <w:szCs w:val="20"/>
                <w:color w:val="auto"/>
              </w:rPr>
            </w:pPr>
            <w:r>
              <w:rPr>
                <w:rFonts w:ascii="Arial" w:cs="Arial" w:eastAsia="Arial" w:hAnsi="Arial"/>
                <w:sz w:val="13"/>
                <w:szCs w:val="13"/>
                <w:b w:val="1"/>
                <w:bCs w:val="1"/>
                <w:color w:val="FFFFFF"/>
                <w:w w:val="98"/>
              </w:rPr>
              <w:t>Threshold</w:t>
            </w:r>
          </w:p>
        </w:tc>
        <w:tc>
          <w:tcPr>
            <w:tcW w:w="640" w:type="dxa"/>
            <w:vAlign w:val="bottom"/>
            <w:shd w:val="clear" w:color="auto" w:fill="0061AF"/>
          </w:tcPr>
          <w:p>
            <w:pPr>
              <w:spacing w:after="0"/>
              <w:rPr>
                <w:sz w:val="11"/>
                <w:szCs w:val="11"/>
                <w:color w:val="auto"/>
              </w:rPr>
            </w:pPr>
          </w:p>
        </w:tc>
        <w:tc>
          <w:tcPr>
            <w:tcW w:w="1220" w:type="dxa"/>
            <w:vAlign w:val="bottom"/>
            <w:shd w:val="clear" w:color="auto" w:fill="0061AF"/>
          </w:tcPr>
          <w:p>
            <w:pPr>
              <w:jc w:val="center"/>
              <w:spacing w:after="0" w:line="133" w:lineRule="exact"/>
              <w:rPr>
                <w:sz w:val="20"/>
                <w:szCs w:val="20"/>
                <w:color w:val="auto"/>
              </w:rPr>
            </w:pPr>
            <w:r>
              <w:rPr>
                <w:rFonts w:ascii="Arial" w:cs="Arial" w:eastAsia="Arial" w:hAnsi="Arial"/>
                <w:sz w:val="13"/>
                <w:szCs w:val="13"/>
                <w:b w:val="1"/>
                <w:bCs w:val="1"/>
                <w:color w:val="FFFFFF"/>
                <w:w w:val="96"/>
              </w:rPr>
              <w:t>Maximum</w:t>
            </w:r>
          </w:p>
        </w:tc>
        <w:tc>
          <w:tcPr>
            <w:tcW w:w="1200" w:type="dxa"/>
            <w:vAlign w:val="bottom"/>
            <w:shd w:val="clear" w:color="auto" w:fill="0061AF"/>
          </w:tcPr>
          <w:p>
            <w:pPr>
              <w:jc w:val="center"/>
              <w:spacing w:after="0" w:line="133" w:lineRule="exact"/>
              <w:rPr>
                <w:sz w:val="20"/>
                <w:szCs w:val="20"/>
                <w:color w:val="auto"/>
              </w:rPr>
            </w:pPr>
            <w:r>
              <w:rPr>
                <w:rFonts w:ascii="Arial" w:cs="Arial" w:eastAsia="Arial" w:hAnsi="Arial"/>
                <w:sz w:val="13"/>
                <w:szCs w:val="13"/>
                <w:b w:val="1"/>
                <w:bCs w:val="1"/>
                <w:color w:val="FFFFFF"/>
                <w:w w:val="98"/>
              </w:rPr>
              <w:t>Exceptional</w:t>
            </w:r>
          </w:p>
        </w:tc>
        <w:tc>
          <w:tcPr>
            <w:tcW w:w="1060" w:type="dxa"/>
            <w:vAlign w:val="bottom"/>
            <w:gridSpan w:val="2"/>
            <w:shd w:val="clear" w:color="auto" w:fill="0061AF"/>
          </w:tcPr>
          <w:p>
            <w:pPr>
              <w:ind w:left="400"/>
              <w:spacing w:after="0" w:line="133" w:lineRule="exact"/>
              <w:rPr>
                <w:sz w:val="20"/>
                <w:szCs w:val="20"/>
                <w:color w:val="auto"/>
              </w:rPr>
            </w:pPr>
            <w:r>
              <w:rPr>
                <w:rFonts w:ascii="Arial" w:cs="Arial" w:eastAsia="Arial" w:hAnsi="Arial"/>
                <w:sz w:val="13"/>
                <w:szCs w:val="13"/>
                <w:b w:val="1"/>
                <w:bCs w:val="1"/>
                <w:color w:val="FFFFFF"/>
              </w:rPr>
              <w:t>Actual</w:t>
            </w:r>
          </w:p>
        </w:tc>
      </w:tr>
      <w:tr>
        <w:trPr>
          <w:trHeight w:val="143"/>
        </w:trPr>
        <w:tc>
          <w:tcPr>
            <w:tcW w:w="4260" w:type="dxa"/>
            <w:vAlign w:val="bottom"/>
            <w:shd w:val="clear" w:color="auto" w:fill="0061AF"/>
          </w:tcPr>
          <w:p>
            <w:pPr>
              <w:spacing w:after="0"/>
              <w:rPr>
                <w:sz w:val="12"/>
                <w:szCs w:val="12"/>
                <w:color w:val="auto"/>
              </w:rPr>
            </w:pPr>
          </w:p>
        </w:tc>
        <w:tc>
          <w:tcPr>
            <w:tcW w:w="1340" w:type="dxa"/>
            <w:vAlign w:val="bottom"/>
            <w:shd w:val="clear" w:color="auto" w:fill="0061AF"/>
          </w:tcPr>
          <w:p>
            <w:pPr>
              <w:jc w:val="center"/>
              <w:ind w:left="57"/>
              <w:spacing w:after="0" w:line="143" w:lineRule="exact"/>
              <w:rPr>
                <w:sz w:val="20"/>
                <w:szCs w:val="20"/>
                <w:color w:val="auto"/>
              </w:rPr>
            </w:pPr>
            <w:r>
              <w:rPr>
                <w:rFonts w:ascii="Arial" w:cs="Arial" w:eastAsia="Arial" w:hAnsi="Arial"/>
                <w:sz w:val="13"/>
                <w:szCs w:val="13"/>
                <w:b w:val="1"/>
                <w:bCs w:val="1"/>
                <w:color w:val="FFFFFF"/>
                <w:w w:val="96"/>
              </w:rPr>
              <w:t>(Target plus 4%)</w:t>
            </w:r>
          </w:p>
        </w:tc>
        <w:tc>
          <w:tcPr>
            <w:tcW w:w="640" w:type="dxa"/>
            <w:vAlign w:val="bottom"/>
            <w:shd w:val="clear" w:color="auto" w:fill="0061AF"/>
          </w:tcPr>
          <w:p>
            <w:pPr>
              <w:ind w:left="140"/>
              <w:spacing w:after="0" w:line="143" w:lineRule="exact"/>
              <w:rPr>
                <w:sz w:val="20"/>
                <w:szCs w:val="20"/>
                <w:color w:val="auto"/>
              </w:rPr>
            </w:pPr>
            <w:r>
              <w:rPr>
                <w:rFonts w:ascii="Arial" w:cs="Arial" w:eastAsia="Arial" w:hAnsi="Arial"/>
                <w:sz w:val="13"/>
                <w:szCs w:val="13"/>
                <w:b w:val="1"/>
                <w:bCs w:val="1"/>
                <w:color w:val="FFFFFF"/>
              </w:rPr>
              <w:t>Target</w:t>
            </w:r>
          </w:p>
        </w:tc>
        <w:tc>
          <w:tcPr>
            <w:tcW w:w="12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(Target less 4%)</w:t>
            </w:r>
          </w:p>
        </w:tc>
        <w:tc>
          <w:tcPr>
            <w:tcW w:w="12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(Target less 8%)</w:t>
            </w:r>
          </w:p>
        </w:tc>
        <w:tc>
          <w:tcPr>
            <w:tcW w:w="580" w:type="dxa"/>
            <w:vAlign w:val="bottom"/>
            <w:shd w:val="clear" w:color="auto" w:fill="0061AF"/>
          </w:tcPr>
          <w:p>
            <w:pPr>
              <w:spacing w:after="0"/>
              <w:rPr>
                <w:sz w:val="12"/>
                <w:szCs w:val="12"/>
                <w:color w:val="auto"/>
              </w:rPr>
            </w:pPr>
          </w:p>
        </w:tc>
        <w:tc>
          <w:tcPr>
            <w:tcW w:w="480" w:type="dxa"/>
            <w:vAlign w:val="bottom"/>
            <w:shd w:val="clear" w:color="auto" w:fill="0061AF"/>
          </w:tcPr>
          <w:p>
            <w:pPr>
              <w:spacing w:after="0"/>
              <w:rPr>
                <w:sz w:val="12"/>
                <w:szCs w:val="12"/>
                <w:color w:val="auto"/>
              </w:rPr>
            </w:pPr>
          </w:p>
        </w:tc>
      </w:tr>
      <w:tr>
        <w:trPr>
          <w:trHeight w:val="167"/>
        </w:trPr>
        <w:tc>
          <w:tcPr>
            <w:tcW w:w="4260" w:type="dxa"/>
            <w:vAlign w:val="bottom"/>
            <w:shd w:val="clear" w:color="auto" w:fill="0061AF"/>
          </w:tcPr>
          <w:p>
            <w:pPr>
              <w:spacing w:after="0"/>
              <w:rPr>
                <w:sz w:val="14"/>
                <w:szCs w:val="14"/>
                <w:color w:val="auto"/>
              </w:rPr>
            </w:pPr>
          </w:p>
        </w:tc>
        <w:tc>
          <w:tcPr>
            <w:tcW w:w="1340" w:type="dxa"/>
            <w:vAlign w:val="bottom"/>
            <w:shd w:val="clear" w:color="auto" w:fill="0061AF"/>
          </w:tcPr>
          <w:p>
            <w:pPr>
              <w:jc w:val="right"/>
              <w:ind w:right="517"/>
              <w:spacing w:after="0"/>
              <w:rPr>
                <w:sz w:val="20"/>
                <w:szCs w:val="20"/>
                <w:color w:val="auto"/>
              </w:rPr>
            </w:pPr>
            <w:r>
              <w:rPr>
                <w:rFonts w:ascii="Arial" w:cs="Arial" w:eastAsia="Arial" w:hAnsi="Arial"/>
                <w:sz w:val="13"/>
                <w:szCs w:val="13"/>
                <w:b w:val="1"/>
                <w:bCs w:val="1"/>
                <w:color w:val="FFFFFF"/>
              </w:rPr>
              <w:t>$</w:t>
            </w:r>
          </w:p>
        </w:tc>
        <w:tc>
          <w:tcPr>
            <w:tcW w:w="640" w:type="dxa"/>
            <w:vAlign w:val="bottom"/>
            <w:shd w:val="clear" w:color="auto" w:fill="0061AF"/>
          </w:tcPr>
          <w:p>
            <w:pPr>
              <w:jc w:val="right"/>
              <w:ind w:right="217"/>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0061AF"/>
          </w:tcPr>
          <w:p>
            <w:pPr>
              <w:jc w:val="right"/>
              <w:ind w:right="517"/>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0061AF"/>
          </w:tcPr>
          <w:p>
            <w:pPr>
              <w:jc w:val="right"/>
              <w:ind w:right="497"/>
              <w:spacing w:after="0"/>
              <w:rPr>
                <w:sz w:val="20"/>
                <w:szCs w:val="20"/>
                <w:color w:val="auto"/>
              </w:rPr>
            </w:pPr>
            <w:r>
              <w:rPr>
                <w:rFonts w:ascii="Arial" w:cs="Arial" w:eastAsia="Arial" w:hAnsi="Arial"/>
                <w:sz w:val="13"/>
                <w:szCs w:val="13"/>
                <w:b w:val="1"/>
                <w:bCs w:val="1"/>
                <w:color w:val="FFFFFF"/>
              </w:rPr>
              <w:t>$</w:t>
            </w:r>
          </w:p>
        </w:tc>
        <w:tc>
          <w:tcPr>
            <w:tcW w:w="580" w:type="dxa"/>
            <w:vAlign w:val="bottom"/>
            <w:shd w:val="clear" w:color="auto" w:fill="0061AF"/>
          </w:tcPr>
          <w:p>
            <w:pPr>
              <w:jc w:val="right"/>
              <w:ind w:right="217"/>
              <w:spacing w:after="0"/>
              <w:rPr>
                <w:sz w:val="20"/>
                <w:szCs w:val="20"/>
                <w:color w:val="auto"/>
              </w:rPr>
            </w:pPr>
            <w:r>
              <w:rPr>
                <w:rFonts w:ascii="Arial" w:cs="Arial" w:eastAsia="Arial" w:hAnsi="Arial"/>
                <w:sz w:val="13"/>
                <w:szCs w:val="13"/>
                <w:b w:val="1"/>
                <w:bCs w:val="1"/>
                <w:color w:val="FFFFFF"/>
              </w:rPr>
              <w:t>$</w:t>
            </w:r>
          </w:p>
        </w:tc>
        <w:tc>
          <w:tcPr>
            <w:tcW w:w="480" w:type="dxa"/>
            <w:vAlign w:val="bottom"/>
            <w:shd w:val="clear" w:color="auto" w:fill="0061AF"/>
          </w:tcPr>
          <w:p>
            <w:pPr>
              <w:ind w:left="120"/>
              <w:spacing w:after="0"/>
              <w:rPr>
                <w:sz w:val="20"/>
                <w:szCs w:val="20"/>
                <w:color w:val="auto"/>
              </w:rPr>
            </w:pPr>
            <w:r>
              <w:rPr>
                <w:rFonts w:ascii="Arial" w:cs="Arial" w:eastAsia="Arial" w:hAnsi="Arial"/>
                <w:sz w:val="13"/>
                <w:szCs w:val="13"/>
                <w:b w:val="1"/>
                <w:bCs w:val="1"/>
                <w:color w:val="FFFFFF"/>
              </w:rPr>
              <w:t>%</w:t>
            </w:r>
          </w:p>
        </w:tc>
      </w:tr>
      <w:tr>
        <w:trPr>
          <w:trHeight w:val="157"/>
        </w:trPr>
        <w:tc>
          <w:tcPr>
            <w:tcW w:w="4260" w:type="dxa"/>
            <w:vAlign w:val="bottom"/>
          </w:tcPr>
          <w:p>
            <w:pPr>
              <w:ind w:left="80"/>
              <w:spacing w:after="0"/>
              <w:rPr>
                <w:sz w:val="20"/>
                <w:szCs w:val="20"/>
                <w:color w:val="auto"/>
              </w:rPr>
            </w:pPr>
            <w:r>
              <w:rPr>
                <w:rFonts w:ascii="Arial" w:cs="Arial" w:eastAsia="Arial" w:hAnsi="Arial"/>
                <w:sz w:val="13"/>
                <w:szCs w:val="13"/>
                <w:color w:val="auto"/>
              </w:rPr>
              <w:t>Overall Company Operations and Maintenance Expenditures</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1,602</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1,540</w:t>
            </w:r>
          </w:p>
        </w:tc>
        <w:tc>
          <w:tcPr>
            <w:tcW w:w="1220" w:type="dxa"/>
            <w:vAlign w:val="bottom"/>
          </w:tcPr>
          <w:p>
            <w:pPr>
              <w:jc w:val="right"/>
              <w:ind w:right="397"/>
              <w:spacing w:after="0"/>
              <w:rPr>
                <w:sz w:val="20"/>
                <w:szCs w:val="20"/>
                <w:color w:val="auto"/>
              </w:rPr>
            </w:pPr>
            <w:r>
              <w:rPr>
                <w:rFonts w:ascii="Arial" w:cs="Arial" w:eastAsia="Arial" w:hAnsi="Arial"/>
                <w:sz w:val="13"/>
                <w:szCs w:val="13"/>
                <w:color w:val="auto"/>
              </w:rPr>
              <w:t>1,478</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1,417</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1,449</w:t>
            </w:r>
          </w:p>
        </w:tc>
        <w:tc>
          <w:tcPr>
            <w:tcW w:w="480" w:type="dxa"/>
            <w:vAlign w:val="bottom"/>
          </w:tcPr>
          <w:p>
            <w:pPr>
              <w:ind w:left="120"/>
              <w:spacing w:after="0"/>
              <w:rPr>
                <w:sz w:val="20"/>
                <w:szCs w:val="20"/>
                <w:color w:val="auto"/>
              </w:rPr>
            </w:pPr>
            <w:r>
              <w:rPr>
                <w:rFonts w:ascii="Arial" w:cs="Arial" w:eastAsia="Arial" w:hAnsi="Arial"/>
                <w:sz w:val="13"/>
                <w:szCs w:val="13"/>
                <w:color w:val="auto"/>
              </w:rPr>
              <w:t>174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target level above is based on our 2020 business plan plus 4% as approved by the Board of Directors.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“Customer Satisfaction Composite” goal includes results from a weighted average of the Customer Satisfaction Survey for CenterPoint Energy’s Gas Operations, Houston Electric and Home Service Plus business units, the Power Alert Service Survey and Repeating 300% circuits for Houston Electric, the Blue Sky System Average Interruption Duration Index (Blue Sky SAIDI) for Houston Electric and Indiana Electric and the Perception and Contact Surveys for Vectren according to the following weights and measures: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shd w:val="clear" w:color="auto" w:fill="0061AF"/>
          </w:tcPr>
          <w:p>
            <w:pPr>
              <w:spacing w:after="0"/>
              <w:rPr>
                <w:sz w:val="13"/>
                <w:szCs w:val="13"/>
                <w:color w:val="auto"/>
              </w:rPr>
            </w:pPr>
          </w:p>
        </w:tc>
        <w:tc>
          <w:tcPr>
            <w:tcW w:w="1080" w:type="dxa"/>
            <w:vAlign w:val="bottom"/>
            <w:shd w:val="clear" w:color="auto" w:fill="0061AF"/>
          </w:tcPr>
          <w:p>
            <w:pPr>
              <w:spacing w:after="0"/>
              <w:rPr>
                <w:sz w:val="13"/>
                <w:szCs w:val="13"/>
                <w:color w:val="auto"/>
              </w:rPr>
            </w:pPr>
          </w:p>
        </w:tc>
        <w:tc>
          <w:tcPr>
            <w:tcW w:w="780" w:type="dxa"/>
            <w:vAlign w:val="bottom"/>
            <w:shd w:val="clear" w:color="auto" w:fill="0061AF"/>
          </w:tcPr>
          <w:p>
            <w:pPr>
              <w:spacing w:after="0"/>
              <w:rPr>
                <w:sz w:val="13"/>
                <w:szCs w:val="13"/>
                <w:color w:val="auto"/>
              </w:rPr>
            </w:pPr>
          </w:p>
        </w:tc>
        <w:tc>
          <w:tcPr>
            <w:tcW w:w="900" w:type="dxa"/>
            <w:vAlign w:val="bottom"/>
            <w:shd w:val="clear" w:color="auto" w:fill="0061AF"/>
          </w:tcPr>
          <w:p>
            <w:pPr>
              <w:spacing w:after="0"/>
              <w:rPr>
                <w:sz w:val="13"/>
                <w:szCs w:val="13"/>
                <w:color w:val="auto"/>
              </w:rPr>
            </w:pPr>
          </w:p>
        </w:tc>
        <w:tc>
          <w:tcPr>
            <w:tcW w:w="700" w:type="dxa"/>
            <w:vAlign w:val="bottom"/>
            <w:shd w:val="clear" w:color="auto" w:fill="0061AF"/>
          </w:tcPr>
          <w:p>
            <w:pPr>
              <w:spacing w:after="0"/>
              <w:rPr>
                <w:sz w:val="13"/>
                <w:szCs w:val="13"/>
                <w:color w:val="auto"/>
              </w:rPr>
            </w:pPr>
          </w:p>
        </w:tc>
        <w:tc>
          <w:tcPr>
            <w:tcW w:w="780" w:type="dxa"/>
            <w:vAlign w:val="bottom"/>
            <w:shd w:val="clear" w:color="auto" w:fill="0061AF"/>
          </w:tcPr>
          <w:p>
            <w:pPr>
              <w:jc w:val="right"/>
              <w:spacing w:after="0"/>
              <w:rPr>
                <w:sz w:val="20"/>
                <w:szCs w:val="20"/>
                <w:color w:val="auto"/>
              </w:rPr>
            </w:pPr>
            <w:r>
              <w:rPr>
                <w:rFonts w:ascii="Arial" w:cs="Arial" w:eastAsia="Arial" w:hAnsi="Arial"/>
                <w:sz w:val="13"/>
                <w:szCs w:val="13"/>
                <w:b w:val="1"/>
                <w:bCs w:val="1"/>
                <w:color w:val="FFFFFF"/>
              </w:rPr>
              <w:t>Actual</w:t>
            </w:r>
          </w:p>
        </w:tc>
        <w:tc>
          <w:tcPr>
            <w:tcW w:w="340" w:type="dxa"/>
            <w:vAlign w:val="bottom"/>
            <w:shd w:val="clear" w:color="auto" w:fill="0061AF"/>
          </w:tcPr>
          <w:p>
            <w:pPr>
              <w:spacing w:after="0"/>
              <w:rPr>
                <w:sz w:val="13"/>
                <w:szCs w:val="13"/>
                <w:color w:val="auto"/>
              </w:rPr>
            </w:pPr>
          </w:p>
        </w:tc>
      </w:tr>
      <w:tr>
        <w:trPr>
          <w:trHeight w:val="143"/>
        </w:trPr>
        <w:tc>
          <w:tcPr>
            <w:tcW w:w="5140" w:type="dxa"/>
            <w:vAlign w:val="bottom"/>
            <w:shd w:val="clear" w:color="auto" w:fill="0061AF"/>
          </w:tcPr>
          <w:p>
            <w:pPr>
              <w:spacing w:after="0"/>
              <w:rPr>
                <w:sz w:val="12"/>
                <w:szCs w:val="12"/>
                <w:color w:val="auto"/>
              </w:rPr>
            </w:pPr>
          </w:p>
        </w:tc>
        <w:tc>
          <w:tcPr>
            <w:tcW w:w="1080" w:type="dxa"/>
            <w:vAlign w:val="bottom"/>
            <w:shd w:val="clear" w:color="auto" w:fill="0061AF"/>
          </w:tcPr>
          <w:p>
            <w:pPr>
              <w:jc w:val="right"/>
              <w:ind w:right="97"/>
              <w:spacing w:after="0" w:line="143" w:lineRule="exact"/>
              <w:rPr>
                <w:sz w:val="20"/>
                <w:szCs w:val="20"/>
                <w:color w:val="auto"/>
              </w:rPr>
            </w:pPr>
            <w:r>
              <w:rPr>
                <w:rFonts w:ascii="Arial" w:cs="Arial" w:eastAsia="Arial" w:hAnsi="Arial"/>
                <w:sz w:val="13"/>
                <w:szCs w:val="13"/>
                <w:b w:val="1"/>
                <w:bCs w:val="1"/>
                <w:color w:val="FFFFFF"/>
              </w:rPr>
              <w:t>Threshold</w:t>
            </w:r>
          </w:p>
        </w:tc>
        <w:tc>
          <w:tcPr>
            <w:tcW w:w="780" w:type="dxa"/>
            <w:vAlign w:val="bottom"/>
            <w:shd w:val="clear" w:color="auto" w:fill="0061AF"/>
          </w:tcPr>
          <w:p>
            <w:pPr>
              <w:jc w:val="right"/>
              <w:ind w:right="157"/>
              <w:spacing w:after="0" w:line="143" w:lineRule="exact"/>
              <w:rPr>
                <w:sz w:val="20"/>
                <w:szCs w:val="20"/>
                <w:color w:val="auto"/>
              </w:rPr>
            </w:pPr>
            <w:r>
              <w:rPr>
                <w:rFonts w:ascii="Arial" w:cs="Arial" w:eastAsia="Arial" w:hAnsi="Arial"/>
                <w:sz w:val="13"/>
                <w:szCs w:val="13"/>
                <w:b w:val="1"/>
                <w:bCs w:val="1"/>
                <w:color w:val="FFFFFF"/>
              </w:rPr>
              <w:t>Target</w:t>
            </w:r>
          </w:p>
        </w:tc>
        <w:tc>
          <w:tcPr>
            <w:tcW w:w="900" w:type="dxa"/>
            <w:vAlign w:val="bottom"/>
            <w:shd w:val="clear" w:color="auto" w:fill="0061AF"/>
          </w:tcPr>
          <w:p>
            <w:pPr>
              <w:jc w:val="right"/>
              <w:ind w:right="97"/>
              <w:spacing w:after="0" w:line="143" w:lineRule="exact"/>
              <w:rPr>
                <w:sz w:val="20"/>
                <w:szCs w:val="20"/>
                <w:color w:val="auto"/>
              </w:rPr>
            </w:pPr>
            <w:r>
              <w:rPr>
                <w:rFonts w:ascii="Arial" w:cs="Arial" w:eastAsia="Arial" w:hAnsi="Arial"/>
                <w:sz w:val="13"/>
                <w:szCs w:val="13"/>
                <w:b w:val="1"/>
                <w:bCs w:val="1"/>
                <w:color w:val="FFFFFF"/>
              </w:rPr>
              <w:t>Maximum</w:t>
            </w:r>
          </w:p>
        </w:tc>
        <w:tc>
          <w:tcPr>
            <w:tcW w:w="700" w:type="dxa"/>
            <w:vAlign w:val="bottom"/>
            <w:shd w:val="clear" w:color="auto" w:fill="0061AF"/>
          </w:tcPr>
          <w:p>
            <w:pPr>
              <w:jc w:val="right"/>
              <w:ind w:right="57"/>
              <w:spacing w:after="0" w:line="143" w:lineRule="exact"/>
              <w:rPr>
                <w:sz w:val="20"/>
                <w:szCs w:val="20"/>
                <w:color w:val="auto"/>
              </w:rPr>
            </w:pPr>
            <w:r>
              <w:rPr>
                <w:rFonts w:ascii="Arial" w:cs="Arial" w:eastAsia="Arial" w:hAnsi="Arial"/>
                <w:sz w:val="13"/>
                <w:szCs w:val="13"/>
                <w:b w:val="1"/>
                <w:bCs w:val="1"/>
                <w:color w:val="FFFFFF"/>
              </w:rPr>
              <w:t>Weight</w:t>
            </w:r>
          </w:p>
        </w:tc>
        <w:tc>
          <w:tcPr>
            <w:tcW w:w="780" w:type="dxa"/>
            <w:vAlign w:val="bottom"/>
            <w:shd w:val="clear" w:color="auto" w:fill="0061AF"/>
          </w:tcPr>
          <w:p>
            <w:pPr>
              <w:jc w:val="right"/>
              <w:ind w:right="377"/>
              <w:spacing w:after="0" w:line="143" w:lineRule="exact"/>
              <w:rPr>
                <w:sz w:val="20"/>
                <w:szCs w:val="20"/>
                <w:color w:val="auto"/>
              </w:rPr>
            </w:pPr>
            <w:r>
              <w:rPr>
                <w:rFonts w:ascii="Arial" w:cs="Arial" w:eastAsia="Arial" w:hAnsi="Arial"/>
                <w:sz w:val="13"/>
                <w:szCs w:val="13"/>
                <w:b w:val="1"/>
                <w:bCs w:val="1"/>
                <w:color w:val="FFFFFF"/>
              </w:rPr>
              <w:t>#</w:t>
            </w:r>
          </w:p>
        </w:tc>
        <w:tc>
          <w:tcPr>
            <w:tcW w:w="340" w:type="dxa"/>
            <w:vAlign w:val="bottom"/>
            <w:shd w:val="clear" w:color="auto" w:fill="0061AF"/>
          </w:tcPr>
          <w:p>
            <w:pPr>
              <w:jc w:val="right"/>
              <w:ind w:right="137"/>
              <w:spacing w:after="0" w:line="143" w:lineRule="exact"/>
              <w:rPr>
                <w:sz w:val="20"/>
                <w:szCs w:val="20"/>
                <w:color w:val="auto"/>
              </w:rPr>
            </w:pPr>
            <w:r>
              <w:rPr>
                <w:rFonts w:ascii="Arial" w:cs="Arial" w:eastAsia="Arial" w:hAnsi="Arial"/>
                <w:sz w:val="13"/>
                <w:szCs w:val="13"/>
                <w:b w:val="1"/>
                <w:bCs w:val="1"/>
                <w:color w:val="FFFFFF"/>
              </w:rPr>
              <w:t>%</w:t>
            </w:r>
          </w:p>
        </w:tc>
      </w:tr>
      <w:tr>
        <w:trPr>
          <w:trHeight w:val="143"/>
        </w:trPr>
        <w:tc>
          <w:tcPr>
            <w:tcW w:w="51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CenterPoint Energy Legacy Gas Operations / Home Service Plus</w:t>
            </w: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3"/>
        </w:trPr>
        <w:tc>
          <w:tcPr>
            <w:tcW w:w="5140" w:type="dxa"/>
            <w:vAlign w:val="bottom"/>
            <w:shd w:val="clear" w:color="auto" w:fill="D8E7F3"/>
          </w:tcPr>
          <w:p>
            <w:pPr>
              <w:ind w:left="200"/>
              <w:spacing w:after="0" w:line="143" w:lineRule="exact"/>
              <w:rPr>
                <w:sz w:val="20"/>
                <w:szCs w:val="20"/>
                <w:color w:val="auto"/>
              </w:rPr>
            </w:pPr>
            <w:r>
              <w:rPr>
                <w:rFonts w:ascii="Arial" w:cs="Arial" w:eastAsia="Arial" w:hAnsi="Arial"/>
                <w:sz w:val="13"/>
                <w:szCs w:val="13"/>
                <w:color w:val="auto"/>
              </w:rPr>
              <w:t>Customer Satisfaction Survey</w:t>
            </w:r>
          </w:p>
        </w:tc>
        <w:tc>
          <w:tcPr>
            <w:tcW w:w="108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4.36</w:t>
            </w:r>
          </w:p>
        </w:tc>
        <w:tc>
          <w:tcPr>
            <w:tcW w:w="78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4.47</w:t>
            </w:r>
          </w:p>
        </w:tc>
        <w:tc>
          <w:tcPr>
            <w:tcW w:w="90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4.56</w:t>
            </w:r>
          </w:p>
        </w:tc>
        <w:tc>
          <w:tcPr>
            <w:tcW w:w="7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37.5%</w:t>
            </w:r>
          </w:p>
        </w:tc>
        <w:tc>
          <w:tcPr>
            <w:tcW w:w="78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4.55</w:t>
            </w:r>
          </w:p>
        </w:tc>
        <w:tc>
          <w:tcPr>
            <w:tcW w:w="3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144</w:t>
            </w:r>
          </w:p>
        </w:tc>
      </w:tr>
      <w:tr>
        <w:trPr>
          <w:trHeight w:val="143"/>
        </w:trPr>
        <w:tc>
          <w:tcPr>
            <w:tcW w:w="51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CenterPoint Energy Houston Electric Operations</w:t>
            </w: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3"/>
        </w:trPr>
        <w:tc>
          <w:tcPr>
            <w:tcW w:w="5140" w:type="dxa"/>
            <w:vAlign w:val="bottom"/>
            <w:shd w:val="clear" w:color="auto" w:fill="D8E7F3"/>
          </w:tcPr>
          <w:p>
            <w:pPr>
              <w:ind w:left="200"/>
              <w:spacing w:after="0" w:line="143" w:lineRule="exact"/>
              <w:rPr>
                <w:sz w:val="20"/>
                <w:szCs w:val="20"/>
                <w:color w:val="auto"/>
              </w:rPr>
            </w:pPr>
            <w:r>
              <w:rPr>
                <w:rFonts w:ascii="Arial" w:cs="Arial" w:eastAsia="Arial" w:hAnsi="Arial"/>
                <w:sz w:val="13"/>
                <w:szCs w:val="13"/>
                <w:color w:val="auto"/>
              </w:rPr>
              <w:t>Customer Satisfaction Survey</w:t>
            </w:r>
          </w:p>
        </w:tc>
        <w:tc>
          <w:tcPr>
            <w:tcW w:w="108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3.86</w:t>
            </w:r>
          </w:p>
        </w:tc>
        <w:tc>
          <w:tcPr>
            <w:tcW w:w="78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3.96</w:t>
            </w:r>
          </w:p>
        </w:tc>
        <w:tc>
          <w:tcPr>
            <w:tcW w:w="90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4.04</w:t>
            </w:r>
          </w:p>
        </w:tc>
        <w:tc>
          <w:tcPr>
            <w:tcW w:w="7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15%</w:t>
            </w:r>
          </w:p>
        </w:tc>
        <w:tc>
          <w:tcPr>
            <w:tcW w:w="78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4.07</w:t>
            </w:r>
          </w:p>
        </w:tc>
        <w:tc>
          <w:tcPr>
            <w:tcW w:w="3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150</w:t>
            </w:r>
          </w:p>
        </w:tc>
      </w:tr>
      <w:tr>
        <w:trPr>
          <w:trHeight w:val="143"/>
        </w:trPr>
        <w:tc>
          <w:tcPr>
            <w:tcW w:w="5140" w:type="dxa"/>
            <w:vAlign w:val="bottom"/>
          </w:tcPr>
          <w:p>
            <w:pPr>
              <w:ind w:left="200"/>
              <w:spacing w:after="0" w:line="143" w:lineRule="exact"/>
              <w:rPr>
                <w:sz w:val="20"/>
                <w:szCs w:val="20"/>
                <w:color w:val="auto"/>
              </w:rPr>
            </w:pPr>
            <w:r>
              <w:rPr>
                <w:rFonts w:ascii="Arial" w:cs="Arial" w:eastAsia="Arial" w:hAnsi="Arial"/>
                <w:sz w:val="13"/>
                <w:szCs w:val="13"/>
                <w:color w:val="auto"/>
              </w:rPr>
              <w:t>Power Alert Service Survey</w:t>
            </w:r>
          </w:p>
        </w:tc>
        <w:tc>
          <w:tcPr>
            <w:tcW w:w="108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4.36</w:t>
            </w:r>
          </w:p>
        </w:tc>
        <w:tc>
          <w:tcPr>
            <w:tcW w:w="78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4.47</w:t>
            </w:r>
          </w:p>
        </w:tc>
        <w:tc>
          <w:tcPr>
            <w:tcW w:w="90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4.56</w:t>
            </w:r>
          </w:p>
        </w:tc>
        <w:tc>
          <w:tcPr>
            <w:tcW w:w="7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15%</w:t>
            </w:r>
          </w:p>
        </w:tc>
        <w:tc>
          <w:tcPr>
            <w:tcW w:w="78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4.47</w:t>
            </w:r>
          </w:p>
        </w:tc>
        <w:tc>
          <w:tcPr>
            <w:tcW w:w="3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100</w:t>
            </w:r>
          </w:p>
        </w:tc>
      </w:tr>
      <w:tr>
        <w:trPr>
          <w:trHeight w:val="143"/>
        </w:trPr>
        <w:tc>
          <w:tcPr>
            <w:tcW w:w="51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b w:val="1"/>
                <w:bCs w:val="1"/>
                <w:color w:val="auto"/>
              </w:rPr>
              <w:t>Reliability</w:t>
            </w:r>
          </w:p>
        </w:tc>
        <w:tc>
          <w:tcPr>
            <w:tcW w:w="10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90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r>
      <w:tr>
        <w:trPr>
          <w:trHeight w:val="143"/>
        </w:trPr>
        <w:tc>
          <w:tcPr>
            <w:tcW w:w="5140" w:type="dxa"/>
            <w:vAlign w:val="bottom"/>
          </w:tcPr>
          <w:p>
            <w:pPr>
              <w:ind w:left="200"/>
              <w:spacing w:after="0" w:line="143" w:lineRule="exact"/>
              <w:rPr>
                <w:sz w:val="20"/>
                <w:szCs w:val="20"/>
                <w:color w:val="auto"/>
              </w:rPr>
            </w:pPr>
            <w:r>
              <w:rPr>
                <w:rFonts w:ascii="Arial" w:cs="Arial" w:eastAsia="Arial" w:hAnsi="Arial"/>
                <w:sz w:val="13"/>
                <w:szCs w:val="13"/>
                <w:color w:val="auto"/>
              </w:rPr>
              <w:t>Blue Sky System Average Interruption Duration Index (SAIDI)</w:t>
            </w: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5.6%</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3"/>
        </w:trPr>
        <w:tc>
          <w:tcPr>
            <w:tcW w:w="5140" w:type="dxa"/>
            <w:vAlign w:val="bottom"/>
            <w:shd w:val="clear" w:color="auto" w:fill="D8E7F3"/>
          </w:tcPr>
          <w:p>
            <w:pPr>
              <w:ind w:left="340"/>
              <w:spacing w:after="0" w:line="143" w:lineRule="exact"/>
              <w:rPr>
                <w:sz w:val="20"/>
                <w:szCs w:val="20"/>
                <w:color w:val="auto"/>
              </w:rPr>
            </w:pPr>
            <w:r>
              <w:rPr>
                <w:rFonts w:ascii="Arial" w:cs="Arial" w:eastAsia="Arial" w:hAnsi="Arial"/>
                <w:sz w:val="13"/>
                <w:szCs w:val="13"/>
                <w:color w:val="auto"/>
              </w:rPr>
              <w:t>First Quarter</w:t>
            </w:r>
          </w:p>
        </w:tc>
        <w:tc>
          <w:tcPr>
            <w:tcW w:w="108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13.38</w:t>
            </w:r>
          </w:p>
        </w:tc>
        <w:tc>
          <w:tcPr>
            <w:tcW w:w="78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12.86</w:t>
            </w:r>
          </w:p>
        </w:tc>
        <w:tc>
          <w:tcPr>
            <w:tcW w:w="90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12.34</w:t>
            </w: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13.69</w:t>
            </w:r>
          </w:p>
        </w:tc>
        <w:tc>
          <w:tcPr>
            <w:tcW w:w="3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0</w:t>
            </w:r>
          </w:p>
        </w:tc>
      </w:tr>
      <w:tr>
        <w:trPr>
          <w:trHeight w:val="143"/>
        </w:trPr>
        <w:tc>
          <w:tcPr>
            <w:tcW w:w="5140" w:type="dxa"/>
            <w:vAlign w:val="bottom"/>
          </w:tcPr>
          <w:p>
            <w:pPr>
              <w:ind w:left="340"/>
              <w:spacing w:after="0" w:line="143" w:lineRule="exact"/>
              <w:rPr>
                <w:sz w:val="20"/>
                <w:szCs w:val="20"/>
                <w:color w:val="auto"/>
              </w:rPr>
            </w:pPr>
            <w:r>
              <w:rPr>
                <w:rFonts w:ascii="Arial" w:cs="Arial" w:eastAsia="Arial" w:hAnsi="Arial"/>
                <w:sz w:val="13"/>
                <w:szCs w:val="13"/>
                <w:color w:val="auto"/>
              </w:rPr>
              <w:t>Second Quarter</w:t>
            </w:r>
          </w:p>
        </w:tc>
        <w:tc>
          <w:tcPr>
            <w:tcW w:w="108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27.05</w:t>
            </w:r>
          </w:p>
        </w:tc>
        <w:tc>
          <w:tcPr>
            <w:tcW w:w="78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25.98</w:t>
            </w:r>
          </w:p>
        </w:tc>
        <w:tc>
          <w:tcPr>
            <w:tcW w:w="90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24.94</w:t>
            </w:r>
          </w:p>
        </w:tc>
        <w:tc>
          <w:tcPr>
            <w:tcW w:w="700" w:type="dxa"/>
            <w:vAlign w:val="bottom"/>
          </w:tcPr>
          <w:p>
            <w:pPr>
              <w:spacing w:after="0"/>
              <w:rPr>
                <w:sz w:val="12"/>
                <w:szCs w:val="12"/>
                <w:color w:val="auto"/>
              </w:rPr>
            </w:pPr>
          </w:p>
        </w:tc>
        <w:tc>
          <w:tcPr>
            <w:tcW w:w="78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22.13</w:t>
            </w:r>
          </w:p>
        </w:tc>
        <w:tc>
          <w:tcPr>
            <w:tcW w:w="3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150</w:t>
            </w:r>
          </w:p>
        </w:tc>
      </w:tr>
      <w:tr>
        <w:trPr>
          <w:trHeight w:val="143"/>
        </w:trPr>
        <w:tc>
          <w:tcPr>
            <w:tcW w:w="5140" w:type="dxa"/>
            <w:vAlign w:val="bottom"/>
            <w:shd w:val="clear" w:color="auto" w:fill="D8E7F3"/>
          </w:tcPr>
          <w:p>
            <w:pPr>
              <w:ind w:left="340"/>
              <w:spacing w:after="0" w:line="143" w:lineRule="exact"/>
              <w:rPr>
                <w:sz w:val="20"/>
                <w:szCs w:val="20"/>
                <w:color w:val="auto"/>
              </w:rPr>
            </w:pPr>
            <w:r>
              <w:rPr>
                <w:rFonts w:ascii="Arial" w:cs="Arial" w:eastAsia="Arial" w:hAnsi="Arial"/>
                <w:sz w:val="13"/>
                <w:szCs w:val="13"/>
                <w:color w:val="auto"/>
              </w:rPr>
              <w:t>Third Quarter</w:t>
            </w:r>
          </w:p>
        </w:tc>
        <w:tc>
          <w:tcPr>
            <w:tcW w:w="108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25.76</w:t>
            </w:r>
          </w:p>
        </w:tc>
        <w:tc>
          <w:tcPr>
            <w:tcW w:w="78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24.75</w:t>
            </w:r>
          </w:p>
        </w:tc>
        <w:tc>
          <w:tcPr>
            <w:tcW w:w="90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23.75</w:t>
            </w: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32.67</w:t>
            </w:r>
          </w:p>
        </w:tc>
        <w:tc>
          <w:tcPr>
            <w:tcW w:w="3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0</w:t>
            </w:r>
          </w:p>
        </w:tc>
      </w:tr>
      <w:tr>
        <w:trPr>
          <w:trHeight w:val="143"/>
        </w:trPr>
        <w:tc>
          <w:tcPr>
            <w:tcW w:w="5140" w:type="dxa"/>
            <w:vAlign w:val="bottom"/>
          </w:tcPr>
          <w:p>
            <w:pPr>
              <w:ind w:left="340"/>
              <w:spacing w:after="0" w:line="143" w:lineRule="exact"/>
              <w:rPr>
                <w:sz w:val="20"/>
                <w:szCs w:val="20"/>
                <w:color w:val="auto"/>
              </w:rPr>
            </w:pPr>
            <w:r>
              <w:rPr>
                <w:rFonts w:ascii="Arial" w:cs="Arial" w:eastAsia="Arial" w:hAnsi="Arial"/>
                <w:sz w:val="13"/>
                <w:szCs w:val="13"/>
                <w:color w:val="auto"/>
              </w:rPr>
              <w:t>Fourth Quarter</w:t>
            </w:r>
          </w:p>
        </w:tc>
        <w:tc>
          <w:tcPr>
            <w:tcW w:w="108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17.75</w:t>
            </w:r>
          </w:p>
        </w:tc>
        <w:tc>
          <w:tcPr>
            <w:tcW w:w="78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17.05</w:t>
            </w:r>
          </w:p>
        </w:tc>
        <w:tc>
          <w:tcPr>
            <w:tcW w:w="90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16.37</w:t>
            </w:r>
          </w:p>
        </w:tc>
        <w:tc>
          <w:tcPr>
            <w:tcW w:w="700" w:type="dxa"/>
            <w:vAlign w:val="bottom"/>
          </w:tcPr>
          <w:p>
            <w:pPr>
              <w:spacing w:after="0"/>
              <w:rPr>
                <w:sz w:val="12"/>
                <w:szCs w:val="12"/>
                <w:color w:val="auto"/>
              </w:rPr>
            </w:pPr>
          </w:p>
        </w:tc>
        <w:tc>
          <w:tcPr>
            <w:tcW w:w="78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20.49</w:t>
            </w:r>
          </w:p>
        </w:tc>
        <w:tc>
          <w:tcPr>
            <w:tcW w:w="3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0</w:t>
            </w:r>
          </w:p>
        </w:tc>
      </w:tr>
      <w:tr>
        <w:trPr>
          <w:trHeight w:val="143"/>
        </w:trPr>
        <w:tc>
          <w:tcPr>
            <w:tcW w:w="5140" w:type="dxa"/>
            <w:vAlign w:val="bottom"/>
            <w:shd w:val="clear" w:color="auto" w:fill="D8E7F3"/>
          </w:tcPr>
          <w:p>
            <w:pPr>
              <w:ind w:left="200"/>
              <w:spacing w:after="0" w:line="143" w:lineRule="exact"/>
              <w:rPr>
                <w:sz w:val="20"/>
                <w:szCs w:val="20"/>
                <w:color w:val="auto"/>
              </w:rPr>
            </w:pPr>
            <w:r>
              <w:rPr>
                <w:rFonts w:ascii="Arial" w:cs="Arial" w:eastAsia="Arial" w:hAnsi="Arial"/>
                <w:sz w:val="13"/>
                <w:szCs w:val="13"/>
                <w:color w:val="auto"/>
              </w:rPr>
              <w:t>Repeating 300% Circuits for Houston Electric Operations</w:t>
            </w:r>
          </w:p>
        </w:tc>
        <w:tc>
          <w:tcPr>
            <w:tcW w:w="108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4</w:t>
            </w:r>
          </w:p>
        </w:tc>
        <w:tc>
          <w:tcPr>
            <w:tcW w:w="78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2</w:t>
            </w:r>
          </w:p>
        </w:tc>
        <w:tc>
          <w:tcPr>
            <w:tcW w:w="90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0</w:t>
            </w:r>
          </w:p>
        </w:tc>
        <w:tc>
          <w:tcPr>
            <w:tcW w:w="7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1.9%</w:t>
            </w:r>
          </w:p>
        </w:tc>
        <w:tc>
          <w:tcPr>
            <w:tcW w:w="78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4</w:t>
            </w:r>
          </w:p>
        </w:tc>
        <w:tc>
          <w:tcPr>
            <w:tcW w:w="3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50</w:t>
            </w:r>
          </w:p>
        </w:tc>
      </w:tr>
      <w:tr>
        <w:trPr>
          <w:trHeight w:val="143"/>
        </w:trPr>
        <w:tc>
          <w:tcPr>
            <w:tcW w:w="51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Vectren — Ohio and Indiana</w:t>
            </w: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3"/>
        </w:trPr>
        <w:tc>
          <w:tcPr>
            <w:tcW w:w="5140" w:type="dxa"/>
            <w:vAlign w:val="bottom"/>
            <w:shd w:val="clear" w:color="auto" w:fill="D8E7F3"/>
          </w:tcPr>
          <w:p>
            <w:pPr>
              <w:ind w:left="200"/>
              <w:spacing w:after="0" w:line="143" w:lineRule="exact"/>
              <w:rPr>
                <w:sz w:val="20"/>
                <w:szCs w:val="20"/>
                <w:color w:val="auto"/>
              </w:rPr>
            </w:pPr>
            <w:r>
              <w:rPr>
                <w:rFonts w:ascii="Arial" w:cs="Arial" w:eastAsia="Arial" w:hAnsi="Arial"/>
                <w:sz w:val="13"/>
                <w:szCs w:val="13"/>
                <w:color w:val="auto"/>
              </w:rPr>
              <w:t>Perception Surveys</w:t>
            </w:r>
          </w:p>
        </w:tc>
        <w:tc>
          <w:tcPr>
            <w:tcW w:w="1080" w:type="dxa"/>
            <w:vAlign w:val="bottom"/>
            <w:shd w:val="clear" w:color="auto" w:fill="D8E7F3"/>
          </w:tcPr>
          <w:p>
            <w:pPr>
              <w:jc w:val="right"/>
              <w:ind w:right="117"/>
              <w:spacing w:after="0" w:line="143" w:lineRule="exact"/>
              <w:rPr>
                <w:sz w:val="20"/>
                <w:szCs w:val="20"/>
                <w:color w:val="auto"/>
              </w:rPr>
            </w:pPr>
            <w:r>
              <w:rPr>
                <w:rFonts w:ascii="Arial" w:cs="Arial" w:eastAsia="Arial" w:hAnsi="Arial"/>
                <w:sz w:val="13"/>
                <w:szCs w:val="13"/>
                <w:color w:val="auto"/>
              </w:rPr>
              <w:t>70.3%</w:t>
            </w:r>
          </w:p>
        </w:tc>
        <w:tc>
          <w:tcPr>
            <w:tcW w:w="7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74.3%</w:t>
            </w:r>
          </w:p>
        </w:tc>
        <w:tc>
          <w:tcPr>
            <w:tcW w:w="90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78.3%</w:t>
            </w:r>
          </w:p>
        </w:tc>
        <w:tc>
          <w:tcPr>
            <w:tcW w:w="7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12.5%</w:t>
            </w:r>
          </w:p>
        </w:tc>
        <w:tc>
          <w:tcPr>
            <w:tcW w:w="780" w:type="dxa"/>
            <w:vAlign w:val="bottom"/>
            <w:shd w:val="clear" w:color="auto" w:fill="D8E7F3"/>
          </w:tcPr>
          <w:p>
            <w:pPr>
              <w:jc w:val="right"/>
              <w:ind w:right="157"/>
              <w:spacing w:after="0" w:line="143" w:lineRule="exact"/>
              <w:rPr>
                <w:sz w:val="20"/>
                <w:szCs w:val="20"/>
                <w:color w:val="auto"/>
              </w:rPr>
            </w:pPr>
            <w:r>
              <w:rPr>
                <w:rFonts w:ascii="Arial" w:cs="Arial" w:eastAsia="Arial" w:hAnsi="Arial"/>
                <w:sz w:val="13"/>
                <w:szCs w:val="13"/>
                <w:color w:val="auto"/>
              </w:rPr>
              <w:t>72.7%</w:t>
            </w:r>
          </w:p>
        </w:tc>
        <w:tc>
          <w:tcPr>
            <w:tcW w:w="3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80</w:t>
            </w:r>
          </w:p>
        </w:tc>
      </w:tr>
      <w:tr>
        <w:trPr>
          <w:trHeight w:val="143"/>
        </w:trPr>
        <w:tc>
          <w:tcPr>
            <w:tcW w:w="5140" w:type="dxa"/>
            <w:vAlign w:val="bottom"/>
          </w:tcPr>
          <w:p>
            <w:pPr>
              <w:ind w:left="200"/>
              <w:spacing w:after="0" w:line="143" w:lineRule="exact"/>
              <w:rPr>
                <w:sz w:val="20"/>
                <w:szCs w:val="20"/>
                <w:color w:val="auto"/>
              </w:rPr>
            </w:pPr>
            <w:r>
              <w:rPr>
                <w:rFonts w:ascii="Arial" w:cs="Arial" w:eastAsia="Arial" w:hAnsi="Arial"/>
                <w:sz w:val="13"/>
                <w:szCs w:val="13"/>
                <w:color w:val="auto"/>
              </w:rPr>
              <w:t>Contact Surveys</w:t>
            </w:r>
          </w:p>
        </w:tc>
        <w:tc>
          <w:tcPr>
            <w:tcW w:w="1080" w:type="dxa"/>
            <w:vAlign w:val="bottom"/>
          </w:tcPr>
          <w:p>
            <w:pPr>
              <w:jc w:val="right"/>
              <w:ind w:right="117"/>
              <w:spacing w:after="0" w:line="143" w:lineRule="exact"/>
              <w:rPr>
                <w:sz w:val="20"/>
                <w:szCs w:val="20"/>
                <w:color w:val="auto"/>
              </w:rPr>
            </w:pPr>
            <w:r>
              <w:rPr>
                <w:rFonts w:ascii="Arial" w:cs="Arial" w:eastAsia="Arial" w:hAnsi="Arial"/>
                <w:sz w:val="13"/>
                <w:szCs w:val="13"/>
                <w:color w:val="auto"/>
              </w:rPr>
              <w:t>75.2%</w:t>
            </w:r>
          </w:p>
        </w:tc>
        <w:tc>
          <w:tcPr>
            <w:tcW w:w="780" w:type="dxa"/>
            <w:vAlign w:val="bottom"/>
          </w:tcPr>
          <w:p>
            <w:pPr>
              <w:jc w:val="right"/>
              <w:ind w:right="97"/>
              <w:spacing w:after="0" w:line="143" w:lineRule="exact"/>
              <w:rPr>
                <w:sz w:val="20"/>
                <w:szCs w:val="20"/>
                <w:color w:val="auto"/>
              </w:rPr>
            </w:pPr>
            <w:r>
              <w:rPr>
                <w:rFonts w:ascii="Arial" w:cs="Arial" w:eastAsia="Arial" w:hAnsi="Arial"/>
                <w:sz w:val="13"/>
                <w:szCs w:val="13"/>
                <w:color w:val="auto"/>
              </w:rPr>
              <w:t>79.2%</w:t>
            </w:r>
          </w:p>
        </w:tc>
        <w:tc>
          <w:tcPr>
            <w:tcW w:w="900" w:type="dxa"/>
            <w:vAlign w:val="bottom"/>
          </w:tcPr>
          <w:p>
            <w:pPr>
              <w:jc w:val="right"/>
              <w:ind w:right="97"/>
              <w:spacing w:after="0" w:line="143" w:lineRule="exact"/>
              <w:rPr>
                <w:sz w:val="20"/>
                <w:szCs w:val="20"/>
                <w:color w:val="auto"/>
              </w:rPr>
            </w:pPr>
            <w:r>
              <w:rPr>
                <w:rFonts w:ascii="Arial" w:cs="Arial" w:eastAsia="Arial" w:hAnsi="Arial"/>
                <w:sz w:val="13"/>
                <w:szCs w:val="13"/>
                <w:color w:val="auto"/>
              </w:rPr>
              <w:t>83.2%</w:t>
            </w:r>
          </w:p>
        </w:tc>
        <w:tc>
          <w:tcPr>
            <w:tcW w:w="7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12.5%</w:t>
            </w:r>
          </w:p>
        </w:tc>
        <w:tc>
          <w:tcPr>
            <w:tcW w:w="780" w:type="dxa"/>
            <w:vAlign w:val="bottom"/>
          </w:tcPr>
          <w:p>
            <w:pPr>
              <w:jc w:val="right"/>
              <w:ind w:right="157"/>
              <w:spacing w:after="0" w:line="143" w:lineRule="exact"/>
              <w:rPr>
                <w:sz w:val="20"/>
                <w:szCs w:val="20"/>
                <w:color w:val="auto"/>
              </w:rPr>
            </w:pPr>
            <w:r>
              <w:rPr>
                <w:rFonts w:ascii="Arial" w:cs="Arial" w:eastAsia="Arial" w:hAnsi="Arial"/>
                <w:sz w:val="13"/>
                <w:szCs w:val="13"/>
                <w:color w:val="auto"/>
              </w:rPr>
              <w:t>80.1%</w:t>
            </w:r>
          </w:p>
        </w:tc>
        <w:tc>
          <w:tcPr>
            <w:tcW w:w="3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111</w:t>
            </w:r>
          </w:p>
        </w:tc>
      </w:tr>
      <w:tr>
        <w:trPr>
          <w:trHeight w:val="143"/>
        </w:trPr>
        <w:tc>
          <w:tcPr>
            <w:tcW w:w="51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b w:val="1"/>
                <w:bCs w:val="1"/>
                <w:color w:val="auto"/>
              </w:rPr>
              <w:t>Goal Achievement</w:t>
            </w:r>
          </w:p>
        </w:tc>
        <w:tc>
          <w:tcPr>
            <w:tcW w:w="108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900" w:type="dxa"/>
            <w:vAlign w:val="bottom"/>
            <w:shd w:val="clear" w:color="auto" w:fill="D8E7F3"/>
          </w:tcPr>
          <w:p>
            <w:pPr>
              <w:spacing w:after="0"/>
              <w:rPr>
                <w:sz w:val="12"/>
                <w:szCs w:val="12"/>
                <w:color w:val="auto"/>
              </w:rPr>
            </w:pPr>
          </w:p>
        </w:tc>
        <w:tc>
          <w:tcPr>
            <w:tcW w:w="700" w:type="dxa"/>
            <w:vAlign w:val="bottom"/>
            <w:shd w:val="clear" w:color="auto" w:fill="D8E7F3"/>
          </w:tcPr>
          <w:p>
            <w:pPr>
              <w:spacing w:after="0"/>
              <w:rPr>
                <w:sz w:val="12"/>
                <w:szCs w:val="12"/>
                <w:color w:val="auto"/>
              </w:rPr>
            </w:pPr>
          </w:p>
        </w:tc>
        <w:tc>
          <w:tcPr>
            <w:tcW w:w="780" w:type="dxa"/>
            <w:vAlign w:val="bottom"/>
            <w:shd w:val="clear" w:color="auto" w:fill="D8E7F3"/>
          </w:tcPr>
          <w:p>
            <w:pPr>
              <w:spacing w:after="0"/>
              <w:rPr>
                <w:sz w:val="12"/>
                <w:szCs w:val="12"/>
                <w:color w:val="auto"/>
              </w:rPr>
            </w:pPr>
          </w:p>
        </w:tc>
        <w:tc>
          <w:tcPr>
            <w:tcW w:w="3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119</w:t>
            </w:r>
          </w:p>
        </w:tc>
      </w:tr>
    </w:tbl>
    <w:p>
      <w:pPr>
        <w:spacing w:after="0" w:line="19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target level for each of CenterPoint Energy’s Gas Operations, Houston Electric and Home Service Plus business units’ surveys is based on prior year data, and the threshold and maximum levels for such surveys are based on target less 2.5% and target plus 2%, respectively. The target level for Blue Sky SAIDI is based on the 2016–2019 average of calculated Blue Sky SAIDI for Houston Electric and Indiana Electric, then weighted against the total number of customers in such service territory. The threshold and maximum levels for Blue Sky SAIDI are based on target plus 4% and target less 4%, respectively. The target level for Houston Electric’s repeating 300% circuits is based on recent historical performance, and the threshold and maximum levels are based on target plus two circuits and target less</w:t>
      </w:r>
    </w:p>
    <w:p>
      <w:pPr>
        <w:spacing w:after="0" w:line="182" w:lineRule="exact"/>
        <w:rPr>
          <w:sz w:val="20"/>
          <w:szCs w:val="20"/>
          <w:color w:val="auto"/>
        </w:rPr>
      </w:pPr>
    </w:p>
    <w:p>
      <w:pPr>
        <w:ind w:left="400" w:hanging="391"/>
        <w:spacing w:after="0"/>
        <w:tabs>
          <w:tab w:leader="none" w:pos="400" w:val="left"/>
        </w:tabs>
        <w:numPr>
          <w:ilvl w:val="0"/>
          <w:numId w:val="78"/>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68" w:name="page69"/>
    <w:bookmarkEnd w:id="6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215"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two circuits, respectively. The target level for each of Vectren’s surveys is based on the 2017–2019 average (including the addition of 1% for the perception surveys due to continuous improvement), and the threshold and maximum levels for such surveys are based on target less 4% and target plus 4%, respectively.</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“Safety Composite” goal incorporates safety achievements, excluding non-preventable vehicle collisions, according to the following weights and measures: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shd w:val="clear" w:color="auto" w:fill="0061AF"/>
          </w:tcPr>
          <w:p>
            <w:pPr>
              <w:spacing w:after="0"/>
              <w:rPr>
                <w:sz w:val="13"/>
                <w:szCs w:val="13"/>
                <w:color w:val="auto"/>
              </w:rPr>
            </w:pPr>
          </w:p>
        </w:tc>
        <w:tc>
          <w:tcPr>
            <w:tcW w:w="1020" w:type="dxa"/>
            <w:vAlign w:val="bottom"/>
            <w:shd w:val="clear" w:color="auto" w:fill="0061AF"/>
          </w:tcPr>
          <w:p>
            <w:pPr>
              <w:spacing w:after="0"/>
              <w:rPr>
                <w:sz w:val="13"/>
                <w:szCs w:val="13"/>
                <w:color w:val="auto"/>
              </w:rPr>
            </w:pPr>
          </w:p>
        </w:tc>
        <w:tc>
          <w:tcPr>
            <w:tcW w:w="680" w:type="dxa"/>
            <w:vAlign w:val="bottom"/>
            <w:shd w:val="clear" w:color="auto" w:fill="0061AF"/>
          </w:tcPr>
          <w:p>
            <w:pPr>
              <w:spacing w:after="0"/>
              <w:rPr>
                <w:sz w:val="13"/>
                <w:szCs w:val="13"/>
                <w:color w:val="auto"/>
              </w:rPr>
            </w:pPr>
          </w:p>
        </w:tc>
        <w:tc>
          <w:tcPr>
            <w:tcW w:w="880" w:type="dxa"/>
            <w:vAlign w:val="bottom"/>
            <w:shd w:val="clear" w:color="auto" w:fill="0061AF"/>
          </w:tcPr>
          <w:p>
            <w:pPr>
              <w:spacing w:after="0"/>
              <w:rPr>
                <w:sz w:val="13"/>
                <w:szCs w:val="13"/>
                <w:color w:val="auto"/>
              </w:rPr>
            </w:pPr>
          </w:p>
        </w:tc>
        <w:tc>
          <w:tcPr>
            <w:tcW w:w="740" w:type="dxa"/>
            <w:vAlign w:val="bottom"/>
            <w:shd w:val="clear" w:color="auto" w:fill="0061AF"/>
          </w:tcPr>
          <w:p>
            <w:pPr>
              <w:spacing w:after="0"/>
              <w:rPr>
                <w:sz w:val="13"/>
                <w:szCs w:val="13"/>
                <w:color w:val="auto"/>
              </w:rPr>
            </w:pPr>
          </w:p>
        </w:tc>
        <w:tc>
          <w:tcPr>
            <w:tcW w:w="740" w:type="dxa"/>
            <w:vAlign w:val="bottom"/>
            <w:shd w:val="clear" w:color="auto" w:fill="0061AF"/>
          </w:tcPr>
          <w:p>
            <w:pPr>
              <w:ind w:left="340"/>
              <w:spacing w:after="0"/>
              <w:rPr>
                <w:sz w:val="20"/>
                <w:szCs w:val="20"/>
                <w:color w:val="auto"/>
              </w:rPr>
            </w:pPr>
            <w:r>
              <w:rPr>
                <w:rFonts w:ascii="Arial" w:cs="Arial" w:eastAsia="Arial" w:hAnsi="Arial"/>
                <w:sz w:val="13"/>
                <w:szCs w:val="13"/>
                <w:b w:val="1"/>
                <w:bCs w:val="1"/>
                <w:color w:val="FFFFFF"/>
                <w:w w:val="95"/>
              </w:rPr>
              <w:t>Actual</w:t>
            </w:r>
          </w:p>
        </w:tc>
        <w:tc>
          <w:tcPr>
            <w:tcW w:w="240" w:type="dxa"/>
            <w:vAlign w:val="bottom"/>
            <w:shd w:val="clear" w:color="auto" w:fill="0061AF"/>
          </w:tcPr>
          <w:p>
            <w:pPr>
              <w:spacing w:after="0"/>
              <w:rPr>
                <w:sz w:val="13"/>
                <w:szCs w:val="13"/>
                <w:color w:val="auto"/>
              </w:rPr>
            </w:pPr>
          </w:p>
        </w:tc>
      </w:tr>
      <w:tr>
        <w:trPr>
          <w:trHeight w:val="143"/>
        </w:trPr>
        <w:tc>
          <w:tcPr>
            <w:tcW w:w="5420" w:type="dxa"/>
            <w:vAlign w:val="bottom"/>
            <w:shd w:val="clear" w:color="auto" w:fill="0061AF"/>
          </w:tcPr>
          <w:p>
            <w:pPr>
              <w:spacing w:after="0"/>
              <w:rPr>
                <w:sz w:val="12"/>
                <w:szCs w:val="12"/>
                <w:color w:val="auto"/>
              </w:rPr>
            </w:pPr>
          </w:p>
        </w:tc>
        <w:tc>
          <w:tcPr>
            <w:tcW w:w="1020" w:type="dxa"/>
            <w:vAlign w:val="bottom"/>
            <w:shd w:val="clear" w:color="auto" w:fill="0061AF"/>
          </w:tcPr>
          <w:p>
            <w:pPr>
              <w:ind w:left="260"/>
              <w:spacing w:after="0" w:line="143" w:lineRule="exact"/>
              <w:rPr>
                <w:sz w:val="20"/>
                <w:szCs w:val="20"/>
                <w:color w:val="auto"/>
              </w:rPr>
            </w:pPr>
            <w:r>
              <w:rPr>
                <w:rFonts w:ascii="Arial" w:cs="Arial" w:eastAsia="Arial" w:hAnsi="Arial"/>
                <w:sz w:val="13"/>
                <w:szCs w:val="13"/>
                <w:b w:val="1"/>
                <w:bCs w:val="1"/>
                <w:color w:val="FFFFFF"/>
              </w:rPr>
              <w:t>Threshold</w:t>
            </w:r>
          </w:p>
        </w:tc>
        <w:tc>
          <w:tcPr>
            <w:tcW w:w="680" w:type="dxa"/>
            <w:vAlign w:val="bottom"/>
            <w:shd w:val="clear" w:color="auto" w:fill="0061AF"/>
          </w:tcPr>
          <w:p>
            <w:pPr>
              <w:ind w:left="140"/>
              <w:spacing w:after="0" w:line="143" w:lineRule="exact"/>
              <w:rPr>
                <w:sz w:val="20"/>
                <w:szCs w:val="20"/>
                <w:color w:val="auto"/>
              </w:rPr>
            </w:pPr>
            <w:r>
              <w:rPr>
                <w:rFonts w:ascii="Arial" w:cs="Arial" w:eastAsia="Arial" w:hAnsi="Arial"/>
                <w:sz w:val="13"/>
                <w:szCs w:val="13"/>
                <w:b w:val="1"/>
                <w:bCs w:val="1"/>
                <w:color w:val="FFFFFF"/>
              </w:rPr>
              <w:t>Target</w:t>
            </w:r>
          </w:p>
        </w:tc>
        <w:tc>
          <w:tcPr>
            <w:tcW w:w="880" w:type="dxa"/>
            <w:vAlign w:val="bottom"/>
            <w:shd w:val="clear" w:color="auto" w:fill="0061AF"/>
          </w:tcPr>
          <w:p>
            <w:pPr>
              <w:ind w:left="120"/>
              <w:spacing w:after="0" w:line="143" w:lineRule="exact"/>
              <w:rPr>
                <w:sz w:val="20"/>
                <w:szCs w:val="20"/>
                <w:color w:val="auto"/>
              </w:rPr>
            </w:pPr>
            <w:r>
              <w:rPr>
                <w:rFonts w:ascii="Arial" w:cs="Arial" w:eastAsia="Arial" w:hAnsi="Arial"/>
                <w:sz w:val="13"/>
                <w:szCs w:val="13"/>
                <w:b w:val="1"/>
                <w:bCs w:val="1"/>
                <w:color w:val="FFFFFF"/>
              </w:rPr>
              <w:t>Maximum</w:t>
            </w:r>
          </w:p>
        </w:tc>
        <w:tc>
          <w:tcPr>
            <w:tcW w:w="740" w:type="dxa"/>
            <w:vAlign w:val="bottom"/>
            <w:shd w:val="clear" w:color="auto" w:fill="0061AF"/>
          </w:tcPr>
          <w:p>
            <w:pPr>
              <w:jc w:val="right"/>
              <w:ind w:right="77"/>
              <w:spacing w:after="0" w:line="143" w:lineRule="exact"/>
              <w:rPr>
                <w:sz w:val="20"/>
                <w:szCs w:val="20"/>
                <w:color w:val="auto"/>
              </w:rPr>
            </w:pPr>
            <w:r>
              <w:rPr>
                <w:rFonts w:ascii="Arial" w:cs="Arial" w:eastAsia="Arial" w:hAnsi="Arial"/>
                <w:sz w:val="13"/>
                <w:szCs w:val="13"/>
                <w:b w:val="1"/>
                <w:bCs w:val="1"/>
                <w:color w:val="FFFFFF"/>
              </w:rPr>
              <w:t>Weight</w:t>
            </w:r>
          </w:p>
        </w:tc>
        <w:tc>
          <w:tcPr>
            <w:tcW w:w="740" w:type="dxa"/>
            <w:vAlign w:val="bottom"/>
            <w:shd w:val="clear" w:color="auto" w:fill="0061AF"/>
          </w:tcPr>
          <w:p>
            <w:pPr>
              <w:ind w:left="280"/>
              <w:spacing w:after="0" w:line="143" w:lineRule="exact"/>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0061AF"/>
          </w:tcPr>
          <w:p>
            <w:pPr>
              <w:jc w:val="right"/>
              <w:ind w:right="17"/>
              <w:spacing w:after="0" w:line="143" w:lineRule="exact"/>
              <w:rPr>
                <w:sz w:val="20"/>
                <w:szCs w:val="20"/>
                <w:color w:val="auto"/>
              </w:rPr>
            </w:pPr>
            <w:r>
              <w:rPr>
                <w:rFonts w:ascii="Arial" w:cs="Arial" w:eastAsia="Arial" w:hAnsi="Arial"/>
                <w:sz w:val="13"/>
                <w:szCs w:val="13"/>
                <w:b w:val="1"/>
                <w:bCs w:val="1"/>
                <w:color w:val="FFFFFF"/>
              </w:rPr>
              <w:t>%</w:t>
            </w:r>
          </w:p>
        </w:tc>
      </w:tr>
      <w:tr>
        <w:trPr>
          <w:trHeight w:val="143"/>
        </w:trPr>
        <w:tc>
          <w:tcPr>
            <w:tcW w:w="5420" w:type="dxa"/>
            <w:vAlign w:val="bottom"/>
          </w:tcPr>
          <w:p>
            <w:pPr>
              <w:ind w:left="140"/>
              <w:spacing w:after="0" w:line="143" w:lineRule="exact"/>
              <w:rPr>
                <w:sz w:val="20"/>
                <w:szCs w:val="20"/>
                <w:color w:val="auto"/>
              </w:rPr>
            </w:pPr>
            <w:r>
              <w:rPr>
                <w:rFonts w:ascii="Arial" w:cs="Arial" w:eastAsia="Arial" w:hAnsi="Arial"/>
                <w:sz w:val="13"/>
                <w:szCs w:val="13"/>
                <w:color w:val="auto"/>
              </w:rPr>
              <w:t>Days Away, Restricted or Transferred (DART)</w:t>
            </w:r>
          </w:p>
        </w:tc>
        <w:tc>
          <w:tcPr>
            <w:tcW w:w="1020" w:type="dxa"/>
            <w:vAlign w:val="bottom"/>
          </w:tcPr>
          <w:p>
            <w:pPr>
              <w:ind w:left="460"/>
              <w:spacing w:after="0" w:line="143" w:lineRule="exact"/>
              <w:rPr>
                <w:sz w:val="20"/>
                <w:szCs w:val="20"/>
                <w:color w:val="auto"/>
              </w:rPr>
            </w:pPr>
            <w:r>
              <w:rPr>
                <w:rFonts w:ascii="Arial" w:cs="Arial" w:eastAsia="Arial" w:hAnsi="Arial"/>
                <w:sz w:val="13"/>
                <w:szCs w:val="13"/>
                <w:color w:val="auto"/>
              </w:rPr>
              <w:t>1.00</w:t>
            </w:r>
          </w:p>
        </w:tc>
        <w:tc>
          <w:tcPr>
            <w:tcW w:w="680" w:type="dxa"/>
            <w:vAlign w:val="bottom"/>
          </w:tcPr>
          <w:p>
            <w:pPr>
              <w:ind w:left="180"/>
              <w:spacing w:after="0" w:line="143" w:lineRule="exact"/>
              <w:rPr>
                <w:sz w:val="20"/>
                <w:szCs w:val="20"/>
                <w:color w:val="auto"/>
              </w:rPr>
            </w:pPr>
            <w:r>
              <w:rPr>
                <w:rFonts w:ascii="Arial" w:cs="Arial" w:eastAsia="Arial" w:hAnsi="Arial"/>
                <w:sz w:val="13"/>
                <w:szCs w:val="13"/>
                <w:color w:val="auto"/>
              </w:rPr>
              <w:t>0.75</w:t>
            </w:r>
          </w:p>
        </w:tc>
        <w:tc>
          <w:tcPr>
            <w:tcW w:w="880" w:type="dxa"/>
            <w:vAlign w:val="bottom"/>
          </w:tcPr>
          <w:p>
            <w:pPr>
              <w:ind w:left="320"/>
              <w:spacing w:after="0" w:line="143" w:lineRule="exact"/>
              <w:rPr>
                <w:sz w:val="20"/>
                <w:szCs w:val="20"/>
                <w:color w:val="auto"/>
              </w:rPr>
            </w:pPr>
            <w:r>
              <w:rPr>
                <w:rFonts w:ascii="Arial" w:cs="Arial" w:eastAsia="Arial" w:hAnsi="Arial"/>
                <w:sz w:val="13"/>
                <w:szCs w:val="13"/>
                <w:color w:val="auto"/>
              </w:rPr>
              <w:t>0.50</w:t>
            </w:r>
          </w:p>
        </w:tc>
        <w:tc>
          <w:tcPr>
            <w:tcW w:w="740" w:type="dxa"/>
            <w:vAlign w:val="bottom"/>
          </w:tcPr>
          <w:p>
            <w:pPr>
              <w:jc w:val="right"/>
              <w:ind w:right="97"/>
              <w:spacing w:after="0" w:line="143" w:lineRule="exact"/>
              <w:rPr>
                <w:sz w:val="20"/>
                <w:szCs w:val="20"/>
                <w:color w:val="auto"/>
              </w:rPr>
            </w:pPr>
            <w:r>
              <w:rPr>
                <w:rFonts w:ascii="Arial" w:cs="Arial" w:eastAsia="Arial" w:hAnsi="Arial"/>
                <w:sz w:val="13"/>
                <w:szCs w:val="13"/>
                <w:color w:val="auto"/>
              </w:rPr>
              <w:t>30%</w:t>
            </w:r>
          </w:p>
        </w:tc>
        <w:tc>
          <w:tcPr>
            <w:tcW w:w="740" w:type="dxa"/>
            <w:vAlign w:val="bottom"/>
          </w:tcPr>
          <w:p>
            <w:pPr>
              <w:ind w:left="160"/>
              <w:spacing w:after="0" w:line="143" w:lineRule="exact"/>
              <w:rPr>
                <w:sz w:val="20"/>
                <w:szCs w:val="20"/>
                <w:color w:val="auto"/>
              </w:rPr>
            </w:pPr>
            <w:r>
              <w:rPr>
                <w:rFonts w:ascii="Arial" w:cs="Arial" w:eastAsia="Arial" w:hAnsi="Arial"/>
                <w:sz w:val="13"/>
                <w:szCs w:val="13"/>
                <w:color w:val="auto"/>
              </w:rPr>
              <w:t>0.98</w:t>
            </w: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54</w:t>
            </w:r>
          </w:p>
        </w:tc>
      </w:tr>
      <w:tr>
        <w:trPr>
          <w:trHeight w:val="143"/>
        </w:trPr>
        <w:tc>
          <w:tcPr>
            <w:tcW w:w="5420" w:type="dxa"/>
            <w:vAlign w:val="bottom"/>
            <w:shd w:val="clear" w:color="auto" w:fill="D8E7F3"/>
          </w:tcPr>
          <w:p>
            <w:pPr>
              <w:ind w:left="140"/>
              <w:spacing w:after="0" w:line="143" w:lineRule="exact"/>
              <w:rPr>
                <w:sz w:val="20"/>
                <w:szCs w:val="20"/>
                <w:color w:val="auto"/>
              </w:rPr>
            </w:pPr>
            <w:r>
              <w:rPr>
                <w:rFonts w:ascii="Arial" w:cs="Arial" w:eastAsia="Arial" w:hAnsi="Arial"/>
                <w:sz w:val="13"/>
                <w:szCs w:val="13"/>
                <w:color w:val="auto"/>
              </w:rPr>
              <w:t>Leadership Safety Engagement Rate</w:t>
            </w:r>
          </w:p>
        </w:tc>
        <w:tc>
          <w:tcPr>
            <w:tcW w:w="1020" w:type="dxa"/>
            <w:vAlign w:val="bottom"/>
            <w:shd w:val="clear" w:color="auto" w:fill="D8E7F3"/>
          </w:tcPr>
          <w:p>
            <w:pPr>
              <w:ind w:left="460"/>
              <w:spacing w:after="0" w:line="143" w:lineRule="exact"/>
              <w:rPr>
                <w:sz w:val="20"/>
                <w:szCs w:val="20"/>
                <w:color w:val="auto"/>
              </w:rPr>
            </w:pPr>
            <w:r>
              <w:rPr>
                <w:rFonts w:ascii="Arial" w:cs="Arial" w:eastAsia="Arial" w:hAnsi="Arial"/>
                <w:sz w:val="13"/>
                <w:szCs w:val="13"/>
                <w:color w:val="auto"/>
              </w:rPr>
              <w:t>61.2%</w:t>
            </w:r>
          </w:p>
        </w:tc>
        <w:tc>
          <w:tcPr>
            <w:tcW w:w="680" w:type="dxa"/>
            <w:vAlign w:val="bottom"/>
            <w:shd w:val="clear" w:color="auto" w:fill="D8E7F3"/>
          </w:tcPr>
          <w:p>
            <w:pPr>
              <w:ind w:left="180"/>
              <w:spacing w:after="0" w:line="143" w:lineRule="exact"/>
              <w:rPr>
                <w:sz w:val="20"/>
                <w:szCs w:val="20"/>
                <w:color w:val="auto"/>
              </w:rPr>
            </w:pPr>
            <w:r>
              <w:rPr>
                <w:rFonts w:ascii="Arial" w:cs="Arial" w:eastAsia="Arial" w:hAnsi="Arial"/>
                <w:sz w:val="13"/>
                <w:szCs w:val="13"/>
                <w:color w:val="auto"/>
              </w:rPr>
              <w:t>67.3%</w:t>
            </w:r>
          </w:p>
        </w:tc>
        <w:tc>
          <w:tcPr>
            <w:tcW w:w="880" w:type="dxa"/>
            <w:vAlign w:val="bottom"/>
            <w:shd w:val="clear" w:color="auto" w:fill="D8E7F3"/>
          </w:tcPr>
          <w:p>
            <w:pPr>
              <w:ind w:left="320"/>
              <w:spacing w:after="0" w:line="143" w:lineRule="exact"/>
              <w:rPr>
                <w:sz w:val="20"/>
                <w:szCs w:val="20"/>
                <w:color w:val="auto"/>
              </w:rPr>
            </w:pPr>
            <w:r>
              <w:rPr>
                <w:rFonts w:ascii="Arial" w:cs="Arial" w:eastAsia="Arial" w:hAnsi="Arial"/>
                <w:sz w:val="13"/>
                <w:szCs w:val="13"/>
                <w:color w:val="auto"/>
              </w:rPr>
              <w:t>73.4%</w:t>
            </w:r>
          </w:p>
        </w:tc>
        <w:tc>
          <w:tcPr>
            <w:tcW w:w="74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30%</w:t>
            </w:r>
          </w:p>
        </w:tc>
        <w:tc>
          <w:tcPr>
            <w:tcW w:w="740" w:type="dxa"/>
            <w:vAlign w:val="bottom"/>
            <w:shd w:val="clear" w:color="auto" w:fill="D8E7F3"/>
          </w:tcPr>
          <w:p>
            <w:pPr>
              <w:ind w:left="160"/>
              <w:spacing w:after="0" w:line="143" w:lineRule="exact"/>
              <w:rPr>
                <w:sz w:val="20"/>
                <w:szCs w:val="20"/>
                <w:color w:val="auto"/>
              </w:rPr>
            </w:pPr>
            <w:r>
              <w:rPr>
                <w:rFonts w:ascii="Arial" w:cs="Arial" w:eastAsia="Arial" w:hAnsi="Arial"/>
                <w:sz w:val="13"/>
                <w:szCs w:val="13"/>
                <w:color w:val="auto"/>
              </w:rPr>
              <w:t>67.9%</w:t>
            </w:r>
          </w:p>
        </w:tc>
        <w:tc>
          <w:tcPr>
            <w:tcW w:w="2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105</w:t>
            </w:r>
          </w:p>
        </w:tc>
      </w:tr>
      <w:tr>
        <w:trPr>
          <w:trHeight w:val="143"/>
        </w:trPr>
        <w:tc>
          <w:tcPr>
            <w:tcW w:w="5420" w:type="dxa"/>
            <w:vAlign w:val="bottom"/>
          </w:tcPr>
          <w:p>
            <w:pPr>
              <w:ind w:left="140"/>
              <w:spacing w:after="0" w:line="143" w:lineRule="exact"/>
              <w:rPr>
                <w:sz w:val="20"/>
                <w:szCs w:val="20"/>
                <w:color w:val="auto"/>
              </w:rPr>
            </w:pPr>
            <w:r>
              <w:rPr>
                <w:rFonts w:ascii="Arial" w:cs="Arial" w:eastAsia="Arial" w:hAnsi="Arial"/>
                <w:sz w:val="13"/>
                <w:szCs w:val="13"/>
                <w:color w:val="auto"/>
              </w:rPr>
              <w:t>Preventable Vehicle Incident Rate</w:t>
            </w:r>
          </w:p>
        </w:tc>
        <w:tc>
          <w:tcPr>
            <w:tcW w:w="1020" w:type="dxa"/>
            <w:vAlign w:val="bottom"/>
          </w:tcPr>
          <w:p>
            <w:pPr>
              <w:ind w:left="460"/>
              <w:spacing w:after="0" w:line="143" w:lineRule="exact"/>
              <w:rPr>
                <w:sz w:val="20"/>
                <w:szCs w:val="20"/>
                <w:color w:val="auto"/>
              </w:rPr>
            </w:pPr>
            <w:r>
              <w:rPr>
                <w:rFonts w:ascii="Arial" w:cs="Arial" w:eastAsia="Arial" w:hAnsi="Arial"/>
                <w:sz w:val="13"/>
                <w:szCs w:val="13"/>
                <w:color w:val="auto"/>
              </w:rPr>
              <w:t>1.90</w:t>
            </w:r>
          </w:p>
        </w:tc>
        <w:tc>
          <w:tcPr>
            <w:tcW w:w="680" w:type="dxa"/>
            <w:vAlign w:val="bottom"/>
          </w:tcPr>
          <w:p>
            <w:pPr>
              <w:ind w:left="180"/>
              <w:spacing w:after="0" w:line="143" w:lineRule="exact"/>
              <w:rPr>
                <w:sz w:val="20"/>
                <w:szCs w:val="20"/>
                <w:color w:val="auto"/>
              </w:rPr>
            </w:pPr>
            <w:r>
              <w:rPr>
                <w:rFonts w:ascii="Arial" w:cs="Arial" w:eastAsia="Arial" w:hAnsi="Arial"/>
                <w:sz w:val="13"/>
                <w:szCs w:val="13"/>
                <w:color w:val="auto"/>
              </w:rPr>
              <w:t>1.81</w:t>
            </w:r>
          </w:p>
        </w:tc>
        <w:tc>
          <w:tcPr>
            <w:tcW w:w="880" w:type="dxa"/>
            <w:vAlign w:val="bottom"/>
          </w:tcPr>
          <w:p>
            <w:pPr>
              <w:ind w:left="320"/>
              <w:spacing w:after="0" w:line="143" w:lineRule="exact"/>
              <w:rPr>
                <w:sz w:val="20"/>
                <w:szCs w:val="20"/>
                <w:color w:val="auto"/>
              </w:rPr>
            </w:pPr>
            <w:r>
              <w:rPr>
                <w:rFonts w:ascii="Arial" w:cs="Arial" w:eastAsia="Arial" w:hAnsi="Arial"/>
                <w:sz w:val="13"/>
                <w:szCs w:val="13"/>
                <w:color w:val="auto"/>
              </w:rPr>
              <w:t>1.71</w:t>
            </w:r>
          </w:p>
        </w:tc>
        <w:tc>
          <w:tcPr>
            <w:tcW w:w="740" w:type="dxa"/>
            <w:vAlign w:val="bottom"/>
          </w:tcPr>
          <w:p>
            <w:pPr>
              <w:jc w:val="right"/>
              <w:ind w:right="97"/>
              <w:spacing w:after="0" w:line="143" w:lineRule="exact"/>
              <w:rPr>
                <w:sz w:val="20"/>
                <w:szCs w:val="20"/>
                <w:color w:val="auto"/>
              </w:rPr>
            </w:pPr>
            <w:r>
              <w:rPr>
                <w:rFonts w:ascii="Arial" w:cs="Arial" w:eastAsia="Arial" w:hAnsi="Arial"/>
                <w:sz w:val="13"/>
                <w:szCs w:val="13"/>
                <w:color w:val="auto"/>
              </w:rPr>
              <w:t>40%</w:t>
            </w:r>
          </w:p>
        </w:tc>
        <w:tc>
          <w:tcPr>
            <w:tcW w:w="740" w:type="dxa"/>
            <w:vAlign w:val="bottom"/>
          </w:tcPr>
          <w:p>
            <w:pPr>
              <w:ind w:left="160"/>
              <w:spacing w:after="0" w:line="143" w:lineRule="exact"/>
              <w:rPr>
                <w:sz w:val="20"/>
                <w:szCs w:val="20"/>
                <w:color w:val="auto"/>
              </w:rPr>
            </w:pPr>
            <w:r>
              <w:rPr>
                <w:rFonts w:ascii="Arial" w:cs="Arial" w:eastAsia="Arial" w:hAnsi="Arial"/>
                <w:sz w:val="13"/>
                <w:szCs w:val="13"/>
                <w:color w:val="auto"/>
              </w:rPr>
              <w:t>2.11</w:t>
            </w: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0</w:t>
            </w:r>
          </w:p>
        </w:tc>
      </w:tr>
      <w:tr>
        <w:trPr>
          <w:trHeight w:val="143"/>
        </w:trPr>
        <w:tc>
          <w:tcPr>
            <w:tcW w:w="542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b w:val="1"/>
                <w:bCs w:val="1"/>
                <w:color w:val="auto"/>
              </w:rPr>
              <w:t>Goal Achievement</w:t>
            </w:r>
            <w:r>
              <w:rPr>
                <w:rFonts w:ascii="Arial" w:cs="Arial" w:eastAsia="Arial" w:hAnsi="Arial"/>
                <w:sz w:val="16"/>
                <w:szCs w:val="16"/>
                <w:color w:val="auto"/>
                <w:vertAlign w:val="superscript"/>
              </w:rPr>
              <w:t>(1)</w:t>
            </w:r>
          </w:p>
        </w:tc>
        <w:tc>
          <w:tcPr>
            <w:tcW w:w="1020" w:type="dxa"/>
            <w:vAlign w:val="bottom"/>
            <w:shd w:val="clear" w:color="auto" w:fill="D8E7F3"/>
          </w:tcPr>
          <w:p>
            <w:pPr>
              <w:spacing w:after="0"/>
              <w:rPr>
                <w:sz w:val="12"/>
                <w:szCs w:val="12"/>
                <w:color w:val="auto"/>
              </w:rPr>
            </w:pPr>
          </w:p>
        </w:tc>
        <w:tc>
          <w:tcPr>
            <w:tcW w:w="680" w:type="dxa"/>
            <w:vAlign w:val="bottom"/>
            <w:shd w:val="clear" w:color="auto" w:fill="D8E7F3"/>
          </w:tcPr>
          <w:p>
            <w:pPr>
              <w:spacing w:after="0"/>
              <w:rPr>
                <w:sz w:val="12"/>
                <w:szCs w:val="12"/>
                <w:color w:val="auto"/>
              </w:rPr>
            </w:pPr>
          </w:p>
        </w:tc>
        <w:tc>
          <w:tcPr>
            <w:tcW w:w="88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740" w:type="dxa"/>
            <w:vAlign w:val="bottom"/>
            <w:shd w:val="clear" w:color="auto" w:fill="D8E7F3"/>
          </w:tcPr>
          <w:p>
            <w:pPr>
              <w:spacing w:after="0"/>
              <w:rPr>
                <w:sz w:val="12"/>
                <w:szCs w:val="12"/>
                <w:color w:val="auto"/>
              </w:rPr>
            </w:pPr>
          </w:p>
        </w:tc>
        <w:tc>
          <w:tcPr>
            <w:tcW w:w="2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24</w:t>
            </w:r>
          </w:p>
        </w:tc>
      </w:tr>
    </w:tbl>
    <w:p>
      <w:pPr>
        <w:spacing w:after="0" w:line="111" w:lineRule="exact"/>
        <w:rPr>
          <w:sz w:val="20"/>
          <w:szCs w:val="20"/>
          <w:color w:val="auto"/>
        </w:rPr>
      </w:pPr>
    </w:p>
    <w:p>
      <w:pPr>
        <w:ind w:left="300" w:right="20" w:hanging="291"/>
        <w:spacing w:after="0" w:line="237" w:lineRule="auto"/>
        <w:tabs>
          <w:tab w:leader="none" w:pos="3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As a result of a serious work-related incident, the Compensation Committee exercised its discretion to reduce the Safety Composite payouts by 50%. Without the exercise of discretion, the safety composite performance goal achievement would have been 48%.</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target level for the Days Away, Restricted or Transferred metric is based on recent historical performance, and the threshold and maximum levels are based on target plus 25% and target less 25%, respectively. The threshold level for the Leadership Safety Engagement Rate is based on recent historical performance, and the target and maximum levels are based on threshold plus 10% and threshold plus 20%, respectively. The threshold level for the Preventable Vehicle Incident Rate is based on the 2017–2019 average, and the target and maximum levels are based on threshold less 5% and threshold less 10%,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Equity Incentive Plan Awards –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Three-Year Utility Net Income</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For awards granted in February 2018, the performance share unit award vests based on our achievement of a three-year cumulative utility net income goal. For the three-year performance cycle ending on December 31, 2020, the cumulative utility net income performance goal reflects 6% annual growth for each of 2019 and 2020 relative to the 2018 utility net income target from our approved five-year financial plan.</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Thirty percent of long-term compensation is based on this metric. If performance for the goal meets or exceeds the threshold level, the Committee may approve a payout of 50% to 200% of the number of the target performance share units awarded. Reported consolidated net income pursuant to GAAP will be adjusted for the following:</w:t>
      </w:r>
    </w:p>
    <w:p>
      <w:pPr>
        <w:spacing w:after="0" w:line="98" w:lineRule="exact"/>
        <w:rPr>
          <w:sz w:val="20"/>
          <w:szCs w:val="20"/>
          <w:color w:val="auto"/>
        </w:rPr>
      </w:pPr>
    </w:p>
    <w:p>
      <w:pPr>
        <w:ind w:left="380" w:hanging="276"/>
        <w:spacing w:after="0"/>
        <w:tabs>
          <w:tab w:leader="none" w:pos="380" w:val="left"/>
        </w:tabs>
        <w:numPr>
          <w:ilvl w:val="0"/>
          <w:numId w:val="80"/>
        </w:numPr>
        <w:rPr>
          <w:rFonts w:ascii="Arial" w:cs="Arial" w:eastAsia="Arial" w:hAnsi="Arial"/>
          <w:sz w:val="16"/>
          <w:szCs w:val="16"/>
          <w:color w:val="0061AF"/>
        </w:rPr>
      </w:pPr>
      <w:r>
        <w:rPr>
          <w:rFonts w:ascii="Arial" w:cs="Arial" w:eastAsia="Arial" w:hAnsi="Arial"/>
          <w:sz w:val="16"/>
          <w:szCs w:val="16"/>
          <w:color w:val="auto"/>
        </w:rPr>
        <w:t>net income from our midstream investments business segment;</w:t>
      </w:r>
    </w:p>
    <w:p>
      <w:pPr>
        <w:spacing w:after="0" w:line="101" w:lineRule="exact"/>
        <w:rPr>
          <w:rFonts w:ascii="Arial" w:cs="Arial" w:eastAsia="Arial" w:hAnsi="Arial"/>
          <w:sz w:val="16"/>
          <w:szCs w:val="16"/>
          <w:color w:val="0061AF"/>
        </w:rPr>
      </w:pPr>
    </w:p>
    <w:p>
      <w:pPr>
        <w:ind w:left="380" w:right="20" w:hanging="276"/>
        <w:spacing w:after="0"/>
        <w:tabs>
          <w:tab w:leader="none" w:pos="380" w:val="left"/>
        </w:tabs>
        <w:numPr>
          <w:ilvl w:val="0"/>
          <w:numId w:val="80"/>
        </w:numPr>
        <w:rPr>
          <w:rFonts w:ascii="Arial" w:cs="Arial" w:eastAsia="Arial" w:hAnsi="Arial"/>
          <w:sz w:val="16"/>
          <w:szCs w:val="16"/>
          <w:color w:val="0061AF"/>
        </w:rPr>
      </w:pPr>
      <w:r>
        <w:rPr>
          <w:rFonts w:ascii="Arial" w:cs="Arial" w:eastAsia="Arial" w:hAnsi="Arial"/>
          <w:sz w:val="16"/>
          <w:szCs w:val="16"/>
          <w:color w:val="auto"/>
        </w:rPr>
        <w:t>the financial impacts of any changes in accounting standards, the unplanned change in application of accounting standards, and impairments of goodwill;</w:t>
      </w:r>
    </w:p>
    <w:p>
      <w:pPr>
        <w:spacing w:after="0" w:line="96" w:lineRule="exact"/>
        <w:rPr>
          <w:rFonts w:ascii="Arial" w:cs="Arial" w:eastAsia="Arial" w:hAnsi="Arial"/>
          <w:sz w:val="16"/>
          <w:szCs w:val="16"/>
          <w:color w:val="0061AF"/>
        </w:rPr>
      </w:pPr>
    </w:p>
    <w:p>
      <w:pPr>
        <w:ind w:left="380" w:hanging="276"/>
        <w:spacing w:after="0"/>
        <w:tabs>
          <w:tab w:leader="none" w:pos="380" w:val="left"/>
        </w:tabs>
        <w:numPr>
          <w:ilvl w:val="0"/>
          <w:numId w:val="80"/>
        </w:numPr>
        <w:rPr>
          <w:rFonts w:ascii="Arial" w:cs="Arial" w:eastAsia="Arial" w:hAnsi="Arial"/>
          <w:sz w:val="16"/>
          <w:szCs w:val="16"/>
          <w:color w:val="0061AF"/>
        </w:rPr>
      </w:pPr>
      <w:r>
        <w:rPr>
          <w:rFonts w:ascii="Arial" w:cs="Arial" w:eastAsia="Arial" w:hAnsi="Arial"/>
          <w:sz w:val="16"/>
          <w:szCs w:val="16"/>
          <w:color w:val="auto"/>
        </w:rPr>
        <w:t>any impact to income from the change in the value of the ZENS-related securities and the effects of mergers, acquisitions and divestitures on those securities;</w:t>
      </w:r>
    </w:p>
    <w:p>
      <w:pPr>
        <w:spacing w:after="0" w:line="96" w:lineRule="exact"/>
        <w:rPr>
          <w:rFonts w:ascii="Arial" w:cs="Arial" w:eastAsia="Arial" w:hAnsi="Arial"/>
          <w:sz w:val="16"/>
          <w:szCs w:val="16"/>
          <w:color w:val="0061AF"/>
        </w:rPr>
      </w:pPr>
    </w:p>
    <w:p>
      <w:pPr>
        <w:ind w:left="380" w:hanging="276"/>
        <w:spacing w:after="0"/>
        <w:tabs>
          <w:tab w:leader="none" w:pos="380" w:val="left"/>
        </w:tabs>
        <w:numPr>
          <w:ilvl w:val="0"/>
          <w:numId w:val="80"/>
        </w:numPr>
        <w:rPr>
          <w:rFonts w:ascii="Arial" w:cs="Arial" w:eastAsia="Arial" w:hAnsi="Arial"/>
          <w:sz w:val="16"/>
          <w:szCs w:val="16"/>
          <w:color w:val="0061AF"/>
        </w:rPr>
      </w:pPr>
      <w:r>
        <w:rPr>
          <w:rFonts w:ascii="Arial" w:cs="Arial" w:eastAsia="Arial" w:hAnsi="Arial"/>
          <w:sz w:val="16"/>
          <w:szCs w:val="16"/>
          <w:color w:val="auto"/>
        </w:rPr>
        <w:t>any mark-to-market accounting entries and net natural gas inventory adjustments not reflected in the plan; and</w:t>
      </w:r>
    </w:p>
    <w:p>
      <w:pPr>
        <w:spacing w:after="0" w:line="101" w:lineRule="exact"/>
        <w:rPr>
          <w:rFonts w:ascii="Arial" w:cs="Arial" w:eastAsia="Arial" w:hAnsi="Arial"/>
          <w:sz w:val="16"/>
          <w:szCs w:val="16"/>
          <w:color w:val="0061AF"/>
        </w:rPr>
      </w:pPr>
    </w:p>
    <w:p>
      <w:pPr>
        <w:jc w:val="both"/>
        <w:ind w:left="380" w:hanging="276"/>
        <w:spacing w:after="0" w:line="235" w:lineRule="auto"/>
        <w:tabs>
          <w:tab w:leader="none" w:pos="380" w:val="left"/>
        </w:tabs>
        <w:numPr>
          <w:ilvl w:val="0"/>
          <w:numId w:val="80"/>
        </w:numPr>
        <w:rPr>
          <w:rFonts w:ascii="Arial" w:cs="Arial" w:eastAsia="Arial" w:hAnsi="Arial"/>
          <w:sz w:val="16"/>
          <w:szCs w:val="16"/>
          <w:color w:val="0061AF"/>
        </w:rPr>
      </w:pPr>
      <w:r>
        <w:rPr>
          <w:rFonts w:ascii="Arial" w:cs="Arial" w:eastAsia="Arial" w:hAnsi="Arial"/>
          <w:sz w:val="16"/>
          <w:szCs w:val="16"/>
          <w:color w:val="auto"/>
        </w:rPr>
        <w:t>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benefit retirement plan settlement expenses triggered by lump sum distribution; costs associated with the early retirement of long-term debt; adoption of the FASB-issued ASU No. 2017-07 Compensation – Retirement Benefits; gains/losses or expenses required by GAAP for mergers and acquisitions; or other unplanned items that receive written approval from the Chief Executive Officer or Executive Committee.</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69" w:name="page70"/>
    <w:bookmarkEnd w:id="6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Information Regarding Our Equity Incentive Plan Awards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outstanding performance share unit awards and stock awards (other than the sign-on awards granted to Messrs. Lesar, Wells and Knight) provide that “retirement eligible” participants (age 55 or greater with at least five years of service or, for Mr. Lesar, at least three years of service) who terminate employment will receive a payment under the award, if any, based on the actual achievement of the applicable performance objective at the end of the performance period or vesting period, if applicable, with any such amount pro-rated for the period of their employment during the performance or vesting period, as applicable. Upon termination for cause, no benefits are payable under the award agreements.</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Further, for the awards made beginning in February 2018 (other than the sign-on awards granted to Messrs. Lesar, Wells and Knight), subject to Compensation Committee approval for certain of our officers, including our named executive officers, a “retirement eligible” participant will vest in amounts that would otherwise be forfeited upon retirement (the “Enhanced Retirement”) due to the proration described above if:</w:t>
      </w:r>
    </w:p>
    <w:p>
      <w:pPr>
        <w:spacing w:after="0" w:line="97" w:lineRule="exact"/>
        <w:rPr>
          <w:sz w:val="20"/>
          <w:szCs w:val="20"/>
          <w:color w:val="auto"/>
        </w:rPr>
      </w:pPr>
    </w:p>
    <w:p>
      <w:pPr>
        <w:ind w:left="380" w:hanging="276"/>
        <w:spacing w:after="0"/>
        <w:tabs>
          <w:tab w:leader="none" w:pos="380" w:val="left"/>
        </w:tabs>
        <w:numPr>
          <w:ilvl w:val="0"/>
          <w:numId w:val="81"/>
        </w:numPr>
        <w:rPr>
          <w:rFonts w:ascii="Arial" w:cs="Arial" w:eastAsia="Arial" w:hAnsi="Arial"/>
          <w:sz w:val="16"/>
          <w:szCs w:val="16"/>
          <w:color w:val="0061AF"/>
        </w:rPr>
      </w:pPr>
      <w:r>
        <w:rPr>
          <w:rFonts w:ascii="Arial" w:cs="Arial" w:eastAsia="Arial" w:hAnsi="Arial"/>
          <w:sz w:val="16"/>
          <w:szCs w:val="16"/>
          <w:color w:val="auto"/>
        </w:rPr>
        <w:t>the award was granted prior to the year of termination of employment;</w:t>
      </w:r>
    </w:p>
    <w:p>
      <w:pPr>
        <w:spacing w:after="0" w:line="101" w:lineRule="exact"/>
        <w:rPr>
          <w:rFonts w:ascii="Arial" w:cs="Arial" w:eastAsia="Arial" w:hAnsi="Arial"/>
          <w:sz w:val="16"/>
          <w:szCs w:val="16"/>
          <w:color w:val="0061AF"/>
        </w:rPr>
      </w:pPr>
    </w:p>
    <w:p>
      <w:pPr>
        <w:ind w:left="380" w:hanging="276"/>
        <w:spacing w:after="0"/>
        <w:tabs>
          <w:tab w:leader="none" w:pos="380" w:val="left"/>
        </w:tabs>
        <w:numPr>
          <w:ilvl w:val="0"/>
          <w:numId w:val="81"/>
        </w:numPr>
        <w:rPr>
          <w:rFonts w:ascii="Arial" w:cs="Arial" w:eastAsia="Arial" w:hAnsi="Arial"/>
          <w:sz w:val="16"/>
          <w:szCs w:val="16"/>
          <w:color w:val="0061AF"/>
        </w:rPr>
      </w:pPr>
      <w:r>
        <w:rPr>
          <w:rFonts w:ascii="Arial" w:cs="Arial" w:eastAsia="Arial" w:hAnsi="Arial"/>
          <w:sz w:val="16"/>
          <w:szCs w:val="16"/>
          <w:color w:val="auto"/>
        </w:rPr>
        <w:t>the sum of the retirement eligible participant’s service and age is 65 or greater;</w:t>
      </w:r>
    </w:p>
    <w:p>
      <w:pPr>
        <w:spacing w:after="0" w:line="101" w:lineRule="exact"/>
        <w:rPr>
          <w:rFonts w:ascii="Arial" w:cs="Arial" w:eastAsia="Arial" w:hAnsi="Arial"/>
          <w:sz w:val="16"/>
          <w:szCs w:val="16"/>
          <w:color w:val="0061AF"/>
        </w:rPr>
      </w:pPr>
    </w:p>
    <w:p>
      <w:pPr>
        <w:ind w:left="380" w:hanging="276"/>
        <w:spacing w:after="0"/>
        <w:tabs>
          <w:tab w:leader="none" w:pos="380" w:val="left"/>
        </w:tabs>
        <w:numPr>
          <w:ilvl w:val="0"/>
          <w:numId w:val="81"/>
        </w:numPr>
        <w:rPr>
          <w:rFonts w:ascii="Arial" w:cs="Arial" w:eastAsia="Arial" w:hAnsi="Arial"/>
          <w:sz w:val="16"/>
          <w:szCs w:val="16"/>
          <w:color w:val="0061AF"/>
        </w:rPr>
      </w:pPr>
      <w:r>
        <w:rPr>
          <w:rFonts w:ascii="Arial" w:cs="Arial" w:eastAsia="Arial" w:hAnsi="Arial"/>
          <w:sz w:val="16"/>
          <w:szCs w:val="16"/>
          <w:color w:val="auto"/>
        </w:rPr>
        <w:t>the retirement eligible participant provides at least six months’ written notice of his or her retirement; and</w:t>
      </w:r>
    </w:p>
    <w:p>
      <w:pPr>
        <w:spacing w:after="0" w:line="101" w:lineRule="exact"/>
        <w:rPr>
          <w:rFonts w:ascii="Arial" w:cs="Arial" w:eastAsia="Arial" w:hAnsi="Arial"/>
          <w:sz w:val="16"/>
          <w:szCs w:val="16"/>
          <w:color w:val="0061AF"/>
        </w:rPr>
      </w:pPr>
    </w:p>
    <w:p>
      <w:pPr>
        <w:ind w:left="380" w:hanging="276"/>
        <w:spacing w:after="0"/>
        <w:tabs>
          <w:tab w:leader="none" w:pos="380" w:val="left"/>
        </w:tabs>
        <w:numPr>
          <w:ilvl w:val="0"/>
          <w:numId w:val="81"/>
        </w:numPr>
        <w:rPr>
          <w:rFonts w:ascii="Arial" w:cs="Arial" w:eastAsia="Arial" w:hAnsi="Arial"/>
          <w:sz w:val="16"/>
          <w:szCs w:val="16"/>
          <w:color w:val="0061AF"/>
        </w:rPr>
      </w:pPr>
      <w:r>
        <w:rPr>
          <w:rFonts w:ascii="Arial" w:cs="Arial" w:eastAsia="Arial" w:hAnsi="Arial"/>
          <w:sz w:val="16"/>
          <w:szCs w:val="16"/>
          <w:color w:val="auto"/>
        </w:rPr>
        <w:t>the retirement eligible participant submits a transition plan.</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such vesting for our named executive officers will be at the sole discretion of the Compensation Committee. With respect to awards made beginning in February 2020, to be eligible for Enhanced Retirement, certain officers, including our named executive officers, must provide reasonable advanced written notice of his or her retirement (as determined by the Compensation Committee) in place of at least six months’ written notice, in addition to satisfying the other requirements identified above for long-term awards made beginning in February 2018. Moreover, the Compensation Committee may elect to approve the Enhanced Retirement eligibility for any named executive officer who does not otherwise meet one or more of the provisions described above if it is determined to be in the best interests of the Company. The Compensation Committee adopted the Enhanced Retirement provisions to reinforce the Company’s overall compensation philosophy by further supporting its strategic workforce planning, increasing employee engagement and encouraging the development of robust succession and transition plans to effect a smooth transition and retirement from the organization and provides an opportunity for executives to become eligible for compensation that was previously awarded and was designated as total compensation, but was partially forfeited upon retirement.</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Awards made beginning in February 2018 also include restrictive covenants that are beneficial to the Company by requiring forfeiture of unpaid awards and return of paid awards upon breach of confidentiality, non-solicitation and non-competition obligations. The awards (other than the sign-on awards granted to Messrs. Lesar, Wells and Knight) also provide for full vesting upon the participant’s death or termination of employment due to disability (as defined under our long-term disability plan). For performance share units, such vesting is at the target level of achievement. Awards prior to February 2018 provided for pro rata vesting upon the participant’s death or termination of employment due to disability, with such pro rata vesting based on the number of days employed in the performance cycle and the target level of achievement for performance share units and on the number of days employed in the vesting period for stock awards.</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Finally, awards made beginning in February 2020 also provide for pro rata vesting upon the “sale of subsidiary,” defined as a change in the ownership of a subsidiary, or a substantial portion of the assets of a subsidiary, of the Company, if the participant is performing services for the subsidiary at the time and ceases employment with the Company upon and in connection with the sale. Such pro rata vesting is based on the number of days employed in the performance cycle and the target level of achievement for performance share units and on the number of days employed in the vesting period for stock awards.</w:t>
      </w:r>
    </w:p>
    <w:p>
      <w:pPr>
        <w:spacing w:after="0" w:line="180" w:lineRule="exact"/>
        <w:rPr>
          <w:sz w:val="20"/>
          <w:szCs w:val="20"/>
          <w:color w:val="auto"/>
        </w:rPr>
      </w:pPr>
    </w:p>
    <w:p>
      <w:pPr>
        <w:ind w:left="400" w:hanging="391"/>
        <w:spacing w:after="0"/>
        <w:tabs>
          <w:tab w:leader="none" w:pos="400" w:val="left"/>
        </w:tabs>
        <w:numPr>
          <w:ilvl w:val="0"/>
          <w:numId w:val="82"/>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0" w:name="page71"/>
    <w:bookmarkEnd w:id="7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2"/>
          <w:szCs w:val="12"/>
          <w:i w:val="1"/>
          <w:iCs w:val="1"/>
          <w:color w:val="auto"/>
        </w:rPr>
        <w:t>Executive Compensation Tables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Outstanding Equity Awards at Fiscal Year-End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our named executive officers as of December 31, 2020. The closing stock price on the New York Stock Exchange on December 31, 2020 was $21.64.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shd w:val="clear" w:color="auto" w:fill="0061AF"/>
          </w:tcPr>
          <w:p>
            <w:pPr>
              <w:spacing w:after="0"/>
              <w:rPr>
                <w:sz w:val="13"/>
                <w:szCs w:val="13"/>
                <w:color w:val="auto"/>
              </w:rPr>
            </w:pPr>
          </w:p>
        </w:tc>
        <w:tc>
          <w:tcPr>
            <w:tcW w:w="1020" w:type="dxa"/>
            <w:vAlign w:val="bottom"/>
            <w:shd w:val="clear" w:color="auto" w:fill="0061AF"/>
          </w:tcPr>
          <w:p>
            <w:pPr>
              <w:spacing w:after="0"/>
              <w:rPr>
                <w:sz w:val="13"/>
                <w:szCs w:val="13"/>
                <w:color w:val="auto"/>
              </w:rPr>
            </w:pPr>
          </w:p>
        </w:tc>
        <w:tc>
          <w:tcPr>
            <w:tcW w:w="2000" w:type="dxa"/>
            <w:vAlign w:val="bottom"/>
            <w:gridSpan w:val="2"/>
            <w:shd w:val="clear" w:color="auto" w:fill="0061AF"/>
          </w:tcPr>
          <w:p>
            <w:pPr>
              <w:jc w:val="right"/>
              <w:ind w:right="177"/>
              <w:spacing w:after="0"/>
              <w:rPr>
                <w:sz w:val="20"/>
                <w:szCs w:val="20"/>
                <w:color w:val="auto"/>
              </w:rPr>
            </w:pPr>
            <w:r>
              <w:rPr>
                <w:rFonts w:ascii="Arial" w:cs="Arial" w:eastAsia="Arial" w:hAnsi="Arial"/>
                <w:sz w:val="13"/>
                <w:szCs w:val="13"/>
                <w:b w:val="1"/>
                <w:bCs w:val="1"/>
                <w:color w:val="FFFFFF"/>
              </w:rPr>
              <w:t>Option Awards</w:t>
            </w:r>
          </w:p>
        </w:tc>
        <w:tc>
          <w:tcPr>
            <w:tcW w:w="740" w:type="dxa"/>
            <w:vAlign w:val="bottom"/>
            <w:shd w:val="clear" w:color="auto" w:fill="0061AF"/>
          </w:tcPr>
          <w:p>
            <w:pPr>
              <w:spacing w:after="0"/>
              <w:rPr>
                <w:sz w:val="13"/>
                <w:szCs w:val="13"/>
                <w:color w:val="auto"/>
              </w:rPr>
            </w:pPr>
          </w:p>
        </w:tc>
        <w:tc>
          <w:tcPr>
            <w:tcW w:w="820" w:type="dxa"/>
            <w:vAlign w:val="bottom"/>
            <w:shd w:val="clear" w:color="auto" w:fill="0061AF"/>
          </w:tcPr>
          <w:p>
            <w:pPr>
              <w:spacing w:after="0"/>
              <w:rPr>
                <w:sz w:val="13"/>
                <w:szCs w:val="13"/>
                <w:color w:val="auto"/>
              </w:rPr>
            </w:pPr>
          </w:p>
        </w:tc>
        <w:tc>
          <w:tcPr>
            <w:tcW w:w="780" w:type="dxa"/>
            <w:vAlign w:val="bottom"/>
            <w:shd w:val="clear" w:color="auto" w:fill="0061AF"/>
          </w:tcPr>
          <w:p>
            <w:pPr>
              <w:spacing w:after="0"/>
              <w:rPr>
                <w:sz w:val="13"/>
                <w:szCs w:val="13"/>
                <w:color w:val="auto"/>
              </w:rPr>
            </w:pPr>
          </w:p>
        </w:tc>
        <w:tc>
          <w:tcPr>
            <w:tcW w:w="1900" w:type="dxa"/>
            <w:vAlign w:val="bottom"/>
            <w:gridSpan w:val="2"/>
            <w:shd w:val="clear" w:color="auto" w:fill="0061AF"/>
          </w:tcPr>
          <w:p>
            <w:pPr>
              <w:jc w:val="right"/>
              <w:ind w:right="397"/>
              <w:spacing w:after="0"/>
              <w:rPr>
                <w:sz w:val="20"/>
                <w:szCs w:val="20"/>
                <w:color w:val="auto"/>
              </w:rPr>
            </w:pPr>
            <w:r>
              <w:rPr>
                <w:rFonts w:ascii="Arial" w:cs="Arial" w:eastAsia="Arial" w:hAnsi="Arial"/>
                <w:sz w:val="13"/>
                <w:szCs w:val="13"/>
                <w:b w:val="1"/>
                <w:bCs w:val="1"/>
                <w:color w:val="FFFFFF"/>
              </w:rPr>
              <w:t>Stock Awards</w:t>
            </w:r>
          </w:p>
        </w:tc>
        <w:tc>
          <w:tcPr>
            <w:tcW w:w="840" w:type="dxa"/>
            <w:vAlign w:val="bottom"/>
            <w:vMerge w:val="restart"/>
            <w:shd w:val="clear" w:color="auto" w:fill="0061AF"/>
          </w:tcPr>
          <w:p>
            <w:pPr>
              <w:jc w:val="center"/>
              <w:ind w:left="97"/>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31"/>
        </w:trPr>
        <w:tc>
          <w:tcPr>
            <w:tcW w:w="1620" w:type="dxa"/>
            <w:vAlign w:val="bottom"/>
            <w:shd w:val="clear" w:color="auto" w:fill="0061AF"/>
          </w:tcPr>
          <w:p>
            <w:pPr>
              <w:spacing w:after="0"/>
              <w:rPr>
                <w:sz w:val="11"/>
                <w:szCs w:val="11"/>
                <w:color w:val="auto"/>
              </w:rPr>
            </w:pPr>
          </w:p>
        </w:tc>
        <w:tc>
          <w:tcPr>
            <w:tcW w:w="1020" w:type="dxa"/>
            <w:vAlign w:val="bottom"/>
            <w:shd w:val="clear" w:color="auto" w:fill="0061AF"/>
          </w:tcPr>
          <w:p>
            <w:pPr>
              <w:spacing w:after="0"/>
              <w:rPr>
                <w:sz w:val="11"/>
                <w:szCs w:val="11"/>
                <w:color w:val="auto"/>
              </w:rPr>
            </w:pPr>
          </w:p>
        </w:tc>
        <w:tc>
          <w:tcPr>
            <w:tcW w:w="1040" w:type="dxa"/>
            <w:vAlign w:val="bottom"/>
            <w:shd w:val="clear" w:color="auto" w:fill="0061AF"/>
          </w:tcPr>
          <w:p>
            <w:pPr>
              <w:spacing w:after="0"/>
              <w:rPr>
                <w:sz w:val="11"/>
                <w:szCs w:val="11"/>
                <w:color w:val="auto"/>
              </w:rPr>
            </w:pPr>
          </w:p>
        </w:tc>
        <w:tc>
          <w:tcPr>
            <w:tcW w:w="960" w:type="dxa"/>
            <w:vAlign w:val="bottom"/>
            <w:shd w:val="clear" w:color="auto" w:fill="0061AF"/>
          </w:tcPr>
          <w:p>
            <w:pPr>
              <w:spacing w:after="0"/>
              <w:rPr>
                <w:sz w:val="11"/>
                <w:szCs w:val="11"/>
                <w:color w:val="auto"/>
              </w:rPr>
            </w:pPr>
          </w:p>
        </w:tc>
        <w:tc>
          <w:tcPr>
            <w:tcW w:w="740" w:type="dxa"/>
            <w:vAlign w:val="bottom"/>
            <w:shd w:val="clear" w:color="auto" w:fill="0061AF"/>
          </w:tcPr>
          <w:p>
            <w:pPr>
              <w:spacing w:after="0"/>
              <w:rPr>
                <w:sz w:val="11"/>
                <w:szCs w:val="11"/>
                <w:color w:val="auto"/>
              </w:rPr>
            </w:pPr>
          </w:p>
        </w:tc>
        <w:tc>
          <w:tcPr>
            <w:tcW w:w="820" w:type="dxa"/>
            <w:vAlign w:val="bottom"/>
            <w:shd w:val="clear" w:color="auto" w:fill="0061AF"/>
          </w:tcPr>
          <w:p>
            <w:pPr>
              <w:spacing w:after="0"/>
              <w:rPr>
                <w:sz w:val="11"/>
                <w:szCs w:val="11"/>
                <w:color w:val="auto"/>
              </w:rPr>
            </w:pPr>
          </w:p>
        </w:tc>
        <w:tc>
          <w:tcPr>
            <w:tcW w:w="780" w:type="dxa"/>
            <w:vAlign w:val="bottom"/>
            <w:shd w:val="clear" w:color="auto" w:fill="0061AF"/>
          </w:tcPr>
          <w:p>
            <w:pPr>
              <w:spacing w:after="0"/>
              <w:rPr>
                <w:sz w:val="11"/>
                <w:szCs w:val="11"/>
                <w:color w:val="auto"/>
              </w:rPr>
            </w:pPr>
          </w:p>
        </w:tc>
        <w:tc>
          <w:tcPr>
            <w:tcW w:w="900" w:type="dxa"/>
            <w:vAlign w:val="bottom"/>
            <w:shd w:val="clear" w:color="auto" w:fill="0061AF"/>
          </w:tcPr>
          <w:p>
            <w:pPr>
              <w:spacing w:after="0"/>
              <w:rPr>
                <w:sz w:val="11"/>
                <w:szCs w:val="11"/>
                <w:color w:val="auto"/>
              </w:rPr>
            </w:pPr>
          </w:p>
        </w:tc>
        <w:tc>
          <w:tcPr>
            <w:tcW w:w="1000" w:type="dxa"/>
            <w:vAlign w:val="bottom"/>
            <w:shd w:val="clear" w:color="auto" w:fill="0061AF"/>
          </w:tcPr>
          <w:p>
            <w:pPr>
              <w:spacing w:after="0"/>
              <w:rPr>
                <w:sz w:val="11"/>
                <w:szCs w:val="11"/>
                <w:color w:val="auto"/>
              </w:rPr>
            </w:pPr>
          </w:p>
        </w:tc>
        <w:tc>
          <w:tcPr>
            <w:tcW w:w="840" w:type="dxa"/>
            <w:vAlign w:val="bottom"/>
            <w:vMerge w:val="continue"/>
            <w:shd w:val="clear" w:color="auto" w:fill="0061A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1040" w:type="dxa"/>
            <w:vAlign w:val="bottom"/>
            <w:shd w:val="clear" w:color="auto" w:fill="0061AF"/>
          </w:tcPr>
          <w:p>
            <w:pPr>
              <w:spacing w:after="0"/>
              <w:rPr>
                <w:sz w:val="12"/>
                <w:szCs w:val="12"/>
                <w:color w:val="auto"/>
              </w:rPr>
            </w:pPr>
          </w:p>
        </w:tc>
        <w:tc>
          <w:tcPr>
            <w:tcW w:w="960" w:type="dxa"/>
            <w:vAlign w:val="bottom"/>
            <w:shd w:val="clear" w:color="auto" w:fill="0061AF"/>
          </w:tcPr>
          <w:p>
            <w:pPr>
              <w:spacing w:after="0"/>
              <w:rPr>
                <w:sz w:val="12"/>
                <w:szCs w:val="12"/>
                <w:color w:val="auto"/>
              </w:rPr>
            </w:pP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900" w:type="dxa"/>
            <w:vAlign w:val="bottom"/>
            <w:shd w:val="clear" w:color="auto" w:fill="0061AF"/>
          </w:tcPr>
          <w:p>
            <w:pPr>
              <w:spacing w:after="0"/>
              <w:rPr>
                <w:sz w:val="12"/>
                <w:szCs w:val="12"/>
                <w:color w:val="auto"/>
              </w:rPr>
            </w:pP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Equity</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9"/>
              </w:rPr>
              <w:t>Incentive</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1040" w:type="dxa"/>
            <w:vAlign w:val="bottom"/>
            <w:shd w:val="clear" w:color="auto" w:fill="0061AF"/>
          </w:tcPr>
          <w:p>
            <w:pPr>
              <w:spacing w:after="0"/>
              <w:rPr>
                <w:sz w:val="12"/>
                <w:szCs w:val="12"/>
                <w:color w:val="auto"/>
              </w:rPr>
            </w:pPr>
          </w:p>
        </w:tc>
        <w:tc>
          <w:tcPr>
            <w:tcW w:w="960" w:type="dxa"/>
            <w:vAlign w:val="bottom"/>
            <w:shd w:val="clear" w:color="auto" w:fill="0061AF"/>
          </w:tcPr>
          <w:p>
            <w:pPr>
              <w:spacing w:after="0"/>
              <w:rPr>
                <w:sz w:val="12"/>
                <w:szCs w:val="12"/>
                <w:color w:val="auto"/>
              </w:rPr>
            </w:pP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900" w:type="dxa"/>
            <w:vAlign w:val="bottom"/>
            <w:shd w:val="clear" w:color="auto" w:fill="0061AF"/>
          </w:tcPr>
          <w:p>
            <w:pPr>
              <w:spacing w:after="0"/>
              <w:rPr>
                <w:sz w:val="12"/>
                <w:szCs w:val="12"/>
                <w:color w:val="auto"/>
              </w:rPr>
            </w:pP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Incentive</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rPr>
              <w:t>Plan</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1040" w:type="dxa"/>
            <w:vAlign w:val="bottom"/>
            <w:shd w:val="clear" w:color="auto" w:fill="0061AF"/>
          </w:tcPr>
          <w:p>
            <w:pPr>
              <w:spacing w:after="0"/>
              <w:rPr>
                <w:sz w:val="12"/>
                <w:szCs w:val="12"/>
                <w:color w:val="auto"/>
              </w:rPr>
            </w:pPr>
          </w:p>
        </w:tc>
        <w:tc>
          <w:tcPr>
            <w:tcW w:w="960" w:type="dxa"/>
            <w:vAlign w:val="bottom"/>
            <w:shd w:val="clear" w:color="auto" w:fill="0061AF"/>
          </w:tcPr>
          <w:p>
            <w:pPr>
              <w:spacing w:after="0"/>
              <w:rPr>
                <w:sz w:val="12"/>
                <w:szCs w:val="12"/>
                <w:color w:val="auto"/>
              </w:rPr>
            </w:pP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9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rPr>
              <w:t>Market</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4"/>
              </w:rPr>
              <w:t>Plan</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3"/>
              </w:rPr>
              <w:t>Awards:</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1040" w:type="dxa"/>
            <w:vAlign w:val="bottom"/>
            <w:shd w:val="clear" w:color="auto" w:fill="0061AF"/>
          </w:tcPr>
          <w:p>
            <w:pPr>
              <w:spacing w:after="0"/>
              <w:rPr>
                <w:sz w:val="12"/>
                <w:szCs w:val="12"/>
                <w:color w:val="auto"/>
              </w:rPr>
            </w:pPr>
          </w:p>
        </w:tc>
        <w:tc>
          <w:tcPr>
            <w:tcW w:w="960" w:type="dxa"/>
            <w:vAlign w:val="bottom"/>
            <w:shd w:val="clear" w:color="auto" w:fill="0061AF"/>
          </w:tcPr>
          <w:p>
            <w:pPr>
              <w:spacing w:after="0"/>
              <w:rPr>
                <w:sz w:val="12"/>
                <w:szCs w:val="12"/>
                <w:color w:val="auto"/>
              </w:rPr>
            </w:pP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9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w w:val="97"/>
              </w:rPr>
              <w:t>Value</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Awards:</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5"/>
              </w:rPr>
              <w:t>Market</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1040" w:type="dxa"/>
            <w:vAlign w:val="bottom"/>
            <w:shd w:val="clear" w:color="auto" w:fill="0061AF"/>
          </w:tcPr>
          <w:p>
            <w:pPr>
              <w:spacing w:after="0"/>
              <w:rPr>
                <w:sz w:val="12"/>
                <w:szCs w:val="12"/>
                <w:color w:val="auto"/>
              </w:rPr>
            </w:pPr>
          </w:p>
        </w:tc>
        <w:tc>
          <w:tcPr>
            <w:tcW w:w="9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rPr>
              <w:t>Equity</w:t>
            </w: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spacing w:after="0"/>
              <w:rPr>
                <w:sz w:val="12"/>
                <w:szCs w:val="12"/>
                <w:color w:val="auto"/>
              </w:rPr>
            </w:pPr>
          </w:p>
        </w:tc>
        <w:tc>
          <w:tcPr>
            <w:tcW w:w="900" w:type="dxa"/>
            <w:vAlign w:val="bottom"/>
            <w:shd w:val="clear" w:color="auto" w:fill="0061AF"/>
          </w:tcPr>
          <w:p>
            <w:pPr>
              <w:jc w:val="center"/>
              <w:ind w:right="77"/>
              <w:spacing w:after="0" w:line="143" w:lineRule="exact"/>
              <w:rPr>
                <w:sz w:val="20"/>
                <w:szCs w:val="20"/>
                <w:color w:val="auto"/>
              </w:rPr>
            </w:pPr>
            <w:r>
              <w:rPr>
                <w:rFonts w:ascii="Arial" w:cs="Arial" w:eastAsia="Arial" w:hAnsi="Arial"/>
                <w:sz w:val="13"/>
                <w:szCs w:val="13"/>
                <w:b w:val="1"/>
                <w:bCs w:val="1"/>
                <w:color w:val="FFFFFF"/>
                <w:w w:val="97"/>
              </w:rPr>
              <w:t>of</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Number</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9"/>
              </w:rPr>
              <w:t>or Payout</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1040" w:type="dxa"/>
            <w:vAlign w:val="bottom"/>
            <w:shd w:val="clear" w:color="auto" w:fill="0061AF"/>
          </w:tcPr>
          <w:p>
            <w:pPr>
              <w:spacing w:after="0"/>
              <w:rPr>
                <w:sz w:val="12"/>
                <w:szCs w:val="12"/>
                <w:color w:val="auto"/>
              </w:rPr>
            </w:pPr>
          </w:p>
        </w:tc>
        <w:tc>
          <w:tcPr>
            <w:tcW w:w="9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9"/>
              </w:rPr>
              <w:t>Incentive</w:t>
            </w: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Number</w:t>
            </w:r>
          </w:p>
        </w:tc>
        <w:tc>
          <w:tcPr>
            <w:tcW w:w="9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w w:val="96"/>
              </w:rPr>
              <w:t>Shares</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of</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1040" w:type="dxa"/>
            <w:vAlign w:val="bottom"/>
            <w:shd w:val="clear" w:color="auto" w:fill="0061AF"/>
          </w:tcPr>
          <w:p>
            <w:pPr>
              <w:spacing w:after="0"/>
              <w:rPr>
                <w:sz w:val="12"/>
                <w:szCs w:val="12"/>
                <w:color w:val="auto"/>
              </w:rPr>
            </w:pPr>
          </w:p>
        </w:tc>
        <w:tc>
          <w:tcPr>
            <w:tcW w:w="9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rPr>
              <w:t>Plan</w:t>
            </w: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of</w:t>
            </w:r>
          </w:p>
        </w:tc>
        <w:tc>
          <w:tcPr>
            <w:tcW w:w="9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rPr>
              <w:t>or</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Unearned</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9"/>
              </w:rPr>
              <w:t>Unearned</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Number</w:t>
            </w:r>
          </w:p>
        </w:tc>
        <w:tc>
          <w:tcPr>
            <w:tcW w:w="10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Number</w:t>
            </w:r>
          </w:p>
        </w:tc>
        <w:tc>
          <w:tcPr>
            <w:tcW w:w="9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Awards:</w:t>
            </w: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Shares</w:t>
            </w:r>
          </w:p>
        </w:tc>
        <w:tc>
          <w:tcPr>
            <w:tcW w:w="9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w w:val="92"/>
              </w:rPr>
              <w:t>Units</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Shares,</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3"/>
              </w:rPr>
              <w:t>Shares,</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of</w:t>
            </w:r>
          </w:p>
        </w:tc>
        <w:tc>
          <w:tcPr>
            <w:tcW w:w="10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of</w:t>
            </w:r>
          </w:p>
        </w:tc>
        <w:tc>
          <w:tcPr>
            <w:tcW w:w="9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Number of</w:t>
            </w: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or Units</w:t>
            </w:r>
          </w:p>
        </w:tc>
        <w:tc>
          <w:tcPr>
            <w:tcW w:w="900" w:type="dxa"/>
            <w:vAlign w:val="bottom"/>
            <w:shd w:val="clear" w:color="auto" w:fill="0061AF"/>
          </w:tcPr>
          <w:p>
            <w:pPr>
              <w:jc w:val="center"/>
              <w:ind w:right="77"/>
              <w:spacing w:after="0" w:line="143" w:lineRule="exact"/>
              <w:rPr>
                <w:sz w:val="20"/>
                <w:szCs w:val="20"/>
                <w:color w:val="auto"/>
              </w:rPr>
            </w:pPr>
            <w:r>
              <w:rPr>
                <w:rFonts w:ascii="Arial" w:cs="Arial" w:eastAsia="Arial" w:hAnsi="Arial"/>
                <w:sz w:val="13"/>
                <w:szCs w:val="13"/>
                <w:b w:val="1"/>
                <w:bCs w:val="1"/>
                <w:color w:val="FFFFFF"/>
                <w:w w:val="97"/>
              </w:rPr>
              <w:t>of</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Units or</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7"/>
              </w:rPr>
              <w:t>Units or</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Securities</w:t>
            </w:r>
          </w:p>
        </w:tc>
        <w:tc>
          <w:tcPr>
            <w:tcW w:w="10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Securities</w:t>
            </w:r>
          </w:p>
        </w:tc>
        <w:tc>
          <w:tcPr>
            <w:tcW w:w="9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Securities</w:t>
            </w: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of Stock</w:t>
            </w:r>
          </w:p>
        </w:tc>
        <w:tc>
          <w:tcPr>
            <w:tcW w:w="9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w w:val="95"/>
              </w:rPr>
              <w:t>Stock</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Other</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2"/>
              </w:rPr>
              <w:t>Other</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jc w:val="center"/>
              <w:ind w:left="17"/>
              <w:spacing w:after="0" w:line="143" w:lineRule="exact"/>
              <w:rPr>
                <w:sz w:val="20"/>
                <w:szCs w:val="20"/>
                <w:color w:val="auto"/>
              </w:rPr>
            </w:pPr>
            <w:r>
              <w:rPr>
                <w:rFonts w:ascii="Arial" w:cs="Arial" w:eastAsia="Arial" w:hAnsi="Arial"/>
                <w:sz w:val="13"/>
                <w:szCs w:val="13"/>
                <w:b w:val="1"/>
                <w:bCs w:val="1"/>
                <w:color w:val="FFFFFF"/>
                <w:w w:val="97"/>
              </w:rPr>
              <w:t>Underlying</w:t>
            </w:r>
          </w:p>
        </w:tc>
        <w:tc>
          <w:tcPr>
            <w:tcW w:w="10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Underlying</w:t>
            </w:r>
          </w:p>
        </w:tc>
        <w:tc>
          <w:tcPr>
            <w:tcW w:w="9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Underlying</w:t>
            </w:r>
          </w:p>
        </w:tc>
        <w:tc>
          <w:tcPr>
            <w:tcW w:w="74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rPr>
              <w:t>That</w:t>
            </w:r>
          </w:p>
        </w:tc>
        <w:tc>
          <w:tcPr>
            <w:tcW w:w="9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w w:val="94"/>
              </w:rPr>
              <w:t>That</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Rights</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w w:val="98"/>
              </w:rPr>
              <w:t>Rights</w:t>
            </w:r>
          </w:p>
        </w:tc>
        <w:tc>
          <w:tcPr>
            <w:tcW w:w="0" w:type="dxa"/>
            <w:vAlign w:val="bottom"/>
          </w:tcPr>
          <w:p>
            <w:pPr>
              <w:spacing w:after="0"/>
              <w:rPr>
                <w:sz w:val="1"/>
                <w:szCs w:val="1"/>
                <w:color w:val="auto"/>
              </w:rPr>
            </w:pPr>
          </w:p>
        </w:tc>
      </w:tr>
      <w:tr>
        <w:trPr>
          <w:trHeight w:val="143"/>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Unexercised</w:t>
            </w:r>
          </w:p>
        </w:tc>
        <w:tc>
          <w:tcPr>
            <w:tcW w:w="10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Unexercised</w:t>
            </w:r>
          </w:p>
        </w:tc>
        <w:tc>
          <w:tcPr>
            <w:tcW w:w="9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Unexercised</w:t>
            </w:r>
          </w:p>
        </w:tc>
        <w:tc>
          <w:tcPr>
            <w:tcW w:w="7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rPr>
              <w:t>Option</w:t>
            </w:r>
          </w:p>
        </w:tc>
        <w:tc>
          <w:tcPr>
            <w:tcW w:w="820" w:type="dxa"/>
            <w:vAlign w:val="bottom"/>
            <w:shd w:val="clear" w:color="auto" w:fill="0061AF"/>
          </w:tcPr>
          <w:p>
            <w:pPr>
              <w:spacing w:after="0"/>
              <w:rPr>
                <w:sz w:val="12"/>
                <w:szCs w:val="12"/>
                <w:color w:val="auto"/>
              </w:rPr>
            </w:pPr>
          </w:p>
        </w:tc>
        <w:tc>
          <w:tcPr>
            <w:tcW w:w="78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Have</w:t>
            </w:r>
          </w:p>
        </w:tc>
        <w:tc>
          <w:tcPr>
            <w:tcW w:w="900" w:type="dxa"/>
            <w:vAlign w:val="bottom"/>
            <w:shd w:val="clear" w:color="auto" w:fill="0061AF"/>
          </w:tcPr>
          <w:p>
            <w:pPr>
              <w:jc w:val="center"/>
              <w:ind w:right="57"/>
              <w:spacing w:after="0" w:line="143" w:lineRule="exact"/>
              <w:rPr>
                <w:sz w:val="20"/>
                <w:szCs w:val="20"/>
                <w:color w:val="auto"/>
              </w:rPr>
            </w:pPr>
            <w:r>
              <w:rPr>
                <w:rFonts w:ascii="Arial" w:cs="Arial" w:eastAsia="Arial" w:hAnsi="Arial"/>
                <w:sz w:val="13"/>
                <w:szCs w:val="13"/>
                <w:b w:val="1"/>
                <w:bCs w:val="1"/>
                <w:color w:val="FFFFFF"/>
                <w:w w:val="96"/>
              </w:rPr>
              <w:t>Have</w:t>
            </w:r>
          </w:p>
        </w:tc>
        <w:tc>
          <w:tcPr>
            <w:tcW w:w="100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4"/>
              </w:rPr>
              <w:t>That</w:t>
            </w:r>
          </w:p>
        </w:tc>
        <w:tc>
          <w:tcPr>
            <w:tcW w:w="840" w:type="dxa"/>
            <w:vAlign w:val="bottom"/>
            <w:shd w:val="clear" w:color="auto" w:fill="0061AF"/>
          </w:tcPr>
          <w:p>
            <w:pPr>
              <w:jc w:val="center"/>
              <w:ind w:left="97"/>
              <w:spacing w:after="0" w:line="143" w:lineRule="exact"/>
              <w:rPr>
                <w:sz w:val="20"/>
                <w:szCs w:val="20"/>
                <w:color w:val="auto"/>
              </w:rPr>
            </w:pPr>
            <w:r>
              <w:rPr>
                <w:rFonts w:ascii="Arial" w:cs="Arial" w:eastAsia="Arial" w:hAnsi="Arial"/>
                <w:sz w:val="13"/>
                <w:szCs w:val="13"/>
                <w:b w:val="1"/>
                <w:bCs w:val="1"/>
                <w:color w:val="FFFFFF"/>
              </w:rPr>
              <w:t>That</w:t>
            </w:r>
          </w:p>
        </w:tc>
        <w:tc>
          <w:tcPr>
            <w:tcW w:w="0" w:type="dxa"/>
            <w:vAlign w:val="bottom"/>
          </w:tcPr>
          <w:p>
            <w:pPr>
              <w:spacing w:after="0"/>
              <w:rPr>
                <w:sz w:val="1"/>
                <w:szCs w:val="1"/>
                <w:color w:val="auto"/>
              </w:rPr>
            </w:pPr>
          </w:p>
        </w:tc>
      </w:tr>
      <w:tr>
        <w:trPr>
          <w:trHeight w:val="140"/>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7"/>
              </w:rPr>
              <w:t>Options</w:t>
            </w:r>
          </w:p>
        </w:tc>
        <w:tc>
          <w:tcPr>
            <w:tcW w:w="104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7"/>
              </w:rPr>
              <w:t>Options</w:t>
            </w:r>
          </w:p>
        </w:tc>
        <w:tc>
          <w:tcPr>
            <w:tcW w:w="96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9"/>
              </w:rPr>
              <w:t>Unearned</w:t>
            </w:r>
          </w:p>
        </w:tc>
        <w:tc>
          <w:tcPr>
            <w:tcW w:w="74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7"/>
              </w:rPr>
              <w:t>Exercise</w:t>
            </w:r>
          </w:p>
        </w:tc>
        <w:tc>
          <w:tcPr>
            <w:tcW w:w="82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rPr>
              <w:t>Option</w:t>
            </w:r>
          </w:p>
        </w:tc>
        <w:tc>
          <w:tcPr>
            <w:tcW w:w="78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2"/>
              </w:rPr>
              <w:t>Not</w:t>
            </w:r>
          </w:p>
        </w:tc>
        <w:tc>
          <w:tcPr>
            <w:tcW w:w="900" w:type="dxa"/>
            <w:vAlign w:val="bottom"/>
            <w:shd w:val="clear" w:color="auto" w:fill="0061AF"/>
          </w:tcPr>
          <w:p>
            <w:pPr>
              <w:jc w:val="center"/>
              <w:ind w:right="57"/>
              <w:spacing w:after="0" w:line="141" w:lineRule="exact"/>
              <w:rPr>
                <w:sz w:val="20"/>
                <w:szCs w:val="20"/>
                <w:color w:val="auto"/>
              </w:rPr>
            </w:pPr>
            <w:r>
              <w:rPr>
                <w:rFonts w:ascii="Arial" w:cs="Arial" w:eastAsia="Arial" w:hAnsi="Arial"/>
                <w:sz w:val="13"/>
                <w:szCs w:val="13"/>
                <w:b w:val="1"/>
                <w:bCs w:val="1"/>
                <w:color w:val="FFFFFF"/>
              </w:rPr>
              <w:t>Not</w:t>
            </w:r>
          </w:p>
        </w:tc>
        <w:tc>
          <w:tcPr>
            <w:tcW w:w="100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5"/>
              </w:rPr>
              <w:t>Have Not</w:t>
            </w:r>
          </w:p>
        </w:tc>
        <w:tc>
          <w:tcPr>
            <w:tcW w:w="840" w:type="dxa"/>
            <w:vAlign w:val="bottom"/>
            <w:shd w:val="clear" w:color="auto" w:fill="0061AF"/>
          </w:tcPr>
          <w:p>
            <w:pPr>
              <w:jc w:val="center"/>
              <w:ind w:left="97"/>
              <w:spacing w:after="0" w:line="141" w:lineRule="exact"/>
              <w:rPr>
                <w:sz w:val="20"/>
                <w:szCs w:val="20"/>
                <w:color w:val="auto"/>
              </w:rPr>
            </w:pPr>
            <w:r>
              <w:rPr>
                <w:rFonts w:ascii="Arial" w:cs="Arial" w:eastAsia="Arial" w:hAnsi="Arial"/>
                <w:sz w:val="13"/>
                <w:szCs w:val="13"/>
                <w:b w:val="1"/>
                <w:bCs w:val="1"/>
                <w:color w:val="FFFFFF"/>
                <w:w w:val="99"/>
              </w:rPr>
              <w:t>Have Not</w:t>
            </w:r>
          </w:p>
        </w:tc>
        <w:tc>
          <w:tcPr>
            <w:tcW w:w="0" w:type="dxa"/>
            <w:vAlign w:val="bottom"/>
          </w:tcPr>
          <w:p>
            <w:pPr>
              <w:spacing w:after="0"/>
              <w:rPr>
                <w:sz w:val="1"/>
                <w:szCs w:val="1"/>
                <w:color w:val="auto"/>
              </w:rPr>
            </w:pPr>
          </w:p>
        </w:tc>
      </w:tr>
      <w:tr>
        <w:trPr>
          <w:trHeight w:val="145"/>
        </w:trPr>
        <w:tc>
          <w:tcPr>
            <w:tcW w:w="1620" w:type="dxa"/>
            <w:vAlign w:val="bottom"/>
            <w:shd w:val="clear" w:color="auto" w:fill="0061AF"/>
          </w:tcPr>
          <w:p>
            <w:pPr>
              <w:spacing w:after="0"/>
              <w:rPr>
                <w:sz w:val="12"/>
                <w:szCs w:val="12"/>
                <w:color w:val="auto"/>
              </w:rPr>
            </w:pPr>
          </w:p>
        </w:tc>
        <w:tc>
          <w:tcPr>
            <w:tcW w:w="1020" w:type="dxa"/>
            <w:vAlign w:val="bottom"/>
            <w:shd w:val="clear" w:color="auto" w:fill="0061AF"/>
          </w:tcPr>
          <w:p>
            <w:pPr>
              <w:jc w:val="center"/>
              <w:ind w:left="17"/>
              <w:spacing w:after="0" w:line="146" w:lineRule="exact"/>
              <w:rPr>
                <w:sz w:val="20"/>
                <w:szCs w:val="20"/>
                <w:color w:val="auto"/>
              </w:rPr>
            </w:pPr>
            <w:r>
              <w:rPr>
                <w:rFonts w:ascii="Arial" w:cs="Arial" w:eastAsia="Arial" w:hAnsi="Arial"/>
                <w:sz w:val="13"/>
                <w:szCs w:val="13"/>
                <w:b w:val="1"/>
                <w:bCs w:val="1"/>
                <w:color w:val="FFFFFF"/>
                <w:w w:val="96"/>
              </w:rPr>
              <w:t>Exercisable</w:t>
            </w:r>
          </w:p>
        </w:tc>
        <w:tc>
          <w:tcPr>
            <w:tcW w:w="1040" w:type="dxa"/>
            <w:vAlign w:val="bottom"/>
            <w:shd w:val="clear" w:color="auto" w:fill="0061AF"/>
          </w:tcPr>
          <w:p>
            <w:pPr>
              <w:jc w:val="center"/>
              <w:spacing w:after="0" w:line="146" w:lineRule="exact"/>
              <w:rPr>
                <w:sz w:val="20"/>
                <w:szCs w:val="20"/>
                <w:color w:val="auto"/>
              </w:rPr>
            </w:pPr>
            <w:r>
              <w:rPr>
                <w:rFonts w:ascii="Arial" w:cs="Arial" w:eastAsia="Arial" w:hAnsi="Arial"/>
                <w:sz w:val="13"/>
                <w:szCs w:val="13"/>
                <w:b w:val="1"/>
                <w:bCs w:val="1"/>
                <w:color w:val="FFFFFF"/>
                <w:w w:val="97"/>
              </w:rPr>
              <w:t>Unexercisable</w:t>
            </w:r>
          </w:p>
        </w:tc>
        <w:tc>
          <w:tcPr>
            <w:tcW w:w="960" w:type="dxa"/>
            <w:vAlign w:val="bottom"/>
            <w:shd w:val="clear" w:color="auto" w:fill="0061AF"/>
          </w:tcPr>
          <w:p>
            <w:pPr>
              <w:jc w:val="center"/>
              <w:spacing w:after="0" w:line="146" w:lineRule="exact"/>
              <w:rPr>
                <w:sz w:val="20"/>
                <w:szCs w:val="20"/>
                <w:color w:val="auto"/>
              </w:rPr>
            </w:pPr>
            <w:r>
              <w:rPr>
                <w:rFonts w:ascii="Arial" w:cs="Arial" w:eastAsia="Arial" w:hAnsi="Arial"/>
                <w:sz w:val="13"/>
                <w:szCs w:val="13"/>
                <w:b w:val="1"/>
                <w:bCs w:val="1"/>
                <w:color w:val="FFFFFF"/>
                <w:w w:val="97"/>
              </w:rPr>
              <w:t>Options</w:t>
            </w:r>
          </w:p>
        </w:tc>
        <w:tc>
          <w:tcPr>
            <w:tcW w:w="740" w:type="dxa"/>
            <w:vAlign w:val="bottom"/>
            <w:shd w:val="clear" w:color="auto" w:fill="0061AF"/>
          </w:tcPr>
          <w:p>
            <w:pPr>
              <w:jc w:val="center"/>
              <w:spacing w:after="0" w:line="146" w:lineRule="exact"/>
              <w:rPr>
                <w:sz w:val="20"/>
                <w:szCs w:val="20"/>
                <w:color w:val="auto"/>
              </w:rPr>
            </w:pPr>
            <w:r>
              <w:rPr>
                <w:rFonts w:ascii="Arial" w:cs="Arial" w:eastAsia="Arial" w:hAnsi="Arial"/>
                <w:sz w:val="13"/>
                <w:szCs w:val="13"/>
                <w:b w:val="1"/>
                <w:bCs w:val="1"/>
                <w:color w:val="FFFFFF"/>
                <w:w w:val="94"/>
              </w:rPr>
              <w:t>Price</w:t>
            </w:r>
          </w:p>
        </w:tc>
        <w:tc>
          <w:tcPr>
            <w:tcW w:w="820" w:type="dxa"/>
            <w:vAlign w:val="bottom"/>
            <w:shd w:val="clear" w:color="auto" w:fill="0061AF"/>
          </w:tcPr>
          <w:p>
            <w:pPr>
              <w:jc w:val="center"/>
              <w:spacing w:after="0" w:line="146" w:lineRule="exact"/>
              <w:rPr>
                <w:sz w:val="20"/>
                <w:szCs w:val="20"/>
                <w:color w:val="auto"/>
              </w:rPr>
            </w:pPr>
            <w:r>
              <w:rPr>
                <w:rFonts w:ascii="Arial" w:cs="Arial" w:eastAsia="Arial" w:hAnsi="Arial"/>
                <w:sz w:val="13"/>
                <w:szCs w:val="13"/>
                <w:b w:val="1"/>
                <w:bCs w:val="1"/>
                <w:color w:val="FFFFFF"/>
                <w:w w:val="97"/>
              </w:rPr>
              <w:t>Expiration</w:t>
            </w:r>
          </w:p>
        </w:tc>
        <w:tc>
          <w:tcPr>
            <w:tcW w:w="78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6"/>
                <w:szCs w:val="16"/>
                <w:b w:val="1"/>
                <w:bCs w:val="1"/>
                <w:color w:val="FFFFFF"/>
                <w:vertAlign w:val="superscript"/>
              </w:rPr>
              <w:t>(1)</w:t>
            </w:r>
          </w:p>
        </w:tc>
        <w:tc>
          <w:tcPr>
            <w:tcW w:w="900" w:type="dxa"/>
            <w:vAlign w:val="bottom"/>
            <w:shd w:val="clear" w:color="auto" w:fill="0061AF"/>
          </w:tcPr>
          <w:p>
            <w:pPr>
              <w:jc w:val="center"/>
              <w:ind w:right="57"/>
              <w:spacing w:after="0" w:line="146" w:lineRule="exact"/>
              <w:rPr>
                <w:sz w:val="20"/>
                <w:szCs w:val="20"/>
                <w:color w:val="auto"/>
              </w:rPr>
            </w:pPr>
            <w:r>
              <w:rPr>
                <w:rFonts w:ascii="Arial" w:cs="Arial" w:eastAsia="Arial" w:hAnsi="Arial"/>
                <w:sz w:val="13"/>
                <w:szCs w:val="13"/>
                <w:b w:val="1"/>
                <w:bCs w:val="1"/>
                <w:color w:val="FFFFFF"/>
                <w:w w:val="98"/>
              </w:rPr>
              <w:t>Vested</w:t>
            </w:r>
          </w:p>
        </w:tc>
        <w:tc>
          <w:tcPr>
            <w:tcW w:w="100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6"/>
                <w:szCs w:val="16"/>
                <w:b w:val="1"/>
                <w:bCs w:val="1"/>
                <w:color w:val="FFFFFF"/>
                <w:vertAlign w:val="superscript"/>
              </w:rPr>
              <w:t>(2)</w:t>
            </w:r>
          </w:p>
        </w:tc>
        <w:tc>
          <w:tcPr>
            <w:tcW w:w="840" w:type="dxa"/>
            <w:vAlign w:val="bottom"/>
            <w:shd w:val="clear" w:color="auto" w:fill="0061AF"/>
          </w:tcPr>
          <w:p>
            <w:pPr>
              <w:jc w:val="center"/>
              <w:ind w:left="97"/>
              <w:spacing w:after="0" w:line="146" w:lineRule="exact"/>
              <w:rPr>
                <w:sz w:val="20"/>
                <w:szCs w:val="20"/>
                <w:color w:val="auto"/>
              </w:rPr>
            </w:pPr>
            <w:r>
              <w:rPr>
                <w:rFonts w:ascii="Arial" w:cs="Arial" w:eastAsia="Arial" w:hAnsi="Arial"/>
                <w:sz w:val="13"/>
                <w:szCs w:val="13"/>
                <w:b w:val="1"/>
                <w:bCs w:val="1"/>
                <w:color w:val="FFFFFF"/>
                <w:w w:val="93"/>
              </w:rPr>
              <w:t>Vested</w:t>
            </w:r>
          </w:p>
        </w:tc>
        <w:tc>
          <w:tcPr>
            <w:tcW w:w="0" w:type="dxa"/>
            <w:vAlign w:val="bottom"/>
          </w:tcPr>
          <w:p>
            <w:pPr>
              <w:spacing w:after="0"/>
              <w:rPr>
                <w:sz w:val="1"/>
                <w:szCs w:val="1"/>
                <w:color w:val="auto"/>
              </w:rPr>
            </w:pPr>
          </w:p>
        </w:tc>
      </w:tr>
      <w:tr>
        <w:trPr>
          <w:trHeight w:val="167"/>
        </w:trPr>
        <w:tc>
          <w:tcPr>
            <w:tcW w:w="162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1020" w:type="dxa"/>
            <w:vAlign w:val="bottom"/>
            <w:shd w:val="clear" w:color="auto" w:fill="0061AF"/>
          </w:tcPr>
          <w:p>
            <w:pPr>
              <w:jc w:val="right"/>
              <w:ind w:right="337"/>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0061AF"/>
          </w:tcPr>
          <w:p>
            <w:pPr>
              <w:jc w:val="right"/>
              <w:ind w:right="377"/>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0061AF"/>
          </w:tcPr>
          <w:p>
            <w:pPr>
              <w:jc w:val="right"/>
              <w:ind w:right="337"/>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0061AF"/>
          </w:tcPr>
          <w:p>
            <w:pPr>
              <w:jc w:val="right"/>
              <w:ind w:right="237"/>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2"/>
              </w:rPr>
              <w:t>Date</w:t>
            </w:r>
          </w:p>
        </w:tc>
        <w:tc>
          <w:tcPr>
            <w:tcW w:w="78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0061AF"/>
          </w:tcPr>
          <w:p>
            <w:pPr>
              <w:jc w:val="center"/>
              <w:ind w:right="57"/>
              <w:spacing w:after="0"/>
              <w:rPr>
                <w:sz w:val="20"/>
                <w:szCs w:val="20"/>
                <w:color w:val="auto"/>
              </w:rPr>
            </w:pPr>
            <w:r>
              <w:rPr>
                <w:rFonts w:ascii="Arial" w:cs="Arial" w:eastAsia="Arial" w:hAnsi="Arial"/>
                <w:sz w:val="13"/>
                <w:szCs w:val="13"/>
                <w:b w:val="1"/>
                <w:bCs w:val="1"/>
                <w:color w:val="FFFFFF"/>
                <w:w w:val="87"/>
              </w:rPr>
              <w:t>($)</w:t>
            </w:r>
          </w:p>
        </w:tc>
        <w:tc>
          <w:tcPr>
            <w:tcW w:w="10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061AF"/>
          </w:tcPr>
          <w:p>
            <w:pPr>
              <w:jc w:val="center"/>
              <w:ind w:left="9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43"/>
        </w:trPr>
        <w:tc>
          <w:tcPr>
            <w:tcW w:w="1620" w:type="dxa"/>
            <w:vAlign w:val="bottom"/>
          </w:tcPr>
          <w:p>
            <w:pPr>
              <w:ind w:left="80"/>
              <w:spacing w:after="0" w:line="143" w:lineRule="exact"/>
              <w:rPr>
                <w:sz w:val="20"/>
                <w:szCs w:val="20"/>
                <w:color w:val="auto"/>
              </w:rPr>
            </w:pPr>
            <w:r>
              <w:rPr>
                <w:rFonts w:ascii="Arial" w:cs="Arial" w:eastAsia="Arial" w:hAnsi="Arial"/>
                <w:sz w:val="13"/>
                <w:szCs w:val="13"/>
                <w:color w:val="auto"/>
              </w:rPr>
              <w:t>Lesar</w:t>
            </w:r>
          </w:p>
        </w:tc>
        <w:tc>
          <w:tcPr>
            <w:tcW w:w="10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43" w:lineRule="exact"/>
              <w:rPr>
                <w:sz w:val="20"/>
                <w:szCs w:val="20"/>
                <w:color w:val="auto"/>
              </w:rPr>
            </w:pPr>
            <w:r>
              <w:rPr>
                <w:rFonts w:ascii="Arial" w:cs="Arial" w:eastAsia="Arial" w:hAnsi="Arial"/>
                <w:sz w:val="13"/>
                <w:szCs w:val="13"/>
                <w:color w:val="auto"/>
              </w:rPr>
              <w:t>161,183</w:t>
            </w:r>
          </w:p>
        </w:tc>
        <w:tc>
          <w:tcPr>
            <w:tcW w:w="90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3,488,000</w:t>
            </w:r>
          </w:p>
        </w:tc>
        <w:tc>
          <w:tcPr>
            <w:tcW w:w="100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364,297</w:t>
            </w: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7,883,387</w:t>
            </w:r>
          </w:p>
        </w:tc>
        <w:tc>
          <w:tcPr>
            <w:tcW w:w="0" w:type="dxa"/>
            <w:vAlign w:val="bottom"/>
          </w:tcPr>
          <w:p>
            <w:pPr>
              <w:spacing w:after="0"/>
              <w:rPr>
                <w:sz w:val="1"/>
                <w:szCs w:val="1"/>
                <w:color w:val="auto"/>
              </w:rPr>
            </w:pPr>
          </w:p>
        </w:tc>
      </w:tr>
      <w:tr>
        <w:trPr>
          <w:trHeight w:val="143"/>
        </w:trPr>
        <w:tc>
          <w:tcPr>
            <w:tcW w:w="16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Wells</w:t>
            </w:r>
          </w:p>
        </w:tc>
        <w:tc>
          <w:tcPr>
            <w:tcW w:w="10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shd w:val="clear" w:color="auto" w:fill="D8E7F3"/>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78,207</w:t>
            </w:r>
          </w:p>
        </w:tc>
        <w:tc>
          <w:tcPr>
            <w:tcW w:w="900" w:type="dxa"/>
            <w:vAlign w:val="bottom"/>
            <w:shd w:val="clear" w:color="auto" w:fill="D8E7F3"/>
          </w:tcPr>
          <w:p>
            <w:pPr>
              <w:jc w:val="right"/>
              <w:ind w:right="137"/>
              <w:spacing w:after="0" w:line="143" w:lineRule="exact"/>
              <w:rPr>
                <w:sz w:val="20"/>
                <w:szCs w:val="20"/>
                <w:color w:val="auto"/>
              </w:rPr>
            </w:pPr>
            <w:r>
              <w:rPr>
                <w:rFonts w:ascii="Arial" w:cs="Arial" w:eastAsia="Arial" w:hAnsi="Arial"/>
                <w:sz w:val="13"/>
                <w:szCs w:val="13"/>
                <w:color w:val="auto"/>
              </w:rPr>
              <w:t>1,692,399</w:t>
            </w:r>
          </w:p>
        </w:tc>
        <w:tc>
          <w:tcPr>
            <w:tcW w:w="100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85,437</w:t>
            </w:r>
          </w:p>
        </w:tc>
        <w:tc>
          <w:tcPr>
            <w:tcW w:w="8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1,848,857</w:t>
            </w:r>
          </w:p>
        </w:tc>
        <w:tc>
          <w:tcPr>
            <w:tcW w:w="0" w:type="dxa"/>
            <w:vAlign w:val="bottom"/>
          </w:tcPr>
          <w:p>
            <w:pPr>
              <w:spacing w:after="0"/>
              <w:rPr>
                <w:sz w:val="1"/>
                <w:szCs w:val="1"/>
                <w:color w:val="auto"/>
              </w:rPr>
            </w:pPr>
          </w:p>
        </w:tc>
      </w:tr>
      <w:tr>
        <w:trPr>
          <w:trHeight w:val="143"/>
        </w:trPr>
        <w:tc>
          <w:tcPr>
            <w:tcW w:w="1620" w:type="dxa"/>
            <w:vAlign w:val="bottom"/>
          </w:tcPr>
          <w:p>
            <w:pPr>
              <w:ind w:left="80"/>
              <w:spacing w:after="0" w:line="143" w:lineRule="exact"/>
              <w:rPr>
                <w:sz w:val="20"/>
                <w:szCs w:val="20"/>
                <w:color w:val="auto"/>
              </w:rPr>
            </w:pPr>
            <w:r>
              <w:rPr>
                <w:rFonts w:ascii="Arial" w:cs="Arial" w:eastAsia="Arial" w:hAnsi="Arial"/>
                <w:sz w:val="13"/>
                <w:szCs w:val="13"/>
                <w:color w:val="auto"/>
              </w:rPr>
              <w:t>Carroll</w:t>
            </w:r>
          </w:p>
        </w:tc>
        <w:tc>
          <w:tcPr>
            <w:tcW w:w="10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43" w:lineRule="exact"/>
              <w:rPr>
                <w:sz w:val="20"/>
                <w:szCs w:val="20"/>
                <w:color w:val="auto"/>
              </w:rPr>
            </w:pPr>
            <w:r>
              <w:rPr>
                <w:rFonts w:ascii="Arial" w:cs="Arial" w:eastAsia="Arial" w:hAnsi="Arial"/>
                <w:sz w:val="13"/>
                <w:szCs w:val="13"/>
                <w:color w:val="auto"/>
              </w:rPr>
              <w:t>77,898</w:t>
            </w:r>
          </w:p>
        </w:tc>
        <w:tc>
          <w:tcPr>
            <w:tcW w:w="90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1,685,713</w:t>
            </w:r>
          </w:p>
        </w:tc>
        <w:tc>
          <w:tcPr>
            <w:tcW w:w="100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158,764</w:t>
            </w: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3,435,653</w:t>
            </w:r>
          </w:p>
        </w:tc>
        <w:tc>
          <w:tcPr>
            <w:tcW w:w="0" w:type="dxa"/>
            <w:vAlign w:val="bottom"/>
          </w:tcPr>
          <w:p>
            <w:pPr>
              <w:spacing w:after="0"/>
              <w:rPr>
                <w:sz w:val="1"/>
                <w:szCs w:val="1"/>
                <w:color w:val="auto"/>
              </w:rPr>
            </w:pPr>
          </w:p>
        </w:tc>
      </w:tr>
      <w:tr>
        <w:trPr>
          <w:trHeight w:val="143"/>
        </w:trPr>
        <w:tc>
          <w:tcPr>
            <w:tcW w:w="16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Colvin</w:t>
            </w:r>
          </w:p>
        </w:tc>
        <w:tc>
          <w:tcPr>
            <w:tcW w:w="10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shd w:val="clear" w:color="auto" w:fill="D8E7F3"/>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22,933</w:t>
            </w:r>
          </w:p>
        </w:tc>
        <w:tc>
          <w:tcPr>
            <w:tcW w:w="900" w:type="dxa"/>
            <w:vAlign w:val="bottom"/>
            <w:shd w:val="clear" w:color="auto" w:fill="D8E7F3"/>
          </w:tcPr>
          <w:p>
            <w:pPr>
              <w:jc w:val="right"/>
              <w:ind w:right="137"/>
              <w:spacing w:after="0" w:line="143" w:lineRule="exact"/>
              <w:rPr>
                <w:sz w:val="20"/>
                <w:szCs w:val="20"/>
                <w:color w:val="auto"/>
              </w:rPr>
            </w:pPr>
            <w:r>
              <w:rPr>
                <w:rFonts w:ascii="Arial" w:cs="Arial" w:eastAsia="Arial" w:hAnsi="Arial"/>
                <w:sz w:val="13"/>
                <w:szCs w:val="13"/>
                <w:color w:val="auto"/>
              </w:rPr>
              <w:t>496,270</w:t>
            </w:r>
          </w:p>
        </w:tc>
        <w:tc>
          <w:tcPr>
            <w:tcW w:w="100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20,634</w:t>
            </w:r>
          </w:p>
        </w:tc>
        <w:tc>
          <w:tcPr>
            <w:tcW w:w="8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446,520</w:t>
            </w:r>
          </w:p>
        </w:tc>
        <w:tc>
          <w:tcPr>
            <w:tcW w:w="0" w:type="dxa"/>
            <w:vAlign w:val="bottom"/>
          </w:tcPr>
          <w:p>
            <w:pPr>
              <w:spacing w:after="0"/>
              <w:rPr>
                <w:sz w:val="1"/>
                <w:szCs w:val="1"/>
                <w:color w:val="auto"/>
              </w:rPr>
            </w:pPr>
          </w:p>
        </w:tc>
      </w:tr>
      <w:tr>
        <w:trPr>
          <w:trHeight w:val="143"/>
        </w:trPr>
        <w:tc>
          <w:tcPr>
            <w:tcW w:w="1620" w:type="dxa"/>
            <w:vAlign w:val="bottom"/>
          </w:tcPr>
          <w:p>
            <w:pPr>
              <w:ind w:left="80"/>
              <w:spacing w:after="0" w:line="143" w:lineRule="exact"/>
              <w:rPr>
                <w:sz w:val="20"/>
                <w:szCs w:val="20"/>
                <w:color w:val="auto"/>
              </w:rPr>
            </w:pPr>
            <w:r>
              <w:rPr>
                <w:rFonts w:ascii="Arial" w:cs="Arial" w:eastAsia="Arial" w:hAnsi="Arial"/>
                <w:sz w:val="13"/>
                <w:szCs w:val="13"/>
                <w:color w:val="auto"/>
              </w:rPr>
              <w:t>Doyle</w:t>
            </w:r>
          </w:p>
        </w:tc>
        <w:tc>
          <w:tcPr>
            <w:tcW w:w="10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43" w:lineRule="exact"/>
              <w:rPr>
                <w:sz w:val="20"/>
                <w:szCs w:val="20"/>
                <w:color w:val="auto"/>
              </w:rPr>
            </w:pPr>
            <w:r>
              <w:rPr>
                <w:rFonts w:ascii="Arial" w:cs="Arial" w:eastAsia="Arial" w:hAnsi="Arial"/>
                <w:sz w:val="13"/>
                <w:szCs w:val="13"/>
                <w:color w:val="auto"/>
              </w:rPr>
              <w:t>20,345</w:t>
            </w:r>
          </w:p>
        </w:tc>
        <w:tc>
          <w:tcPr>
            <w:tcW w:w="90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440,266</w:t>
            </w:r>
          </w:p>
        </w:tc>
        <w:tc>
          <w:tcPr>
            <w:tcW w:w="100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47,991</w:t>
            </w: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1,038,525</w:t>
            </w:r>
          </w:p>
        </w:tc>
        <w:tc>
          <w:tcPr>
            <w:tcW w:w="0" w:type="dxa"/>
            <w:vAlign w:val="bottom"/>
          </w:tcPr>
          <w:p>
            <w:pPr>
              <w:spacing w:after="0"/>
              <w:rPr>
                <w:sz w:val="1"/>
                <w:szCs w:val="1"/>
                <w:color w:val="auto"/>
              </w:rPr>
            </w:pPr>
          </w:p>
        </w:tc>
      </w:tr>
      <w:tr>
        <w:trPr>
          <w:trHeight w:val="143"/>
        </w:trPr>
        <w:tc>
          <w:tcPr>
            <w:tcW w:w="16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Knight</w:t>
            </w:r>
          </w:p>
        </w:tc>
        <w:tc>
          <w:tcPr>
            <w:tcW w:w="10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shd w:val="clear" w:color="auto" w:fill="D8E7F3"/>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25,802</w:t>
            </w:r>
          </w:p>
        </w:tc>
        <w:tc>
          <w:tcPr>
            <w:tcW w:w="900" w:type="dxa"/>
            <w:vAlign w:val="bottom"/>
            <w:shd w:val="clear" w:color="auto" w:fill="D8E7F3"/>
          </w:tcPr>
          <w:p>
            <w:pPr>
              <w:jc w:val="right"/>
              <w:ind w:right="137"/>
              <w:spacing w:after="0" w:line="143" w:lineRule="exact"/>
              <w:rPr>
                <w:sz w:val="20"/>
                <w:szCs w:val="20"/>
                <w:color w:val="auto"/>
              </w:rPr>
            </w:pPr>
            <w:r>
              <w:rPr>
                <w:rFonts w:ascii="Arial" w:cs="Arial" w:eastAsia="Arial" w:hAnsi="Arial"/>
                <w:sz w:val="13"/>
                <w:szCs w:val="13"/>
                <w:color w:val="auto"/>
              </w:rPr>
              <w:t>558,355</w:t>
            </w:r>
          </w:p>
        </w:tc>
        <w:tc>
          <w:tcPr>
            <w:tcW w:w="100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37,579</w:t>
            </w:r>
          </w:p>
        </w:tc>
        <w:tc>
          <w:tcPr>
            <w:tcW w:w="8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813,210</w:t>
            </w:r>
          </w:p>
        </w:tc>
        <w:tc>
          <w:tcPr>
            <w:tcW w:w="0" w:type="dxa"/>
            <w:vAlign w:val="bottom"/>
          </w:tcPr>
          <w:p>
            <w:pPr>
              <w:spacing w:after="0"/>
              <w:rPr>
                <w:sz w:val="1"/>
                <w:szCs w:val="1"/>
                <w:color w:val="auto"/>
              </w:rPr>
            </w:pPr>
          </w:p>
        </w:tc>
      </w:tr>
      <w:tr>
        <w:trPr>
          <w:trHeight w:val="143"/>
        </w:trPr>
        <w:tc>
          <w:tcPr>
            <w:tcW w:w="1620" w:type="dxa"/>
            <w:vAlign w:val="bottom"/>
          </w:tcPr>
          <w:p>
            <w:pPr>
              <w:ind w:left="80"/>
              <w:spacing w:after="0" w:line="143" w:lineRule="exact"/>
              <w:rPr>
                <w:sz w:val="20"/>
                <w:szCs w:val="20"/>
                <w:color w:val="auto"/>
              </w:rPr>
            </w:pPr>
            <w:r>
              <w:rPr>
                <w:rFonts w:ascii="Arial" w:cs="Arial" w:eastAsia="Arial" w:hAnsi="Arial"/>
                <w:sz w:val="13"/>
                <w:szCs w:val="13"/>
                <w:color w:val="auto"/>
              </w:rPr>
              <w:t>Prochazka</w:t>
            </w:r>
          </w:p>
        </w:tc>
        <w:tc>
          <w:tcPr>
            <w:tcW w:w="10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43" w:lineRule="exact"/>
              <w:rPr>
                <w:sz w:val="20"/>
                <w:szCs w:val="20"/>
                <w:color w:val="auto"/>
              </w:rPr>
            </w:pPr>
            <w:r>
              <w:rPr>
                <w:rFonts w:ascii="Arial" w:cs="Arial" w:eastAsia="Arial" w:hAnsi="Arial"/>
                <w:sz w:val="13"/>
                <w:szCs w:val="13"/>
                <w:color w:val="auto"/>
              </w:rPr>
              <w:t>118,742</w:t>
            </w:r>
          </w:p>
        </w:tc>
        <w:tc>
          <w:tcPr>
            <w:tcW w:w="90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2,569,577</w:t>
            </w:r>
          </w:p>
        </w:tc>
        <w:tc>
          <w:tcPr>
            <w:tcW w:w="100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139,634</w:t>
            </w: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3,021,680</w:t>
            </w:r>
          </w:p>
        </w:tc>
        <w:tc>
          <w:tcPr>
            <w:tcW w:w="0" w:type="dxa"/>
            <w:vAlign w:val="bottom"/>
          </w:tcPr>
          <w:p>
            <w:pPr>
              <w:spacing w:after="0"/>
              <w:rPr>
                <w:sz w:val="1"/>
                <w:szCs w:val="1"/>
                <w:color w:val="auto"/>
              </w:rPr>
            </w:pPr>
          </w:p>
        </w:tc>
      </w:tr>
      <w:tr>
        <w:trPr>
          <w:trHeight w:val="143"/>
        </w:trPr>
        <w:tc>
          <w:tcPr>
            <w:tcW w:w="16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Somerhalder</w:t>
            </w:r>
          </w:p>
        </w:tc>
        <w:tc>
          <w:tcPr>
            <w:tcW w:w="10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shd w:val="clear" w:color="auto" w:fill="D8E7F3"/>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900" w:type="dxa"/>
            <w:vAlign w:val="bottom"/>
            <w:shd w:val="clear" w:color="auto" w:fill="D8E7F3"/>
          </w:tcPr>
          <w:p>
            <w:pPr>
              <w:jc w:val="right"/>
              <w:ind w:right="13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620" w:type="dxa"/>
            <w:vAlign w:val="bottom"/>
          </w:tcPr>
          <w:p>
            <w:pPr>
              <w:ind w:left="80"/>
              <w:spacing w:after="0" w:line="143" w:lineRule="exact"/>
              <w:rPr>
                <w:sz w:val="20"/>
                <w:szCs w:val="20"/>
                <w:color w:val="auto"/>
              </w:rPr>
            </w:pPr>
            <w:r>
              <w:rPr>
                <w:rFonts w:ascii="Arial" w:cs="Arial" w:eastAsia="Arial" w:hAnsi="Arial"/>
                <w:sz w:val="13"/>
                <w:szCs w:val="13"/>
                <w:color w:val="auto"/>
              </w:rPr>
              <w:t>Liu</w:t>
            </w:r>
          </w:p>
        </w:tc>
        <w:tc>
          <w:tcPr>
            <w:tcW w:w="10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Vortherms</w:t>
            </w:r>
          </w:p>
        </w:tc>
        <w:tc>
          <w:tcPr>
            <w:tcW w:w="10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8E7F3"/>
          </w:tcPr>
          <w:p>
            <w:pPr>
              <w:jc w:val="right"/>
              <w:ind w:right="377"/>
              <w:spacing w:after="0" w:line="143" w:lineRule="exact"/>
              <w:rPr>
                <w:sz w:val="20"/>
                <w:szCs w:val="20"/>
                <w:color w:val="auto"/>
              </w:rPr>
            </w:pPr>
            <w:r>
              <w:rPr>
                <w:rFonts w:ascii="Arial" w:cs="Arial" w:eastAsia="Arial" w:hAnsi="Arial"/>
                <w:sz w:val="13"/>
                <w:szCs w:val="13"/>
                <w:color w:val="auto"/>
              </w:rPr>
              <w:t>—</w:t>
            </w:r>
          </w:p>
        </w:tc>
        <w:tc>
          <w:tcPr>
            <w:tcW w:w="96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D8E7F3"/>
          </w:tcPr>
          <w:p>
            <w:pPr>
              <w:jc w:val="right"/>
              <w:ind w:right="217"/>
              <w:spacing w:after="0" w:line="143" w:lineRule="exact"/>
              <w:rPr>
                <w:sz w:val="20"/>
                <w:szCs w:val="20"/>
                <w:color w:val="auto"/>
              </w:rPr>
            </w:pPr>
            <w:r>
              <w:rPr>
                <w:rFonts w:ascii="Arial" w:cs="Arial" w:eastAsia="Arial" w:hAnsi="Arial"/>
                <w:sz w:val="13"/>
                <w:szCs w:val="13"/>
                <w:color w:val="auto"/>
              </w:rPr>
              <w:t>—</w:t>
            </w:r>
          </w:p>
        </w:tc>
        <w:tc>
          <w:tcPr>
            <w:tcW w:w="820" w:type="dxa"/>
            <w:vAlign w:val="bottom"/>
            <w:shd w:val="clear" w:color="auto" w:fill="D8E7F3"/>
          </w:tcPr>
          <w:p>
            <w:pPr>
              <w:ind w:left="360"/>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10,218</w:t>
            </w:r>
          </w:p>
        </w:tc>
        <w:tc>
          <w:tcPr>
            <w:tcW w:w="900" w:type="dxa"/>
            <w:vAlign w:val="bottom"/>
            <w:shd w:val="clear" w:color="auto" w:fill="D8E7F3"/>
          </w:tcPr>
          <w:p>
            <w:pPr>
              <w:jc w:val="right"/>
              <w:ind w:right="137"/>
              <w:spacing w:after="0" w:line="143" w:lineRule="exact"/>
              <w:rPr>
                <w:sz w:val="20"/>
                <w:szCs w:val="20"/>
                <w:color w:val="auto"/>
              </w:rPr>
            </w:pPr>
            <w:r>
              <w:rPr>
                <w:rFonts w:ascii="Arial" w:cs="Arial" w:eastAsia="Arial" w:hAnsi="Arial"/>
                <w:sz w:val="13"/>
                <w:szCs w:val="13"/>
                <w:color w:val="auto"/>
              </w:rPr>
              <w:t>221,118</w:t>
            </w:r>
          </w:p>
        </w:tc>
        <w:tc>
          <w:tcPr>
            <w:tcW w:w="1000" w:type="dxa"/>
            <w:vAlign w:val="bottom"/>
            <w:shd w:val="clear" w:color="auto" w:fill="D8E7F3"/>
          </w:tcPr>
          <w:p>
            <w:pPr>
              <w:jc w:val="right"/>
              <w:ind w:right="197"/>
              <w:spacing w:after="0" w:line="143" w:lineRule="exact"/>
              <w:rPr>
                <w:sz w:val="20"/>
                <w:szCs w:val="20"/>
                <w:color w:val="auto"/>
              </w:rPr>
            </w:pPr>
            <w:r>
              <w:rPr>
                <w:rFonts w:ascii="Arial" w:cs="Arial" w:eastAsia="Arial" w:hAnsi="Arial"/>
                <w:sz w:val="13"/>
                <w:szCs w:val="13"/>
                <w:color w:val="auto"/>
              </w:rPr>
              <w:t>19,003</w:t>
            </w:r>
          </w:p>
        </w:tc>
        <w:tc>
          <w:tcPr>
            <w:tcW w:w="8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411,225</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hanging="291"/>
        <w:spacing w:after="0"/>
        <w:tabs>
          <w:tab w:leader="none" w:pos="3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Outstanding stock awards fully vest on the following dates: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760" w:type="dxa"/>
            <w:vAlign w:val="bottom"/>
            <w:shd w:val="clear" w:color="auto" w:fill="0061AF"/>
          </w:tcPr>
          <w:p>
            <w:pPr>
              <w:spacing w:after="0"/>
              <w:rPr>
                <w:sz w:val="13"/>
                <w:szCs w:val="13"/>
                <w:color w:val="auto"/>
              </w:rPr>
            </w:pPr>
          </w:p>
        </w:tc>
        <w:tc>
          <w:tcPr>
            <w:tcW w:w="920" w:type="dxa"/>
            <w:vAlign w:val="bottom"/>
            <w:shd w:val="clear" w:color="auto" w:fill="0061AF"/>
          </w:tcPr>
          <w:p>
            <w:pPr>
              <w:ind w:left="40"/>
              <w:spacing w:after="0"/>
              <w:rPr>
                <w:sz w:val="20"/>
                <w:szCs w:val="20"/>
                <w:color w:val="auto"/>
              </w:rPr>
            </w:pPr>
            <w:r>
              <w:rPr>
                <w:rFonts w:ascii="Arial" w:cs="Arial" w:eastAsia="Arial" w:hAnsi="Arial"/>
                <w:sz w:val="13"/>
                <w:szCs w:val="13"/>
                <w:b w:val="1"/>
                <w:bCs w:val="1"/>
                <w:color w:val="FFFFFF"/>
              </w:rPr>
              <w:t>Type of Stock</w:t>
            </w:r>
          </w:p>
        </w:tc>
        <w:tc>
          <w:tcPr>
            <w:tcW w:w="740" w:type="dxa"/>
            <w:vAlign w:val="bottom"/>
            <w:shd w:val="clear" w:color="auto" w:fill="0061AF"/>
          </w:tcPr>
          <w:p>
            <w:pPr>
              <w:jc w:val="center"/>
              <w:ind w:right="37"/>
              <w:spacing w:after="0"/>
              <w:rPr>
                <w:sz w:val="20"/>
                <w:szCs w:val="20"/>
                <w:color w:val="auto"/>
              </w:rPr>
            </w:pPr>
            <w:r>
              <w:rPr>
                <w:rFonts w:ascii="Arial" w:cs="Arial" w:eastAsia="Arial" w:hAnsi="Arial"/>
                <w:sz w:val="13"/>
                <w:szCs w:val="13"/>
                <w:b w:val="1"/>
                <w:bCs w:val="1"/>
                <w:color w:val="FFFFFF"/>
                <w:w w:val="93"/>
              </w:rPr>
              <w:t>Vesting</w:t>
            </w:r>
          </w:p>
        </w:tc>
        <w:tc>
          <w:tcPr>
            <w:tcW w:w="500" w:type="dxa"/>
            <w:vAlign w:val="bottom"/>
            <w:shd w:val="clear" w:color="auto" w:fill="0061AF"/>
          </w:tcPr>
          <w:p>
            <w:pPr>
              <w:spacing w:after="0"/>
              <w:rPr>
                <w:sz w:val="13"/>
                <w:szCs w:val="13"/>
                <w:color w:val="auto"/>
              </w:rPr>
            </w:pPr>
          </w:p>
        </w:tc>
        <w:tc>
          <w:tcPr>
            <w:tcW w:w="100" w:type="dxa"/>
            <w:vAlign w:val="bottom"/>
            <w:shd w:val="clear" w:color="auto" w:fill="0061AF"/>
          </w:tcPr>
          <w:p>
            <w:pPr>
              <w:spacing w:after="0"/>
              <w:rPr>
                <w:sz w:val="13"/>
                <w:szCs w:val="13"/>
                <w:color w:val="auto"/>
              </w:rPr>
            </w:pPr>
          </w:p>
        </w:tc>
        <w:tc>
          <w:tcPr>
            <w:tcW w:w="420" w:type="dxa"/>
            <w:vAlign w:val="bottom"/>
            <w:shd w:val="clear" w:color="auto" w:fill="0061AF"/>
          </w:tcPr>
          <w:p>
            <w:pPr>
              <w:spacing w:after="0"/>
              <w:rPr>
                <w:sz w:val="13"/>
                <w:szCs w:val="13"/>
                <w:color w:val="auto"/>
              </w:rPr>
            </w:pPr>
          </w:p>
        </w:tc>
        <w:tc>
          <w:tcPr>
            <w:tcW w:w="120" w:type="dxa"/>
            <w:vAlign w:val="bottom"/>
            <w:shd w:val="clear" w:color="auto" w:fill="0061AF"/>
          </w:tcPr>
          <w:p>
            <w:pPr>
              <w:spacing w:after="0"/>
              <w:rPr>
                <w:sz w:val="13"/>
                <w:szCs w:val="13"/>
                <w:color w:val="auto"/>
              </w:rPr>
            </w:pPr>
          </w:p>
        </w:tc>
        <w:tc>
          <w:tcPr>
            <w:tcW w:w="420" w:type="dxa"/>
            <w:vAlign w:val="bottom"/>
            <w:shd w:val="clear" w:color="auto" w:fill="0061AF"/>
          </w:tcPr>
          <w:p>
            <w:pPr>
              <w:spacing w:after="0"/>
              <w:rPr>
                <w:sz w:val="13"/>
                <w:szCs w:val="13"/>
                <w:color w:val="auto"/>
              </w:rPr>
            </w:pPr>
          </w:p>
        </w:tc>
        <w:tc>
          <w:tcPr>
            <w:tcW w:w="100" w:type="dxa"/>
            <w:vAlign w:val="bottom"/>
            <w:shd w:val="clear" w:color="auto" w:fill="0061AF"/>
          </w:tcPr>
          <w:p>
            <w:pPr>
              <w:spacing w:after="0"/>
              <w:rPr>
                <w:sz w:val="13"/>
                <w:szCs w:val="13"/>
                <w:color w:val="auto"/>
              </w:rPr>
            </w:pPr>
          </w:p>
        </w:tc>
        <w:tc>
          <w:tcPr>
            <w:tcW w:w="440" w:type="dxa"/>
            <w:vAlign w:val="bottom"/>
            <w:shd w:val="clear" w:color="auto" w:fill="0061AF"/>
          </w:tcPr>
          <w:p>
            <w:pPr>
              <w:spacing w:after="0"/>
              <w:rPr>
                <w:sz w:val="13"/>
                <w:szCs w:val="13"/>
                <w:color w:val="auto"/>
              </w:rPr>
            </w:pPr>
          </w:p>
        </w:tc>
        <w:tc>
          <w:tcPr>
            <w:tcW w:w="100" w:type="dxa"/>
            <w:vAlign w:val="bottom"/>
            <w:shd w:val="clear" w:color="auto" w:fill="0061AF"/>
          </w:tcPr>
          <w:p>
            <w:pPr>
              <w:spacing w:after="0"/>
              <w:rPr>
                <w:sz w:val="13"/>
                <w:szCs w:val="13"/>
                <w:color w:val="auto"/>
              </w:rPr>
            </w:pPr>
          </w:p>
        </w:tc>
        <w:tc>
          <w:tcPr>
            <w:tcW w:w="440" w:type="dxa"/>
            <w:vAlign w:val="bottom"/>
            <w:shd w:val="clear" w:color="auto" w:fill="0061AF"/>
          </w:tcPr>
          <w:p>
            <w:pPr>
              <w:spacing w:after="0"/>
              <w:rPr>
                <w:sz w:val="13"/>
                <w:szCs w:val="13"/>
                <w:color w:val="auto"/>
              </w:rPr>
            </w:pPr>
          </w:p>
        </w:tc>
        <w:tc>
          <w:tcPr>
            <w:tcW w:w="100" w:type="dxa"/>
            <w:vAlign w:val="bottom"/>
            <w:shd w:val="clear" w:color="auto" w:fill="0061AF"/>
          </w:tcPr>
          <w:p>
            <w:pPr>
              <w:spacing w:after="0"/>
              <w:rPr>
                <w:sz w:val="13"/>
                <w:szCs w:val="13"/>
                <w:color w:val="auto"/>
              </w:rPr>
            </w:pPr>
          </w:p>
        </w:tc>
        <w:tc>
          <w:tcPr>
            <w:tcW w:w="420" w:type="dxa"/>
            <w:vAlign w:val="bottom"/>
            <w:shd w:val="clear" w:color="auto" w:fill="0061AF"/>
          </w:tcPr>
          <w:p>
            <w:pPr>
              <w:spacing w:after="0"/>
              <w:rPr>
                <w:sz w:val="13"/>
                <w:szCs w:val="13"/>
                <w:color w:val="auto"/>
              </w:rPr>
            </w:pPr>
          </w:p>
        </w:tc>
        <w:tc>
          <w:tcPr>
            <w:tcW w:w="120" w:type="dxa"/>
            <w:vAlign w:val="bottom"/>
            <w:shd w:val="clear" w:color="auto" w:fill="0061AF"/>
          </w:tcPr>
          <w:p>
            <w:pPr>
              <w:spacing w:after="0"/>
              <w:rPr>
                <w:sz w:val="13"/>
                <w:szCs w:val="13"/>
                <w:color w:val="auto"/>
              </w:rPr>
            </w:pPr>
          </w:p>
        </w:tc>
        <w:tc>
          <w:tcPr>
            <w:tcW w:w="260" w:type="dxa"/>
            <w:vAlign w:val="bottom"/>
            <w:shd w:val="clear" w:color="auto" w:fill="0061AF"/>
          </w:tcPr>
          <w:p>
            <w:pPr>
              <w:spacing w:after="0"/>
              <w:rPr>
                <w:sz w:val="13"/>
                <w:szCs w:val="13"/>
                <w:color w:val="auto"/>
              </w:rPr>
            </w:pPr>
          </w:p>
        </w:tc>
        <w:tc>
          <w:tcPr>
            <w:tcW w:w="500" w:type="dxa"/>
            <w:vAlign w:val="bottom"/>
            <w:shd w:val="clear" w:color="auto" w:fill="0061AF"/>
          </w:tcPr>
          <w:p>
            <w:pPr>
              <w:spacing w:after="0"/>
              <w:rPr>
                <w:sz w:val="13"/>
                <w:szCs w:val="13"/>
                <w:color w:val="auto"/>
              </w:rPr>
            </w:pPr>
          </w:p>
        </w:tc>
        <w:tc>
          <w:tcPr>
            <w:tcW w:w="300" w:type="dxa"/>
            <w:vAlign w:val="bottom"/>
            <w:shd w:val="clear" w:color="auto" w:fill="0061AF"/>
          </w:tcPr>
          <w:p>
            <w:pPr>
              <w:spacing w:after="0"/>
              <w:rPr>
                <w:sz w:val="13"/>
                <w:szCs w:val="13"/>
                <w:color w:val="auto"/>
              </w:rPr>
            </w:pPr>
          </w:p>
        </w:tc>
        <w:tc>
          <w:tcPr>
            <w:tcW w:w="360" w:type="dxa"/>
            <w:vAlign w:val="bottom"/>
            <w:shd w:val="clear" w:color="auto" w:fill="0061AF"/>
          </w:tcPr>
          <w:p>
            <w:pPr>
              <w:spacing w:after="0"/>
              <w:rPr>
                <w:sz w:val="13"/>
                <w:szCs w:val="13"/>
                <w:color w:val="auto"/>
              </w:rPr>
            </w:pPr>
          </w:p>
        </w:tc>
        <w:tc>
          <w:tcPr>
            <w:tcW w:w="380" w:type="dxa"/>
            <w:vAlign w:val="bottom"/>
            <w:shd w:val="clear" w:color="auto" w:fill="0061AF"/>
          </w:tcPr>
          <w:p>
            <w:pPr>
              <w:spacing w:after="0"/>
              <w:rPr>
                <w:sz w:val="13"/>
                <w:szCs w:val="13"/>
                <w:color w:val="auto"/>
              </w:rPr>
            </w:pPr>
          </w:p>
        </w:tc>
        <w:tc>
          <w:tcPr>
            <w:tcW w:w="400" w:type="dxa"/>
            <w:vAlign w:val="bottom"/>
            <w:shd w:val="clear" w:color="auto" w:fill="0061AF"/>
          </w:tcPr>
          <w:p>
            <w:pPr>
              <w:spacing w:after="0"/>
              <w:rPr>
                <w:sz w:val="13"/>
                <w:szCs w:val="13"/>
                <w:color w:val="auto"/>
              </w:rPr>
            </w:pPr>
          </w:p>
        </w:tc>
        <w:tc>
          <w:tcPr>
            <w:tcW w:w="380" w:type="dxa"/>
            <w:vAlign w:val="bottom"/>
            <w:shd w:val="clear" w:color="auto" w:fill="0061AF"/>
          </w:tcPr>
          <w:p>
            <w:pPr>
              <w:spacing w:after="0"/>
              <w:rPr>
                <w:sz w:val="13"/>
                <w:szCs w:val="13"/>
                <w:color w:val="auto"/>
              </w:rPr>
            </w:pPr>
          </w:p>
        </w:tc>
        <w:tc>
          <w:tcPr>
            <w:tcW w:w="140" w:type="dxa"/>
            <w:vAlign w:val="bottom"/>
            <w:shd w:val="clear" w:color="auto" w:fill="0061AF"/>
          </w:tcPr>
          <w:p>
            <w:pPr>
              <w:spacing w:after="0"/>
              <w:rPr>
                <w:sz w:val="13"/>
                <w:szCs w:val="13"/>
                <w:color w:val="auto"/>
              </w:rPr>
            </w:pPr>
          </w:p>
        </w:tc>
        <w:tc>
          <w:tcPr>
            <w:tcW w:w="280" w:type="dxa"/>
            <w:vAlign w:val="bottom"/>
            <w:shd w:val="clear" w:color="auto" w:fill="0061AF"/>
          </w:tcPr>
          <w:p>
            <w:pPr>
              <w:spacing w:after="0"/>
              <w:rPr>
                <w:sz w:val="13"/>
                <w:szCs w:val="13"/>
                <w:color w:val="auto"/>
              </w:rPr>
            </w:pPr>
          </w:p>
        </w:tc>
        <w:tc>
          <w:tcPr>
            <w:tcW w:w="440" w:type="dxa"/>
            <w:vAlign w:val="bottom"/>
            <w:shd w:val="clear" w:color="auto" w:fill="0061AF"/>
          </w:tcPr>
          <w:p>
            <w:pPr>
              <w:spacing w:after="0"/>
              <w:rPr>
                <w:sz w:val="13"/>
                <w:szCs w:val="13"/>
                <w:color w:val="auto"/>
              </w:rPr>
            </w:pPr>
          </w:p>
        </w:tc>
        <w:tc>
          <w:tcPr>
            <w:tcW w:w="34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60" w:type="dxa"/>
            <w:vAlign w:val="bottom"/>
            <w:shd w:val="clear" w:color="auto" w:fill="0061AF"/>
          </w:tcPr>
          <w:p>
            <w:pPr>
              <w:ind w:left="60"/>
              <w:spacing w:after="0"/>
              <w:rPr>
                <w:sz w:val="20"/>
                <w:szCs w:val="20"/>
                <w:color w:val="auto"/>
              </w:rPr>
            </w:pPr>
            <w:r>
              <w:rPr>
                <w:rFonts w:ascii="Arial" w:cs="Arial" w:eastAsia="Arial" w:hAnsi="Arial"/>
                <w:sz w:val="13"/>
                <w:szCs w:val="13"/>
                <w:b w:val="1"/>
                <w:bCs w:val="1"/>
                <w:color w:val="FFFFFF"/>
              </w:rPr>
              <w:t>Grant Date</w:t>
            </w:r>
          </w:p>
        </w:tc>
        <w:tc>
          <w:tcPr>
            <w:tcW w:w="920" w:type="dxa"/>
            <w:vAlign w:val="bottom"/>
            <w:shd w:val="clear" w:color="auto" w:fill="0061AF"/>
          </w:tcPr>
          <w:p>
            <w:pPr>
              <w:ind w:left="260"/>
              <w:spacing w:after="0"/>
              <w:rPr>
                <w:sz w:val="20"/>
                <w:szCs w:val="20"/>
                <w:color w:val="auto"/>
              </w:rPr>
            </w:pPr>
            <w:r>
              <w:rPr>
                <w:rFonts w:ascii="Arial" w:cs="Arial" w:eastAsia="Arial" w:hAnsi="Arial"/>
                <w:sz w:val="13"/>
                <w:szCs w:val="13"/>
                <w:b w:val="1"/>
                <w:bCs w:val="1"/>
                <w:color w:val="FFFFFF"/>
              </w:rPr>
              <w:t>Award</w:t>
            </w:r>
          </w:p>
        </w:tc>
        <w:tc>
          <w:tcPr>
            <w:tcW w:w="740" w:type="dxa"/>
            <w:vAlign w:val="bottom"/>
            <w:shd w:val="clear" w:color="auto" w:fill="0061AF"/>
          </w:tcPr>
          <w:p>
            <w:pPr>
              <w:jc w:val="center"/>
              <w:ind w:right="37"/>
              <w:spacing w:after="0"/>
              <w:rPr>
                <w:sz w:val="20"/>
                <w:szCs w:val="20"/>
                <w:color w:val="auto"/>
              </w:rPr>
            </w:pPr>
            <w:r>
              <w:rPr>
                <w:rFonts w:ascii="Arial" w:cs="Arial" w:eastAsia="Arial" w:hAnsi="Arial"/>
                <w:sz w:val="13"/>
                <w:szCs w:val="13"/>
                <w:b w:val="1"/>
                <w:bCs w:val="1"/>
                <w:color w:val="FFFFFF"/>
                <w:w w:val="99"/>
              </w:rPr>
              <w:t>Date</w:t>
            </w:r>
          </w:p>
        </w:tc>
        <w:tc>
          <w:tcPr>
            <w:tcW w:w="600" w:type="dxa"/>
            <w:vAlign w:val="bottom"/>
            <w:gridSpan w:val="2"/>
            <w:shd w:val="clear" w:color="auto" w:fill="0061AF"/>
          </w:tcPr>
          <w:p>
            <w:pPr>
              <w:ind w:left="80"/>
              <w:spacing w:after="0"/>
              <w:rPr>
                <w:sz w:val="20"/>
                <w:szCs w:val="20"/>
                <w:color w:val="auto"/>
              </w:rPr>
            </w:pPr>
            <w:r>
              <w:rPr>
                <w:rFonts w:ascii="Arial" w:cs="Arial" w:eastAsia="Arial" w:hAnsi="Arial"/>
                <w:sz w:val="13"/>
                <w:szCs w:val="13"/>
                <w:b w:val="1"/>
                <w:bCs w:val="1"/>
                <w:color w:val="FFFFFF"/>
              </w:rPr>
              <w:t>Lesar</w:t>
            </w:r>
          </w:p>
        </w:tc>
        <w:tc>
          <w:tcPr>
            <w:tcW w:w="540" w:type="dxa"/>
            <w:vAlign w:val="bottom"/>
            <w:gridSpan w:val="2"/>
            <w:shd w:val="clear" w:color="auto" w:fill="0061AF"/>
          </w:tcPr>
          <w:p>
            <w:pPr>
              <w:jc w:val="right"/>
              <w:ind w:right="160"/>
              <w:spacing w:after="0"/>
              <w:rPr>
                <w:sz w:val="20"/>
                <w:szCs w:val="20"/>
                <w:color w:val="auto"/>
              </w:rPr>
            </w:pPr>
            <w:r>
              <w:rPr>
                <w:rFonts w:ascii="Arial" w:cs="Arial" w:eastAsia="Arial" w:hAnsi="Arial"/>
                <w:sz w:val="13"/>
                <w:szCs w:val="13"/>
                <w:b w:val="1"/>
                <w:bCs w:val="1"/>
                <w:color w:val="FFFFFF"/>
              </w:rPr>
              <w:t>Wells</w:t>
            </w:r>
          </w:p>
        </w:tc>
        <w:tc>
          <w:tcPr>
            <w:tcW w:w="520" w:type="dxa"/>
            <w:vAlign w:val="bottom"/>
            <w:gridSpan w:val="2"/>
            <w:shd w:val="clear" w:color="auto" w:fill="0061AF"/>
          </w:tcPr>
          <w:p>
            <w:pPr>
              <w:jc w:val="right"/>
              <w:ind w:right="100"/>
              <w:spacing w:after="0"/>
              <w:rPr>
                <w:sz w:val="20"/>
                <w:szCs w:val="20"/>
                <w:color w:val="auto"/>
              </w:rPr>
            </w:pPr>
            <w:r>
              <w:rPr>
                <w:rFonts w:ascii="Arial" w:cs="Arial" w:eastAsia="Arial" w:hAnsi="Arial"/>
                <w:sz w:val="13"/>
                <w:szCs w:val="13"/>
                <w:b w:val="1"/>
                <w:bCs w:val="1"/>
                <w:color w:val="FFFFFF"/>
                <w:w w:val="95"/>
              </w:rPr>
              <w:t>Carroll</w:t>
            </w:r>
          </w:p>
        </w:tc>
        <w:tc>
          <w:tcPr>
            <w:tcW w:w="540" w:type="dxa"/>
            <w:vAlign w:val="bottom"/>
            <w:gridSpan w:val="2"/>
            <w:shd w:val="clear" w:color="auto" w:fill="0061AF"/>
          </w:tcPr>
          <w:p>
            <w:pPr>
              <w:ind w:left="20"/>
              <w:spacing w:after="0"/>
              <w:rPr>
                <w:sz w:val="20"/>
                <w:szCs w:val="20"/>
                <w:color w:val="auto"/>
              </w:rPr>
            </w:pPr>
            <w:r>
              <w:rPr>
                <w:rFonts w:ascii="Arial" w:cs="Arial" w:eastAsia="Arial" w:hAnsi="Arial"/>
                <w:sz w:val="13"/>
                <w:szCs w:val="13"/>
                <w:b w:val="1"/>
                <w:bCs w:val="1"/>
                <w:color w:val="FFFFFF"/>
              </w:rPr>
              <w:t>Colvin</w:t>
            </w:r>
          </w:p>
        </w:tc>
        <w:tc>
          <w:tcPr>
            <w:tcW w:w="540" w:type="dxa"/>
            <w:vAlign w:val="bottom"/>
            <w:gridSpan w:val="2"/>
            <w:shd w:val="clear" w:color="auto" w:fill="0061AF"/>
          </w:tcPr>
          <w:p>
            <w:pPr>
              <w:ind w:left="40"/>
              <w:spacing w:after="0"/>
              <w:rPr>
                <w:sz w:val="20"/>
                <w:szCs w:val="20"/>
                <w:color w:val="auto"/>
              </w:rPr>
            </w:pPr>
            <w:r>
              <w:rPr>
                <w:rFonts w:ascii="Arial" w:cs="Arial" w:eastAsia="Arial" w:hAnsi="Arial"/>
                <w:sz w:val="13"/>
                <w:szCs w:val="13"/>
                <w:b w:val="1"/>
                <w:bCs w:val="1"/>
                <w:color w:val="FFFFFF"/>
              </w:rPr>
              <w:t>Doyle</w:t>
            </w:r>
          </w:p>
        </w:tc>
        <w:tc>
          <w:tcPr>
            <w:tcW w:w="540" w:type="dxa"/>
            <w:vAlign w:val="bottom"/>
            <w:gridSpan w:val="2"/>
            <w:shd w:val="clear" w:color="auto" w:fill="0061AF"/>
          </w:tcPr>
          <w:p>
            <w:pPr>
              <w:jc w:val="right"/>
              <w:ind w:right="120"/>
              <w:spacing w:after="0"/>
              <w:rPr>
                <w:sz w:val="20"/>
                <w:szCs w:val="20"/>
                <w:color w:val="auto"/>
              </w:rPr>
            </w:pPr>
            <w:r>
              <w:rPr>
                <w:rFonts w:ascii="Arial" w:cs="Arial" w:eastAsia="Arial" w:hAnsi="Arial"/>
                <w:sz w:val="13"/>
                <w:szCs w:val="13"/>
                <w:b w:val="1"/>
                <w:bCs w:val="1"/>
                <w:color w:val="FFFFFF"/>
                <w:w w:val="97"/>
              </w:rPr>
              <w:t>Knight</w:t>
            </w:r>
          </w:p>
        </w:tc>
        <w:tc>
          <w:tcPr>
            <w:tcW w:w="1060" w:type="dxa"/>
            <w:vAlign w:val="bottom"/>
            <w:gridSpan w:val="3"/>
            <w:shd w:val="clear" w:color="auto" w:fill="0061AF"/>
          </w:tcPr>
          <w:p>
            <w:pPr>
              <w:ind w:left="120"/>
              <w:spacing w:after="0" w:line="166" w:lineRule="exact"/>
              <w:rPr>
                <w:sz w:val="20"/>
                <w:szCs w:val="20"/>
                <w:color w:val="auto"/>
              </w:rPr>
            </w:pPr>
            <w:r>
              <w:rPr>
                <w:rFonts w:ascii="Arial" w:cs="Arial" w:eastAsia="Arial" w:hAnsi="Arial"/>
                <w:sz w:val="12"/>
                <w:szCs w:val="12"/>
                <w:b w:val="1"/>
                <w:bCs w:val="1"/>
                <w:color w:val="FFFFFF"/>
              </w:rPr>
              <w:t>Prochazka</w:t>
            </w:r>
            <w:r>
              <w:rPr>
                <w:rFonts w:ascii="Arial" w:cs="Arial" w:eastAsia="Arial" w:hAnsi="Arial"/>
                <w:sz w:val="19"/>
                <w:szCs w:val="19"/>
                <w:b w:val="1"/>
                <w:bCs w:val="1"/>
                <w:color w:val="FFFFFF"/>
                <w:vertAlign w:val="superscript"/>
              </w:rPr>
              <w:t>(a)</w:t>
            </w:r>
          </w:p>
        </w:tc>
        <w:tc>
          <w:tcPr>
            <w:tcW w:w="1140" w:type="dxa"/>
            <w:vAlign w:val="bottom"/>
            <w:gridSpan w:val="3"/>
            <w:shd w:val="clear" w:color="auto" w:fill="0061AF"/>
          </w:tcPr>
          <w:p>
            <w:pPr>
              <w:ind w:left="160"/>
              <w:spacing w:after="0"/>
              <w:rPr>
                <w:sz w:val="20"/>
                <w:szCs w:val="20"/>
                <w:color w:val="auto"/>
              </w:rPr>
            </w:pPr>
            <w:r>
              <w:rPr>
                <w:rFonts w:ascii="Arial" w:cs="Arial" w:eastAsia="Arial" w:hAnsi="Arial"/>
                <w:sz w:val="13"/>
                <w:szCs w:val="13"/>
                <w:b w:val="1"/>
                <w:bCs w:val="1"/>
                <w:color w:val="FFFFFF"/>
              </w:rPr>
              <w:t>Somerhalder</w:t>
            </w:r>
          </w:p>
        </w:tc>
        <w:tc>
          <w:tcPr>
            <w:tcW w:w="520" w:type="dxa"/>
            <w:vAlign w:val="bottom"/>
            <w:gridSpan w:val="2"/>
            <w:shd w:val="clear" w:color="auto" w:fill="0061AF"/>
          </w:tcPr>
          <w:p>
            <w:pPr>
              <w:ind w:left="100"/>
              <w:spacing w:after="0"/>
              <w:rPr>
                <w:sz w:val="20"/>
                <w:szCs w:val="20"/>
                <w:color w:val="auto"/>
              </w:rPr>
            </w:pPr>
            <w:r>
              <w:rPr>
                <w:rFonts w:ascii="Arial" w:cs="Arial" w:eastAsia="Arial" w:hAnsi="Arial"/>
                <w:sz w:val="13"/>
                <w:szCs w:val="13"/>
                <w:b w:val="1"/>
                <w:bCs w:val="1"/>
                <w:color w:val="FFFFFF"/>
              </w:rPr>
              <w:t>Liu</w:t>
            </w:r>
          </w:p>
        </w:tc>
        <w:tc>
          <w:tcPr>
            <w:tcW w:w="1060" w:type="dxa"/>
            <w:vAlign w:val="bottom"/>
            <w:gridSpan w:val="3"/>
            <w:shd w:val="clear" w:color="auto" w:fill="0061AF"/>
          </w:tcPr>
          <w:p>
            <w:pPr>
              <w:ind w:left="120"/>
              <w:spacing w:after="0" w:line="166" w:lineRule="exact"/>
              <w:rPr>
                <w:sz w:val="20"/>
                <w:szCs w:val="20"/>
                <w:color w:val="auto"/>
              </w:rPr>
            </w:pPr>
            <w:r>
              <w:rPr>
                <w:rFonts w:ascii="Arial" w:cs="Arial" w:eastAsia="Arial" w:hAnsi="Arial"/>
                <w:sz w:val="12"/>
                <w:szCs w:val="12"/>
                <w:b w:val="1"/>
                <w:bCs w:val="1"/>
                <w:color w:val="FFFFFF"/>
              </w:rPr>
              <w:t>Vortherms</w:t>
            </w:r>
            <w:r>
              <w:rPr>
                <w:rFonts w:ascii="Arial" w:cs="Arial" w:eastAsia="Arial" w:hAnsi="Arial"/>
                <w:sz w:val="19"/>
                <w:szCs w:val="19"/>
                <w:b w:val="1"/>
                <w:bCs w:val="1"/>
                <w:color w:val="FFFFFF"/>
                <w:vertAlign w:val="superscript"/>
              </w:rPr>
              <w:t>(a)</w:t>
            </w:r>
          </w:p>
        </w:tc>
        <w:tc>
          <w:tcPr>
            <w:tcW w:w="0" w:type="dxa"/>
            <w:vAlign w:val="bottom"/>
          </w:tcPr>
          <w:p>
            <w:pPr>
              <w:spacing w:after="0"/>
              <w:rPr>
                <w:sz w:val="1"/>
                <w:szCs w:val="1"/>
                <w:color w:val="auto"/>
              </w:rPr>
            </w:pPr>
          </w:p>
        </w:tc>
      </w:tr>
      <w:tr>
        <w:trPr>
          <w:trHeight w:val="143"/>
        </w:trPr>
        <w:tc>
          <w:tcPr>
            <w:tcW w:w="760" w:type="dxa"/>
            <w:vAlign w:val="bottom"/>
          </w:tcPr>
          <w:p>
            <w:pPr>
              <w:ind w:left="60"/>
              <w:spacing w:after="0" w:line="143" w:lineRule="exact"/>
              <w:rPr>
                <w:sz w:val="20"/>
                <w:szCs w:val="20"/>
                <w:color w:val="auto"/>
              </w:rPr>
            </w:pPr>
            <w:r>
              <w:rPr>
                <w:rFonts w:ascii="Arial" w:cs="Arial" w:eastAsia="Arial" w:hAnsi="Arial"/>
                <w:sz w:val="13"/>
                <w:szCs w:val="13"/>
                <w:color w:val="auto"/>
              </w:rPr>
              <w:t>2/20/2018</w:t>
            </w:r>
          </w:p>
        </w:tc>
        <w:tc>
          <w:tcPr>
            <w:tcW w:w="920" w:type="dxa"/>
            <w:vAlign w:val="bottom"/>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auto"/>
                <w:w w:val="96"/>
              </w:rPr>
              <w:t>2/20/2021</w:t>
            </w:r>
          </w:p>
        </w:tc>
        <w:tc>
          <w:tcPr>
            <w:tcW w:w="6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23,906</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2,904</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4,209</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300"/>
              <w:spacing w:after="0" w:line="143" w:lineRule="exact"/>
              <w:rPr>
                <w:sz w:val="20"/>
                <w:szCs w:val="20"/>
                <w:color w:val="auto"/>
              </w:rPr>
            </w:pPr>
            <w:r>
              <w:rPr>
                <w:rFonts w:ascii="Arial" w:cs="Arial" w:eastAsia="Arial" w:hAnsi="Arial"/>
                <w:sz w:val="13"/>
                <w:szCs w:val="13"/>
                <w:color w:val="auto"/>
              </w:rPr>
              <w:t>61,515</w:t>
            </w:r>
          </w:p>
        </w:tc>
        <w:tc>
          <w:tcPr>
            <w:tcW w:w="360" w:type="dxa"/>
            <w:vAlign w:val="bottom"/>
          </w:tcPr>
          <w:p>
            <w:pPr>
              <w:spacing w:after="0"/>
              <w:rPr>
                <w:sz w:val="12"/>
                <w:szCs w:val="12"/>
                <w:color w:val="auto"/>
              </w:rPr>
            </w:pPr>
          </w:p>
        </w:tc>
        <w:tc>
          <w:tcPr>
            <w:tcW w:w="78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340"/>
              <w:spacing w:after="0" w:line="143" w:lineRule="exact"/>
              <w:rPr>
                <w:sz w:val="20"/>
                <w:szCs w:val="20"/>
                <w:color w:val="auto"/>
              </w:rPr>
            </w:pPr>
            <w:r>
              <w:rPr>
                <w:rFonts w:ascii="Arial" w:cs="Arial" w:eastAsia="Arial" w:hAnsi="Arial"/>
                <w:sz w:val="13"/>
                <w:szCs w:val="13"/>
                <w:color w:val="auto"/>
              </w:rPr>
              <w:t>3,519</w:t>
            </w:r>
          </w:p>
        </w:tc>
        <w:tc>
          <w:tcPr>
            <w:tcW w:w="0" w:type="dxa"/>
            <w:vAlign w:val="bottom"/>
          </w:tcPr>
          <w:p>
            <w:pPr>
              <w:spacing w:after="0"/>
              <w:rPr>
                <w:sz w:val="1"/>
                <w:szCs w:val="1"/>
                <w:color w:val="auto"/>
              </w:rPr>
            </w:pPr>
          </w:p>
        </w:tc>
      </w:tr>
      <w:tr>
        <w:trPr>
          <w:trHeight w:val="143"/>
        </w:trPr>
        <w:tc>
          <w:tcPr>
            <w:tcW w:w="76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2/19/2019</w:t>
            </w:r>
          </w:p>
        </w:tc>
        <w:tc>
          <w:tcPr>
            <w:tcW w:w="92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6"/>
              </w:rPr>
              <w:t>2/19/2022</w:t>
            </w:r>
          </w:p>
        </w:tc>
        <w:tc>
          <w:tcPr>
            <w:tcW w:w="60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23,742</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2,737</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6,488</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D8E7F3"/>
          </w:tcPr>
          <w:p>
            <w:pPr>
              <w:jc w:val="right"/>
              <w:ind w:right="300"/>
              <w:spacing w:after="0" w:line="143" w:lineRule="exact"/>
              <w:rPr>
                <w:sz w:val="20"/>
                <w:szCs w:val="20"/>
                <w:color w:val="auto"/>
              </w:rPr>
            </w:pPr>
            <w:r>
              <w:rPr>
                <w:rFonts w:ascii="Arial" w:cs="Arial" w:eastAsia="Arial" w:hAnsi="Arial"/>
                <w:sz w:val="13"/>
                <w:szCs w:val="13"/>
                <w:color w:val="auto"/>
              </w:rPr>
              <w:t>57,227</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1060" w:type="dxa"/>
            <w:vAlign w:val="bottom"/>
            <w:gridSpan w:val="3"/>
            <w:shd w:val="clear" w:color="auto" w:fill="D8E7F3"/>
          </w:tcPr>
          <w:p>
            <w:pPr>
              <w:jc w:val="right"/>
              <w:ind w:right="340"/>
              <w:spacing w:after="0" w:line="143" w:lineRule="exact"/>
              <w:rPr>
                <w:sz w:val="20"/>
                <w:szCs w:val="20"/>
                <w:color w:val="auto"/>
              </w:rPr>
            </w:pPr>
            <w:r>
              <w:rPr>
                <w:rFonts w:ascii="Arial" w:cs="Arial" w:eastAsia="Arial" w:hAnsi="Arial"/>
                <w:sz w:val="13"/>
                <w:szCs w:val="13"/>
                <w:color w:val="auto"/>
              </w:rPr>
              <w:t>5,383</w:t>
            </w:r>
          </w:p>
        </w:tc>
        <w:tc>
          <w:tcPr>
            <w:tcW w:w="0" w:type="dxa"/>
            <w:vAlign w:val="bottom"/>
          </w:tcPr>
          <w:p>
            <w:pPr>
              <w:spacing w:after="0"/>
              <w:rPr>
                <w:sz w:val="1"/>
                <w:szCs w:val="1"/>
                <w:color w:val="auto"/>
              </w:rPr>
            </w:pPr>
          </w:p>
        </w:tc>
      </w:tr>
      <w:tr>
        <w:trPr>
          <w:trHeight w:val="143"/>
        </w:trPr>
        <w:tc>
          <w:tcPr>
            <w:tcW w:w="760" w:type="dxa"/>
            <w:vAlign w:val="bottom"/>
          </w:tcPr>
          <w:p>
            <w:pPr>
              <w:ind w:left="60"/>
              <w:spacing w:after="0" w:line="143" w:lineRule="exact"/>
              <w:rPr>
                <w:sz w:val="20"/>
                <w:szCs w:val="20"/>
                <w:color w:val="auto"/>
              </w:rPr>
            </w:pPr>
            <w:r>
              <w:rPr>
                <w:rFonts w:ascii="Arial" w:cs="Arial" w:eastAsia="Arial" w:hAnsi="Arial"/>
                <w:sz w:val="13"/>
                <w:szCs w:val="13"/>
                <w:color w:val="auto"/>
              </w:rPr>
              <w:t>2/19/2020</w:t>
            </w:r>
          </w:p>
        </w:tc>
        <w:tc>
          <w:tcPr>
            <w:tcW w:w="920" w:type="dxa"/>
            <w:vAlign w:val="bottom"/>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auto"/>
                <w:w w:val="96"/>
              </w:rPr>
              <w:t>2/19/2023</w:t>
            </w:r>
          </w:p>
        </w:tc>
        <w:tc>
          <w:tcPr>
            <w:tcW w:w="6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30,250</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3,396</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9,648</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78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340"/>
              <w:spacing w:after="0" w:line="143" w:lineRule="exact"/>
              <w:rPr>
                <w:sz w:val="20"/>
                <w:szCs w:val="20"/>
                <w:color w:val="auto"/>
              </w:rPr>
            </w:pPr>
            <w:r>
              <w:rPr>
                <w:rFonts w:ascii="Arial" w:cs="Arial" w:eastAsia="Arial" w:hAnsi="Arial"/>
                <w:sz w:val="13"/>
                <w:szCs w:val="13"/>
                <w:color w:val="auto"/>
              </w:rPr>
              <w:t>1,316</w:t>
            </w:r>
          </w:p>
        </w:tc>
        <w:tc>
          <w:tcPr>
            <w:tcW w:w="0" w:type="dxa"/>
            <w:vAlign w:val="bottom"/>
          </w:tcPr>
          <w:p>
            <w:pPr>
              <w:spacing w:after="0"/>
              <w:rPr>
                <w:sz w:val="1"/>
                <w:szCs w:val="1"/>
                <w:color w:val="auto"/>
              </w:rPr>
            </w:pPr>
          </w:p>
        </w:tc>
      </w:tr>
      <w:tr>
        <w:trPr>
          <w:trHeight w:val="143"/>
        </w:trPr>
        <w:tc>
          <w:tcPr>
            <w:tcW w:w="76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4/6/2020</w:t>
            </w:r>
          </w:p>
        </w:tc>
        <w:tc>
          <w:tcPr>
            <w:tcW w:w="92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6"/>
              </w:rPr>
              <w:t>2/19/2023</w:t>
            </w:r>
          </w:p>
        </w:tc>
        <w:tc>
          <w:tcPr>
            <w:tcW w:w="60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1,584</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shd w:val="clear" w:color="auto" w:fill="D8E7F3"/>
          </w:tcPr>
          <w:p>
            <w:pPr>
              <w:spacing w:after="0"/>
              <w:rPr>
                <w:sz w:val="12"/>
                <w:szCs w:val="12"/>
                <w:color w:val="auto"/>
              </w:rPr>
            </w:pPr>
          </w:p>
        </w:tc>
        <w:tc>
          <w:tcPr>
            <w:tcW w:w="780" w:type="dxa"/>
            <w:vAlign w:val="bottom"/>
            <w:gridSpan w:val="2"/>
            <w:shd w:val="clear" w:color="auto" w:fill="D8E7F3"/>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tcPr>
          <w:p>
            <w:pPr>
              <w:ind w:left="60"/>
              <w:spacing w:after="0" w:line="143" w:lineRule="exact"/>
              <w:rPr>
                <w:sz w:val="20"/>
                <w:szCs w:val="20"/>
                <w:color w:val="auto"/>
              </w:rPr>
            </w:pPr>
            <w:r>
              <w:rPr>
                <w:rFonts w:ascii="Arial" w:cs="Arial" w:eastAsia="Arial" w:hAnsi="Arial"/>
                <w:sz w:val="13"/>
                <w:szCs w:val="13"/>
                <w:color w:val="auto"/>
              </w:rPr>
              <w:t>4/6/2020</w:t>
            </w:r>
          </w:p>
        </w:tc>
        <w:tc>
          <w:tcPr>
            <w:tcW w:w="920" w:type="dxa"/>
            <w:vAlign w:val="bottom"/>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auto"/>
                <w:w w:val="94"/>
              </w:rPr>
              <w:t>4/6/2023</w:t>
            </w:r>
          </w:p>
        </w:tc>
        <w:tc>
          <w:tcPr>
            <w:tcW w:w="6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6,863</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78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7/1/2020</w:t>
            </w:r>
          </w:p>
        </w:tc>
        <w:tc>
          <w:tcPr>
            <w:tcW w:w="92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4"/>
              </w:rPr>
              <w:t>7/1/2021</w:t>
            </w:r>
          </w:p>
        </w:tc>
        <w:tc>
          <w:tcPr>
            <w:tcW w:w="60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17,298</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shd w:val="clear" w:color="auto" w:fill="D8E7F3"/>
          </w:tcPr>
          <w:p>
            <w:pPr>
              <w:spacing w:after="0"/>
              <w:rPr>
                <w:sz w:val="12"/>
                <w:szCs w:val="12"/>
                <w:color w:val="auto"/>
              </w:rPr>
            </w:pPr>
          </w:p>
        </w:tc>
        <w:tc>
          <w:tcPr>
            <w:tcW w:w="780" w:type="dxa"/>
            <w:vAlign w:val="bottom"/>
            <w:gridSpan w:val="2"/>
            <w:shd w:val="clear" w:color="auto" w:fill="D8E7F3"/>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tcPr>
          <w:p>
            <w:pPr>
              <w:ind w:left="60"/>
              <w:spacing w:after="0" w:line="143" w:lineRule="exact"/>
              <w:rPr>
                <w:sz w:val="20"/>
                <w:szCs w:val="20"/>
                <w:color w:val="auto"/>
              </w:rPr>
            </w:pPr>
            <w:r>
              <w:rPr>
                <w:rFonts w:ascii="Arial" w:cs="Arial" w:eastAsia="Arial" w:hAnsi="Arial"/>
                <w:sz w:val="13"/>
                <w:szCs w:val="13"/>
                <w:color w:val="auto"/>
              </w:rPr>
              <w:t>7/1/2020</w:t>
            </w:r>
          </w:p>
        </w:tc>
        <w:tc>
          <w:tcPr>
            <w:tcW w:w="920" w:type="dxa"/>
            <w:vAlign w:val="bottom"/>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auto"/>
                <w:w w:val="94"/>
              </w:rPr>
              <w:t>7/1/2022</w:t>
            </w:r>
          </w:p>
        </w:tc>
        <w:tc>
          <w:tcPr>
            <w:tcW w:w="6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17,298</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78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7/1/2020</w:t>
            </w:r>
          </w:p>
        </w:tc>
        <w:tc>
          <w:tcPr>
            <w:tcW w:w="92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4"/>
              </w:rPr>
              <w:t>7/1/2023</w:t>
            </w:r>
          </w:p>
        </w:tc>
        <w:tc>
          <w:tcPr>
            <w:tcW w:w="5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126,587</w:t>
            </w:r>
          </w:p>
        </w:tc>
        <w:tc>
          <w:tcPr>
            <w:tcW w:w="100" w:type="dxa"/>
            <w:vAlign w:val="bottom"/>
            <w:shd w:val="clear" w:color="auto" w:fill="D8E7F3"/>
          </w:tcPr>
          <w:p>
            <w:pPr>
              <w:spacing w:after="0"/>
              <w:rPr>
                <w:sz w:val="12"/>
                <w:szCs w:val="12"/>
                <w:color w:val="auto"/>
              </w:rPr>
            </w:pP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5,449</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shd w:val="clear" w:color="auto" w:fill="D8E7F3"/>
          </w:tcPr>
          <w:p>
            <w:pPr>
              <w:spacing w:after="0"/>
              <w:rPr>
                <w:sz w:val="12"/>
                <w:szCs w:val="12"/>
                <w:color w:val="auto"/>
              </w:rPr>
            </w:pPr>
          </w:p>
        </w:tc>
        <w:tc>
          <w:tcPr>
            <w:tcW w:w="780" w:type="dxa"/>
            <w:vAlign w:val="bottom"/>
            <w:gridSpan w:val="2"/>
            <w:shd w:val="clear" w:color="auto" w:fill="D8E7F3"/>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tcPr>
          <w:p>
            <w:pPr>
              <w:ind w:left="60"/>
              <w:spacing w:after="0" w:line="143" w:lineRule="exact"/>
              <w:rPr>
                <w:sz w:val="20"/>
                <w:szCs w:val="20"/>
                <w:color w:val="auto"/>
              </w:rPr>
            </w:pPr>
            <w:r>
              <w:rPr>
                <w:rFonts w:ascii="Arial" w:cs="Arial" w:eastAsia="Arial" w:hAnsi="Arial"/>
                <w:sz w:val="13"/>
                <w:szCs w:val="13"/>
                <w:color w:val="auto"/>
              </w:rPr>
              <w:t>8/17/2020</w:t>
            </w:r>
          </w:p>
        </w:tc>
        <w:tc>
          <w:tcPr>
            <w:tcW w:w="920" w:type="dxa"/>
            <w:vAlign w:val="bottom"/>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auto"/>
                <w:w w:val="96"/>
              </w:rPr>
              <w:t>8/17/2021</w:t>
            </w:r>
          </w:p>
        </w:tc>
        <w:tc>
          <w:tcPr>
            <w:tcW w:w="6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4,843</w:t>
            </w:r>
          </w:p>
        </w:tc>
        <w:tc>
          <w:tcPr>
            <w:tcW w:w="260" w:type="dxa"/>
            <w:vAlign w:val="bottom"/>
          </w:tcPr>
          <w:p>
            <w:pPr>
              <w:spacing w:after="0"/>
              <w:rPr>
                <w:sz w:val="12"/>
                <w:szCs w:val="12"/>
                <w:color w:val="auto"/>
              </w:rPr>
            </w:pPr>
          </w:p>
        </w:tc>
        <w:tc>
          <w:tcPr>
            <w:tcW w:w="8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78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8/17/2020</w:t>
            </w:r>
          </w:p>
        </w:tc>
        <w:tc>
          <w:tcPr>
            <w:tcW w:w="92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6"/>
              </w:rPr>
              <w:t>8/17/2022</w:t>
            </w:r>
          </w:p>
        </w:tc>
        <w:tc>
          <w:tcPr>
            <w:tcW w:w="60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4,843</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shd w:val="clear" w:color="auto" w:fill="D8E7F3"/>
          </w:tcPr>
          <w:p>
            <w:pPr>
              <w:spacing w:after="0"/>
              <w:rPr>
                <w:sz w:val="12"/>
                <w:szCs w:val="12"/>
                <w:color w:val="auto"/>
              </w:rPr>
            </w:pPr>
          </w:p>
        </w:tc>
        <w:tc>
          <w:tcPr>
            <w:tcW w:w="780" w:type="dxa"/>
            <w:vAlign w:val="bottom"/>
            <w:gridSpan w:val="2"/>
            <w:shd w:val="clear" w:color="auto" w:fill="D8E7F3"/>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tcPr>
          <w:p>
            <w:pPr>
              <w:ind w:left="60"/>
              <w:spacing w:after="0" w:line="143" w:lineRule="exact"/>
              <w:rPr>
                <w:sz w:val="20"/>
                <w:szCs w:val="20"/>
                <w:color w:val="auto"/>
              </w:rPr>
            </w:pPr>
            <w:r>
              <w:rPr>
                <w:rFonts w:ascii="Arial" w:cs="Arial" w:eastAsia="Arial" w:hAnsi="Arial"/>
                <w:sz w:val="13"/>
                <w:szCs w:val="13"/>
                <w:color w:val="auto"/>
              </w:rPr>
              <w:t>8/17/2020</w:t>
            </w:r>
          </w:p>
        </w:tc>
        <w:tc>
          <w:tcPr>
            <w:tcW w:w="920" w:type="dxa"/>
            <w:vAlign w:val="bottom"/>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auto"/>
                <w:w w:val="96"/>
              </w:rPr>
              <w:t>8/17/2023</w:t>
            </w:r>
          </w:p>
        </w:tc>
        <w:tc>
          <w:tcPr>
            <w:tcW w:w="6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16,116</w:t>
            </w:r>
          </w:p>
        </w:tc>
        <w:tc>
          <w:tcPr>
            <w:tcW w:w="260" w:type="dxa"/>
            <w:vAlign w:val="bottom"/>
          </w:tcPr>
          <w:p>
            <w:pPr>
              <w:spacing w:after="0"/>
              <w:rPr>
                <w:sz w:val="12"/>
                <w:szCs w:val="12"/>
                <w:color w:val="auto"/>
              </w:rPr>
            </w:pPr>
          </w:p>
        </w:tc>
        <w:tc>
          <w:tcPr>
            <w:tcW w:w="8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78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9/28/2020</w:t>
            </w:r>
          </w:p>
        </w:tc>
        <w:tc>
          <w:tcPr>
            <w:tcW w:w="92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6"/>
              </w:rPr>
              <w:t>9/28/2021</w:t>
            </w:r>
          </w:p>
        </w:tc>
        <w:tc>
          <w:tcPr>
            <w:tcW w:w="60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26,288</w:t>
            </w:r>
          </w:p>
        </w:tc>
        <w:tc>
          <w:tcPr>
            <w:tcW w:w="52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shd w:val="clear" w:color="auto" w:fill="D8E7F3"/>
          </w:tcPr>
          <w:p>
            <w:pPr>
              <w:spacing w:after="0"/>
              <w:rPr>
                <w:sz w:val="12"/>
                <w:szCs w:val="12"/>
                <w:color w:val="auto"/>
              </w:rPr>
            </w:pPr>
          </w:p>
        </w:tc>
        <w:tc>
          <w:tcPr>
            <w:tcW w:w="780" w:type="dxa"/>
            <w:vAlign w:val="bottom"/>
            <w:gridSpan w:val="2"/>
            <w:shd w:val="clear" w:color="auto" w:fill="D8E7F3"/>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tcPr>
          <w:p>
            <w:pPr>
              <w:ind w:left="60"/>
              <w:spacing w:after="0" w:line="143" w:lineRule="exact"/>
              <w:rPr>
                <w:sz w:val="20"/>
                <w:szCs w:val="20"/>
                <w:color w:val="auto"/>
              </w:rPr>
            </w:pPr>
            <w:r>
              <w:rPr>
                <w:rFonts w:ascii="Arial" w:cs="Arial" w:eastAsia="Arial" w:hAnsi="Arial"/>
                <w:sz w:val="13"/>
                <w:szCs w:val="13"/>
                <w:color w:val="auto"/>
              </w:rPr>
              <w:t>9/28/2020</w:t>
            </w:r>
          </w:p>
        </w:tc>
        <w:tc>
          <w:tcPr>
            <w:tcW w:w="920" w:type="dxa"/>
            <w:vAlign w:val="bottom"/>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auto"/>
                <w:w w:val="96"/>
              </w:rPr>
              <w:t>9/28/2022</w:t>
            </w:r>
          </w:p>
        </w:tc>
        <w:tc>
          <w:tcPr>
            <w:tcW w:w="6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26,288</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78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76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color w:val="auto"/>
              </w:rPr>
              <w:t>9/28/2020</w:t>
            </w:r>
          </w:p>
        </w:tc>
        <w:tc>
          <w:tcPr>
            <w:tcW w:w="920" w:type="dxa"/>
            <w:vAlign w:val="bottom"/>
            <w:shd w:val="clear" w:color="auto" w:fill="D8E7F3"/>
          </w:tcPr>
          <w:p>
            <w:pPr>
              <w:ind w:left="40"/>
              <w:spacing w:after="0" w:line="143" w:lineRule="exact"/>
              <w:rPr>
                <w:sz w:val="20"/>
                <w:szCs w:val="20"/>
                <w:color w:val="auto"/>
              </w:rPr>
            </w:pPr>
            <w:r>
              <w:rPr>
                <w:rFonts w:ascii="Arial" w:cs="Arial" w:eastAsia="Arial" w:hAnsi="Arial"/>
                <w:sz w:val="13"/>
                <w:szCs w:val="13"/>
                <w:color w:val="auto"/>
              </w:rPr>
              <w:t>Stock Award</w:t>
            </w:r>
          </w:p>
        </w:tc>
        <w:tc>
          <w:tcPr>
            <w:tcW w:w="740" w:type="dxa"/>
            <w:vAlign w:val="bottom"/>
            <w:shd w:val="clear" w:color="auto" w:fill="D8E7F3"/>
          </w:tcPr>
          <w:p>
            <w:pPr>
              <w:jc w:val="center"/>
              <w:spacing w:after="0" w:line="143" w:lineRule="exact"/>
              <w:rPr>
                <w:sz w:val="20"/>
                <w:szCs w:val="20"/>
                <w:color w:val="auto"/>
              </w:rPr>
            </w:pPr>
            <w:r>
              <w:rPr>
                <w:rFonts w:ascii="Arial" w:cs="Arial" w:eastAsia="Arial" w:hAnsi="Arial"/>
                <w:sz w:val="13"/>
                <w:szCs w:val="13"/>
                <w:color w:val="auto"/>
                <w:w w:val="96"/>
              </w:rPr>
              <w:t>9/28/2023</w:t>
            </w:r>
          </w:p>
        </w:tc>
        <w:tc>
          <w:tcPr>
            <w:tcW w:w="5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D8E7F3"/>
          </w:tcPr>
          <w:p>
            <w:pPr>
              <w:spacing w:after="0"/>
              <w:rPr>
                <w:sz w:val="12"/>
                <w:szCs w:val="12"/>
                <w:color w:val="auto"/>
              </w:rPr>
            </w:pP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25,631</w:t>
            </w:r>
          </w:p>
        </w:tc>
        <w:tc>
          <w:tcPr>
            <w:tcW w:w="52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D8E7F3"/>
          </w:tcPr>
          <w:p>
            <w:pPr>
              <w:ind w:left="260"/>
              <w:spacing w:after="0" w:line="143" w:lineRule="exact"/>
              <w:rPr>
                <w:sz w:val="20"/>
                <w:szCs w:val="20"/>
                <w:color w:val="auto"/>
              </w:rPr>
            </w:pPr>
            <w:r>
              <w:rPr>
                <w:rFonts w:ascii="Arial" w:cs="Arial" w:eastAsia="Arial" w:hAnsi="Arial"/>
                <w:sz w:val="13"/>
                <w:szCs w:val="13"/>
                <w:color w:val="auto"/>
              </w:rPr>
              <w:t>—</w:t>
            </w:r>
          </w:p>
        </w:tc>
        <w:tc>
          <w:tcPr>
            <w:tcW w:w="280" w:type="dxa"/>
            <w:vAlign w:val="bottom"/>
            <w:shd w:val="clear" w:color="auto" w:fill="D8E7F3"/>
          </w:tcPr>
          <w:p>
            <w:pPr>
              <w:spacing w:after="0"/>
              <w:rPr>
                <w:sz w:val="12"/>
                <w:szCs w:val="12"/>
                <w:color w:val="auto"/>
              </w:rPr>
            </w:pPr>
          </w:p>
        </w:tc>
        <w:tc>
          <w:tcPr>
            <w:tcW w:w="780" w:type="dxa"/>
            <w:vAlign w:val="bottom"/>
            <w:gridSpan w:val="2"/>
            <w:shd w:val="clear" w:color="auto" w:fill="D8E7F3"/>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161,183</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78,207</w:t>
            </w:r>
          </w:p>
        </w:tc>
        <w:tc>
          <w:tcPr>
            <w:tcW w:w="52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77,898</w:t>
            </w:r>
          </w:p>
        </w:tc>
        <w:tc>
          <w:tcPr>
            <w:tcW w:w="54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22,933</w:t>
            </w:r>
          </w:p>
        </w:tc>
        <w:tc>
          <w:tcPr>
            <w:tcW w:w="54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20,345</w:t>
            </w:r>
          </w:p>
        </w:tc>
        <w:tc>
          <w:tcPr>
            <w:tcW w:w="5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25,802</w:t>
            </w:r>
          </w:p>
        </w:tc>
        <w:tc>
          <w:tcPr>
            <w:tcW w:w="76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118,742</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ind w:left="26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260"/>
              <w:spacing w:after="0" w:line="147"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340"/>
              <w:spacing w:after="0" w:line="147" w:lineRule="exact"/>
              <w:rPr>
                <w:sz w:val="20"/>
                <w:szCs w:val="20"/>
                <w:color w:val="auto"/>
              </w:rPr>
            </w:pPr>
            <w:r>
              <w:rPr>
                <w:rFonts w:ascii="Arial" w:cs="Arial" w:eastAsia="Arial" w:hAnsi="Arial"/>
                <w:sz w:val="13"/>
                <w:szCs w:val="13"/>
                <w:color w:val="auto"/>
              </w:rPr>
              <w:t>10,218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80" w:hanging="186"/>
        <w:spacing w:after="0" w:line="237" w:lineRule="auto"/>
        <w:tabs>
          <w:tab w:leader="none" w:pos="4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For further information related to the vesting of Messrs. Prochazka’s and Vortherms’ awards in connection with their respective departures from the Company, see “Compensation Discussion and Analysis—Executive Summary.”</w:t>
      </w:r>
    </w:p>
    <w:p>
      <w:pPr>
        <w:spacing w:after="0" w:line="206"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1" w:name="page72"/>
    <w:bookmarkEnd w:id="7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6" w:lineRule="exact"/>
        <w:rPr>
          <w:sz w:val="20"/>
          <w:szCs w:val="20"/>
          <w:color w:val="auto"/>
        </w:rPr>
      </w:pPr>
    </w:p>
    <w:p>
      <w:pPr>
        <w:ind w:left="300" w:hanging="291"/>
        <w:spacing w:after="0"/>
        <w:tabs>
          <w:tab w:leader="none" w:pos="3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Outstanding performance share unit awards will fully vest on the following dates: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Grant</w:t>
            </w:r>
          </w:p>
        </w:tc>
        <w:tc>
          <w:tcPr>
            <w:tcW w:w="1020" w:type="dxa"/>
            <w:vAlign w:val="bottom"/>
            <w:shd w:val="clear" w:color="auto" w:fill="0061AF"/>
          </w:tcPr>
          <w:p>
            <w:pPr>
              <w:ind w:left="40"/>
              <w:spacing w:after="0"/>
              <w:rPr>
                <w:sz w:val="20"/>
                <w:szCs w:val="20"/>
                <w:color w:val="auto"/>
              </w:rPr>
            </w:pPr>
            <w:r>
              <w:rPr>
                <w:rFonts w:ascii="Arial" w:cs="Arial" w:eastAsia="Arial" w:hAnsi="Arial"/>
                <w:sz w:val="13"/>
                <w:szCs w:val="13"/>
                <w:b w:val="1"/>
                <w:bCs w:val="1"/>
                <w:color w:val="FFFFFF"/>
              </w:rPr>
              <w:t>Type of Stock</w:t>
            </w:r>
          </w:p>
        </w:tc>
        <w:tc>
          <w:tcPr>
            <w:tcW w:w="1300" w:type="dxa"/>
            <w:vAlign w:val="bottom"/>
            <w:shd w:val="clear" w:color="auto" w:fill="0061AF"/>
          </w:tcPr>
          <w:p>
            <w:pPr>
              <w:spacing w:after="0"/>
              <w:rPr>
                <w:sz w:val="13"/>
                <w:szCs w:val="13"/>
                <w:color w:val="auto"/>
              </w:rPr>
            </w:pPr>
          </w:p>
        </w:tc>
        <w:tc>
          <w:tcPr>
            <w:tcW w:w="500" w:type="dxa"/>
            <w:vAlign w:val="bottom"/>
            <w:shd w:val="clear" w:color="auto" w:fill="0061AF"/>
          </w:tcPr>
          <w:p>
            <w:pPr>
              <w:spacing w:after="0"/>
              <w:rPr>
                <w:sz w:val="13"/>
                <w:szCs w:val="13"/>
                <w:color w:val="auto"/>
              </w:rPr>
            </w:pPr>
          </w:p>
        </w:tc>
        <w:tc>
          <w:tcPr>
            <w:tcW w:w="100" w:type="dxa"/>
            <w:vAlign w:val="bottom"/>
            <w:shd w:val="clear" w:color="auto" w:fill="0061AF"/>
          </w:tcPr>
          <w:p>
            <w:pPr>
              <w:spacing w:after="0"/>
              <w:rPr>
                <w:sz w:val="13"/>
                <w:szCs w:val="13"/>
                <w:color w:val="auto"/>
              </w:rPr>
            </w:pPr>
          </w:p>
        </w:tc>
        <w:tc>
          <w:tcPr>
            <w:tcW w:w="440" w:type="dxa"/>
            <w:vAlign w:val="bottom"/>
            <w:shd w:val="clear" w:color="auto" w:fill="0061AF"/>
          </w:tcPr>
          <w:p>
            <w:pPr>
              <w:spacing w:after="0"/>
              <w:rPr>
                <w:sz w:val="13"/>
                <w:szCs w:val="13"/>
                <w:color w:val="auto"/>
              </w:rPr>
            </w:pPr>
          </w:p>
        </w:tc>
        <w:tc>
          <w:tcPr>
            <w:tcW w:w="100" w:type="dxa"/>
            <w:vAlign w:val="bottom"/>
            <w:shd w:val="clear" w:color="auto" w:fill="0061AF"/>
          </w:tcPr>
          <w:p>
            <w:pPr>
              <w:spacing w:after="0"/>
              <w:rPr>
                <w:sz w:val="13"/>
                <w:szCs w:val="13"/>
                <w:color w:val="auto"/>
              </w:rPr>
            </w:pPr>
          </w:p>
        </w:tc>
        <w:tc>
          <w:tcPr>
            <w:tcW w:w="500" w:type="dxa"/>
            <w:vAlign w:val="bottom"/>
            <w:shd w:val="clear" w:color="auto" w:fill="0061AF"/>
          </w:tcPr>
          <w:p>
            <w:pPr>
              <w:spacing w:after="0"/>
              <w:rPr>
                <w:sz w:val="13"/>
                <w:szCs w:val="13"/>
                <w:color w:val="auto"/>
              </w:rPr>
            </w:pPr>
          </w:p>
        </w:tc>
        <w:tc>
          <w:tcPr>
            <w:tcW w:w="100" w:type="dxa"/>
            <w:vAlign w:val="bottom"/>
            <w:shd w:val="clear" w:color="auto" w:fill="0061AF"/>
          </w:tcPr>
          <w:p>
            <w:pPr>
              <w:spacing w:after="0"/>
              <w:rPr>
                <w:sz w:val="13"/>
                <w:szCs w:val="13"/>
                <w:color w:val="auto"/>
              </w:rPr>
            </w:pPr>
          </w:p>
        </w:tc>
        <w:tc>
          <w:tcPr>
            <w:tcW w:w="440" w:type="dxa"/>
            <w:vAlign w:val="bottom"/>
            <w:shd w:val="clear" w:color="auto" w:fill="0061AF"/>
          </w:tcPr>
          <w:p>
            <w:pPr>
              <w:spacing w:after="0"/>
              <w:rPr>
                <w:sz w:val="13"/>
                <w:szCs w:val="13"/>
                <w:color w:val="auto"/>
              </w:rPr>
            </w:pPr>
          </w:p>
        </w:tc>
        <w:tc>
          <w:tcPr>
            <w:tcW w:w="100" w:type="dxa"/>
            <w:vAlign w:val="bottom"/>
            <w:shd w:val="clear" w:color="auto" w:fill="0061AF"/>
          </w:tcPr>
          <w:p>
            <w:pPr>
              <w:spacing w:after="0"/>
              <w:rPr>
                <w:sz w:val="13"/>
                <w:szCs w:val="13"/>
                <w:color w:val="auto"/>
              </w:rPr>
            </w:pPr>
          </w:p>
        </w:tc>
        <w:tc>
          <w:tcPr>
            <w:tcW w:w="420" w:type="dxa"/>
            <w:vAlign w:val="bottom"/>
            <w:shd w:val="clear" w:color="auto" w:fill="0061AF"/>
          </w:tcPr>
          <w:p>
            <w:pPr>
              <w:spacing w:after="0"/>
              <w:rPr>
                <w:sz w:val="13"/>
                <w:szCs w:val="13"/>
                <w:color w:val="auto"/>
              </w:rPr>
            </w:pPr>
          </w:p>
        </w:tc>
        <w:tc>
          <w:tcPr>
            <w:tcW w:w="120" w:type="dxa"/>
            <w:vAlign w:val="bottom"/>
            <w:shd w:val="clear" w:color="auto" w:fill="0061AF"/>
          </w:tcPr>
          <w:p>
            <w:pPr>
              <w:spacing w:after="0"/>
              <w:rPr>
                <w:sz w:val="13"/>
                <w:szCs w:val="13"/>
                <w:color w:val="auto"/>
              </w:rPr>
            </w:pPr>
          </w:p>
        </w:tc>
        <w:tc>
          <w:tcPr>
            <w:tcW w:w="420" w:type="dxa"/>
            <w:vAlign w:val="bottom"/>
            <w:shd w:val="clear" w:color="auto" w:fill="0061AF"/>
          </w:tcPr>
          <w:p>
            <w:pPr>
              <w:spacing w:after="0"/>
              <w:rPr>
                <w:sz w:val="13"/>
                <w:szCs w:val="13"/>
                <w:color w:val="auto"/>
              </w:rPr>
            </w:pPr>
          </w:p>
        </w:tc>
        <w:tc>
          <w:tcPr>
            <w:tcW w:w="120" w:type="dxa"/>
            <w:vAlign w:val="bottom"/>
            <w:shd w:val="clear" w:color="auto" w:fill="0061AF"/>
          </w:tcPr>
          <w:p>
            <w:pPr>
              <w:spacing w:after="0"/>
              <w:rPr>
                <w:sz w:val="13"/>
                <w:szCs w:val="13"/>
                <w:color w:val="auto"/>
              </w:rPr>
            </w:pPr>
          </w:p>
        </w:tc>
        <w:tc>
          <w:tcPr>
            <w:tcW w:w="1060" w:type="dxa"/>
            <w:vAlign w:val="bottom"/>
            <w:gridSpan w:val="3"/>
            <w:vMerge w:val="restart"/>
            <w:shd w:val="clear" w:color="auto" w:fill="0061AF"/>
          </w:tcPr>
          <w:p>
            <w:pPr>
              <w:ind w:left="120"/>
              <w:spacing w:after="0"/>
              <w:rPr>
                <w:sz w:val="20"/>
                <w:szCs w:val="20"/>
                <w:color w:val="auto"/>
              </w:rPr>
            </w:pPr>
            <w:r>
              <w:rPr>
                <w:rFonts w:ascii="Arial" w:cs="Arial" w:eastAsia="Arial" w:hAnsi="Arial"/>
                <w:sz w:val="13"/>
                <w:szCs w:val="13"/>
                <w:b w:val="1"/>
                <w:bCs w:val="1"/>
                <w:color w:val="FFFFFF"/>
              </w:rPr>
              <w:t>Prochazka</w:t>
            </w:r>
            <w:r>
              <w:rPr>
                <w:rFonts w:ascii="Arial" w:cs="Arial" w:eastAsia="Arial" w:hAnsi="Arial"/>
                <w:sz w:val="21"/>
                <w:szCs w:val="21"/>
                <w:b w:val="1"/>
                <w:bCs w:val="1"/>
                <w:color w:val="FFFFFF"/>
                <w:vertAlign w:val="superscript"/>
              </w:rPr>
              <w:t>(c)</w:t>
            </w:r>
          </w:p>
        </w:tc>
        <w:tc>
          <w:tcPr>
            <w:tcW w:w="360" w:type="dxa"/>
            <w:vAlign w:val="bottom"/>
            <w:shd w:val="clear" w:color="auto" w:fill="0061AF"/>
          </w:tcPr>
          <w:p>
            <w:pPr>
              <w:spacing w:after="0"/>
              <w:rPr>
                <w:sz w:val="13"/>
                <w:szCs w:val="13"/>
                <w:color w:val="auto"/>
              </w:rPr>
            </w:pPr>
          </w:p>
        </w:tc>
        <w:tc>
          <w:tcPr>
            <w:tcW w:w="380" w:type="dxa"/>
            <w:vAlign w:val="bottom"/>
            <w:shd w:val="clear" w:color="auto" w:fill="0061AF"/>
          </w:tcPr>
          <w:p>
            <w:pPr>
              <w:spacing w:after="0"/>
              <w:rPr>
                <w:sz w:val="13"/>
                <w:szCs w:val="13"/>
                <w:color w:val="auto"/>
              </w:rPr>
            </w:pPr>
          </w:p>
        </w:tc>
        <w:tc>
          <w:tcPr>
            <w:tcW w:w="400" w:type="dxa"/>
            <w:vAlign w:val="bottom"/>
            <w:shd w:val="clear" w:color="auto" w:fill="0061AF"/>
          </w:tcPr>
          <w:p>
            <w:pPr>
              <w:spacing w:after="0"/>
              <w:rPr>
                <w:sz w:val="13"/>
                <w:szCs w:val="13"/>
                <w:color w:val="auto"/>
              </w:rPr>
            </w:pPr>
          </w:p>
        </w:tc>
        <w:tc>
          <w:tcPr>
            <w:tcW w:w="380" w:type="dxa"/>
            <w:vAlign w:val="bottom"/>
            <w:shd w:val="clear" w:color="auto" w:fill="0061AF"/>
          </w:tcPr>
          <w:p>
            <w:pPr>
              <w:spacing w:after="0"/>
              <w:rPr>
                <w:sz w:val="13"/>
                <w:szCs w:val="13"/>
                <w:color w:val="auto"/>
              </w:rPr>
            </w:pPr>
          </w:p>
        </w:tc>
        <w:tc>
          <w:tcPr>
            <w:tcW w:w="160" w:type="dxa"/>
            <w:vAlign w:val="bottom"/>
            <w:shd w:val="clear" w:color="auto" w:fill="0061AF"/>
          </w:tcPr>
          <w:p>
            <w:pPr>
              <w:spacing w:after="0"/>
              <w:rPr>
                <w:sz w:val="13"/>
                <w:szCs w:val="13"/>
                <w:color w:val="auto"/>
              </w:rPr>
            </w:pPr>
          </w:p>
        </w:tc>
        <w:tc>
          <w:tcPr>
            <w:tcW w:w="1100" w:type="dxa"/>
            <w:vAlign w:val="bottom"/>
            <w:gridSpan w:val="3"/>
            <w:vMerge w:val="restart"/>
            <w:shd w:val="clear" w:color="auto" w:fill="0061AF"/>
          </w:tcPr>
          <w:p>
            <w:pPr>
              <w:jc w:val="right"/>
              <w:ind w:right="200"/>
              <w:spacing w:after="0"/>
              <w:rPr>
                <w:sz w:val="20"/>
                <w:szCs w:val="20"/>
                <w:color w:val="auto"/>
              </w:rPr>
            </w:pPr>
            <w:r>
              <w:rPr>
                <w:rFonts w:ascii="Arial" w:cs="Arial" w:eastAsia="Arial" w:hAnsi="Arial"/>
                <w:sz w:val="13"/>
                <w:szCs w:val="13"/>
                <w:b w:val="1"/>
                <w:bCs w:val="1"/>
                <w:color w:val="FFFFFF"/>
              </w:rPr>
              <w:t>Vortherms</w:t>
            </w:r>
            <w:r>
              <w:rPr>
                <w:rFonts w:ascii="Arial" w:cs="Arial" w:eastAsia="Arial" w:hAnsi="Arial"/>
                <w:sz w:val="21"/>
                <w:szCs w:val="21"/>
                <w:b w:val="1"/>
                <w:bCs w:val="1"/>
                <w:color w:val="FFFFFF"/>
                <w:vertAlign w:val="superscript"/>
              </w:rPr>
              <w:t>(c)</w:t>
            </w:r>
          </w:p>
        </w:tc>
        <w:tc>
          <w:tcPr>
            <w:tcW w:w="0" w:type="dxa"/>
            <w:vAlign w:val="bottom"/>
          </w:tcPr>
          <w:p>
            <w:pPr>
              <w:spacing w:after="0"/>
              <w:rPr>
                <w:sz w:val="1"/>
                <w:szCs w:val="1"/>
                <w:color w:val="auto"/>
              </w:rPr>
            </w:pPr>
          </w:p>
        </w:tc>
      </w:tr>
      <w:tr>
        <w:trPr>
          <w:trHeight w:val="155"/>
        </w:trPr>
        <w:tc>
          <w:tcPr>
            <w:tcW w:w="680" w:type="dxa"/>
            <w:vAlign w:val="bottom"/>
            <w:shd w:val="clear" w:color="auto" w:fill="0061AF"/>
          </w:tcPr>
          <w:p>
            <w:pPr>
              <w:spacing w:after="0"/>
              <w:rPr>
                <w:sz w:val="20"/>
                <w:szCs w:val="20"/>
                <w:color w:val="auto"/>
              </w:rPr>
            </w:pPr>
            <w:r>
              <w:rPr>
                <w:rFonts w:ascii="Arial" w:cs="Arial" w:eastAsia="Arial" w:hAnsi="Arial"/>
                <w:sz w:val="13"/>
                <w:szCs w:val="13"/>
                <w:b w:val="1"/>
                <w:bCs w:val="1"/>
                <w:color w:val="FFFFFF"/>
              </w:rPr>
              <w:t>Date</w:t>
            </w:r>
          </w:p>
        </w:tc>
        <w:tc>
          <w:tcPr>
            <w:tcW w:w="1020" w:type="dxa"/>
            <w:vAlign w:val="bottom"/>
            <w:shd w:val="clear" w:color="auto" w:fill="0061AF"/>
          </w:tcPr>
          <w:p>
            <w:pPr>
              <w:ind w:left="260"/>
              <w:spacing w:after="0"/>
              <w:rPr>
                <w:sz w:val="20"/>
                <w:szCs w:val="20"/>
                <w:color w:val="auto"/>
              </w:rPr>
            </w:pPr>
            <w:r>
              <w:rPr>
                <w:rFonts w:ascii="Arial" w:cs="Arial" w:eastAsia="Arial" w:hAnsi="Arial"/>
                <w:sz w:val="13"/>
                <w:szCs w:val="13"/>
                <w:b w:val="1"/>
                <w:bCs w:val="1"/>
                <w:color w:val="FFFFFF"/>
              </w:rPr>
              <w:t>Award</w:t>
            </w:r>
          </w:p>
        </w:tc>
        <w:tc>
          <w:tcPr>
            <w:tcW w:w="1300" w:type="dxa"/>
            <w:vAlign w:val="bottom"/>
            <w:shd w:val="clear" w:color="auto" w:fill="0061AF"/>
          </w:tcPr>
          <w:p>
            <w:pPr>
              <w:jc w:val="center"/>
              <w:ind w:right="117"/>
              <w:spacing w:after="0"/>
              <w:rPr>
                <w:sz w:val="20"/>
                <w:szCs w:val="20"/>
                <w:color w:val="auto"/>
              </w:rPr>
            </w:pPr>
            <w:r>
              <w:rPr>
                <w:rFonts w:ascii="Arial" w:cs="Arial" w:eastAsia="Arial" w:hAnsi="Arial"/>
                <w:sz w:val="13"/>
                <w:szCs w:val="13"/>
                <w:b w:val="1"/>
                <w:bCs w:val="1"/>
                <w:color w:val="FFFFFF"/>
                <w:w w:val="96"/>
              </w:rPr>
              <w:t>Vesting Date</w:t>
            </w:r>
          </w:p>
        </w:tc>
        <w:tc>
          <w:tcPr>
            <w:tcW w:w="600" w:type="dxa"/>
            <w:vAlign w:val="bottom"/>
            <w:gridSpan w:val="2"/>
            <w:shd w:val="clear" w:color="auto" w:fill="0061AF"/>
          </w:tcPr>
          <w:p>
            <w:pPr>
              <w:ind w:left="80"/>
              <w:spacing w:after="0"/>
              <w:rPr>
                <w:sz w:val="20"/>
                <w:szCs w:val="20"/>
                <w:color w:val="auto"/>
              </w:rPr>
            </w:pPr>
            <w:r>
              <w:rPr>
                <w:rFonts w:ascii="Arial" w:cs="Arial" w:eastAsia="Arial" w:hAnsi="Arial"/>
                <w:sz w:val="13"/>
                <w:szCs w:val="13"/>
                <w:b w:val="1"/>
                <w:bCs w:val="1"/>
                <w:color w:val="FFFFFF"/>
              </w:rPr>
              <w:t>Lesar</w:t>
            </w:r>
          </w:p>
        </w:tc>
        <w:tc>
          <w:tcPr>
            <w:tcW w:w="540" w:type="dxa"/>
            <w:vAlign w:val="bottom"/>
            <w:gridSpan w:val="2"/>
            <w:shd w:val="clear" w:color="auto" w:fill="0061AF"/>
          </w:tcPr>
          <w:p>
            <w:pPr>
              <w:ind w:left="60"/>
              <w:spacing w:after="0"/>
              <w:rPr>
                <w:sz w:val="20"/>
                <w:szCs w:val="20"/>
                <w:color w:val="auto"/>
              </w:rPr>
            </w:pPr>
            <w:r>
              <w:rPr>
                <w:rFonts w:ascii="Arial" w:cs="Arial" w:eastAsia="Arial" w:hAnsi="Arial"/>
                <w:sz w:val="13"/>
                <w:szCs w:val="13"/>
                <w:b w:val="1"/>
                <w:bCs w:val="1"/>
                <w:color w:val="FFFFFF"/>
              </w:rPr>
              <w:t>Wells</w:t>
            </w:r>
          </w:p>
        </w:tc>
        <w:tc>
          <w:tcPr>
            <w:tcW w:w="600" w:type="dxa"/>
            <w:vAlign w:val="bottom"/>
            <w:gridSpan w:val="2"/>
            <w:shd w:val="clear" w:color="auto" w:fill="0061AF"/>
          </w:tcPr>
          <w:p>
            <w:pPr>
              <w:ind w:left="40"/>
              <w:spacing w:after="0"/>
              <w:rPr>
                <w:sz w:val="20"/>
                <w:szCs w:val="20"/>
                <w:color w:val="auto"/>
              </w:rPr>
            </w:pPr>
            <w:r>
              <w:rPr>
                <w:rFonts w:ascii="Arial" w:cs="Arial" w:eastAsia="Arial" w:hAnsi="Arial"/>
                <w:sz w:val="13"/>
                <w:szCs w:val="13"/>
                <w:b w:val="1"/>
                <w:bCs w:val="1"/>
                <w:color w:val="FFFFFF"/>
              </w:rPr>
              <w:t>Carroll</w:t>
            </w:r>
          </w:p>
        </w:tc>
        <w:tc>
          <w:tcPr>
            <w:tcW w:w="540" w:type="dxa"/>
            <w:vAlign w:val="bottom"/>
            <w:gridSpan w:val="2"/>
            <w:shd w:val="clear" w:color="auto" w:fill="0061AF"/>
          </w:tcPr>
          <w:p>
            <w:pPr>
              <w:ind w:left="20"/>
              <w:spacing w:after="0"/>
              <w:rPr>
                <w:sz w:val="20"/>
                <w:szCs w:val="20"/>
                <w:color w:val="auto"/>
              </w:rPr>
            </w:pPr>
            <w:r>
              <w:rPr>
                <w:rFonts w:ascii="Arial" w:cs="Arial" w:eastAsia="Arial" w:hAnsi="Arial"/>
                <w:sz w:val="13"/>
                <w:szCs w:val="13"/>
                <w:b w:val="1"/>
                <w:bCs w:val="1"/>
                <w:color w:val="FFFFFF"/>
              </w:rPr>
              <w:t>Colvin</w:t>
            </w:r>
          </w:p>
        </w:tc>
        <w:tc>
          <w:tcPr>
            <w:tcW w:w="540" w:type="dxa"/>
            <w:vAlign w:val="bottom"/>
            <w:gridSpan w:val="2"/>
            <w:shd w:val="clear" w:color="auto" w:fill="0061AF"/>
          </w:tcPr>
          <w:p>
            <w:pPr>
              <w:jc w:val="right"/>
              <w:ind w:right="160"/>
              <w:spacing w:after="0"/>
              <w:rPr>
                <w:sz w:val="20"/>
                <w:szCs w:val="20"/>
                <w:color w:val="auto"/>
              </w:rPr>
            </w:pPr>
            <w:r>
              <w:rPr>
                <w:rFonts w:ascii="Arial" w:cs="Arial" w:eastAsia="Arial" w:hAnsi="Arial"/>
                <w:sz w:val="13"/>
                <w:szCs w:val="13"/>
                <w:b w:val="1"/>
                <w:bCs w:val="1"/>
                <w:color w:val="FFFFFF"/>
              </w:rPr>
              <w:t>Doyle</w:t>
            </w:r>
          </w:p>
        </w:tc>
        <w:tc>
          <w:tcPr>
            <w:tcW w:w="540" w:type="dxa"/>
            <w:vAlign w:val="bottom"/>
            <w:gridSpan w:val="2"/>
            <w:shd w:val="clear" w:color="auto" w:fill="0061AF"/>
          </w:tcPr>
          <w:p>
            <w:pPr>
              <w:jc w:val="right"/>
              <w:ind w:right="120"/>
              <w:spacing w:after="0"/>
              <w:rPr>
                <w:sz w:val="20"/>
                <w:szCs w:val="20"/>
                <w:color w:val="auto"/>
              </w:rPr>
            </w:pPr>
            <w:r>
              <w:rPr>
                <w:rFonts w:ascii="Arial" w:cs="Arial" w:eastAsia="Arial" w:hAnsi="Arial"/>
                <w:sz w:val="13"/>
                <w:szCs w:val="13"/>
                <w:b w:val="1"/>
                <w:bCs w:val="1"/>
                <w:color w:val="FFFFFF"/>
                <w:w w:val="97"/>
              </w:rPr>
              <w:t>Knight</w:t>
            </w:r>
          </w:p>
        </w:tc>
        <w:tc>
          <w:tcPr>
            <w:tcW w:w="1060" w:type="dxa"/>
            <w:vAlign w:val="bottom"/>
            <w:gridSpan w:val="3"/>
            <w:vMerge w:val="continue"/>
            <w:shd w:val="clear" w:color="auto" w:fill="0061AF"/>
          </w:tcPr>
          <w:p>
            <w:pPr>
              <w:spacing w:after="0"/>
              <w:rPr>
                <w:sz w:val="13"/>
                <w:szCs w:val="13"/>
                <w:color w:val="auto"/>
              </w:rPr>
            </w:pPr>
          </w:p>
        </w:tc>
        <w:tc>
          <w:tcPr>
            <w:tcW w:w="1140" w:type="dxa"/>
            <w:vAlign w:val="bottom"/>
            <w:gridSpan w:val="3"/>
            <w:shd w:val="clear" w:color="auto" w:fill="0061AF"/>
          </w:tcPr>
          <w:p>
            <w:pPr>
              <w:ind w:left="160"/>
              <w:spacing w:after="0"/>
              <w:rPr>
                <w:sz w:val="20"/>
                <w:szCs w:val="20"/>
                <w:color w:val="auto"/>
              </w:rPr>
            </w:pPr>
            <w:r>
              <w:rPr>
                <w:rFonts w:ascii="Arial" w:cs="Arial" w:eastAsia="Arial" w:hAnsi="Arial"/>
                <w:sz w:val="13"/>
                <w:szCs w:val="13"/>
                <w:b w:val="1"/>
                <w:bCs w:val="1"/>
                <w:color w:val="FFFFFF"/>
              </w:rPr>
              <w:t>Somerhalder</w:t>
            </w:r>
          </w:p>
        </w:tc>
        <w:tc>
          <w:tcPr>
            <w:tcW w:w="540" w:type="dxa"/>
            <w:vAlign w:val="bottom"/>
            <w:gridSpan w:val="2"/>
            <w:shd w:val="clear" w:color="auto" w:fill="0061AF"/>
          </w:tcPr>
          <w:p>
            <w:pPr>
              <w:ind w:left="100"/>
              <w:spacing w:after="0"/>
              <w:rPr>
                <w:sz w:val="20"/>
                <w:szCs w:val="20"/>
                <w:color w:val="auto"/>
              </w:rPr>
            </w:pPr>
            <w:r>
              <w:rPr>
                <w:rFonts w:ascii="Arial" w:cs="Arial" w:eastAsia="Arial" w:hAnsi="Arial"/>
                <w:sz w:val="13"/>
                <w:szCs w:val="13"/>
                <w:b w:val="1"/>
                <w:bCs w:val="1"/>
                <w:color w:val="FFFFFF"/>
              </w:rPr>
              <w:t>Liu</w:t>
            </w:r>
          </w:p>
        </w:tc>
        <w:tc>
          <w:tcPr>
            <w:tcW w:w="1100" w:type="dxa"/>
            <w:vAlign w:val="bottom"/>
            <w:gridSpan w:val="3"/>
            <w:vMerge w:val="continue"/>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80"/>
              <w:spacing w:after="0" w:line="141" w:lineRule="exact"/>
              <w:rPr>
                <w:sz w:val="20"/>
                <w:szCs w:val="20"/>
                <w:color w:val="auto"/>
              </w:rPr>
            </w:pPr>
            <w:r>
              <w:rPr>
                <w:rFonts w:ascii="Arial" w:cs="Arial" w:eastAsia="Arial" w:hAnsi="Arial"/>
                <w:sz w:val="13"/>
                <w:szCs w:val="13"/>
                <w:color w:val="auto"/>
              </w:rPr>
              <w:t>2/19/2019</w:t>
            </w:r>
          </w:p>
        </w:tc>
        <w:tc>
          <w:tcPr>
            <w:tcW w:w="1020" w:type="dxa"/>
            <w:vAlign w:val="bottom"/>
          </w:tcPr>
          <w:p>
            <w:pPr>
              <w:ind w:left="40"/>
              <w:spacing w:after="0" w:line="141" w:lineRule="exact"/>
              <w:rPr>
                <w:sz w:val="20"/>
                <w:szCs w:val="20"/>
                <w:color w:val="auto"/>
              </w:rPr>
            </w:pPr>
            <w:r>
              <w:rPr>
                <w:rFonts w:ascii="Arial" w:cs="Arial" w:eastAsia="Arial" w:hAnsi="Arial"/>
                <w:sz w:val="13"/>
                <w:szCs w:val="13"/>
                <w:color w:val="auto"/>
              </w:rPr>
              <w:t>Performance</w:t>
            </w: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1020" w:type="dxa"/>
            <w:vAlign w:val="bottom"/>
          </w:tcPr>
          <w:p>
            <w:pPr>
              <w:ind w:left="40"/>
              <w:spacing w:after="0" w:line="145" w:lineRule="exact"/>
              <w:rPr>
                <w:sz w:val="20"/>
                <w:szCs w:val="20"/>
                <w:color w:val="auto"/>
              </w:rPr>
            </w:pPr>
            <w:r>
              <w:rPr>
                <w:rFonts w:ascii="Arial" w:cs="Arial" w:eastAsia="Arial" w:hAnsi="Arial"/>
                <w:sz w:val="10"/>
                <w:szCs w:val="10"/>
                <w:color w:val="auto"/>
              </w:rPr>
              <w:t>Share Units</w:t>
            </w:r>
            <w:r>
              <w:rPr>
                <w:rFonts w:ascii="Arial" w:cs="Arial" w:eastAsia="Arial" w:hAnsi="Arial"/>
                <w:sz w:val="16"/>
                <w:szCs w:val="16"/>
                <w:color w:val="auto"/>
                <w:vertAlign w:val="superscript"/>
              </w:rPr>
              <w:t>(a)</w:t>
            </w:r>
          </w:p>
        </w:tc>
        <w:tc>
          <w:tcPr>
            <w:tcW w:w="1300" w:type="dxa"/>
            <w:vAlign w:val="bottom"/>
          </w:tcPr>
          <w:p>
            <w:pPr>
              <w:jc w:val="center"/>
              <w:ind w:right="97"/>
              <w:spacing w:after="0" w:line="146" w:lineRule="exact"/>
              <w:rPr>
                <w:sz w:val="20"/>
                <w:szCs w:val="20"/>
                <w:color w:val="auto"/>
              </w:rPr>
            </w:pPr>
            <w:r>
              <w:rPr>
                <w:rFonts w:ascii="Arial" w:cs="Arial" w:eastAsia="Arial" w:hAnsi="Arial"/>
                <w:sz w:val="13"/>
                <w:szCs w:val="13"/>
                <w:color w:val="auto"/>
                <w:w w:val="95"/>
              </w:rPr>
              <w:t>12/31/2021</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57,931</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6,678</w:t>
            </w:r>
          </w:p>
        </w:tc>
        <w:tc>
          <w:tcPr>
            <w:tcW w:w="5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15,831</w:t>
            </w:r>
          </w:p>
        </w:tc>
        <w:tc>
          <w:tcPr>
            <w:tcW w:w="5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300"/>
              <w:spacing w:after="0" w:line="146" w:lineRule="exact"/>
              <w:rPr>
                <w:sz w:val="20"/>
                <w:szCs w:val="20"/>
                <w:color w:val="auto"/>
              </w:rPr>
            </w:pPr>
            <w:r>
              <w:rPr>
                <w:rFonts w:ascii="Arial" w:cs="Arial" w:eastAsia="Arial" w:hAnsi="Arial"/>
                <w:sz w:val="13"/>
                <w:szCs w:val="13"/>
                <w:color w:val="auto"/>
              </w:rPr>
              <w:t>139,634</w:t>
            </w:r>
          </w:p>
        </w:tc>
        <w:tc>
          <w:tcPr>
            <w:tcW w:w="360" w:type="dxa"/>
            <w:vAlign w:val="bottom"/>
          </w:tcPr>
          <w:p>
            <w:pPr>
              <w:spacing w:after="0"/>
              <w:rPr>
                <w:sz w:val="12"/>
                <w:szCs w:val="12"/>
                <w:color w:val="auto"/>
              </w:rPr>
            </w:pPr>
          </w:p>
        </w:tc>
        <w:tc>
          <w:tcPr>
            <w:tcW w:w="78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380"/>
              <w:spacing w:after="0" w:line="146" w:lineRule="exact"/>
              <w:rPr>
                <w:sz w:val="20"/>
                <w:szCs w:val="20"/>
                <w:color w:val="auto"/>
              </w:rPr>
            </w:pPr>
            <w:r>
              <w:rPr>
                <w:rFonts w:ascii="Arial" w:cs="Arial" w:eastAsia="Arial" w:hAnsi="Arial"/>
                <w:sz w:val="13"/>
                <w:szCs w:val="13"/>
                <w:color w:val="auto"/>
              </w:rPr>
              <w:t>5,869</w:t>
            </w:r>
          </w:p>
        </w:tc>
        <w:tc>
          <w:tcPr>
            <w:tcW w:w="0" w:type="dxa"/>
            <w:vAlign w:val="bottom"/>
          </w:tcPr>
          <w:p>
            <w:pPr>
              <w:spacing w:after="0"/>
              <w:rPr>
                <w:sz w:val="1"/>
                <w:szCs w:val="1"/>
                <w:color w:val="auto"/>
              </w:rPr>
            </w:pPr>
          </w:p>
        </w:tc>
      </w:tr>
      <w:tr>
        <w:trPr>
          <w:trHeight w:val="140"/>
        </w:trPr>
        <w:tc>
          <w:tcPr>
            <w:tcW w:w="680" w:type="dxa"/>
            <w:vAlign w:val="bottom"/>
            <w:shd w:val="clear" w:color="auto" w:fill="D8E7F3"/>
          </w:tcPr>
          <w:p>
            <w:pPr>
              <w:ind w:left="80"/>
              <w:spacing w:after="0" w:line="141" w:lineRule="exact"/>
              <w:rPr>
                <w:sz w:val="20"/>
                <w:szCs w:val="20"/>
                <w:color w:val="auto"/>
              </w:rPr>
            </w:pPr>
            <w:r>
              <w:rPr>
                <w:rFonts w:ascii="Arial" w:cs="Arial" w:eastAsia="Arial" w:hAnsi="Arial"/>
                <w:sz w:val="13"/>
                <w:szCs w:val="13"/>
                <w:color w:val="auto"/>
              </w:rPr>
              <w:t>2/19/2020</w:t>
            </w:r>
          </w:p>
        </w:tc>
        <w:tc>
          <w:tcPr>
            <w:tcW w:w="1020" w:type="dxa"/>
            <w:vAlign w:val="bottom"/>
            <w:shd w:val="clear" w:color="auto" w:fill="D8E7F3"/>
          </w:tcPr>
          <w:p>
            <w:pPr>
              <w:ind w:left="40"/>
              <w:spacing w:after="0" w:line="141" w:lineRule="exact"/>
              <w:rPr>
                <w:sz w:val="20"/>
                <w:szCs w:val="20"/>
                <w:color w:val="auto"/>
              </w:rPr>
            </w:pPr>
            <w:r>
              <w:rPr>
                <w:rFonts w:ascii="Arial" w:cs="Arial" w:eastAsia="Arial" w:hAnsi="Arial"/>
                <w:sz w:val="13"/>
                <w:szCs w:val="13"/>
                <w:color w:val="auto"/>
              </w:rPr>
              <w:t>Performance</w:t>
            </w:r>
          </w:p>
        </w:tc>
        <w:tc>
          <w:tcPr>
            <w:tcW w:w="130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12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120" w:type="dxa"/>
            <w:vAlign w:val="bottom"/>
            <w:shd w:val="clear" w:color="auto" w:fill="D8E7F3"/>
          </w:tcPr>
          <w:p>
            <w:pPr>
              <w:spacing w:after="0"/>
              <w:rPr>
                <w:sz w:val="12"/>
                <w:szCs w:val="12"/>
                <w:color w:val="auto"/>
              </w:rPr>
            </w:pPr>
          </w:p>
        </w:tc>
        <w:tc>
          <w:tcPr>
            <w:tcW w:w="26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300" w:type="dxa"/>
            <w:vAlign w:val="bottom"/>
            <w:shd w:val="clear" w:color="auto" w:fill="D8E7F3"/>
          </w:tcPr>
          <w:p>
            <w:pPr>
              <w:spacing w:after="0"/>
              <w:rPr>
                <w:sz w:val="12"/>
                <w:szCs w:val="12"/>
                <w:color w:val="auto"/>
              </w:rPr>
            </w:pPr>
          </w:p>
        </w:tc>
        <w:tc>
          <w:tcPr>
            <w:tcW w:w="36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40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160" w:type="dxa"/>
            <w:vAlign w:val="bottom"/>
            <w:shd w:val="clear" w:color="auto" w:fill="D8E7F3"/>
          </w:tcPr>
          <w:p>
            <w:pPr>
              <w:spacing w:after="0"/>
              <w:rPr>
                <w:sz w:val="12"/>
                <w:szCs w:val="12"/>
                <w:color w:val="auto"/>
              </w:rPr>
            </w:pPr>
          </w:p>
        </w:tc>
        <w:tc>
          <w:tcPr>
            <w:tcW w:w="30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80" w:type="dxa"/>
            <w:vAlign w:val="bottom"/>
            <w:shd w:val="clear" w:color="auto" w:fill="D8E7F3"/>
          </w:tcPr>
          <w:p>
            <w:pPr>
              <w:spacing w:after="0"/>
              <w:rPr>
                <w:sz w:val="12"/>
                <w:szCs w:val="12"/>
                <w:color w:val="auto"/>
              </w:rPr>
            </w:pPr>
          </w:p>
        </w:tc>
        <w:tc>
          <w:tcPr>
            <w:tcW w:w="1020" w:type="dxa"/>
            <w:vAlign w:val="bottom"/>
            <w:shd w:val="clear" w:color="auto" w:fill="D8E7F3"/>
          </w:tcPr>
          <w:p>
            <w:pPr>
              <w:ind w:left="40"/>
              <w:spacing w:after="0" w:line="145" w:lineRule="exact"/>
              <w:rPr>
                <w:sz w:val="20"/>
                <w:szCs w:val="20"/>
                <w:color w:val="auto"/>
              </w:rPr>
            </w:pPr>
            <w:r>
              <w:rPr>
                <w:rFonts w:ascii="Arial" w:cs="Arial" w:eastAsia="Arial" w:hAnsi="Arial"/>
                <w:sz w:val="10"/>
                <w:szCs w:val="10"/>
                <w:color w:val="auto"/>
              </w:rPr>
              <w:t>Share Units</w:t>
            </w:r>
            <w:r>
              <w:rPr>
                <w:rFonts w:ascii="Arial" w:cs="Arial" w:eastAsia="Arial" w:hAnsi="Arial"/>
                <w:sz w:val="16"/>
                <w:szCs w:val="16"/>
                <w:color w:val="auto"/>
                <w:vertAlign w:val="superscript"/>
              </w:rPr>
              <w:t>(b)</w:t>
            </w:r>
          </w:p>
        </w:tc>
        <w:tc>
          <w:tcPr>
            <w:tcW w:w="1300" w:type="dxa"/>
            <w:vAlign w:val="bottom"/>
            <w:shd w:val="clear" w:color="auto" w:fill="D8E7F3"/>
          </w:tcPr>
          <w:p>
            <w:pPr>
              <w:jc w:val="center"/>
              <w:ind w:right="97"/>
              <w:spacing w:after="0" w:line="146" w:lineRule="exact"/>
              <w:rPr>
                <w:sz w:val="20"/>
                <w:szCs w:val="20"/>
                <w:color w:val="auto"/>
              </w:rPr>
            </w:pPr>
            <w:r>
              <w:rPr>
                <w:rFonts w:ascii="Arial" w:cs="Arial" w:eastAsia="Arial" w:hAnsi="Arial"/>
                <w:sz w:val="13"/>
                <w:szCs w:val="13"/>
                <w:color w:val="auto"/>
                <w:w w:val="95"/>
              </w:rPr>
              <w:t>12/31/2022</w:t>
            </w:r>
          </w:p>
        </w:tc>
        <w:tc>
          <w:tcPr>
            <w:tcW w:w="600" w:type="dxa"/>
            <w:vAlign w:val="bottom"/>
            <w:gridSpan w:val="2"/>
            <w:shd w:val="clear" w:color="auto" w:fill="D8E7F3"/>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D8E7F3"/>
          </w:tcPr>
          <w:p>
            <w:pPr>
              <w:jc w:val="right"/>
              <w:ind w:right="100"/>
              <w:spacing w:after="0" w:line="146" w:lineRule="exact"/>
              <w:rPr>
                <w:sz w:val="20"/>
                <w:szCs w:val="20"/>
                <w:color w:val="auto"/>
              </w:rPr>
            </w:pPr>
            <w:r>
              <w:rPr>
                <w:rFonts w:ascii="Arial" w:cs="Arial" w:eastAsia="Arial" w:hAnsi="Arial"/>
                <w:sz w:val="13"/>
                <w:szCs w:val="13"/>
                <w:color w:val="auto"/>
              </w:rPr>
              <w:t>100,833</w:t>
            </w:r>
          </w:p>
        </w:tc>
        <w:tc>
          <w:tcPr>
            <w:tcW w:w="540" w:type="dxa"/>
            <w:vAlign w:val="bottom"/>
            <w:gridSpan w:val="2"/>
            <w:shd w:val="clear" w:color="auto" w:fill="D8E7F3"/>
          </w:tcPr>
          <w:p>
            <w:pPr>
              <w:jc w:val="right"/>
              <w:ind w:right="100"/>
              <w:spacing w:after="0" w:line="146" w:lineRule="exact"/>
              <w:rPr>
                <w:sz w:val="20"/>
                <w:szCs w:val="20"/>
                <w:color w:val="auto"/>
              </w:rPr>
            </w:pPr>
            <w:r>
              <w:rPr>
                <w:rFonts w:ascii="Arial" w:cs="Arial" w:eastAsia="Arial" w:hAnsi="Arial"/>
                <w:sz w:val="13"/>
                <w:szCs w:val="13"/>
                <w:color w:val="auto"/>
              </w:rPr>
              <w:t>11,320</w:t>
            </w:r>
          </w:p>
        </w:tc>
        <w:tc>
          <w:tcPr>
            <w:tcW w:w="540" w:type="dxa"/>
            <w:vAlign w:val="bottom"/>
            <w:gridSpan w:val="2"/>
            <w:shd w:val="clear" w:color="auto" w:fill="D8E7F3"/>
          </w:tcPr>
          <w:p>
            <w:pPr>
              <w:jc w:val="right"/>
              <w:ind w:right="120"/>
              <w:spacing w:after="0" w:line="146" w:lineRule="exact"/>
              <w:rPr>
                <w:sz w:val="20"/>
                <w:szCs w:val="20"/>
                <w:color w:val="auto"/>
              </w:rPr>
            </w:pPr>
            <w:r>
              <w:rPr>
                <w:rFonts w:ascii="Arial" w:cs="Arial" w:eastAsia="Arial" w:hAnsi="Arial"/>
                <w:sz w:val="13"/>
                <w:szCs w:val="13"/>
                <w:color w:val="auto"/>
              </w:rPr>
              <w:t>32,160</w:t>
            </w:r>
          </w:p>
        </w:tc>
        <w:tc>
          <w:tcPr>
            <w:tcW w:w="540" w:type="dxa"/>
            <w:vAlign w:val="bottom"/>
            <w:gridSpan w:val="2"/>
            <w:shd w:val="clear" w:color="auto" w:fill="D8E7F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ind w:left="260"/>
              <w:spacing w:after="0" w:line="146"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D8E7F3"/>
          </w:tcPr>
          <w:p>
            <w:pPr>
              <w:jc w:val="right"/>
              <w:ind w:right="380"/>
              <w:spacing w:after="0" w:line="146" w:lineRule="exact"/>
              <w:rPr>
                <w:sz w:val="20"/>
                <w:szCs w:val="20"/>
                <w:color w:val="auto"/>
              </w:rPr>
            </w:pPr>
            <w:r>
              <w:rPr>
                <w:rFonts w:ascii="Arial" w:cs="Arial" w:eastAsia="Arial" w:hAnsi="Arial"/>
                <w:sz w:val="13"/>
                <w:szCs w:val="13"/>
                <w:color w:val="auto"/>
              </w:rPr>
              <w:t>13,134</w:t>
            </w:r>
          </w:p>
        </w:tc>
        <w:tc>
          <w:tcPr>
            <w:tcW w:w="0" w:type="dxa"/>
            <w:vAlign w:val="bottom"/>
          </w:tcPr>
          <w:p>
            <w:pPr>
              <w:spacing w:after="0"/>
              <w:rPr>
                <w:sz w:val="1"/>
                <w:szCs w:val="1"/>
                <w:color w:val="auto"/>
              </w:rPr>
            </w:pPr>
          </w:p>
        </w:tc>
      </w:tr>
      <w:tr>
        <w:trPr>
          <w:trHeight w:val="140"/>
        </w:trPr>
        <w:tc>
          <w:tcPr>
            <w:tcW w:w="680" w:type="dxa"/>
            <w:vAlign w:val="bottom"/>
          </w:tcPr>
          <w:p>
            <w:pPr>
              <w:ind w:left="80"/>
              <w:spacing w:after="0" w:line="141" w:lineRule="exact"/>
              <w:rPr>
                <w:sz w:val="20"/>
                <w:szCs w:val="20"/>
                <w:color w:val="auto"/>
              </w:rPr>
            </w:pPr>
            <w:r>
              <w:rPr>
                <w:rFonts w:ascii="Arial" w:cs="Arial" w:eastAsia="Arial" w:hAnsi="Arial"/>
                <w:sz w:val="13"/>
                <w:szCs w:val="13"/>
                <w:color w:val="auto"/>
              </w:rPr>
              <w:t>4/6/2020</w:t>
            </w:r>
          </w:p>
        </w:tc>
        <w:tc>
          <w:tcPr>
            <w:tcW w:w="1020" w:type="dxa"/>
            <w:vAlign w:val="bottom"/>
          </w:tcPr>
          <w:p>
            <w:pPr>
              <w:ind w:left="40"/>
              <w:spacing w:after="0" w:line="141" w:lineRule="exact"/>
              <w:rPr>
                <w:sz w:val="20"/>
                <w:szCs w:val="20"/>
                <w:color w:val="auto"/>
              </w:rPr>
            </w:pPr>
            <w:r>
              <w:rPr>
                <w:rFonts w:ascii="Arial" w:cs="Arial" w:eastAsia="Arial" w:hAnsi="Arial"/>
                <w:sz w:val="13"/>
                <w:szCs w:val="13"/>
                <w:color w:val="auto"/>
              </w:rPr>
              <w:t>Performance</w:t>
            </w: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1020" w:type="dxa"/>
            <w:vAlign w:val="bottom"/>
          </w:tcPr>
          <w:p>
            <w:pPr>
              <w:ind w:left="40"/>
              <w:spacing w:after="0" w:line="145" w:lineRule="exact"/>
              <w:rPr>
                <w:sz w:val="20"/>
                <w:szCs w:val="20"/>
                <w:color w:val="auto"/>
              </w:rPr>
            </w:pPr>
            <w:r>
              <w:rPr>
                <w:rFonts w:ascii="Arial" w:cs="Arial" w:eastAsia="Arial" w:hAnsi="Arial"/>
                <w:sz w:val="10"/>
                <w:szCs w:val="10"/>
                <w:color w:val="auto"/>
              </w:rPr>
              <w:t>Share Units</w:t>
            </w:r>
            <w:r>
              <w:rPr>
                <w:rFonts w:ascii="Arial" w:cs="Arial" w:eastAsia="Arial" w:hAnsi="Arial"/>
                <w:sz w:val="16"/>
                <w:szCs w:val="16"/>
                <w:color w:val="auto"/>
                <w:vertAlign w:val="superscript"/>
              </w:rPr>
              <w:t>(b)</w:t>
            </w:r>
          </w:p>
        </w:tc>
        <w:tc>
          <w:tcPr>
            <w:tcW w:w="1300" w:type="dxa"/>
            <w:vAlign w:val="bottom"/>
          </w:tcPr>
          <w:p>
            <w:pPr>
              <w:jc w:val="center"/>
              <w:ind w:right="97"/>
              <w:spacing w:after="0" w:line="146" w:lineRule="exact"/>
              <w:rPr>
                <w:sz w:val="20"/>
                <w:szCs w:val="20"/>
                <w:color w:val="auto"/>
              </w:rPr>
            </w:pPr>
            <w:r>
              <w:rPr>
                <w:rFonts w:ascii="Arial" w:cs="Arial" w:eastAsia="Arial" w:hAnsi="Arial"/>
                <w:sz w:val="13"/>
                <w:szCs w:val="13"/>
                <w:color w:val="auto"/>
                <w:w w:val="95"/>
              </w:rPr>
              <w:t>12/31/2022</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2,636</w:t>
            </w:r>
          </w:p>
        </w:tc>
        <w:tc>
          <w:tcPr>
            <w:tcW w:w="5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78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680" w:type="dxa"/>
            <w:vAlign w:val="bottom"/>
            <w:shd w:val="clear" w:color="auto" w:fill="D8E7F3"/>
          </w:tcPr>
          <w:p>
            <w:pPr>
              <w:ind w:left="80"/>
              <w:spacing w:after="0" w:line="141" w:lineRule="exact"/>
              <w:rPr>
                <w:sz w:val="20"/>
                <w:szCs w:val="20"/>
                <w:color w:val="auto"/>
              </w:rPr>
            </w:pPr>
            <w:r>
              <w:rPr>
                <w:rFonts w:ascii="Arial" w:cs="Arial" w:eastAsia="Arial" w:hAnsi="Arial"/>
                <w:sz w:val="13"/>
                <w:szCs w:val="13"/>
                <w:color w:val="auto"/>
              </w:rPr>
              <w:t>7/1/2020</w:t>
            </w:r>
          </w:p>
        </w:tc>
        <w:tc>
          <w:tcPr>
            <w:tcW w:w="1020" w:type="dxa"/>
            <w:vAlign w:val="bottom"/>
            <w:shd w:val="clear" w:color="auto" w:fill="D8E7F3"/>
          </w:tcPr>
          <w:p>
            <w:pPr>
              <w:ind w:left="40"/>
              <w:spacing w:after="0" w:line="141" w:lineRule="exact"/>
              <w:rPr>
                <w:sz w:val="20"/>
                <w:szCs w:val="20"/>
                <w:color w:val="auto"/>
              </w:rPr>
            </w:pPr>
            <w:r>
              <w:rPr>
                <w:rFonts w:ascii="Arial" w:cs="Arial" w:eastAsia="Arial" w:hAnsi="Arial"/>
                <w:sz w:val="13"/>
                <w:szCs w:val="13"/>
                <w:color w:val="auto"/>
              </w:rPr>
              <w:t>Performance</w:t>
            </w:r>
          </w:p>
        </w:tc>
        <w:tc>
          <w:tcPr>
            <w:tcW w:w="130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12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120" w:type="dxa"/>
            <w:vAlign w:val="bottom"/>
            <w:shd w:val="clear" w:color="auto" w:fill="D8E7F3"/>
          </w:tcPr>
          <w:p>
            <w:pPr>
              <w:spacing w:after="0"/>
              <w:rPr>
                <w:sz w:val="12"/>
                <w:szCs w:val="12"/>
                <w:color w:val="auto"/>
              </w:rPr>
            </w:pPr>
          </w:p>
        </w:tc>
        <w:tc>
          <w:tcPr>
            <w:tcW w:w="26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300" w:type="dxa"/>
            <w:vAlign w:val="bottom"/>
            <w:shd w:val="clear" w:color="auto" w:fill="D8E7F3"/>
          </w:tcPr>
          <w:p>
            <w:pPr>
              <w:spacing w:after="0"/>
              <w:rPr>
                <w:sz w:val="12"/>
                <w:szCs w:val="12"/>
                <w:color w:val="auto"/>
              </w:rPr>
            </w:pPr>
          </w:p>
        </w:tc>
        <w:tc>
          <w:tcPr>
            <w:tcW w:w="36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40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160" w:type="dxa"/>
            <w:vAlign w:val="bottom"/>
            <w:shd w:val="clear" w:color="auto" w:fill="D8E7F3"/>
          </w:tcPr>
          <w:p>
            <w:pPr>
              <w:spacing w:after="0"/>
              <w:rPr>
                <w:sz w:val="12"/>
                <w:szCs w:val="12"/>
                <w:color w:val="auto"/>
              </w:rPr>
            </w:pPr>
          </w:p>
        </w:tc>
        <w:tc>
          <w:tcPr>
            <w:tcW w:w="30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80" w:type="dxa"/>
            <w:vAlign w:val="bottom"/>
            <w:shd w:val="clear" w:color="auto" w:fill="D8E7F3"/>
          </w:tcPr>
          <w:p>
            <w:pPr>
              <w:spacing w:after="0"/>
              <w:rPr>
                <w:sz w:val="12"/>
                <w:szCs w:val="12"/>
                <w:color w:val="auto"/>
              </w:rPr>
            </w:pPr>
          </w:p>
        </w:tc>
        <w:tc>
          <w:tcPr>
            <w:tcW w:w="1020" w:type="dxa"/>
            <w:vAlign w:val="bottom"/>
            <w:shd w:val="clear" w:color="auto" w:fill="D8E7F3"/>
          </w:tcPr>
          <w:p>
            <w:pPr>
              <w:ind w:left="40"/>
              <w:spacing w:after="0" w:line="145" w:lineRule="exact"/>
              <w:rPr>
                <w:sz w:val="20"/>
                <w:szCs w:val="20"/>
                <w:color w:val="auto"/>
              </w:rPr>
            </w:pPr>
            <w:r>
              <w:rPr>
                <w:rFonts w:ascii="Arial" w:cs="Arial" w:eastAsia="Arial" w:hAnsi="Arial"/>
                <w:sz w:val="10"/>
                <w:szCs w:val="10"/>
                <w:color w:val="auto"/>
              </w:rPr>
              <w:t>Share Units</w:t>
            </w:r>
            <w:r>
              <w:rPr>
                <w:rFonts w:ascii="Arial" w:cs="Arial" w:eastAsia="Arial" w:hAnsi="Arial"/>
                <w:sz w:val="16"/>
                <w:szCs w:val="16"/>
                <w:color w:val="auto"/>
                <w:vertAlign w:val="superscript"/>
              </w:rPr>
              <w:t>(b)</w:t>
            </w:r>
          </w:p>
        </w:tc>
        <w:tc>
          <w:tcPr>
            <w:tcW w:w="1300" w:type="dxa"/>
            <w:vAlign w:val="bottom"/>
            <w:shd w:val="clear" w:color="auto" w:fill="D8E7F3"/>
          </w:tcPr>
          <w:p>
            <w:pPr>
              <w:jc w:val="center"/>
              <w:ind w:right="97"/>
              <w:spacing w:after="0" w:line="146" w:lineRule="exact"/>
              <w:rPr>
                <w:sz w:val="20"/>
                <w:szCs w:val="20"/>
                <w:color w:val="auto"/>
              </w:rPr>
            </w:pPr>
            <w:r>
              <w:rPr>
                <w:rFonts w:ascii="Arial" w:cs="Arial" w:eastAsia="Arial" w:hAnsi="Arial"/>
                <w:sz w:val="13"/>
                <w:szCs w:val="13"/>
                <w:color w:val="auto"/>
                <w:w w:val="95"/>
              </w:rPr>
              <w:t>12/31/2022</w:t>
            </w:r>
          </w:p>
        </w:tc>
        <w:tc>
          <w:tcPr>
            <w:tcW w:w="500" w:type="dxa"/>
            <w:vAlign w:val="bottom"/>
            <w:shd w:val="clear" w:color="auto" w:fill="D8E7F3"/>
          </w:tcPr>
          <w:p>
            <w:pPr>
              <w:jc w:val="right"/>
              <w:spacing w:after="0" w:line="146" w:lineRule="exact"/>
              <w:rPr>
                <w:sz w:val="20"/>
                <w:szCs w:val="20"/>
                <w:color w:val="auto"/>
              </w:rPr>
            </w:pPr>
            <w:r>
              <w:rPr>
                <w:rFonts w:ascii="Arial" w:cs="Arial" w:eastAsia="Arial" w:hAnsi="Arial"/>
                <w:sz w:val="13"/>
                <w:szCs w:val="13"/>
                <w:color w:val="auto"/>
              </w:rPr>
              <w:t>364,297</w:t>
            </w:r>
          </w:p>
        </w:tc>
        <w:tc>
          <w:tcPr>
            <w:tcW w:w="100" w:type="dxa"/>
            <w:vAlign w:val="bottom"/>
            <w:shd w:val="clear" w:color="auto" w:fill="D8E7F3"/>
          </w:tcPr>
          <w:p>
            <w:pPr>
              <w:spacing w:after="0"/>
              <w:rPr>
                <w:sz w:val="12"/>
                <w:szCs w:val="12"/>
                <w:color w:val="auto"/>
              </w:rPr>
            </w:pPr>
          </w:p>
        </w:tc>
        <w:tc>
          <w:tcPr>
            <w:tcW w:w="540" w:type="dxa"/>
            <w:vAlign w:val="bottom"/>
            <w:gridSpan w:val="2"/>
            <w:shd w:val="clear" w:color="auto" w:fill="D8E7F3"/>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D8E7F3"/>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ind w:left="260"/>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680" w:type="dxa"/>
            <w:vAlign w:val="bottom"/>
          </w:tcPr>
          <w:p>
            <w:pPr>
              <w:ind w:left="80"/>
              <w:spacing w:after="0" w:line="141" w:lineRule="exact"/>
              <w:rPr>
                <w:sz w:val="20"/>
                <w:szCs w:val="20"/>
                <w:color w:val="auto"/>
              </w:rPr>
            </w:pPr>
            <w:r>
              <w:rPr>
                <w:rFonts w:ascii="Arial" w:cs="Arial" w:eastAsia="Arial" w:hAnsi="Arial"/>
                <w:sz w:val="13"/>
                <w:szCs w:val="13"/>
                <w:color w:val="auto"/>
              </w:rPr>
              <w:t>8/17/2020</w:t>
            </w:r>
          </w:p>
        </w:tc>
        <w:tc>
          <w:tcPr>
            <w:tcW w:w="1020" w:type="dxa"/>
            <w:vAlign w:val="bottom"/>
          </w:tcPr>
          <w:p>
            <w:pPr>
              <w:ind w:left="40"/>
              <w:spacing w:after="0" w:line="141" w:lineRule="exact"/>
              <w:rPr>
                <w:sz w:val="20"/>
                <w:szCs w:val="20"/>
                <w:color w:val="auto"/>
              </w:rPr>
            </w:pPr>
            <w:r>
              <w:rPr>
                <w:rFonts w:ascii="Arial" w:cs="Arial" w:eastAsia="Arial" w:hAnsi="Arial"/>
                <w:sz w:val="13"/>
                <w:szCs w:val="13"/>
                <w:color w:val="auto"/>
              </w:rPr>
              <w:t>Performance</w:t>
            </w: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1020" w:type="dxa"/>
            <w:vAlign w:val="bottom"/>
          </w:tcPr>
          <w:p>
            <w:pPr>
              <w:ind w:left="40"/>
              <w:spacing w:after="0" w:line="145" w:lineRule="exact"/>
              <w:rPr>
                <w:sz w:val="20"/>
                <w:szCs w:val="20"/>
                <w:color w:val="auto"/>
              </w:rPr>
            </w:pPr>
            <w:r>
              <w:rPr>
                <w:rFonts w:ascii="Arial" w:cs="Arial" w:eastAsia="Arial" w:hAnsi="Arial"/>
                <w:sz w:val="10"/>
                <w:szCs w:val="10"/>
                <w:color w:val="auto"/>
              </w:rPr>
              <w:t>Share Units</w:t>
            </w:r>
            <w:r>
              <w:rPr>
                <w:rFonts w:ascii="Arial" w:cs="Arial" w:eastAsia="Arial" w:hAnsi="Arial"/>
                <w:sz w:val="16"/>
                <w:szCs w:val="16"/>
                <w:color w:val="auto"/>
                <w:vertAlign w:val="superscript"/>
              </w:rPr>
              <w:t>(b)</w:t>
            </w:r>
          </w:p>
        </w:tc>
        <w:tc>
          <w:tcPr>
            <w:tcW w:w="1300" w:type="dxa"/>
            <w:vAlign w:val="bottom"/>
          </w:tcPr>
          <w:p>
            <w:pPr>
              <w:jc w:val="center"/>
              <w:ind w:right="97"/>
              <w:spacing w:after="0" w:line="146" w:lineRule="exact"/>
              <w:rPr>
                <w:sz w:val="20"/>
                <w:szCs w:val="20"/>
                <w:color w:val="auto"/>
              </w:rPr>
            </w:pPr>
            <w:r>
              <w:rPr>
                <w:rFonts w:ascii="Arial" w:cs="Arial" w:eastAsia="Arial" w:hAnsi="Arial"/>
                <w:sz w:val="13"/>
                <w:szCs w:val="13"/>
                <w:color w:val="auto"/>
                <w:w w:val="95"/>
              </w:rPr>
              <w:t>12/31/2022</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37,579</w:t>
            </w:r>
          </w:p>
        </w:tc>
        <w:tc>
          <w:tcPr>
            <w:tcW w:w="260" w:type="dxa"/>
            <w:vAlign w:val="bottom"/>
          </w:tcPr>
          <w:p>
            <w:pPr>
              <w:spacing w:after="0"/>
              <w:rPr>
                <w:sz w:val="12"/>
                <w:szCs w:val="12"/>
                <w:color w:val="auto"/>
              </w:rPr>
            </w:pPr>
          </w:p>
        </w:tc>
        <w:tc>
          <w:tcPr>
            <w:tcW w:w="800" w:type="dxa"/>
            <w:vAlign w:val="bottom"/>
            <w:gridSpan w:val="2"/>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78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80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680" w:type="dxa"/>
            <w:vAlign w:val="bottom"/>
            <w:shd w:val="clear" w:color="auto" w:fill="D8E7F3"/>
          </w:tcPr>
          <w:p>
            <w:pPr>
              <w:ind w:left="80"/>
              <w:spacing w:after="0" w:line="141" w:lineRule="exact"/>
              <w:rPr>
                <w:sz w:val="20"/>
                <w:szCs w:val="20"/>
                <w:color w:val="auto"/>
              </w:rPr>
            </w:pPr>
            <w:r>
              <w:rPr>
                <w:rFonts w:ascii="Arial" w:cs="Arial" w:eastAsia="Arial" w:hAnsi="Arial"/>
                <w:sz w:val="13"/>
                <w:szCs w:val="13"/>
                <w:color w:val="auto"/>
              </w:rPr>
              <w:t>9/28/2020</w:t>
            </w:r>
          </w:p>
        </w:tc>
        <w:tc>
          <w:tcPr>
            <w:tcW w:w="1020" w:type="dxa"/>
            <w:vAlign w:val="bottom"/>
            <w:shd w:val="clear" w:color="auto" w:fill="D8E7F3"/>
          </w:tcPr>
          <w:p>
            <w:pPr>
              <w:ind w:left="40"/>
              <w:spacing w:after="0" w:line="141" w:lineRule="exact"/>
              <w:rPr>
                <w:sz w:val="20"/>
                <w:szCs w:val="20"/>
                <w:color w:val="auto"/>
              </w:rPr>
            </w:pPr>
            <w:r>
              <w:rPr>
                <w:rFonts w:ascii="Arial" w:cs="Arial" w:eastAsia="Arial" w:hAnsi="Arial"/>
                <w:sz w:val="13"/>
                <w:szCs w:val="13"/>
                <w:color w:val="auto"/>
              </w:rPr>
              <w:t>Performance</w:t>
            </w:r>
          </w:p>
        </w:tc>
        <w:tc>
          <w:tcPr>
            <w:tcW w:w="130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12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120" w:type="dxa"/>
            <w:vAlign w:val="bottom"/>
            <w:shd w:val="clear" w:color="auto" w:fill="D8E7F3"/>
          </w:tcPr>
          <w:p>
            <w:pPr>
              <w:spacing w:after="0"/>
              <w:rPr>
                <w:sz w:val="12"/>
                <w:szCs w:val="12"/>
                <w:color w:val="auto"/>
              </w:rPr>
            </w:pPr>
          </w:p>
        </w:tc>
        <w:tc>
          <w:tcPr>
            <w:tcW w:w="260" w:type="dxa"/>
            <w:vAlign w:val="bottom"/>
            <w:shd w:val="clear" w:color="auto" w:fill="D8E7F3"/>
          </w:tcPr>
          <w:p>
            <w:pPr>
              <w:spacing w:after="0"/>
              <w:rPr>
                <w:sz w:val="12"/>
                <w:szCs w:val="12"/>
                <w:color w:val="auto"/>
              </w:rPr>
            </w:pPr>
          </w:p>
        </w:tc>
        <w:tc>
          <w:tcPr>
            <w:tcW w:w="500" w:type="dxa"/>
            <w:vAlign w:val="bottom"/>
            <w:shd w:val="clear" w:color="auto" w:fill="D8E7F3"/>
          </w:tcPr>
          <w:p>
            <w:pPr>
              <w:spacing w:after="0"/>
              <w:rPr>
                <w:sz w:val="12"/>
                <w:szCs w:val="12"/>
                <w:color w:val="auto"/>
              </w:rPr>
            </w:pPr>
          </w:p>
        </w:tc>
        <w:tc>
          <w:tcPr>
            <w:tcW w:w="300" w:type="dxa"/>
            <w:vAlign w:val="bottom"/>
            <w:shd w:val="clear" w:color="auto" w:fill="D8E7F3"/>
          </w:tcPr>
          <w:p>
            <w:pPr>
              <w:spacing w:after="0"/>
              <w:rPr>
                <w:sz w:val="12"/>
                <w:szCs w:val="12"/>
                <w:color w:val="auto"/>
              </w:rPr>
            </w:pPr>
          </w:p>
        </w:tc>
        <w:tc>
          <w:tcPr>
            <w:tcW w:w="36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40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160" w:type="dxa"/>
            <w:vAlign w:val="bottom"/>
            <w:shd w:val="clear" w:color="auto" w:fill="D8E7F3"/>
          </w:tcPr>
          <w:p>
            <w:pPr>
              <w:spacing w:after="0"/>
              <w:rPr>
                <w:sz w:val="12"/>
                <w:szCs w:val="12"/>
                <w:color w:val="auto"/>
              </w:rPr>
            </w:pPr>
          </w:p>
        </w:tc>
        <w:tc>
          <w:tcPr>
            <w:tcW w:w="300" w:type="dxa"/>
            <w:vAlign w:val="bottom"/>
            <w:shd w:val="clear" w:color="auto" w:fill="D8E7F3"/>
          </w:tcPr>
          <w:p>
            <w:pPr>
              <w:spacing w:after="0"/>
              <w:rPr>
                <w:sz w:val="12"/>
                <w:szCs w:val="12"/>
                <w:color w:val="auto"/>
              </w:rPr>
            </w:pPr>
          </w:p>
        </w:tc>
        <w:tc>
          <w:tcPr>
            <w:tcW w:w="420" w:type="dxa"/>
            <w:vAlign w:val="bottom"/>
            <w:shd w:val="clear" w:color="auto" w:fill="D8E7F3"/>
          </w:tcPr>
          <w:p>
            <w:pPr>
              <w:spacing w:after="0"/>
              <w:rPr>
                <w:sz w:val="12"/>
                <w:szCs w:val="12"/>
                <w:color w:val="auto"/>
              </w:rPr>
            </w:pPr>
          </w:p>
        </w:tc>
        <w:tc>
          <w:tcPr>
            <w:tcW w:w="3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80" w:type="dxa"/>
            <w:vAlign w:val="bottom"/>
            <w:shd w:val="clear" w:color="auto" w:fill="D8E7F3"/>
          </w:tcPr>
          <w:p>
            <w:pPr>
              <w:spacing w:after="0"/>
              <w:rPr>
                <w:sz w:val="12"/>
                <w:szCs w:val="12"/>
                <w:color w:val="auto"/>
              </w:rPr>
            </w:pPr>
          </w:p>
        </w:tc>
        <w:tc>
          <w:tcPr>
            <w:tcW w:w="1020" w:type="dxa"/>
            <w:vAlign w:val="bottom"/>
            <w:shd w:val="clear" w:color="auto" w:fill="D8E7F3"/>
          </w:tcPr>
          <w:p>
            <w:pPr>
              <w:ind w:left="40"/>
              <w:spacing w:after="0" w:line="145" w:lineRule="exact"/>
              <w:rPr>
                <w:sz w:val="20"/>
                <w:szCs w:val="20"/>
                <w:color w:val="auto"/>
              </w:rPr>
            </w:pPr>
            <w:r>
              <w:rPr>
                <w:rFonts w:ascii="Arial" w:cs="Arial" w:eastAsia="Arial" w:hAnsi="Arial"/>
                <w:sz w:val="10"/>
                <w:szCs w:val="10"/>
                <w:color w:val="auto"/>
              </w:rPr>
              <w:t>Share Units</w:t>
            </w:r>
            <w:r>
              <w:rPr>
                <w:rFonts w:ascii="Arial" w:cs="Arial" w:eastAsia="Arial" w:hAnsi="Arial"/>
                <w:sz w:val="16"/>
                <w:szCs w:val="16"/>
                <w:color w:val="auto"/>
                <w:vertAlign w:val="superscript"/>
              </w:rPr>
              <w:t>(b)</w:t>
            </w:r>
          </w:p>
        </w:tc>
        <w:tc>
          <w:tcPr>
            <w:tcW w:w="1300" w:type="dxa"/>
            <w:vAlign w:val="bottom"/>
            <w:shd w:val="clear" w:color="auto" w:fill="D8E7F3"/>
          </w:tcPr>
          <w:p>
            <w:pPr>
              <w:jc w:val="center"/>
              <w:ind w:right="97"/>
              <w:spacing w:after="0" w:line="146" w:lineRule="exact"/>
              <w:rPr>
                <w:sz w:val="20"/>
                <w:szCs w:val="20"/>
                <w:color w:val="auto"/>
              </w:rPr>
            </w:pPr>
            <w:r>
              <w:rPr>
                <w:rFonts w:ascii="Arial" w:cs="Arial" w:eastAsia="Arial" w:hAnsi="Arial"/>
                <w:sz w:val="13"/>
                <w:szCs w:val="13"/>
                <w:color w:val="auto"/>
                <w:w w:val="95"/>
              </w:rPr>
              <w:t>12/31/2022</w:t>
            </w:r>
          </w:p>
        </w:tc>
        <w:tc>
          <w:tcPr>
            <w:tcW w:w="500" w:type="dxa"/>
            <w:vAlign w:val="bottom"/>
            <w:shd w:val="clear" w:color="auto" w:fill="D8E7F3"/>
          </w:tcPr>
          <w:p>
            <w:pPr>
              <w:jc w:val="right"/>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D8E7F3"/>
          </w:tcPr>
          <w:p>
            <w:pPr>
              <w:spacing w:after="0"/>
              <w:rPr>
                <w:sz w:val="12"/>
                <w:szCs w:val="12"/>
                <w:color w:val="auto"/>
              </w:rPr>
            </w:pPr>
          </w:p>
        </w:tc>
        <w:tc>
          <w:tcPr>
            <w:tcW w:w="440" w:type="dxa"/>
            <w:vAlign w:val="bottom"/>
            <w:shd w:val="clear" w:color="auto" w:fill="D8E7F3"/>
          </w:tcPr>
          <w:p>
            <w:pPr>
              <w:jc w:val="right"/>
              <w:spacing w:after="0" w:line="146" w:lineRule="exact"/>
              <w:rPr>
                <w:sz w:val="20"/>
                <w:szCs w:val="20"/>
                <w:color w:val="auto"/>
              </w:rPr>
            </w:pPr>
            <w:r>
              <w:rPr>
                <w:rFonts w:ascii="Arial" w:cs="Arial" w:eastAsia="Arial" w:hAnsi="Arial"/>
                <w:sz w:val="13"/>
                <w:szCs w:val="13"/>
                <w:color w:val="auto"/>
              </w:rPr>
              <w:t>85,437</w:t>
            </w:r>
          </w:p>
        </w:tc>
        <w:tc>
          <w:tcPr>
            <w:tcW w:w="100" w:type="dxa"/>
            <w:vAlign w:val="bottom"/>
            <w:shd w:val="clear" w:color="auto" w:fill="D8E7F3"/>
          </w:tcPr>
          <w:p>
            <w:pPr>
              <w:spacing w:after="0"/>
              <w:rPr>
                <w:sz w:val="12"/>
                <w:szCs w:val="12"/>
                <w:color w:val="auto"/>
              </w:rPr>
            </w:pPr>
          </w:p>
        </w:tc>
        <w:tc>
          <w:tcPr>
            <w:tcW w:w="500" w:type="dxa"/>
            <w:vAlign w:val="bottom"/>
            <w:shd w:val="clear" w:color="auto" w:fill="D8E7F3"/>
          </w:tcPr>
          <w:p>
            <w:pPr>
              <w:jc w:val="right"/>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D8E7F3"/>
          </w:tcPr>
          <w:p>
            <w:pPr>
              <w:spacing w:after="0"/>
              <w:rPr>
                <w:sz w:val="12"/>
                <w:szCs w:val="12"/>
                <w:color w:val="auto"/>
              </w:rPr>
            </w:pPr>
          </w:p>
        </w:tc>
        <w:tc>
          <w:tcPr>
            <w:tcW w:w="440" w:type="dxa"/>
            <w:vAlign w:val="bottom"/>
            <w:shd w:val="clear" w:color="auto" w:fill="D8E7F3"/>
          </w:tcPr>
          <w:p>
            <w:pPr>
              <w:jc w:val="right"/>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D8E7F3"/>
          </w:tcPr>
          <w:p>
            <w:pPr>
              <w:spacing w:after="0"/>
              <w:rPr>
                <w:sz w:val="12"/>
                <w:szCs w:val="12"/>
                <w:color w:val="auto"/>
              </w:rPr>
            </w:pPr>
          </w:p>
        </w:tc>
        <w:tc>
          <w:tcPr>
            <w:tcW w:w="540" w:type="dxa"/>
            <w:vAlign w:val="bottom"/>
            <w:gridSpan w:val="2"/>
            <w:shd w:val="clear" w:color="auto" w:fill="D8E7F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26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00"/>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D8E7F3"/>
          </w:tcPr>
          <w:p>
            <w:pPr>
              <w:spacing w:after="0"/>
              <w:rPr>
                <w:sz w:val="12"/>
                <w:szCs w:val="12"/>
                <w:color w:val="auto"/>
              </w:rPr>
            </w:pPr>
          </w:p>
        </w:tc>
        <w:tc>
          <w:tcPr>
            <w:tcW w:w="780" w:type="dxa"/>
            <w:vAlign w:val="bottom"/>
            <w:gridSpan w:val="2"/>
            <w:shd w:val="clear" w:color="auto" w:fill="D8E7F3"/>
          </w:tcPr>
          <w:p>
            <w:pPr>
              <w:ind w:left="26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D8E7F3"/>
          </w:tcPr>
          <w:p>
            <w:pPr>
              <w:ind w:left="260"/>
              <w:spacing w:after="0" w:line="146" w:lineRule="exact"/>
              <w:rPr>
                <w:sz w:val="20"/>
                <w:szCs w:val="20"/>
                <w:color w:val="auto"/>
              </w:rPr>
            </w:pPr>
            <w:r>
              <w:rPr>
                <w:rFonts w:ascii="Arial" w:cs="Arial" w:eastAsia="Arial" w:hAnsi="Arial"/>
                <w:sz w:val="13"/>
                <w:szCs w:val="13"/>
                <w:color w:val="auto"/>
              </w:rPr>
              <w:t>—</w:t>
            </w:r>
          </w:p>
        </w:tc>
        <w:tc>
          <w:tcPr>
            <w:tcW w:w="300" w:type="dxa"/>
            <w:vAlign w:val="bottom"/>
            <w:shd w:val="clear" w:color="auto" w:fill="D8E7F3"/>
          </w:tcPr>
          <w:p>
            <w:pPr>
              <w:spacing w:after="0"/>
              <w:rPr>
                <w:sz w:val="12"/>
                <w:szCs w:val="12"/>
                <w:color w:val="auto"/>
              </w:rPr>
            </w:pPr>
          </w:p>
        </w:tc>
        <w:tc>
          <w:tcPr>
            <w:tcW w:w="800" w:type="dxa"/>
            <w:vAlign w:val="bottom"/>
            <w:gridSpan w:val="2"/>
            <w:shd w:val="clear" w:color="auto" w:fill="D8E7F3"/>
          </w:tcPr>
          <w:p>
            <w:pPr>
              <w:jc w:val="right"/>
              <w:ind w:right="3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364,297</w:t>
            </w:r>
          </w:p>
        </w:tc>
        <w:tc>
          <w:tcPr>
            <w:tcW w:w="10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85,437</w:t>
            </w: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158,764</w:t>
            </w:r>
          </w:p>
        </w:tc>
        <w:tc>
          <w:tcPr>
            <w:tcW w:w="10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3"/>
                <w:szCs w:val="13"/>
                <w:color w:val="auto"/>
              </w:rPr>
              <w:t>20,634</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47,991</w:t>
            </w:r>
          </w:p>
        </w:tc>
        <w:tc>
          <w:tcPr>
            <w:tcW w:w="5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37,579</w:t>
            </w:r>
          </w:p>
        </w:tc>
        <w:tc>
          <w:tcPr>
            <w:tcW w:w="106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139,634</w:t>
            </w:r>
          </w:p>
        </w:tc>
        <w:tc>
          <w:tcPr>
            <w:tcW w:w="360" w:type="dxa"/>
            <w:vAlign w:val="bottom"/>
          </w:tcPr>
          <w:p>
            <w:pPr>
              <w:spacing w:after="0"/>
              <w:rPr>
                <w:sz w:val="12"/>
                <w:szCs w:val="12"/>
                <w:color w:val="auto"/>
              </w:rPr>
            </w:pPr>
          </w:p>
        </w:tc>
        <w:tc>
          <w:tcPr>
            <w:tcW w:w="780" w:type="dxa"/>
            <w:vAlign w:val="bottom"/>
            <w:gridSpan w:val="2"/>
          </w:tcPr>
          <w:p>
            <w:pPr>
              <w:ind w:left="260"/>
              <w:spacing w:after="0" w:line="147" w:lineRule="exact"/>
              <w:rPr>
                <w:sz w:val="20"/>
                <w:szCs w:val="20"/>
                <w:color w:val="auto"/>
              </w:rPr>
            </w:pPr>
            <w:r>
              <w:rPr>
                <w:rFonts w:ascii="Arial" w:cs="Arial" w:eastAsia="Arial" w:hAnsi="Arial"/>
                <w:sz w:val="13"/>
                <w:szCs w:val="13"/>
                <w:color w:val="auto"/>
              </w:rPr>
              <w:t>—</w:t>
            </w:r>
          </w:p>
        </w:tc>
        <w:tc>
          <w:tcPr>
            <w:tcW w:w="540" w:type="dxa"/>
            <w:vAlign w:val="bottom"/>
            <w:gridSpan w:val="2"/>
          </w:tcPr>
          <w:p>
            <w:pPr>
              <w:ind w:left="260"/>
              <w:spacing w:after="0" w:line="147" w:lineRule="exact"/>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380"/>
              <w:spacing w:after="0" w:line="147" w:lineRule="exact"/>
              <w:rPr>
                <w:sz w:val="20"/>
                <w:szCs w:val="20"/>
                <w:color w:val="auto"/>
              </w:rPr>
            </w:pPr>
            <w:r>
              <w:rPr>
                <w:rFonts w:ascii="Arial" w:cs="Arial" w:eastAsia="Arial" w:hAnsi="Arial"/>
                <w:sz w:val="13"/>
                <w:szCs w:val="13"/>
                <w:color w:val="auto"/>
              </w:rPr>
              <w:t>19,003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80" w:right="480" w:hanging="186"/>
        <w:spacing w:after="0" w:line="237" w:lineRule="auto"/>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2019 results, the provided amounts reflect threshold achievement for the total shareholder return and maximum achievement for the three-year cumulative net income awards.</w:t>
      </w:r>
    </w:p>
    <w:p>
      <w:pPr>
        <w:spacing w:after="0" w:line="97" w:lineRule="exact"/>
        <w:rPr>
          <w:rFonts w:ascii="Arial" w:cs="Arial" w:eastAsia="Arial" w:hAnsi="Arial"/>
          <w:sz w:val="13"/>
          <w:szCs w:val="13"/>
          <w:color w:val="auto"/>
        </w:rPr>
      </w:pPr>
    </w:p>
    <w:p>
      <w:pPr>
        <w:ind w:left="480" w:right="480" w:hanging="186"/>
        <w:spacing w:after="0" w:line="237" w:lineRule="auto"/>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2020 results, the provided amounts reflect target achievement for the total shareholder return and maximum achievement for the three-year cumulative net income awards.</w:t>
      </w:r>
    </w:p>
    <w:p>
      <w:pPr>
        <w:spacing w:after="0" w:line="97" w:lineRule="exact"/>
        <w:rPr>
          <w:rFonts w:ascii="Arial" w:cs="Arial" w:eastAsia="Arial" w:hAnsi="Arial"/>
          <w:sz w:val="13"/>
          <w:szCs w:val="13"/>
          <w:color w:val="auto"/>
        </w:rPr>
      </w:pPr>
    </w:p>
    <w:p>
      <w:pPr>
        <w:ind w:left="480" w:right="480" w:hanging="186"/>
        <w:spacing w:after="0" w:line="237" w:lineRule="auto"/>
        <w:tabs>
          <w:tab w:leader="none" w:pos="4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For further information related to the vesting of Messrs. Prochazka’s and Vortherms’ awards in connection with their respective departures from the Company, see “Compensation Discussion and Analysis—Executive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Option Exercises and Stock Vested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ind w:right="480"/>
        <w:spacing w:after="0"/>
        <w:rPr>
          <w:sz w:val="20"/>
          <w:szCs w:val="20"/>
          <w:color w:val="auto"/>
        </w:rPr>
      </w:pPr>
      <w:r>
        <w:rPr>
          <w:rFonts w:ascii="Arial" w:cs="Arial" w:eastAsia="Arial" w:hAnsi="Arial"/>
          <w:sz w:val="16"/>
          <w:szCs w:val="16"/>
          <w:color w:val="auto"/>
        </w:rPr>
        <w:t>The following table indicates the number and value of stock options exercised and stock and performance share unit awards vested during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shd w:val="clear" w:color="auto" w:fill="0061AF"/>
          </w:tcPr>
          <w:p>
            <w:pPr>
              <w:spacing w:after="0"/>
              <w:rPr>
                <w:sz w:val="21"/>
                <w:szCs w:val="21"/>
                <w:color w:val="auto"/>
              </w:rPr>
            </w:pPr>
          </w:p>
        </w:tc>
        <w:tc>
          <w:tcPr>
            <w:tcW w:w="2740" w:type="dxa"/>
            <w:vAlign w:val="bottom"/>
            <w:gridSpan w:val="2"/>
            <w:shd w:val="clear" w:color="auto" w:fill="0061AF"/>
          </w:tcPr>
          <w:p>
            <w:pPr>
              <w:jc w:val="right"/>
              <w:ind w:right="817"/>
              <w:spacing w:after="0"/>
              <w:rPr>
                <w:sz w:val="20"/>
                <w:szCs w:val="20"/>
                <w:color w:val="auto"/>
              </w:rPr>
            </w:pPr>
            <w:r>
              <w:rPr>
                <w:rFonts w:ascii="Arial" w:cs="Arial" w:eastAsia="Arial" w:hAnsi="Arial"/>
                <w:sz w:val="13"/>
                <w:szCs w:val="13"/>
                <w:b w:val="1"/>
                <w:bCs w:val="1"/>
                <w:color w:val="FFFFFF"/>
              </w:rPr>
              <w:t>Option Awards</w:t>
            </w:r>
          </w:p>
        </w:tc>
        <w:tc>
          <w:tcPr>
            <w:tcW w:w="1000" w:type="dxa"/>
            <w:vAlign w:val="bottom"/>
            <w:shd w:val="clear" w:color="auto" w:fill="0061AF"/>
          </w:tcPr>
          <w:p>
            <w:pPr>
              <w:spacing w:after="0"/>
              <w:rPr>
                <w:sz w:val="21"/>
                <w:szCs w:val="21"/>
                <w:color w:val="auto"/>
              </w:rPr>
            </w:pPr>
          </w:p>
        </w:tc>
        <w:tc>
          <w:tcPr>
            <w:tcW w:w="1940" w:type="dxa"/>
            <w:vAlign w:val="bottom"/>
            <w:shd w:val="clear" w:color="auto" w:fill="0061AF"/>
          </w:tcPr>
          <w:p>
            <w:pPr>
              <w:jc w:val="right"/>
              <w:ind w:right="857"/>
              <w:spacing w:after="0"/>
              <w:rPr>
                <w:sz w:val="20"/>
                <w:szCs w:val="20"/>
                <w:color w:val="auto"/>
              </w:rPr>
            </w:pPr>
            <w:r>
              <w:rPr>
                <w:rFonts w:ascii="Arial" w:cs="Arial" w:eastAsia="Arial" w:hAnsi="Arial"/>
                <w:sz w:val="13"/>
                <w:szCs w:val="13"/>
                <w:b w:val="1"/>
                <w:bCs w:val="1"/>
                <w:color w:val="FFFFFF"/>
                <w:w w:val="96"/>
              </w:rPr>
              <w:t>Stock Awards</w:t>
            </w:r>
            <w:r>
              <w:rPr>
                <w:rFonts w:ascii="Arial" w:cs="Arial" w:eastAsia="Arial" w:hAnsi="Arial"/>
                <w:sz w:val="21"/>
                <w:szCs w:val="21"/>
                <w:b w:val="1"/>
                <w:bCs w:val="1"/>
                <w:color w:val="FFFFFF"/>
                <w:w w:val="96"/>
                <w:vertAlign w:val="superscript"/>
              </w:rPr>
              <w:t>(1)</w:t>
            </w:r>
          </w:p>
        </w:tc>
      </w:tr>
      <w:tr>
        <w:trPr>
          <w:trHeight w:val="131"/>
        </w:trPr>
        <w:tc>
          <w:tcPr>
            <w:tcW w:w="4040" w:type="dxa"/>
            <w:vAlign w:val="bottom"/>
            <w:shd w:val="clear" w:color="auto" w:fill="0061AF"/>
          </w:tcPr>
          <w:p>
            <w:pPr>
              <w:spacing w:after="0"/>
              <w:rPr>
                <w:sz w:val="11"/>
                <w:szCs w:val="11"/>
                <w:color w:val="auto"/>
              </w:rPr>
            </w:pPr>
          </w:p>
        </w:tc>
        <w:tc>
          <w:tcPr>
            <w:tcW w:w="1320" w:type="dxa"/>
            <w:vAlign w:val="bottom"/>
            <w:shd w:val="clear" w:color="auto" w:fill="0061AF"/>
          </w:tcPr>
          <w:p>
            <w:pPr>
              <w:jc w:val="center"/>
              <w:ind w:left="117"/>
              <w:spacing w:after="0" w:line="131" w:lineRule="exact"/>
              <w:rPr>
                <w:sz w:val="20"/>
                <w:szCs w:val="20"/>
                <w:color w:val="auto"/>
              </w:rPr>
            </w:pPr>
            <w:r>
              <w:rPr>
                <w:rFonts w:ascii="Arial" w:cs="Arial" w:eastAsia="Arial" w:hAnsi="Arial"/>
                <w:sz w:val="13"/>
                <w:szCs w:val="13"/>
                <w:b w:val="1"/>
                <w:bCs w:val="1"/>
                <w:color w:val="FFFFFF"/>
                <w:w w:val="95"/>
              </w:rPr>
              <w:t>Number of</w:t>
            </w:r>
          </w:p>
        </w:tc>
        <w:tc>
          <w:tcPr>
            <w:tcW w:w="1420" w:type="dxa"/>
            <w:vAlign w:val="bottom"/>
            <w:shd w:val="clear" w:color="auto" w:fill="0061AF"/>
          </w:tcPr>
          <w:p>
            <w:pPr>
              <w:spacing w:after="0"/>
              <w:rPr>
                <w:sz w:val="11"/>
                <w:szCs w:val="11"/>
                <w:color w:val="auto"/>
              </w:rPr>
            </w:pPr>
          </w:p>
        </w:tc>
        <w:tc>
          <w:tcPr>
            <w:tcW w:w="1000" w:type="dxa"/>
            <w:vAlign w:val="bottom"/>
            <w:shd w:val="clear" w:color="auto" w:fill="0061AF"/>
          </w:tcPr>
          <w:p>
            <w:pPr>
              <w:jc w:val="center"/>
              <w:ind w:left="197"/>
              <w:spacing w:after="0" w:line="131" w:lineRule="exact"/>
              <w:rPr>
                <w:sz w:val="20"/>
                <w:szCs w:val="20"/>
                <w:color w:val="auto"/>
              </w:rPr>
            </w:pPr>
            <w:r>
              <w:rPr>
                <w:rFonts w:ascii="Arial" w:cs="Arial" w:eastAsia="Arial" w:hAnsi="Arial"/>
                <w:sz w:val="13"/>
                <w:szCs w:val="13"/>
                <w:b w:val="1"/>
                <w:bCs w:val="1"/>
                <w:color w:val="FFFFFF"/>
                <w:w w:val="95"/>
              </w:rPr>
              <w:t>Number of</w:t>
            </w:r>
          </w:p>
        </w:tc>
        <w:tc>
          <w:tcPr>
            <w:tcW w:w="1940" w:type="dxa"/>
            <w:vAlign w:val="bottom"/>
            <w:shd w:val="clear" w:color="auto" w:fill="0061AF"/>
          </w:tcPr>
          <w:p>
            <w:pPr>
              <w:spacing w:after="0"/>
              <w:rPr>
                <w:sz w:val="11"/>
                <w:szCs w:val="11"/>
                <w:color w:val="auto"/>
              </w:rPr>
            </w:pPr>
          </w:p>
        </w:tc>
      </w:tr>
      <w:tr>
        <w:trPr>
          <w:trHeight w:val="143"/>
        </w:trPr>
        <w:tc>
          <w:tcPr>
            <w:tcW w:w="4040" w:type="dxa"/>
            <w:vAlign w:val="bottom"/>
            <w:shd w:val="clear" w:color="auto" w:fill="0061AF"/>
          </w:tcPr>
          <w:p>
            <w:pPr>
              <w:spacing w:after="0"/>
              <w:rPr>
                <w:sz w:val="12"/>
                <w:szCs w:val="12"/>
                <w:color w:val="auto"/>
              </w:rPr>
            </w:pPr>
          </w:p>
        </w:tc>
        <w:tc>
          <w:tcPr>
            <w:tcW w:w="1320" w:type="dxa"/>
            <w:vAlign w:val="bottom"/>
            <w:shd w:val="clear" w:color="auto" w:fill="0061AF"/>
          </w:tcPr>
          <w:p>
            <w:pPr>
              <w:jc w:val="center"/>
              <w:ind w:left="117"/>
              <w:spacing w:after="0" w:line="143" w:lineRule="exact"/>
              <w:rPr>
                <w:sz w:val="20"/>
                <w:szCs w:val="20"/>
                <w:color w:val="auto"/>
              </w:rPr>
            </w:pPr>
            <w:r>
              <w:rPr>
                <w:rFonts w:ascii="Arial" w:cs="Arial" w:eastAsia="Arial" w:hAnsi="Arial"/>
                <w:sz w:val="13"/>
                <w:szCs w:val="13"/>
                <w:b w:val="1"/>
                <w:bCs w:val="1"/>
                <w:color w:val="FFFFFF"/>
                <w:w w:val="96"/>
              </w:rPr>
              <w:t>Shares</w:t>
            </w:r>
          </w:p>
        </w:tc>
        <w:tc>
          <w:tcPr>
            <w:tcW w:w="1420" w:type="dxa"/>
            <w:vAlign w:val="bottom"/>
            <w:shd w:val="clear" w:color="auto" w:fill="0061AF"/>
          </w:tcPr>
          <w:p>
            <w:pPr>
              <w:spacing w:after="0"/>
              <w:rPr>
                <w:sz w:val="12"/>
                <w:szCs w:val="12"/>
                <w:color w:val="auto"/>
              </w:rPr>
            </w:pPr>
          </w:p>
        </w:tc>
        <w:tc>
          <w:tcPr>
            <w:tcW w:w="1000" w:type="dxa"/>
            <w:vAlign w:val="bottom"/>
            <w:shd w:val="clear" w:color="auto" w:fill="0061AF"/>
          </w:tcPr>
          <w:p>
            <w:pPr>
              <w:jc w:val="center"/>
              <w:ind w:left="197"/>
              <w:spacing w:after="0" w:line="143" w:lineRule="exact"/>
              <w:rPr>
                <w:sz w:val="20"/>
                <w:szCs w:val="20"/>
                <w:color w:val="auto"/>
              </w:rPr>
            </w:pPr>
            <w:r>
              <w:rPr>
                <w:rFonts w:ascii="Arial" w:cs="Arial" w:eastAsia="Arial" w:hAnsi="Arial"/>
                <w:sz w:val="13"/>
                <w:szCs w:val="13"/>
                <w:b w:val="1"/>
                <w:bCs w:val="1"/>
                <w:color w:val="FFFFFF"/>
                <w:w w:val="96"/>
              </w:rPr>
              <w:t>Shares</w:t>
            </w:r>
          </w:p>
        </w:tc>
        <w:tc>
          <w:tcPr>
            <w:tcW w:w="1940" w:type="dxa"/>
            <w:vAlign w:val="bottom"/>
            <w:shd w:val="clear" w:color="auto" w:fill="0061AF"/>
          </w:tcPr>
          <w:p>
            <w:pPr>
              <w:spacing w:after="0"/>
              <w:rPr>
                <w:sz w:val="12"/>
                <w:szCs w:val="12"/>
                <w:color w:val="auto"/>
              </w:rPr>
            </w:pPr>
          </w:p>
        </w:tc>
      </w:tr>
      <w:tr>
        <w:trPr>
          <w:trHeight w:val="143"/>
        </w:trPr>
        <w:tc>
          <w:tcPr>
            <w:tcW w:w="4040" w:type="dxa"/>
            <w:vAlign w:val="bottom"/>
            <w:shd w:val="clear" w:color="auto" w:fill="0061AF"/>
          </w:tcPr>
          <w:p>
            <w:pPr>
              <w:spacing w:after="0"/>
              <w:rPr>
                <w:sz w:val="12"/>
                <w:szCs w:val="12"/>
                <w:color w:val="auto"/>
              </w:rPr>
            </w:pPr>
          </w:p>
        </w:tc>
        <w:tc>
          <w:tcPr>
            <w:tcW w:w="1320" w:type="dxa"/>
            <w:vAlign w:val="bottom"/>
            <w:shd w:val="clear" w:color="auto" w:fill="0061AF"/>
          </w:tcPr>
          <w:p>
            <w:pPr>
              <w:jc w:val="center"/>
              <w:ind w:left="117"/>
              <w:spacing w:after="0" w:line="143" w:lineRule="exact"/>
              <w:rPr>
                <w:sz w:val="20"/>
                <w:szCs w:val="20"/>
                <w:color w:val="auto"/>
              </w:rPr>
            </w:pPr>
            <w:r>
              <w:rPr>
                <w:rFonts w:ascii="Arial" w:cs="Arial" w:eastAsia="Arial" w:hAnsi="Arial"/>
                <w:sz w:val="13"/>
                <w:szCs w:val="13"/>
                <w:b w:val="1"/>
                <w:bCs w:val="1"/>
                <w:color w:val="FFFFFF"/>
                <w:w w:val="95"/>
              </w:rPr>
              <w:t>Acquired</w:t>
            </w:r>
          </w:p>
        </w:tc>
        <w:tc>
          <w:tcPr>
            <w:tcW w:w="1420" w:type="dxa"/>
            <w:vAlign w:val="bottom"/>
            <w:shd w:val="clear" w:color="auto" w:fill="0061AF"/>
          </w:tcPr>
          <w:p>
            <w:pPr>
              <w:jc w:val="right"/>
              <w:ind w:right="237"/>
              <w:spacing w:after="0" w:line="143" w:lineRule="exact"/>
              <w:rPr>
                <w:sz w:val="20"/>
                <w:szCs w:val="20"/>
                <w:color w:val="auto"/>
              </w:rPr>
            </w:pPr>
            <w:r>
              <w:rPr>
                <w:rFonts w:ascii="Arial" w:cs="Arial" w:eastAsia="Arial" w:hAnsi="Arial"/>
                <w:sz w:val="13"/>
                <w:szCs w:val="13"/>
                <w:b w:val="1"/>
                <w:bCs w:val="1"/>
                <w:color w:val="FFFFFF"/>
              </w:rPr>
              <w:t>Value Realized</w:t>
            </w:r>
          </w:p>
        </w:tc>
        <w:tc>
          <w:tcPr>
            <w:tcW w:w="1000" w:type="dxa"/>
            <w:vAlign w:val="bottom"/>
            <w:shd w:val="clear" w:color="auto" w:fill="0061AF"/>
          </w:tcPr>
          <w:p>
            <w:pPr>
              <w:jc w:val="center"/>
              <w:ind w:left="197"/>
              <w:spacing w:after="0" w:line="143" w:lineRule="exact"/>
              <w:rPr>
                <w:sz w:val="20"/>
                <w:szCs w:val="20"/>
                <w:color w:val="auto"/>
              </w:rPr>
            </w:pPr>
            <w:r>
              <w:rPr>
                <w:rFonts w:ascii="Arial" w:cs="Arial" w:eastAsia="Arial" w:hAnsi="Arial"/>
                <w:sz w:val="13"/>
                <w:szCs w:val="13"/>
                <w:b w:val="1"/>
                <w:bCs w:val="1"/>
                <w:color w:val="FFFFFF"/>
                <w:w w:val="95"/>
              </w:rPr>
              <w:t>Acquired</w:t>
            </w:r>
          </w:p>
        </w:tc>
        <w:tc>
          <w:tcPr>
            <w:tcW w:w="1940" w:type="dxa"/>
            <w:vAlign w:val="bottom"/>
            <w:shd w:val="clear" w:color="auto" w:fill="0061AF"/>
          </w:tcPr>
          <w:p>
            <w:pPr>
              <w:jc w:val="center"/>
              <w:ind w:left="437"/>
              <w:spacing w:after="0" w:line="143" w:lineRule="exact"/>
              <w:rPr>
                <w:sz w:val="20"/>
                <w:szCs w:val="20"/>
                <w:color w:val="auto"/>
              </w:rPr>
            </w:pPr>
            <w:r>
              <w:rPr>
                <w:rFonts w:ascii="Arial" w:cs="Arial" w:eastAsia="Arial" w:hAnsi="Arial"/>
                <w:sz w:val="13"/>
                <w:szCs w:val="13"/>
                <w:b w:val="1"/>
                <w:bCs w:val="1"/>
                <w:color w:val="FFFFFF"/>
                <w:w w:val="96"/>
              </w:rPr>
              <w:t>Value Realized</w:t>
            </w:r>
          </w:p>
        </w:tc>
      </w:tr>
      <w:tr>
        <w:trPr>
          <w:trHeight w:val="143"/>
        </w:trPr>
        <w:tc>
          <w:tcPr>
            <w:tcW w:w="4040" w:type="dxa"/>
            <w:vAlign w:val="bottom"/>
            <w:shd w:val="clear" w:color="auto" w:fill="0061AF"/>
          </w:tcPr>
          <w:p>
            <w:pPr>
              <w:spacing w:after="0"/>
              <w:rPr>
                <w:sz w:val="12"/>
                <w:szCs w:val="12"/>
                <w:color w:val="auto"/>
              </w:rPr>
            </w:pPr>
          </w:p>
        </w:tc>
        <w:tc>
          <w:tcPr>
            <w:tcW w:w="1320" w:type="dxa"/>
            <w:vAlign w:val="bottom"/>
            <w:shd w:val="clear" w:color="auto" w:fill="0061AF"/>
          </w:tcPr>
          <w:p>
            <w:pPr>
              <w:jc w:val="center"/>
              <w:ind w:left="117"/>
              <w:spacing w:after="0" w:line="143" w:lineRule="exact"/>
              <w:rPr>
                <w:sz w:val="20"/>
                <w:szCs w:val="20"/>
                <w:color w:val="auto"/>
              </w:rPr>
            </w:pPr>
            <w:r>
              <w:rPr>
                <w:rFonts w:ascii="Arial" w:cs="Arial" w:eastAsia="Arial" w:hAnsi="Arial"/>
                <w:sz w:val="13"/>
                <w:szCs w:val="13"/>
                <w:b w:val="1"/>
                <w:bCs w:val="1"/>
                <w:color w:val="FFFFFF"/>
                <w:w w:val="95"/>
              </w:rPr>
              <w:t>on Exercise</w:t>
            </w:r>
          </w:p>
        </w:tc>
        <w:tc>
          <w:tcPr>
            <w:tcW w:w="1420" w:type="dxa"/>
            <w:vAlign w:val="bottom"/>
            <w:shd w:val="clear" w:color="auto" w:fill="0061AF"/>
          </w:tcPr>
          <w:p>
            <w:pPr>
              <w:jc w:val="right"/>
              <w:ind w:right="337"/>
              <w:spacing w:after="0" w:line="143" w:lineRule="exact"/>
              <w:rPr>
                <w:sz w:val="20"/>
                <w:szCs w:val="20"/>
                <w:color w:val="auto"/>
              </w:rPr>
            </w:pPr>
            <w:r>
              <w:rPr>
                <w:rFonts w:ascii="Arial" w:cs="Arial" w:eastAsia="Arial" w:hAnsi="Arial"/>
                <w:sz w:val="13"/>
                <w:szCs w:val="13"/>
                <w:b w:val="1"/>
                <w:bCs w:val="1"/>
                <w:color w:val="FFFFFF"/>
              </w:rPr>
              <w:t>on Exercise</w:t>
            </w:r>
          </w:p>
        </w:tc>
        <w:tc>
          <w:tcPr>
            <w:tcW w:w="1000" w:type="dxa"/>
            <w:vAlign w:val="bottom"/>
            <w:shd w:val="clear" w:color="auto" w:fill="0061AF"/>
          </w:tcPr>
          <w:p>
            <w:pPr>
              <w:jc w:val="center"/>
              <w:ind w:left="217"/>
              <w:spacing w:after="0" w:line="143" w:lineRule="exact"/>
              <w:rPr>
                <w:sz w:val="20"/>
                <w:szCs w:val="20"/>
                <w:color w:val="auto"/>
              </w:rPr>
            </w:pPr>
            <w:r>
              <w:rPr>
                <w:rFonts w:ascii="Arial" w:cs="Arial" w:eastAsia="Arial" w:hAnsi="Arial"/>
                <w:sz w:val="13"/>
                <w:szCs w:val="13"/>
                <w:b w:val="1"/>
                <w:bCs w:val="1"/>
                <w:color w:val="FFFFFF"/>
                <w:w w:val="96"/>
              </w:rPr>
              <w:t>on Vesting</w:t>
            </w:r>
          </w:p>
        </w:tc>
        <w:tc>
          <w:tcPr>
            <w:tcW w:w="1940" w:type="dxa"/>
            <w:vAlign w:val="bottom"/>
            <w:shd w:val="clear" w:color="auto" w:fill="0061AF"/>
          </w:tcPr>
          <w:p>
            <w:pPr>
              <w:jc w:val="center"/>
              <w:ind w:left="437"/>
              <w:spacing w:after="0" w:line="143" w:lineRule="exact"/>
              <w:rPr>
                <w:sz w:val="20"/>
                <w:szCs w:val="20"/>
                <w:color w:val="auto"/>
              </w:rPr>
            </w:pPr>
            <w:r>
              <w:rPr>
                <w:rFonts w:ascii="Arial" w:cs="Arial" w:eastAsia="Arial" w:hAnsi="Arial"/>
                <w:sz w:val="13"/>
                <w:szCs w:val="13"/>
                <w:b w:val="1"/>
                <w:bCs w:val="1"/>
                <w:color w:val="FFFFFF"/>
                <w:w w:val="96"/>
              </w:rPr>
              <w:t>on Vesting</w:t>
            </w:r>
          </w:p>
        </w:tc>
      </w:tr>
      <w:tr>
        <w:trPr>
          <w:trHeight w:val="167"/>
        </w:trPr>
        <w:tc>
          <w:tcPr>
            <w:tcW w:w="404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1320" w:type="dxa"/>
            <w:vAlign w:val="bottom"/>
            <w:shd w:val="clear" w:color="auto" w:fill="0061AF"/>
          </w:tcPr>
          <w:p>
            <w:pPr>
              <w:jc w:val="right"/>
              <w:ind w:right="417"/>
              <w:spacing w:after="0"/>
              <w:rPr>
                <w:sz w:val="20"/>
                <w:szCs w:val="20"/>
                <w:color w:val="auto"/>
              </w:rPr>
            </w:pPr>
            <w:r>
              <w:rPr>
                <w:rFonts w:ascii="Arial" w:cs="Arial" w:eastAsia="Arial" w:hAnsi="Arial"/>
                <w:sz w:val="13"/>
                <w:szCs w:val="13"/>
                <w:b w:val="1"/>
                <w:bCs w:val="1"/>
                <w:color w:val="FFFFFF"/>
              </w:rPr>
              <w:t>(#)</w:t>
            </w:r>
          </w:p>
        </w:tc>
        <w:tc>
          <w:tcPr>
            <w:tcW w:w="1420" w:type="dxa"/>
            <w:vAlign w:val="bottom"/>
            <w:shd w:val="clear" w:color="auto" w:fill="0061AF"/>
          </w:tcPr>
          <w:p>
            <w:pPr>
              <w:jc w:val="right"/>
              <w:ind w:right="617"/>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0061AF"/>
          </w:tcPr>
          <w:p>
            <w:pPr>
              <w:jc w:val="center"/>
              <w:ind w:left="197"/>
              <w:spacing w:after="0"/>
              <w:rPr>
                <w:sz w:val="20"/>
                <w:szCs w:val="20"/>
                <w:color w:val="auto"/>
              </w:rPr>
            </w:pPr>
            <w:r>
              <w:rPr>
                <w:rFonts w:ascii="Arial" w:cs="Arial" w:eastAsia="Arial" w:hAnsi="Arial"/>
                <w:sz w:val="13"/>
                <w:szCs w:val="13"/>
                <w:b w:val="1"/>
                <w:bCs w:val="1"/>
                <w:color w:val="FFFFFF"/>
                <w:w w:val="87"/>
              </w:rPr>
              <w:t>(#)</w:t>
            </w:r>
          </w:p>
        </w:tc>
        <w:tc>
          <w:tcPr>
            <w:tcW w:w="1940" w:type="dxa"/>
            <w:vAlign w:val="bottom"/>
            <w:shd w:val="clear" w:color="auto" w:fill="0061AF"/>
          </w:tcPr>
          <w:p>
            <w:pPr>
              <w:jc w:val="center"/>
              <w:ind w:left="437"/>
              <w:spacing w:after="0"/>
              <w:rPr>
                <w:sz w:val="20"/>
                <w:szCs w:val="20"/>
                <w:color w:val="auto"/>
              </w:rPr>
            </w:pPr>
            <w:r>
              <w:rPr>
                <w:rFonts w:ascii="Arial" w:cs="Arial" w:eastAsia="Arial" w:hAnsi="Arial"/>
                <w:sz w:val="13"/>
                <w:szCs w:val="13"/>
                <w:b w:val="1"/>
                <w:bCs w:val="1"/>
                <w:color w:val="FFFFFF"/>
              </w:rPr>
              <w:t>($)</w:t>
            </w:r>
          </w:p>
        </w:tc>
      </w:tr>
      <w:tr>
        <w:trPr>
          <w:trHeight w:val="143"/>
        </w:trPr>
        <w:tc>
          <w:tcPr>
            <w:tcW w:w="4040" w:type="dxa"/>
            <w:vAlign w:val="bottom"/>
          </w:tcPr>
          <w:p>
            <w:pPr>
              <w:ind w:left="80"/>
              <w:spacing w:after="0" w:line="143" w:lineRule="exact"/>
              <w:rPr>
                <w:sz w:val="20"/>
                <w:szCs w:val="20"/>
                <w:color w:val="auto"/>
              </w:rPr>
            </w:pPr>
            <w:r>
              <w:rPr>
                <w:rFonts w:ascii="Arial" w:cs="Arial" w:eastAsia="Arial" w:hAnsi="Arial"/>
                <w:sz w:val="13"/>
                <w:szCs w:val="13"/>
                <w:color w:val="auto"/>
              </w:rPr>
              <w:t>Lesar</w:t>
            </w:r>
          </w:p>
        </w:tc>
        <w:tc>
          <w:tcPr>
            <w:tcW w:w="1320" w:type="dxa"/>
            <w:vAlign w:val="bottom"/>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94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r>
      <w:tr>
        <w:trPr>
          <w:trHeight w:val="143"/>
        </w:trPr>
        <w:tc>
          <w:tcPr>
            <w:tcW w:w="40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Wells</w:t>
            </w:r>
          </w:p>
        </w:tc>
        <w:tc>
          <w:tcPr>
            <w:tcW w:w="1320" w:type="dxa"/>
            <w:vAlign w:val="bottom"/>
            <w:shd w:val="clear" w:color="auto" w:fill="D8E7F3"/>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shd w:val="clear" w:color="auto" w:fill="D8E7F3"/>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94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r>
      <w:tr>
        <w:trPr>
          <w:trHeight w:val="143"/>
        </w:trPr>
        <w:tc>
          <w:tcPr>
            <w:tcW w:w="4040" w:type="dxa"/>
            <w:vAlign w:val="bottom"/>
          </w:tcPr>
          <w:p>
            <w:pPr>
              <w:ind w:left="80"/>
              <w:spacing w:after="0" w:line="143" w:lineRule="exact"/>
              <w:rPr>
                <w:sz w:val="20"/>
                <w:szCs w:val="20"/>
                <w:color w:val="auto"/>
              </w:rPr>
            </w:pPr>
            <w:r>
              <w:rPr>
                <w:rFonts w:ascii="Arial" w:cs="Arial" w:eastAsia="Arial" w:hAnsi="Arial"/>
                <w:sz w:val="13"/>
                <w:szCs w:val="13"/>
                <w:color w:val="auto"/>
              </w:rPr>
              <w:t>Carroll</w:t>
            </w:r>
          </w:p>
        </w:tc>
        <w:tc>
          <w:tcPr>
            <w:tcW w:w="1320" w:type="dxa"/>
            <w:vAlign w:val="bottom"/>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132,988</w:t>
            </w:r>
          </w:p>
        </w:tc>
        <w:tc>
          <w:tcPr>
            <w:tcW w:w="194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2,894,076</w:t>
            </w:r>
          </w:p>
        </w:tc>
      </w:tr>
      <w:tr>
        <w:trPr>
          <w:trHeight w:val="143"/>
        </w:trPr>
        <w:tc>
          <w:tcPr>
            <w:tcW w:w="40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Colvin</w:t>
            </w:r>
          </w:p>
        </w:tc>
        <w:tc>
          <w:tcPr>
            <w:tcW w:w="1320" w:type="dxa"/>
            <w:vAlign w:val="bottom"/>
            <w:shd w:val="clear" w:color="auto" w:fill="D8E7F3"/>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shd w:val="clear" w:color="auto" w:fill="D8E7F3"/>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6,525</w:t>
            </w:r>
          </w:p>
        </w:tc>
        <w:tc>
          <w:tcPr>
            <w:tcW w:w="194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164,363</w:t>
            </w:r>
          </w:p>
        </w:tc>
      </w:tr>
      <w:tr>
        <w:trPr>
          <w:trHeight w:val="143"/>
        </w:trPr>
        <w:tc>
          <w:tcPr>
            <w:tcW w:w="4040" w:type="dxa"/>
            <w:vAlign w:val="bottom"/>
          </w:tcPr>
          <w:p>
            <w:pPr>
              <w:ind w:left="80"/>
              <w:spacing w:after="0" w:line="143" w:lineRule="exact"/>
              <w:rPr>
                <w:sz w:val="20"/>
                <w:szCs w:val="20"/>
                <w:color w:val="auto"/>
              </w:rPr>
            </w:pPr>
            <w:r>
              <w:rPr>
                <w:rFonts w:ascii="Arial" w:cs="Arial" w:eastAsia="Arial" w:hAnsi="Arial"/>
                <w:sz w:val="13"/>
                <w:szCs w:val="13"/>
                <w:color w:val="auto"/>
              </w:rPr>
              <w:t>Doyle</w:t>
            </w:r>
          </w:p>
        </w:tc>
        <w:tc>
          <w:tcPr>
            <w:tcW w:w="1320" w:type="dxa"/>
            <w:vAlign w:val="bottom"/>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8,727</w:t>
            </w:r>
          </w:p>
        </w:tc>
        <w:tc>
          <w:tcPr>
            <w:tcW w:w="194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217,324</w:t>
            </w:r>
          </w:p>
        </w:tc>
      </w:tr>
      <w:tr>
        <w:trPr>
          <w:trHeight w:val="143"/>
        </w:trPr>
        <w:tc>
          <w:tcPr>
            <w:tcW w:w="40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Knight</w:t>
            </w:r>
          </w:p>
        </w:tc>
        <w:tc>
          <w:tcPr>
            <w:tcW w:w="1320" w:type="dxa"/>
            <w:vAlign w:val="bottom"/>
            <w:shd w:val="clear" w:color="auto" w:fill="D8E7F3"/>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shd w:val="clear" w:color="auto" w:fill="D8E7F3"/>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94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r>
      <w:tr>
        <w:trPr>
          <w:trHeight w:val="143"/>
        </w:trPr>
        <w:tc>
          <w:tcPr>
            <w:tcW w:w="4040" w:type="dxa"/>
            <w:vAlign w:val="bottom"/>
          </w:tcPr>
          <w:p>
            <w:pPr>
              <w:ind w:left="80"/>
              <w:spacing w:after="0" w:line="143" w:lineRule="exact"/>
              <w:rPr>
                <w:sz w:val="20"/>
                <w:szCs w:val="20"/>
                <w:color w:val="auto"/>
              </w:rPr>
            </w:pPr>
            <w:r>
              <w:rPr>
                <w:rFonts w:ascii="Arial" w:cs="Arial" w:eastAsia="Arial" w:hAnsi="Arial"/>
                <w:sz w:val="13"/>
                <w:szCs w:val="13"/>
                <w:color w:val="auto"/>
              </w:rPr>
              <w:t>Prochazka</w:t>
            </w:r>
          </w:p>
        </w:tc>
        <w:tc>
          <w:tcPr>
            <w:tcW w:w="1320" w:type="dxa"/>
            <w:vAlign w:val="bottom"/>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137,161</w:t>
            </w:r>
          </w:p>
        </w:tc>
        <w:tc>
          <w:tcPr>
            <w:tcW w:w="194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2,759,360</w:t>
            </w:r>
          </w:p>
        </w:tc>
      </w:tr>
      <w:tr>
        <w:trPr>
          <w:trHeight w:val="143"/>
        </w:trPr>
        <w:tc>
          <w:tcPr>
            <w:tcW w:w="40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Somerhalder</w:t>
            </w:r>
          </w:p>
        </w:tc>
        <w:tc>
          <w:tcPr>
            <w:tcW w:w="1320" w:type="dxa"/>
            <w:vAlign w:val="bottom"/>
            <w:shd w:val="clear" w:color="auto" w:fill="D8E7F3"/>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shd w:val="clear" w:color="auto" w:fill="D8E7F3"/>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133,902</w:t>
            </w:r>
          </w:p>
        </w:tc>
        <w:tc>
          <w:tcPr>
            <w:tcW w:w="194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2,633,138</w:t>
            </w:r>
          </w:p>
        </w:tc>
      </w:tr>
      <w:tr>
        <w:trPr>
          <w:trHeight w:val="143"/>
        </w:trPr>
        <w:tc>
          <w:tcPr>
            <w:tcW w:w="4040" w:type="dxa"/>
            <w:vAlign w:val="bottom"/>
          </w:tcPr>
          <w:p>
            <w:pPr>
              <w:ind w:left="80"/>
              <w:spacing w:after="0" w:line="143" w:lineRule="exact"/>
              <w:rPr>
                <w:sz w:val="20"/>
                <w:szCs w:val="20"/>
                <w:color w:val="auto"/>
              </w:rPr>
            </w:pPr>
            <w:r>
              <w:rPr>
                <w:rFonts w:ascii="Arial" w:cs="Arial" w:eastAsia="Arial" w:hAnsi="Arial"/>
                <w:sz w:val="13"/>
                <w:szCs w:val="13"/>
                <w:color w:val="auto"/>
              </w:rPr>
              <w:t>Liu</w:t>
            </w:r>
          </w:p>
        </w:tc>
        <w:tc>
          <w:tcPr>
            <w:tcW w:w="1320" w:type="dxa"/>
            <w:vAlign w:val="bottom"/>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12,500</w:t>
            </w:r>
          </w:p>
        </w:tc>
        <w:tc>
          <w:tcPr>
            <w:tcW w:w="194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216,781</w:t>
            </w:r>
          </w:p>
        </w:tc>
      </w:tr>
      <w:tr>
        <w:trPr>
          <w:trHeight w:val="143"/>
        </w:trPr>
        <w:tc>
          <w:tcPr>
            <w:tcW w:w="404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Vortherms</w:t>
            </w:r>
          </w:p>
        </w:tc>
        <w:tc>
          <w:tcPr>
            <w:tcW w:w="1320" w:type="dxa"/>
            <w:vAlign w:val="bottom"/>
            <w:shd w:val="clear" w:color="auto" w:fill="D8E7F3"/>
          </w:tcPr>
          <w:p>
            <w:pPr>
              <w:jc w:val="right"/>
              <w:ind w:right="417"/>
              <w:spacing w:after="0" w:line="143" w:lineRule="exact"/>
              <w:rPr>
                <w:sz w:val="20"/>
                <w:szCs w:val="20"/>
                <w:color w:val="auto"/>
              </w:rPr>
            </w:pPr>
            <w:r>
              <w:rPr>
                <w:rFonts w:ascii="Arial" w:cs="Arial" w:eastAsia="Arial" w:hAnsi="Arial"/>
                <w:sz w:val="13"/>
                <w:szCs w:val="13"/>
                <w:color w:val="auto"/>
              </w:rPr>
              <w:t>—</w:t>
            </w:r>
          </w:p>
        </w:tc>
        <w:tc>
          <w:tcPr>
            <w:tcW w:w="1420" w:type="dxa"/>
            <w:vAlign w:val="bottom"/>
            <w:shd w:val="clear" w:color="auto" w:fill="D8E7F3"/>
          </w:tcPr>
          <w:p>
            <w:pPr>
              <w:jc w:val="right"/>
              <w:ind w:right="597"/>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7,288</w:t>
            </w:r>
          </w:p>
        </w:tc>
        <w:tc>
          <w:tcPr>
            <w:tcW w:w="194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181,461</w:t>
            </w:r>
          </w:p>
        </w:tc>
      </w:tr>
    </w:tbl>
    <w:p>
      <w:pPr>
        <w:spacing w:after="0" w:line="188" w:lineRule="exact"/>
        <w:rPr>
          <w:sz w:val="20"/>
          <w:szCs w:val="20"/>
          <w:color w:val="auto"/>
        </w:rPr>
      </w:pPr>
    </w:p>
    <w:p>
      <w:pPr>
        <w:ind w:left="400" w:hanging="391"/>
        <w:spacing w:after="0"/>
        <w:tabs>
          <w:tab w:leader="none" w:pos="400" w:val="left"/>
        </w:tabs>
        <w:numPr>
          <w:ilvl w:val="0"/>
          <w:numId w:val="87"/>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10200"/>
          </w:cols>
          <w:pgMar w:left="1080" w:top="305" w:right="619" w:bottom="1440" w:gutter="0" w:footer="0" w:header="0"/>
        </w:sectPr>
      </w:pPr>
    </w:p>
    <w:bookmarkStart w:id="72" w:name="page73"/>
    <w:bookmarkEnd w:id="7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220" w:lineRule="exact"/>
        <w:rPr>
          <w:sz w:val="20"/>
          <w:szCs w:val="20"/>
          <w:color w:val="auto"/>
        </w:rPr>
      </w:pPr>
    </w:p>
    <w:p>
      <w:pPr>
        <w:ind w:left="300" w:hanging="291"/>
        <w:spacing w:after="0"/>
        <w:tabs>
          <w:tab w:leader="none" w:pos="3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For each of the named executive officers, the stock awards and performance share unit awards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shd w:val="clear" w:color="auto" w:fill="0061AF"/>
          </w:tcPr>
          <w:p>
            <w:pPr>
              <w:spacing w:after="0"/>
              <w:rPr>
                <w:sz w:val="13"/>
                <w:szCs w:val="13"/>
                <w:color w:val="auto"/>
              </w:rPr>
            </w:pPr>
          </w:p>
        </w:tc>
        <w:tc>
          <w:tcPr>
            <w:tcW w:w="1660" w:type="dxa"/>
            <w:vAlign w:val="bottom"/>
            <w:gridSpan w:val="2"/>
            <w:shd w:val="clear" w:color="auto" w:fill="0061AF"/>
          </w:tcPr>
          <w:p>
            <w:pPr>
              <w:jc w:val="center"/>
              <w:spacing w:after="0"/>
              <w:rPr>
                <w:sz w:val="20"/>
                <w:szCs w:val="20"/>
                <w:color w:val="auto"/>
              </w:rPr>
            </w:pPr>
            <w:r>
              <w:rPr>
                <w:rFonts w:ascii="Arial" w:cs="Arial" w:eastAsia="Arial" w:hAnsi="Arial"/>
                <w:sz w:val="13"/>
                <w:szCs w:val="13"/>
                <w:b w:val="1"/>
                <w:bCs w:val="1"/>
                <w:color w:val="FFFFFF"/>
                <w:w w:val="97"/>
              </w:rPr>
              <w:t>Performance Share</w:t>
            </w:r>
          </w:p>
        </w:tc>
        <w:tc>
          <w:tcPr>
            <w:tcW w:w="600" w:type="dxa"/>
            <w:vAlign w:val="bottom"/>
            <w:shd w:val="clear" w:color="auto" w:fill="0061AF"/>
          </w:tcPr>
          <w:p>
            <w:pPr>
              <w:spacing w:after="0"/>
              <w:rPr>
                <w:sz w:val="13"/>
                <w:szCs w:val="13"/>
                <w:color w:val="auto"/>
              </w:rPr>
            </w:pPr>
          </w:p>
        </w:tc>
        <w:tc>
          <w:tcPr>
            <w:tcW w:w="1180" w:type="dxa"/>
            <w:vAlign w:val="bottom"/>
            <w:shd w:val="clear" w:color="auto" w:fill="0061AF"/>
          </w:tcPr>
          <w:p>
            <w:pPr>
              <w:spacing w:after="0"/>
              <w:rPr>
                <w:sz w:val="13"/>
                <w:szCs w:val="13"/>
                <w:color w:val="auto"/>
              </w:rPr>
            </w:pPr>
          </w:p>
        </w:tc>
        <w:tc>
          <w:tcPr>
            <w:tcW w:w="700" w:type="dxa"/>
            <w:vAlign w:val="bottom"/>
            <w:shd w:val="clear" w:color="auto" w:fill="0061AF"/>
          </w:tcPr>
          <w:p>
            <w:pPr>
              <w:spacing w:after="0"/>
              <w:rPr>
                <w:sz w:val="13"/>
                <w:szCs w:val="13"/>
                <w:color w:val="auto"/>
              </w:rPr>
            </w:pPr>
          </w:p>
        </w:tc>
        <w:tc>
          <w:tcPr>
            <w:tcW w:w="1180" w:type="dxa"/>
            <w:vAlign w:val="bottom"/>
            <w:shd w:val="clear" w:color="auto" w:fill="0061AF"/>
          </w:tcPr>
          <w:p>
            <w:pPr>
              <w:spacing w:after="0"/>
              <w:rPr>
                <w:sz w:val="13"/>
                <w:szCs w:val="13"/>
                <w:color w:val="auto"/>
              </w:rPr>
            </w:pPr>
          </w:p>
        </w:tc>
        <w:tc>
          <w:tcPr>
            <w:tcW w:w="800" w:type="dxa"/>
            <w:vAlign w:val="bottom"/>
            <w:shd w:val="clear" w:color="auto" w:fill="0061AF"/>
          </w:tcPr>
          <w:p>
            <w:pPr>
              <w:spacing w:after="0"/>
              <w:rPr>
                <w:sz w:val="13"/>
                <w:szCs w:val="13"/>
                <w:color w:val="auto"/>
              </w:rPr>
            </w:pPr>
          </w:p>
        </w:tc>
        <w:tc>
          <w:tcPr>
            <w:tcW w:w="840" w:type="dxa"/>
            <w:vAlign w:val="bottom"/>
            <w:shd w:val="clear" w:color="auto" w:fill="0061AF"/>
          </w:tcPr>
          <w:p>
            <w:pPr>
              <w:spacing w:after="0"/>
              <w:rPr>
                <w:sz w:val="13"/>
                <w:szCs w:val="13"/>
                <w:color w:val="auto"/>
              </w:rPr>
            </w:pPr>
          </w:p>
        </w:tc>
        <w:tc>
          <w:tcPr>
            <w:tcW w:w="720" w:type="dxa"/>
            <w:vAlign w:val="bottom"/>
            <w:shd w:val="clear" w:color="auto" w:fill="0061AF"/>
          </w:tcPr>
          <w:p>
            <w:pPr>
              <w:spacing w:after="0"/>
              <w:rPr>
                <w:sz w:val="13"/>
                <w:szCs w:val="13"/>
                <w:color w:val="auto"/>
              </w:rPr>
            </w:pPr>
          </w:p>
        </w:tc>
        <w:tc>
          <w:tcPr>
            <w:tcW w:w="840" w:type="dxa"/>
            <w:vAlign w:val="bottom"/>
            <w:shd w:val="clear" w:color="auto" w:fill="0061AF"/>
          </w:tcPr>
          <w:p>
            <w:pPr>
              <w:spacing w:after="0"/>
              <w:rPr>
                <w:sz w:val="13"/>
                <w:szCs w:val="13"/>
                <w:color w:val="auto"/>
              </w:rPr>
            </w:pPr>
          </w:p>
        </w:tc>
        <w:tc>
          <w:tcPr>
            <w:tcW w:w="580" w:type="dxa"/>
            <w:vAlign w:val="bottom"/>
            <w:shd w:val="clear" w:color="auto" w:fill="0061AF"/>
          </w:tcPr>
          <w:p>
            <w:pPr>
              <w:spacing w:after="0"/>
              <w:rPr>
                <w:sz w:val="13"/>
                <w:szCs w:val="13"/>
                <w:color w:val="auto"/>
              </w:rPr>
            </w:pPr>
          </w:p>
        </w:tc>
        <w:tc>
          <w:tcPr>
            <w:tcW w:w="68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00" w:type="dxa"/>
            <w:vAlign w:val="bottom"/>
            <w:shd w:val="clear" w:color="auto" w:fill="0061AF"/>
          </w:tcPr>
          <w:p>
            <w:pPr>
              <w:spacing w:after="0"/>
              <w:rPr>
                <w:sz w:val="12"/>
                <w:szCs w:val="12"/>
                <w:color w:val="auto"/>
              </w:rPr>
            </w:pPr>
          </w:p>
        </w:tc>
        <w:tc>
          <w:tcPr>
            <w:tcW w:w="1660" w:type="dxa"/>
            <w:vAlign w:val="bottom"/>
            <w:gridSpan w:val="2"/>
            <w:shd w:val="clear" w:color="auto" w:fill="0061AF"/>
          </w:tcPr>
          <w:p>
            <w:pPr>
              <w:jc w:val="center"/>
              <w:ind w:right="17"/>
              <w:spacing w:after="0" w:line="143" w:lineRule="exact"/>
              <w:rPr>
                <w:sz w:val="20"/>
                <w:szCs w:val="20"/>
                <w:color w:val="auto"/>
              </w:rPr>
            </w:pPr>
            <w:r>
              <w:rPr>
                <w:rFonts w:ascii="Arial" w:cs="Arial" w:eastAsia="Arial" w:hAnsi="Arial"/>
                <w:sz w:val="13"/>
                <w:szCs w:val="13"/>
                <w:b w:val="1"/>
                <w:bCs w:val="1"/>
                <w:color w:val="FFFFFF"/>
                <w:w w:val="97"/>
              </w:rPr>
              <w:t>Unit Awards</w:t>
            </w:r>
          </w:p>
        </w:tc>
        <w:tc>
          <w:tcPr>
            <w:tcW w:w="1780" w:type="dxa"/>
            <w:vAlign w:val="bottom"/>
            <w:gridSpan w:val="2"/>
            <w:shd w:val="clear" w:color="auto" w:fill="0061AF"/>
          </w:tcPr>
          <w:p>
            <w:pPr>
              <w:jc w:val="center"/>
              <w:ind w:right="17"/>
              <w:spacing w:after="0" w:line="143" w:lineRule="exact"/>
              <w:rPr>
                <w:sz w:val="20"/>
                <w:szCs w:val="20"/>
                <w:color w:val="auto"/>
              </w:rPr>
            </w:pPr>
            <w:r>
              <w:rPr>
                <w:rFonts w:ascii="Arial" w:cs="Arial" w:eastAsia="Arial" w:hAnsi="Arial"/>
                <w:sz w:val="13"/>
                <w:szCs w:val="13"/>
                <w:b w:val="1"/>
                <w:bCs w:val="1"/>
                <w:color w:val="FFFFFF"/>
                <w:w w:val="95"/>
              </w:rPr>
              <w:t>Stock Awards</w:t>
            </w:r>
          </w:p>
        </w:tc>
        <w:tc>
          <w:tcPr>
            <w:tcW w:w="1880" w:type="dxa"/>
            <w:vAlign w:val="bottom"/>
            <w:gridSpan w:val="2"/>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Stock Awards</w:t>
            </w:r>
          </w:p>
        </w:tc>
        <w:tc>
          <w:tcPr>
            <w:tcW w:w="1640" w:type="dxa"/>
            <w:vAlign w:val="bottom"/>
            <w:gridSpan w:val="2"/>
            <w:shd w:val="clear" w:color="auto" w:fill="0061AF"/>
          </w:tcPr>
          <w:p>
            <w:pPr>
              <w:jc w:val="center"/>
              <w:ind w:right="17"/>
              <w:spacing w:after="0" w:line="143" w:lineRule="exact"/>
              <w:rPr>
                <w:sz w:val="20"/>
                <w:szCs w:val="20"/>
                <w:color w:val="auto"/>
              </w:rPr>
            </w:pPr>
            <w:r>
              <w:rPr>
                <w:rFonts w:ascii="Arial" w:cs="Arial" w:eastAsia="Arial" w:hAnsi="Arial"/>
                <w:sz w:val="13"/>
                <w:szCs w:val="13"/>
                <w:b w:val="1"/>
                <w:bCs w:val="1"/>
                <w:color w:val="FFFFFF"/>
                <w:w w:val="97"/>
              </w:rPr>
              <w:t>Stock Awards</w:t>
            </w:r>
          </w:p>
        </w:tc>
        <w:tc>
          <w:tcPr>
            <w:tcW w:w="1560" w:type="dxa"/>
            <w:vAlign w:val="bottom"/>
            <w:gridSpan w:val="2"/>
            <w:shd w:val="clear" w:color="auto" w:fill="0061AF"/>
          </w:tcPr>
          <w:p>
            <w:pPr>
              <w:jc w:val="center"/>
              <w:ind w:right="117"/>
              <w:spacing w:after="0" w:line="143" w:lineRule="exact"/>
              <w:rPr>
                <w:sz w:val="20"/>
                <w:szCs w:val="20"/>
                <w:color w:val="auto"/>
              </w:rPr>
            </w:pPr>
            <w:r>
              <w:rPr>
                <w:rFonts w:ascii="Arial" w:cs="Arial" w:eastAsia="Arial" w:hAnsi="Arial"/>
                <w:sz w:val="13"/>
                <w:szCs w:val="13"/>
                <w:b w:val="1"/>
                <w:bCs w:val="1"/>
                <w:color w:val="FFFFFF"/>
                <w:w w:val="95"/>
              </w:rPr>
              <w:t>Stock Awards</w:t>
            </w:r>
          </w:p>
        </w:tc>
        <w:tc>
          <w:tcPr>
            <w:tcW w:w="1260" w:type="dxa"/>
            <w:vAlign w:val="bottom"/>
            <w:gridSpan w:val="2"/>
            <w:shd w:val="clear" w:color="auto" w:fill="0061AF"/>
          </w:tcPr>
          <w:p>
            <w:pPr>
              <w:jc w:val="right"/>
              <w:spacing w:after="0" w:line="143" w:lineRule="exact"/>
              <w:rPr>
                <w:sz w:val="20"/>
                <w:szCs w:val="20"/>
                <w:color w:val="auto"/>
              </w:rPr>
            </w:pPr>
            <w:r>
              <w:rPr>
                <w:rFonts w:ascii="Arial" w:cs="Arial" w:eastAsia="Arial" w:hAnsi="Arial"/>
                <w:sz w:val="13"/>
                <w:szCs w:val="13"/>
                <w:b w:val="1"/>
                <w:bCs w:val="1"/>
                <w:color w:val="FFFFFF"/>
              </w:rPr>
              <w:t>Stock Award</w:t>
            </w:r>
          </w:p>
        </w:tc>
        <w:tc>
          <w:tcPr>
            <w:tcW w:w="0" w:type="dxa"/>
            <w:vAlign w:val="bottom"/>
          </w:tcPr>
          <w:p>
            <w:pPr>
              <w:spacing w:after="0"/>
              <w:rPr>
                <w:sz w:val="1"/>
                <w:szCs w:val="1"/>
                <w:color w:val="auto"/>
              </w:rPr>
            </w:pPr>
          </w:p>
        </w:tc>
      </w:tr>
      <w:tr>
        <w:trPr>
          <w:trHeight w:val="143"/>
        </w:trPr>
        <w:tc>
          <w:tcPr>
            <w:tcW w:w="800" w:type="dxa"/>
            <w:vAlign w:val="bottom"/>
            <w:shd w:val="clear" w:color="auto" w:fill="0061AF"/>
          </w:tcPr>
          <w:p>
            <w:pPr>
              <w:spacing w:after="0"/>
              <w:rPr>
                <w:sz w:val="12"/>
                <w:szCs w:val="12"/>
                <w:color w:val="auto"/>
              </w:rPr>
            </w:pPr>
          </w:p>
        </w:tc>
        <w:tc>
          <w:tcPr>
            <w:tcW w:w="1660" w:type="dxa"/>
            <w:vAlign w:val="bottom"/>
            <w:gridSpan w:val="2"/>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for the</w:t>
            </w:r>
          </w:p>
        </w:tc>
        <w:tc>
          <w:tcPr>
            <w:tcW w:w="600" w:type="dxa"/>
            <w:vAlign w:val="bottom"/>
            <w:shd w:val="clear" w:color="auto" w:fill="0061AF"/>
          </w:tcPr>
          <w:p>
            <w:pPr>
              <w:spacing w:after="0"/>
              <w:rPr>
                <w:sz w:val="12"/>
                <w:szCs w:val="12"/>
                <w:color w:val="auto"/>
              </w:rPr>
            </w:pPr>
          </w:p>
        </w:tc>
        <w:tc>
          <w:tcPr>
            <w:tcW w:w="1180" w:type="dxa"/>
            <w:vAlign w:val="bottom"/>
            <w:shd w:val="clear" w:color="auto" w:fill="0061AF"/>
          </w:tcPr>
          <w:p>
            <w:pPr>
              <w:jc w:val="center"/>
              <w:ind w:right="617"/>
              <w:spacing w:after="0" w:line="143" w:lineRule="exact"/>
              <w:rPr>
                <w:sz w:val="20"/>
                <w:szCs w:val="20"/>
                <w:color w:val="auto"/>
              </w:rPr>
            </w:pPr>
            <w:r>
              <w:rPr>
                <w:rFonts w:ascii="Arial" w:cs="Arial" w:eastAsia="Arial" w:hAnsi="Arial"/>
                <w:sz w:val="13"/>
                <w:szCs w:val="13"/>
                <w:b w:val="1"/>
                <w:bCs w:val="1"/>
                <w:color w:val="FFFFFF"/>
              </w:rPr>
              <w:t>Granted</w:t>
            </w:r>
          </w:p>
        </w:tc>
        <w:tc>
          <w:tcPr>
            <w:tcW w:w="700" w:type="dxa"/>
            <w:vAlign w:val="bottom"/>
            <w:shd w:val="clear" w:color="auto" w:fill="0061AF"/>
          </w:tcPr>
          <w:p>
            <w:pPr>
              <w:spacing w:after="0"/>
              <w:rPr>
                <w:sz w:val="12"/>
                <w:szCs w:val="12"/>
                <w:color w:val="auto"/>
              </w:rPr>
            </w:pPr>
          </w:p>
        </w:tc>
        <w:tc>
          <w:tcPr>
            <w:tcW w:w="1180" w:type="dxa"/>
            <w:vAlign w:val="bottom"/>
            <w:shd w:val="clear" w:color="auto" w:fill="0061AF"/>
          </w:tcPr>
          <w:p>
            <w:pPr>
              <w:jc w:val="center"/>
              <w:ind w:right="617"/>
              <w:spacing w:after="0" w:line="143" w:lineRule="exact"/>
              <w:rPr>
                <w:sz w:val="20"/>
                <w:szCs w:val="20"/>
                <w:color w:val="auto"/>
              </w:rPr>
            </w:pPr>
            <w:r>
              <w:rPr>
                <w:rFonts w:ascii="Arial" w:cs="Arial" w:eastAsia="Arial" w:hAnsi="Arial"/>
                <w:sz w:val="13"/>
                <w:szCs w:val="13"/>
                <w:b w:val="1"/>
                <w:bCs w:val="1"/>
                <w:color w:val="FFFFFF"/>
              </w:rPr>
              <w:t>Granted</w:t>
            </w:r>
          </w:p>
        </w:tc>
        <w:tc>
          <w:tcPr>
            <w:tcW w:w="1640" w:type="dxa"/>
            <w:vAlign w:val="bottom"/>
            <w:gridSpan w:val="2"/>
            <w:shd w:val="clear" w:color="auto" w:fill="0061AF"/>
          </w:tcPr>
          <w:p>
            <w:pPr>
              <w:jc w:val="center"/>
              <w:ind w:right="17"/>
              <w:spacing w:after="0" w:line="143" w:lineRule="exact"/>
              <w:rPr>
                <w:sz w:val="20"/>
                <w:szCs w:val="20"/>
                <w:color w:val="auto"/>
              </w:rPr>
            </w:pPr>
            <w:r>
              <w:rPr>
                <w:rFonts w:ascii="Arial" w:cs="Arial" w:eastAsia="Arial" w:hAnsi="Arial"/>
                <w:sz w:val="13"/>
                <w:szCs w:val="13"/>
                <w:b w:val="1"/>
                <w:bCs w:val="1"/>
                <w:color w:val="FFFFFF"/>
                <w:w w:val="96"/>
              </w:rPr>
              <w:t>Granted</w:t>
            </w:r>
          </w:p>
        </w:tc>
        <w:tc>
          <w:tcPr>
            <w:tcW w:w="1560" w:type="dxa"/>
            <w:vAlign w:val="bottom"/>
            <w:gridSpan w:val="2"/>
            <w:shd w:val="clear" w:color="auto" w:fill="0061AF"/>
          </w:tcPr>
          <w:p>
            <w:pPr>
              <w:jc w:val="center"/>
              <w:ind w:right="117"/>
              <w:spacing w:after="0" w:line="143" w:lineRule="exact"/>
              <w:rPr>
                <w:sz w:val="20"/>
                <w:szCs w:val="20"/>
                <w:color w:val="auto"/>
              </w:rPr>
            </w:pPr>
            <w:r>
              <w:rPr>
                <w:rFonts w:ascii="Arial" w:cs="Arial" w:eastAsia="Arial" w:hAnsi="Arial"/>
                <w:sz w:val="13"/>
                <w:szCs w:val="13"/>
                <w:b w:val="1"/>
                <w:bCs w:val="1"/>
                <w:color w:val="FFFFFF"/>
              </w:rPr>
              <w:t>Granted</w:t>
            </w:r>
          </w:p>
        </w:tc>
        <w:tc>
          <w:tcPr>
            <w:tcW w:w="580" w:type="dxa"/>
            <w:vAlign w:val="bottom"/>
            <w:shd w:val="clear" w:color="auto" w:fill="0061AF"/>
          </w:tcPr>
          <w:p>
            <w:pPr>
              <w:spacing w:after="0"/>
              <w:rPr>
                <w:sz w:val="12"/>
                <w:szCs w:val="12"/>
                <w:color w:val="auto"/>
              </w:rPr>
            </w:pPr>
          </w:p>
        </w:tc>
        <w:tc>
          <w:tcPr>
            <w:tcW w:w="680" w:type="dxa"/>
            <w:vAlign w:val="bottom"/>
            <w:shd w:val="clear" w:color="auto" w:fill="0061AF"/>
          </w:tcPr>
          <w:p>
            <w:pPr>
              <w:jc w:val="right"/>
              <w:ind w:right="17"/>
              <w:spacing w:after="0" w:line="143" w:lineRule="exact"/>
              <w:rPr>
                <w:sz w:val="20"/>
                <w:szCs w:val="20"/>
                <w:color w:val="auto"/>
              </w:rPr>
            </w:pPr>
            <w:r>
              <w:rPr>
                <w:rFonts w:ascii="Arial" w:cs="Arial" w:eastAsia="Arial" w:hAnsi="Arial"/>
                <w:sz w:val="13"/>
                <w:szCs w:val="13"/>
                <w:b w:val="1"/>
                <w:bCs w:val="1"/>
                <w:color w:val="FFFFFF"/>
              </w:rPr>
              <w:t>Granted</w:t>
            </w:r>
          </w:p>
        </w:tc>
        <w:tc>
          <w:tcPr>
            <w:tcW w:w="0" w:type="dxa"/>
            <w:vAlign w:val="bottom"/>
          </w:tcPr>
          <w:p>
            <w:pPr>
              <w:spacing w:after="0"/>
              <w:rPr>
                <w:sz w:val="1"/>
                <w:szCs w:val="1"/>
                <w:color w:val="auto"/>
              </w:rPr>
            </w:pPr>
          </w:p>
        </w:tc>
      </w:tr>
      <w:tr>
        <w:trPr>
          <w:trHeight w:val="143"/>
        </w:trPr>
        <w:tc>
          <w:tcPr>
            <w:tcW w:w="800" w:type="dxa"/>
            <w:vAlign w:val="bottom"/>
            <w:shd w:val="clear" w:color="auto" w:fill="0061AF"/>
          </w:tcPr>
          <w:p>
            <w:pPr>
              <w:spacing w:after="0"/>
              <w:rPr>
                <w:sz w:val="12"/>
                <w:szCs w:val="12"/>
                <w:color w:val="auto"/>
              </w:rPr>
            </w:pPr>
          </w:p>
        </w:tc>
        <w:tc>
          <w:tcPr>
            <w:tcW w:w="1660" w:type="dxa"/>
            <w:vAlign w:val="bottom"/>
            <w:gridSpan w:val="2"/>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2018-2020</w:t>
            </w:r>
          </w:p>
        </w:tc>
        <w:tc>
          <w:tcPr>
            <w:tcW w:w="1780" w:type="dxa"/>
            <w:vAlign w:val="bottom"/>
            <w:gridSpan w:val="2"/>
            <w:shd w:val="clear" w:color="auto" w:fill="0061AF"/>
          </w:tcPr>
          <w:p>
            <w:pPr>
              <w:jc w:val="center"/>
              <w:ind w:right="17"/>
              <w:spacing w:after="0" w:line="143" w:lineRule="exact"/>
              <w:rPr>
                <w:sz w:val="20"/>
                <w:szCs w:val="20"/>
                <w:color w:val="auto"/>
              </w:rPr>
            </w:pPr>
            <w:r>
              <w:rPr>
                <w:rFonts w:ascii="Arial" w:cs="Arial" w:eastAsia="Arial" w:hAnsi="Arial"/>
                <w:sz w:val="13"/>
                <w:szCs w:val="13"/>
                <w:b w:val="1"/>
                <w:bCs w:val="1"/>
                <w:color w:val="FFFFFF"/>
                <w:w w:val="96"/>
              </w:rPr>
              <w:t>February 21, 2017</w:t>
            </w:r>
          </w:p>
        </w:tc>
        <w:tc>
          <w:tcPr>
            <w:tcW w:w="1880" w:type="dxa"/>
            <w:vAlign w:val="bottom"/>
            <w:gridSpan w:val="2"/>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April 22, 2019</w:t>
            </w:r>
          </w:p>
        </w:tc>
        <w:tc>
          <w:tcPr>
            <w:tcW w:w="1640" w:type="dxa"/>
            <w:vAlign w:val="bottom"/>
            <w:gridSpan w:val="2"/>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March 13, 2020</w:t>
            </w:r>
          </w:p>
        </w:tc>
        <w:tc>
          <w:tcPr>
            <w:tcW w:w="1560" w:type="dxa"/>
            <w:vAlign w:val="bottom"/>
            <w:gridSpan w:val="2"/>
            <w:shd w:val="clear" w:color="auto" w:fill="0061AF"/>
          </w:tcPr>
          <w:p>
            <w:pPr>
              <w:jc w:val="center"/>
              <w:ind w:right="117"/>
              <w:spacing w:after="0" w:line="143" w:lineRule="exact"/>
              <w:rPr>
                <w:sz w:val="20"/>
                <w:szCs w:val="20"/>
                <w:color w:val="auto"/>
              </w:rPr>
            </w:pPr>
            <w:r>
              <w:rPr>
                <w:rFonts w:ascii="Arial" w:cs="Arial" w:eastAsia="Arial" w:hAnsi="Arial"/>
                <w:sz w:val="13"/>
                <w:szCs w:val="13"/>
                <w:b w:val="1"/>
                <w:bCs w:val="1"/>
                <w:color w:val="FFFFFF"/>
                <w:w w:val="95"/>
              </w:rPr>
              <w:t>June 1, 2020</w:t>
            </w:r>
          </w:p>
        </w:tc>
        <w:tc>
          <w:tcPr>
            <w:tcW w:w="580" w:type="dxa"/>
            <w:vAlign w:val="bottom"/>
            <w:shd w:val="clear" w:color="auto" w:fill="0061AF"/>
          </w:tcPr>
          <w:p>
            <w:pPr>
              <w:spacing w:after="0"/>
              <w:rPr>
                <w:sz w:val="12"/>
                <w:szCs w:val="12"/>
                <w:color w:val="auto"/>
              </w:rPr>
            </w:pPr>
          </w:p>
        </w:tc>
        <w:tc>
          <w:tcPr>
            <w:tcW w:w="680" w:type="dxa"/>
            <w:vAlign w:val="bottom"/>
            <w:shd w:val="clear" w:color="auto" w:fill="0061AF"/>
          </w:tcPr>
          <w:p>
            <w:pPr>
              <w:jc w:val="right"/>
              <w:spacing w:after="0" w:line="143" w:lineRule="exact"/>
              <w:rPr>
                <w:sz w:val="20"/>
                <w:szCs w:val="20"/>
                <w:color w:val="auto"/>
              </w:rPr>
            </w:pPr>
            <w:r>
              <w:rPr>
                <w:rFonts w:ascii="Arial" w:cs="Arial" w:eastAsia="Arial" w:hAnsi="Arial"/>
                <w:sz w:val="13"/>
                <w:szCs w:val="13"/>
                <w:b w:val="1"/>
                <w:bCs w:val="1"/>
                <w:color w:val="FFFFFF"/>
                <w:w w:val="90"/>
              </w:rPr>
              <w:t>July 1, 2020</w:t>
            </w:r>
          </w:p>
        </w:tc>
        <w:tc>
          <w:tcPr>
            <w:tcW w:w="0" w:type="dxa"/>
            <w:vAlign w:val="bottom"/>
          </w:tcPr>
          <w:p>
            <w:pPr>
              <w:spacing w:after="0"/>
              <w:rPr>
                <w:sz w:val="1"/>
                <w:szCs w:val="1"/>
                <w:color w:val="auto"/>
              </w:rPr>
            </w:pPr>
          </w:p>
        </w:tc>
      </w:tr>
      <w:tr>
        <w:trPr>
          <w:trHeight w:val="140"/>
        </w:trPr>
        <w:tc>
          <w:tcPr>
            <w:tcW w:w="800" w:type="dxa"/>
            <w:vAlign w:val="bottom"/>
            <w:shd w:val="clear" w:color="auto" w:fill="0061AF"/>
          </w:tcPr>
          <w:p>
            <w:pPr>
              <w:spacing w:after="0"/>
              <w:rPr>
                <w:sz w:val="12"/>
                <w:szCs w:val="12"/>
                <w:color w:val="auto"/>
              </w:rPr>
            </w:pPr>
          </w:p>
        </w:tc>
        <w:tc>
          <w:tcPr>
            <w:tcW w:w="1660" w:type="dxa"/>
            <w:vAlign w:val="bottom"/>
            <w:gridSpan w:val="2"/>
            <w:shd w:val="clear" w:color="auto" w:fill="0061AF"/>
          </w:tcPr>
          <w:p>
            <w:pPr>
              <w:jc w:val="center"/>
              <w:ind w:right="17"/>
              <w:spacing w:after="0" w:line="141" w:lineRule="exact"/>
              <w:rPr>
                <w:sz w:val="20"/>
                <w:szCs w:val="20"/>
                <w:color w:val="auto"/>
              </w:rPr>
            </w:pPr>
            <w:r>
              <w:rPr>
                <w:rFonts w:ascii="Arial" w:cs="Arial" w:eastAsia="Arial" w:hAnsi="Arial"/>
                <w:sz w:val="13"/>
                <w:szCs w:val="13"/>
                <w:b w:val="1"/>
                <w:bCs w:val="1"/>
                <w:color w:val="FFFFFF"/>
                <w:w w:val="98"/>
              </w:rPr>
              <w:t>Performance</w:t>
            </w:r>
          </w:p>
        </w:tc>
        <w:tc>
          <w:tcPr>
            <w:tcW w:w="1780" w:type="dxa"/>
            <w:vAlign w:val="bottom"/>
            <w:gridSpan w:val="2"/>
            <w:shd w:val="clear" w:color="auto" w:fill="0061AF"/>
          </w:tcPr>
          <w:p>
            <w:pPr>
              <w:jc w:val="center"/>
              <w:ind w:right="17"/>
              <w:spacing w:after="0" w:line="141" w:lineRule="exact"/>
              <w:rPr>
                <w:sz w:val="20"/>
                <w:szCs w:val="20"/>
                <w:color w:val="auto"/>
              </w:rPr>
            </w:pPr>
            <w:r>
              <w:rPr>
                <w:rFonts w:ascii="Arial" w:cs="Arial" w:eastAsia="Arial" w:hAnsi="Arial"/>
                <w:sz w:val="13"/>
                <w:szCs w:val="13"/>
                <w:b w:val="1"/>
                <w:bCs w:val="1"/>
                <w:color w:val="FFFFFF"/>
                <w:w w:val="94"/>
              </w:rPr>
              <w:t>That Vested</w:t>
            </w:r>
          </w:p>
        </w:tc>
        <w:tc>
          <w:tcPr>
            <w:tcW w:w="1880" w:type="dxa"/>
            <w:vAlign w:val="bottom"/>
            <w:gridSpan w:val="2"/>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4"/>
              </w:rPr>
              <w:t>That Vested</w:t>
            </w:r>
          </w:p>
        </w:tc>
        <w:tc>
          <w:tcPr>
            <w:tcW w:w="1640" w:type="dxa"/>
            <w:vAlign w:val="bottom"/>
            <w:gridSpan w:val="2"/>
            <w:shd w:val="clear" w:color="auto" w:fill="0061AF"/>
          </w:tcPr>
          <w:p>
            <w:pPr>
              <w:jc w:val="center"/>
              <w:ind w:right="17"/>
              <w:spacing w:after="0" w:line="141" w:lineRule="exact"/>
              <w:rPr>
                <w:sz w:val="20"/>
                <w:szCs w:val="20"/>
                <w:color w:val="auto"/>
              </w:rPr>
            </w:pPr>
            <w:r>
              <w:rPr>
                <w:rFonts w:ascii="Arial" w:cs="Arial" w:eastAsia="Arial" w:hAnsi="Arial"/>
                <w:sz w:val="13"/>
                <w:szCs w:val="13"/>
                <w:b w:val="1"/>
                <w:bCs w:val="1"/>
                <w:color w:val="FFFFFF"/>
                <w:w w:val="97"/>
              </w:rPr>
              <w:t>That Vested</w:t>
            </w:r>
          </w:p>
        </w:tc>
        <w:tc>
          <w:tcPr>
            <w:tcW w:w="1560" w:type="dxa"/>
            <w:vAlign w:val="bottom"/>
            <w:gridSpan w:val="2"/>
            <w:shd w:val="clear" w:color="auto" w:fill="0061AF"/>
          </w:tcPr>
          <w:p>
            <w:pPr>
              <w:jc w:val="center"/>
              <w:ind w:right="117"/>
              <w:spacing w:after="0" w:line="141" w:lineRule="exact"/>
              <w:rPr>
                <w:sz w:val="20"/>
                <w:szCs w:val="20"/>
                <w:color w:val="auto"/>
              </w:rPr>
            </w:pPr>
            <w:r>
              <w:rPr>
                <w:rFonts w:ascii="Arial" w:cs="Arial" w:eastAsia="Arial" w:hAnsi="Arial"/>
                <w:sz w:val="13"/>
                <w:szCs w:val="13"/>
                <w:b w:val="1"/>
                <w:bCs w:val="1"/>
                <w:color w:val="FFFFFF"/>
                <w:w w:val="94"/>
              </w:rPr>
              <w:t>That Vested</w:t>
            </w:r>
          </w:p>
        </w:tc>
        <w:tc>
          <w:tcPr>
            <w:tcW w:w="580" w:type="dxa"/>
            <w:vAlign w:val="bottom"/>
            <w:shd w:val="clear" w:color="auto" w:fill="0061AF"/>
          </w:tcPr>
          <w:p>
            <w:pPr>
              <w:spacing w:after="0"/>
              <w:rPr>
                <w:sz w:val="12"/>
                <w:szCs w:val="12"/>
                <w:color w:val="auto"/>
              </w:rPr>
            </w:pPr>
          </w:p>
        </w:tc>
        <w:tc>
          <w:tcPr>
            <w:tcW w:w="680" w:type="dxa"/>
            <w:vAlign w:val="bottom"/>
            <w:shd w:val="clear" w:color="auto" w:fill="0061AF"/>
          </w:tcPr>
          <w:p>
            <w:pPr>
              <w:jc w:val="right"/>
              <w:spacing w:after="0" w:line="141" w:lineRule="exact"/>
              <w:rPr>
                <w:sz w:val="20"/>
                <w:szCs w:val="20"/>
                <w:color w:val="auto"/>
              </w:rPr>
            </w:pPr>
            <w:r>
              <w:rPr>
                <w:rFonts w:ascii="Arial" w:cs="Arial" w:eastAsia="Arial" w:hAnsi="Arial"/>
                <w:sz w:val="13"/>
                <w:szCs w:val="13"/>
                <w:b w:val="1"/>
                <w:bCs w:val="1"/>
                <w:color w:val="FFFFFF"/>
                <w:w w:val="89"/>
              </w:rPr>
              <w:t>That Vested</w:t>
            </w:r>
          </w:p>
        </w:tc>
        <w:tc>
          <w:tcPr>
            <w:tcW w:w="0" w:type="dxa"/>
            <w:vAlign w:val="bottom"/>
          </w:tcPr>
          <w:p>
            <w:pPr>
              <w:spacing w:after="0"/>
              <w:rPr>
                <w:sz w:val="1"/>
                <w:szCs w:val="1"/>
                <w:color w:val="auto"/>
              </w:rPr>
            </w:pPr>
          </w:p>
        </w:tc>
      </w:tr>
      <w:tr>
        <w:trPr>
          <w:trHeight w:val="217"/>
        </w:trPr>
        <w:tc>
          <w:tcPr>
            <w:tcW w:w="800" w:type="dxa"/>
            <w:vAlign w:val="bottom"/>
            <w:shd w:val="clear" w:color="auto" w:fill="0061AF"/>
          </w:tcPr>
          <w:p>
            <w:pPr>
              <w:spacing w:after="0"/>
              <w:rPr>
                <w:sz w:val="18"/>
                <w:szCs w:val="18"/>
                <w:color w:val="auto"/>
              </w:rPr>
            </w:pPr>
          </w:p>
        </w:tc>
        <w:tc>
          <w:tcPr>
            <w:tcW w:w="1660" w:type="dxa"/>
            <w:vAlign w:val="bottom"/>
            <w:gridSpan w:val="2"/>
            <w:shd w:val="clear" w:color="auto" w:fill="0061AF"/>
          </w:tcPr>
          <w:p>
            <w:pPr>
              <w:jc w:val="center"/>
              <w:spacing w:after="0" w:line="217" w:lineRule="exact"/>
              <w:rPr>
                <w:sz w:val="20"/>
                <w:szCs w:val="20"/>
                <w:color w:val="auto"/>
              </w:rPr>
            </w:pPr>
            <w:r>
              <w:rPr>
                <w:rFonts w:ascii="Arial" w:cs="Arial" w:eastAsia="Arial" w:hAnsi="Arial"/>
                <w:sz w:val="13"/>
                <w:szCs w:val="13"/>
                <w:b w:val="1"/>
                <w:bCs w:val="1"/>
                <w:color w:val="FFFFFF"/>
                <w:w w:val="92"/>
              </w:rPr>
              <w:t>Cycle</w:t>
            </w:r>
            <w:r>
              <w:rPr>
                <w:rFonts w:ascii="Arial" w:cs="Arial" w:eastAsia="Arial" w:hAnsi="Arial"/>
                <w:sz w:val="21"/>
                <w:szCs w:val="21"/>
                <w:b w:val="1"/>
                <w:bCs w:val="1"/>
                <w:color w:val="FFFFFF"/>
                <w:w w:val="92"/>
                <w:vertAlign w:val="superscript"/>
              </w:rPr>
              <w:t>(a)</w:t>
            </w:r>
          </w:p>
        </w:tc>
        <w:tc>
          <w:tcPr>
            <w:tcW w:w="1780" w:type="dxa"/>
            <w:vAlign w:val="bottom"/>
            <w:gridSpan w:val="2"/>
            <w:shd w:val="clear" w:color="auto" w:fill="0061AF"/>
          </w:tcPr>
          <w:p>
            <w:pPr>
              <w:jc w:val="center"/>
              <w:ind w:right="17"/>
              <w:spacing w:after="0"/>
              <w:rPr>
                <w:sz w:val="20"/>
                <w:szCs w:val="20"/>
                <w:color w:val="auto"/>
              </w:rPr>
            </w:pPr>
            <w:r>
              <w:rPr>
                <w:rFonts w:ascii="Arial" w:cs="Arial" w:eastAsia="Arial" w:hAnsi="Arial"/>
                <w:sz w:val="13"/>
                <w:szCs w:val="13"/>
                <w:b w:val="1"/>
                <w:bCs w:val="1"/>
                <w:color w:val="FFFFFF"/>
                <w:w w:val="96"/>
              </w:rPr>
              <w:t>February 21, 2020</w:t>
            </w:r>
          </w:p>
        </w:tc>
        <w:tc>
          <w:tcPr>
            <w:tcW w:w="1880" w:type="dxa"/>
            <w:vAlign w:val="bottom"/>
            <w:gridSpan w:val="2"/>
            <w:shd w:val="clear" w:color="auto" w:fill="0061AF"/>
          </w:tcPr>
          <w:p>
            <w:pPr>
              <w:jc w:val="center"/>
              <w:spacing w:after="0"/>
              <w:rPr>
                <w:sz w:val="20"/>
                <w:szCs w:val="20"/>
                <w:color w:val="auto"/>
              </w:rPr>
            </w:pPr>
            <w:r>
              <w:rPr>
                <w:rFonts w:ascii="Arial" w:cs="Arial" w:eastAsia="Arial" w:hAnsi="Arial"/>
                <w:sz w:val="13"/>
                <w:szCs w:val="13"/>
                <w:b w:val="1"/>
                <w:bCs w:val="1"/>
                <w:color w:val="FFFFFF"/>
                <w:w w:val="97"/>
              </w:rPr>
              <w:t>April 22, 2020</w:t>
            </w:r>
          </w:p>
        </w:tc>
        <w:tc>
          <w:tcPr>
            <w:tcW w:w="1640" w:type="dxa"/>
            <w:vAlign w:val="bottom"/>
            <w:gridSpan w:val="2"/>
            <w:shd w:val="clear" w:color="auto" w:fill="0061AF"/>
          </w:tcPr>
          <w:p>
            <w:pPr>
              <w:jc w:val="center"/>
              <w:ind w:right="17"/>
              <w:spacing w:after="0"/>
              <w:rPr>
                <w:sz w:val="20"/>
                <w:szCs w:val="20"/>
                <w:color w:val="auto"/>
              </w:rPr>
            </w:pPr>
            <w:r>
              <w:rPr>
                <w:rFonts w:ascii="Arial" w:cs="Arial" w:eastAsia="Arial" w:hAnsi="Arial"/>
                <w:sz w:val="13"/>
                <w:szCs w:val="13"/>
                <w:b w:val="1"/>
                <w:bCs w:val="1"/>
                <w:color w:val="FFFFFF"/>
                <w:w w:val="98"/>
              </w:rPr>
              <w:t>July 6, 2020</w:t>
            </w:r>
          </w:p>
        </w:tc>
        <w:tc>
          <w:tcPr>
            <w:tcW w:w="1560" w:type="dxa"/>
            <w:vAlign w:val="bottom"/>
            <w:gridSpan w:val="2"/>
            <w:shd w:val="clear" w:color="auto" w:fill="0061AF"/>
          </w:tcPr>
          <w:p>
            <w:pPr>
              <w:jc w:val="center"/>
              <w:ind w:right="117"/>
              <w:spacing w:after="0"/>
              <w:rPr>
                <w:sz w:val="20"/>
                <w:szCs w:val="20"/>
                <w:color w:val="auto"/>
              </w:rPr>
            </w:pPr>
            <w:r>
              <w:rPr>
                <w:rFonts w:ascii="Arial" w:cs="Arial" w:eastAsia="Arial" w:hAnsi="Arial"/>
                <w:sz w:val="13"/>
                <w:szCs w:val="13"/>
                <w:b w:val="1"/>
                <w:bCs w:val="1"/>
                <w:color w:val="FFFFFF"/>
                <w:w w:val="95"/>
              </w:rPr>
              <w:t>July 6, 2020</w:t>
            </w:r>
          </w:p>
        </w:tc>
        <w:tc>
          <w:tcPr>
            <w:tcW w:w="580" w:type="dxa"/>
            <w:vAlign w:val="bottom"/>
            <w:shd w:val="clear" w:color="auto" w:fill="0061AF"/>
          </w:tcPr>
          <w:p>
            <w:pPr>
              <w:spacing w:after="0"/>
              <w:rPr>
                <w:sz w:val="18"/>
                <w:szCs w:val="18"/>
                <w:color w:val="auto"/>
              </w:rPr>
            </w:pPr>
          </w:p>
        </w:tc>
        <w:tc>
          <w:tcPr>
            <w:tcW w:w="680" w:type="dxa"/>
            <w:vAlign w:val="bottom"/>
            <w:shd w:val="clear" w:color="auto" w:fill="0061AF"/>
          </w:tcPr>
          <w:p>
            <w:pPr>
              <w:jc w:val="right"/>
              <w:spacing w:after="0"/>
              <w:rPr>
                <w:sz w:val="20"/>
                <w:szCs w:val="20"/>
                <w:color w:val="auto"/>
              </w:rPr>
            </w:pPr>
            <w:r>
              <w:rPr>
                <w:rFonts w:ascii="Arial" w:cs="Arial" w:eastAsia="Arial" w:hAnsi="Arial"/>
                <w:sz w:val="13"/>
                <w:szCs w:val="13"/>
                <w:b w:val="1"/>
                <w:bCs w:val="1"/>
                <w:color w:val="FFFFFF"/>
                <w:w w:val="90"/>
              </w:rPr>
              <w:t>July 1, 2020</w:t>
            </w:r>
          </w:p>
        </w:tc>
        <w:tc>
          <w:tcPr>
            <w:tcW w:w="0" w:type="dxa"/>
            <w:vAlign w:val="bottom"/>
          </w:tcPr>
          <w:p>
            <w:pPr>
              <w:spacing w:after="0"/>
              <w:rPr>
                <w:sz w:val="1"/>
                <w:szCs w:val="1"/>
                <w:color w:val="auto"/>
              </w:rPr>
            </w:pPr>
          </w:p>
        </w:tc>
      </w:tr>
      <w:tr>
        <w:trPr>
          <w:trHeight w:val="131"/>
        </w:trPr>
        <w:tc>
          <w:tcPr>
            <w:tcW w:w="800" w:type="dxa"/>
            <w:vAlign w:val="bottom"/>
            <w:shd w:val="clear" w:color="auto" w:fill="0061AF"/>
          </w:tcPr>
          <w:p>
            <w:pPr>
              <w:spacing w:after="0"/>
              <w:rPr>
                <w:sz w:val="11"/>
                <w:szCs w:val="11"/>
                <w:color w:val="auto"/>
              </w:rPr>
            </w:pPr>
          </w:p>
        </w:tc>
        <w:tc>
          <w:tcPr>
            <w:tcW w:w="820" w:type="dxa"/>
            <w:vAlign w:val="bottom"/>
            <w:shd w:val="clear" w:color="auto" w:fill="0061AF"/>
          </w:tcPr>
          <w:p>
            <w:pPr>
              <w:spacing w:after="0"/>
              <w:rPr>
                <w:sz w:val="11"/>
                <w:szCs w:val="11"/>
                <w:color w:val="auto"/>
              </w:rPr>
            </w:pPr>
          </w:p>
        </w:tc>
        <w:tc>
          <w:tcPr>
            <w:tcW w:w="840" w:type="dxa"/>
            <w:vAlign w:val="bottom"/>
            <w:shd w:val="clear" w:color="auto" w:fill="0061AF"/>
          </w:tcPr>
          <w:p>
            <w:pPr>
              <w:jc w:val="center"/>
              <w:spacing w:after="0" w:line="131" w:lineRule="exact"/>
              <w:rPr>
                <w:sz w:val="20"/>
                <w:szCs w:val="20"/>
                <w:color w:val="auto"/>
              </w:rPr>
            </w:pPr>
            <w:r>
              <w:rPr>
                <w:rFonts w:ascii="Arial" w:cs="Arial" w:eastAsia="Arial" w:hAnsi="Arial"/>
                <w:sz w:val="13"/>
                <w:szCs w:val="13"/>
                <w:b w:val="1"/>
                <w:bCs w:val="1"/>
                <w:color w:val="FFFFFF"/>
                <w:w w:val="97"/>
              </w:rPr>
              <w:t>Value</w:t>
            </w:r>
          </w:p>
        </w:tc>
        <w:tc>
          <w:tcPr>
            <w:tcW w:w="600" w:type="dxa"/>
            <w:vAlign w:val="bottom"/>
            <w:shd w:val="clear" w:color="auto" w:fill="0061AF"/>
          </w:tcPr>
          <w:p>
            <w:pPr>
              <w:spacing w:after="0"/>
              <w:rPr>
                <w:sz w:val="11"/>
                <w:szCs w:val="11"/>
                <w:color w:val="auto"/>
              </w:rPr>
            </w:pPr>
          </w:p>
        </w:tc>
        <w:tc>
          <w:tcPr>
            <w:tcW w:w="1180" w:type="dxa"/>
            <w:vAlign w:val="bottom"/>
            <w:shd w:val="clear" w:color="auto" w:fill="0061AF"/>
          </w:tcPr>
          <w:p>
            <w:pPr>
              <w:jc w:val="center"/>
              <w:ind w:left="137"/>
              <w:spacing w:after="0" w:line="131" w:lineRule="exact"/>
              <w:rPr>
                <w:sz w:val="20"/>
                <w:szCs w:val="20"/>
                <w:color w:val="auto"/>
              </w:rPr>
            </w:pPr>
            <w:r>
              <w:rPr>
                <w:rFonts w:ascii="Arial" w:cs="Arial" w:eastAsia="Arial" w:hAnsi="Arial"/>
                <w:sz w:val="13"/>
                <w:szCs w:val="13"/>
                <w:b w:val="1"/>
                <w:bCs w:val="1"/>
                <w:color w:val="FFFFFF"/>
                <w:w w:val="97"/>
              </w:rPr>
              <w:t>Value</w:t>
            </w:r>
          </w:p>
        </w:tc>
        <w:tc>
          <w:tcPr>
            <w:tcW w:w="700" w:type="dxa"/>
            <w:vAlign w:val="bottom"/>
            <w:shd w:val="clear" w:color="auto" w:fill="0061AF"/>
          </w:tcPr>
          <w:p>
            <w:pPr>
              <w:spacing w:after="0"/>
              <w:rPr>
                <w:sz w:val="11"/>
                <w:szCs w:val="11"/>
                <w:color w:val="auto"/>
              </w:rPr>
            </w:pPr>
          </w:p>
        </w:tc>
        <w:tc>
          <w:tcPr>
            <w:tcW w:w="1180" w:type="dxa"/>
            <w:vAlign w:val="bottom"/>
            <w:shd w:val="clear" w:color="auto" w:fill="0061AF"/>
          </w:tcPr>
          <w:p>
            <w:pPr>
              <w:jc w:val="center"/>
              <w:ind w:left="137"/>
              <w:spacing w:after="0" w:line="131" w:lineRule="exact"/>
              <w:rPr>
                <w:sz w:val="20"/>
                <w:szCs w:val="20"/>
                <w:color w:val="auto"/>
              </w:rPr>
            </w:pPr>
            <w:r>
              <w:rPr>
                <w:rFonts w:ascii="Arial" w:cs="Arial" w:eastAsia="Arial" w:hAnsi="Arial"/>
                <w:sz w:val="13"/>
                <w:szCs w:val="13"/>
                <w:b w:val="1"/>
                <w:bCs w:val="1"/>
                <w:color w:val="FFFFFF"/>
                <w:w w:val="97"/>
              </w:rPr>
              <w:t>Value</w:t>
            </w:r>
          </w:p>
        </w:tc>
        <w:tc>
          <w:tcPr>
            <w:tcW w:w="800" w:type="dxa"/>
            <w:vAlign w:val="bottom"/>
            <w:shd w:val="clear" w:color="auto" w:fill="0061AF"/>
          </w:tcPr>
          <w:p>
            <w:pPr>
              <w:spacing w:after="0"/>
              <w:rPr>
                <w:sz w:val="11"/>
                <w:szCs w:val="11"/>
                <w:color w:val="auto"/>
              </w:rPr>
            </w:pPr>
          </w:p>
        </w:tc>
        <w:tc>
          <w:tcPr>
            <w:tcW w:w="840" w:type="dxa"/>
            <w:vAlign w:val="bottom"/>
            <w:shd w:val="clear" w:color="auto" w:fill="0061AF"/>
          </w:tcPr>
          <w:p>
            <w:pPr>
              <w:jc w:val="center"/>
              <w:spacing w:after="0" w:line="131" w:lineRule="exact"/>
              <w:rPr>
                <w:sz w:val="20"/>
                <w:szCs w:val="20"/>
                <w:color w:val="auto"/>
              </w:rPr>
            </w:pPr>
            <w:r>
              <w:rPr>
                <w:rFonts w:ascii="Arial" w:cs="Arial" w:eastAsia="Arial" w:hAnsi="Arial"/>
                <w:sz w:val="13"/>
                <w:szCs w:val="13"/>
                <w:b w:val="1"/>
                <w:bCs w:val="1"/>
                <w:color w:val="FFFFFF"/>
                <w:w w:val="92"/>
              </w:rPr>
              <w:t>Value</w:t>
            </w:r>
          </w:p>
        </w:tc>
        <w:tc>
          <w:tcPr>
            <w:tcW w:w="720" w:type="dxa"/>
            <w:vAlign w:val="bottom"/>
            <w:shd w:val="clear" w:color="auto" w:fill="0061AF"/>
          </w:tcPr>
          <w:p>
            <w:pPr>
              <w:spacing w:after="0"/>
              <w:rPr>
                <w:sz w:val="11"/>
                <w:szCs w:val="11"/>
                <w:color w:val="auto"/>
              </w:rPr>
            </w:pPr>
          </w:p>
        </w:tc>
        <w:tc>
          <w:tcPr>
            <w:tcW w:w="840" w:type="dxa"/>
            <w:vAlign w:val="bottom"/>
            <w:shd w:val="clear" w:color="auto" w:fill="0061AF"/>
          </w:tcPr>
          <w:p>
            <w:pPr>
              <w:jc w:val="center"/>
              <w:spacing w:after="0" w:line="131" w:lineRule="exact"/>
              <w:rPr>
                <w:sz w:val="20"/>
                <w:szCs w:val="20"/>
                <w:color w:val="auto"/>
              </w:rPr>
            </w:pPr>
            <w:r>
              <w:rPr>
                <w:rFonts w:ascii="Arial" w:cs="Arial" w:eastAsia="Arial" w:hAnsi="Arial"/>
                <w:sz w:val="13"/>
                <w:szCs w:val="13"/>
                <w:b w:val="1"/>
                <w:bCs w:val="1"/>
                <w:color w:val="FFFFFF"/>
                <w:w w:val="97"/>
              </w:rPr>
              <w:t>Value</w:t>
            </w:r>
          </w:p>
        </w:tc>
        <w:tc>
          <w:tcPr>
            <w:tcW w:w="580" w:type="dxa"/>
            <w:vAlign w:val="bottom"/>
            <w:shd w:val="clear" w:color="auto" w:fill="0061AF"/>
          </w:tcPr>
          <w:p>
            <w:pPr>
              <w:spacing w:after="0"/>
              <w:rPr>
                <w:sz w:val="11"/>
                <w:szCs w:val="11"/>
                <w:color w:val="auto"/>
              </w:rPr>
            </w:pPr>
          </w:p>
        </w:tc>
        <w:tc>
          <w:tcPr>
            <w:tcW w:w="680" w:type="dxa"/>
            <w:vAlign w:val="bottom"/>
            <w:shd w:val="clear" w:color="auto" w:fill="0061AF"/>
          </w:tcPr>
          <w:p>
            <w:pPr>
              <w:jc w:val="right"/>
              <w:spacing w:after="0" w:line="131" w:lineRule="exact"/>
              <w:rPr>
                <w:sz w:val="20"/>
                <w:szCs w:val="20"/>
                <w:color w:val="auto"/>
              </w:rPr>
            </w:pPr>
            <w:r>
              <w:rPr>
                <w:rFonts w:ascii="Arial" w:cs="Arial" w:eastAsia="Arial" w:hAnsi="Arial"/>
                <w:sz w:val="13"/>
                <w:szCs w:val="13"/>
                <w:b w:val="1"/>
                <w:bCs w:val="1"/>
                <w:color w:val="FFFFFF"/>
              </w:rPr>
              <w:t>V</w:t>
            </w:r>
          </w:p>
        </w:tc>
        <w:tc>
          <w:tcPr>
            <w:tcW w:w="0" w:type="dxa"/>
            <w:vAlign w:val="bottom"/>
          </w:tcPr>
          <w:p>
            <w:pPr>
              <w:spacing w:after="0"/>
              <w:rPr>
                <w:sz w:val="1"/>
                <w:szCs w:val="1"/>
                <w:color w:val="auto"/>
              </w:rPr>
            </w:pPr>
          </w:p>
        </w:tc>
      </w:tr>
      <w:tr>
        <w:trPr>
          <w:trHeight w:val="143"/>
        </w:trPr>
        <w:tc>
          <w:tcPr>
            <w:tcW w:w="800" w:type="dxa"/>
            <w:vAlign w:val="bottom"/>
            <w:shd w:val="clear" w:color="auto" w:fill="0061AF"/>
          </w:tcPr>
          <w:p>
            <w:pPr>
              <w:spacing w:after="0"/>
              <w:rPr>
                <w:sz w:val="12"/>
                <w:szCs w:val="12"/>
                <w:color w:val="auto"/>
              </w:rPr>
            </w:pPr>
          </w:p>
        </w:tc>
        <w:tc>
          <w:tcPr>
            <w:tcW w:w="820" w:type="dxa"/>
            <w:vAlign w:val="bottom"/>
            <w:shd w:val="clear" w:color="auto" w:fill="0061AF"/>
          </w:tcPr>
          <w:p>
            <w:pPr>
              <w:jc w:val="center"/>
              <w:ind w:left="37"/>
              <w:spacing w:after="0" w:line="143" w:lineRule="exact"/>
              <w:rPr>
                <w:sz w:val="20"/>
                <w:szCs w:val="20"/>
                <w:color w:val="auto"/>
              </w:rPr>
            </w:pPr>
            <w:r>
              <w:rPr>
                <w:rFonts w:ascii="Arial" w:cs="Arial" w:eastAsia="Arial" w:hAnsi="Arial"/>
                <w:sz w:val="13"/>
                <w:szCs w:val="13"/>
                <w:b w:val="1"/>
                <w:bCs w:val="1"/>
                <w:color w:val="FFFFFF"/>
                <w:w w:val="97"/>
              </w:rPr>
              <w:t>Number</w:t>
            </w:r>
          </w:p>
        </w:tc>
        <w:tc>
          <w:tcPr>
            <w:tcW w:w="8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4"/>
              </w:rPr>
              <w:t>Realized</w:t>
            </w:r>
          </w:p>
        </w:tc>
        <w:tc>
          <w:tcPr>
            <w:tcW w:w="600" w:type="dxa"/>
            <w:vAlign w:val="bottom"/>
            <w:shd w:val="clear" w:color="auto" w:fill="0061AF"/>
          </w:tcPr>
          <w:p>
            <w:pPr>
              <w:jc w:val="center"/>
              <w:ind w:left="17"/>
              <w:spacing w:after="0" w:line="143" w:lineRule="exact"/>
              <w:rPr>
                <w:sz w:val="20"/>
                <w:szCs w:val="20"/>
                <w:color w:val="auto"/>
              </w:rPr>
            </w:pPr>
            <w:r>
              <w:rPr>
                <w:rFonts w:ascii="Arial" w:cs="Arial" w:eastAsia="Arial" w:hAnsi="Arial"/>
                <w:sz w:val="13"/>
                <w:szCs w:val="13"/>
                <w:b w:val="1"/>
                <w:bCs w:val="1"/>
                <w:color w:val="FFFFFF"/>
                <w:w w:val="97"/>
              </w:rPr>
              <w:t>Number</w:t>
            </w:r>
          </w:p>
        </w:tc>
        <w:tc>
          <w:tcPr>
            <w:tcW w:w="1180" w:type="dxa"/>
            <w:vAlign w:val="bottom"/>
            <w:shd w:val="clear" w:color="auto" w:fill="0061AF"/>
          </w:tcPr>
          <w:p>
            <w:pPr>
              <w:jc w:val="center"/>
              <w:ind w:left="117"/>
              <w:spacing w:after="0" w:line="143" w:lineRule="exact"/>
              <w:rPr>
                <w:sz w:val="20"/>
                <w:szCs w:val="20"/>
                <w:color w:val="auto"/>
              </w:rPr>
            </w:pPr>
            <w:r>
              <w:rPr>
                <w:rFonts w:ascii="Arial" w:cs="Arial" w:eastAsia="Arial" w:hAnsi="Arial"/>
                <w:sz w:val="13"/>
                <w:szCs w:val="13"/>
                <w:b w:val="1"/>
                <w:bCs w:val="1"/>
                <w:color w:val="FFFFFF"/>
                <w:w w:val="98"/>
              </w:rPr>
              <w:t>Realized</w:t>
            </w:r>
          </w:p>
        </w:tc>
        <w:tc>
          <w:tcPr>
            <w:tcW w:w="700" w:type="dxa"/>
            <w:vAlign w:val="bottom"/>
            <w:shd w:val="clear" w:color="auto" w:fill="0061AF"/>
          </w:tcPr>
          <w:p>
            <w:pPr>
              <w:jc w:val="center"/>
              <w:ind w:left="117"/>
              <w:spacing w:after="0" w:line="143" w:lineRule="exact"/>
              <w:rPr>
                <w:sz w:val="20"/>
                <w:szCs w:val="20"/>
                <w:color w:val="auto"/>
              </w:rPr>
            </w:pPr>
            <w:r>
              <w:rPr>
                <w:rFonts w:ascii="Arial" w:cs="Arial" w:eastAsia="Arial" w:hAnsi="Arial"/>
                <w:sz w:val="13"/>
                <w:szCs w:val="13"/>
                <w:b w:val="1"/>
                <w:bCs w:val="1"/>
                <w:color w:val="FFFFFF"/>
                <w:w w:val="97"/>
              </w:rPr>
              <w:t>Number</w:t>
            </w:r>
          </w:p>
        </w:tc>
        <w:tc>
          <w:tcPr>
            <w:tcW w:w="1180" w:type="dxa"/>
            <w:vAlign w:val="bottom"/>
            <w:shd w:val="clear" w:color="auto" w:fill="0061AF"/>
          </w:tcPr>
          <w:p>
            <w:pPr>
              <w:jc w:val="center"/>
              <w:ind w:left="117"/>
              <w:spacing w:after="0" w:line="143" w:lineRule="exact"/>
              <w:rPr>
                <w:sz w:val="20"/>
                <w:szCs w:val="20"/>
                <w:color w:val="auto"/>
              </w:rPr>
            </w:pPr>
            <w:r>
              <w:rPr>
                <w:rFonts w:ascii="Arial" w:cs="Arial" w:eastAsia="Arial" w:hAnsi="Arial"/>
                <w:sz w:val="13"/>
                <w:szCs w:val="13"/>
                <w:b w:val="1"/>
                <w:bCs w:val="1"/>
                <w:color w:val="FFFFFF"/>
                <w:w w:val="98"/>
              </w:rPr>
              <w:t>Realized</w:t>
            </w:r>
          </w:p>
        </w:tc>
        <w:tc>
          <w:tcPr>
            <w:tcW w:w="800" w:type="dxa"/>
            <w:vAlign w:val="bottom"/>
            <w:shd w:val="clear" w:color="auto" w:fill="0061AF"/>
          </w:tcPr>
          <w:p>
            <w:pPr>
              <w:jc w:val="center"/>
              <w:ind w:left="17"/>
              <w:spacing w:after="0" w:line="143" w:lineRule="exact"/>
              <w:rPr>
                <w:sz w:val="20"/>
                <w:szCs w:val="20"/>
                <w:color w:val="auto"/>
              </w:rPr>
            </w:pPr>
            <w:r>
              <w:rPr>
                <w:rFonts w:ascii="Arial" w:cs="Arial" w:eastAsia="Arial" w:hAnsi="Arial"/>
                <w:sz w:val="13"/>
                <w:szCs w:val="13"/>
                <w:b w:val="1"/>
                <w:bCs w:val="1"/>
                <w:color w:val="FFFFFF"/>
                <w:w w:val="97"/>
              </w:rPr>
              <w:t>Number</w:t>
            </w:r>
          </w:p>
        </w:tc>
        <w:tc>
          <w:tcPr>
            <w:tcW w:w="8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Realized</w:t>
            </w:r>
          </w:p>
        </w:tc>
        <w:tc>
          <w:tcPr>
            <w:tcW w:w="7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Number</w:t>
            </w:r>
          </w:p>
        </w:tc>
        <w:tc>
          <w:tcPr>
            <w:tcW w:w="8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Realized</w:t>
            </w:r>
          </w:p>
        </w:tc>
        <w:tc>
          <w:tcPr>
            <w:tcW w:w="580" w:type="dxa"/>
            <w:vAlign w:val="bottom"/>
            <w:shd w:val="clear" w:color="auto" w:fill="0061AF"/>
          </w:tcPr>
          <w:p>
            <w:pPr>
              <w:jc w:val="center"/>
              <w:ind w:left="37"/>
              <w:spacing w:after="0" w:line="143" w:lineRule="exact"/>
              <w:rPr>
                <w:sz w:val="20"/>
                <w:szCs w:val="20"/>
                <w:color w:val="auto"/>
              </w:rPr>
            </w:pPr>
            <w:r>
              <w:rPr>
                <w:rFonts w:ascii="Arial" w:cs="Arial" w:eastAsia="Arial" w:hAnsi="Arial"/>
                <w:sz w:val="13"/>
                <w:szCs w:val="13"/>
                <w:b w:val="1"/>
                <w:bCs w:val="1"/>
                <w:color w:val="FFFFFF"/>
                <w:w w:val="97"/>
              </w:rPr>
              <w:t>Number</w:t>
            </w:r>
          </w:p>
        </w:tc>
        <w:tc>
          <w:tcPr>
            <w:tcW w:w="680" w:type="dxa"/>
            <w:vAlign w:val="bottom"/>
            <w:shd w:val="clear" w:color="auto" w:fill="0061AF"/>
          </w:tcPr>
          <w:p>
            <w:pPr>
              <w:jc w:val="right"/>
              <w:spacing w:after="0" w:line="143" w:lineRule="exact"/>
              <w:rPr>
                <w:sz w:val="20"/>
                <w:szCs w:val="20"/>
                <w:color w:val="auto"/>
              </w:rPr>
            </w:pPr>
            <w:r>
              <w:rPr>
                <w:rFonts w:ascii="Arial" w:cs="Arial" w:eastAsia="Arial" w:hAnsi="Arial"/>
                <w:sz w:val="13"/>
                <w:szCs w:val="13"/>
                <w:b w:val="1"/>
                <w:bCs w:val="1"/>
                <w:color w:val="FFFFFF"/>
              </w:rPr>
              <w:t>Rea</w:t>
            </w:r>
          </w:p>
        </w:tc>
        <w:tc>
          <w:tcPr>
            <w:tcW w:w="0" w:type="dxa"/>
            <w:vAlign w:val="bottom"/>
          </w:tcPr>
          <w:p>
            <w:pPr>
              <w:spacing w:after="0"/>
              <w:rPr>
                <w:sz w:val="1"/>
                <w:szCs w:val="1"/>
                <w:color w:val="auto"/>
              </w:rPr>
            </w:pPr>
          </w:p>
        </w:tc>
      </w:tr>
      <w:tr>
        <w:trPr>
          <w:trHeight w:val="140"/>
        </w:trPr>
        <w:tc>
          <w:tcPr>
            <w:tcW w:w="800" w:type="dxa"/>
            <w:vAlign w:val="bottom"/>
            <w:shd w:val="clear" w:color="auto" w:fill="0061AF"/>
          </w:tcPr>
          <w:p>
            <w:pPr>
              <w:spacing w:after="0"/>
              <w:rPr>
                <w:sz w:val="12"/>
                <w:szCs w:val="12"/>
                <w:color w:val="auto"/>
              </w:rPr>
            </w:pPr>
          </w:p>
        </w:tc>
        <w:tc>
          <w:tcPr>
            <w:tcW w:w="820" w:type="dxa"/>
            <w:vAlign w:val="bottom"/>
            <w:shd w:val="clear" w:color="auto" w:fill="0061AF"/>
          </w:tcPr>
          <w:p>
            <w:pPr>
              <w:jc w:val="center"/>
              <w:ind w:left="37"/>
              <w:spacing w:after="0" w:line="141" w:lineRule="exact"/>
              <w:rPr>
                <w:sz w:val="20"/>
                <w:szCs w:val="20"/>
                <w:color w:val="auto"/>
              </w:rPr>
            </w:pPr>
            <w:r>
              <w:rPr>
                <w:rFonts w:ascii="Arial" w:cs="Arial" w:eastAsia="Arial" w:hAnsi="Arial"/>
                <w:sz w:val="13"/>
                <w:szCs w:val="13"/>
                <w:b w:val="1"/>
                <w:bCs w:val="1"/>
                <w:color w:val="FFFFFF"/>
                <w:w w:val="97"/>
              </w:rPr>
              <w:t>of</w:t>
            </w:r>
          </w:p>
        </w:tc>
        <w:tc>
          <w:tcPr>
            <w:tcW w:w="84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87"/>
              </w:rPr>
              <w:t>on</w:t>
            </w:r>
          </w:p>
        </w:tc>
        <w:tc>
          <w:tcPr>
            <w:tcW w:w="600" w:type="dxa"/>
            <w:vAlign w:val="bottom"/>
            <w:shd w:val="clear" w:color="auto" w:fill="0061AF"/>
          </w:tcPr>
          <w:p>
            <w:pPr>
              <w:jc w:val="center"/>
              <w:ind w:left="17"/>
              <w:spacing w:after="0" w:line="141" w:lineRule="exact"/>
              <w:rPr>
                <w:sz w:val="20"/>
                <w:szCs w:val="20"/>
                <w:color w:val="auto"/>
              </w:rPr>
            </w:pPr>
            <w:r>
              <w:rPr>
                <w:rFonts w:ascii="Arial" w:cs="Arial" w:eastAsia="Arial" w:hAnsi="Arial"/>
                <w:sz w:val="13"/>
                <w:szCs w:val="13"/>
                <w:b w:val="1"/>
                <w:bCs w:val="1"/>
                <w:color w:val="FFFFFF"/>
                <w:w w:val="97"/>
              </w:rPr>
              <w:t>of</w:t>
            </w:r>
          </w:p>
        </w:tc>
        <w:tc>
          <w:tcPr>
            <w:tcW w:w="1180" w:type="dxa"/>
            <w:vAlign w:val="bottom"/>
            <w:shd w:val="clear" w:color="auto" w:fill="0061AF"/>
          </w:tcPr>
          <w:p>
            <w:pPr>
              <w:jc w:val="center"/>
              <w:ind w:left="117"/>
              <w:spacing w:after="0" w:line="141" w:lineRule="exact"/>
              <w:rPr>
                <w:sz w:val="20"/>
                <w:szCs w:val="20"/>
                <w:color w:val="auto"/>
              </w:rPr>
            </w:pPr>
            <w:r>
              <w:rPr>
                <w:rFonts w:ascii="Arial" w:cs="Arial" w:eastAsia="Arial" w:hAnsi="Arial"/>
                <w:sz w:val="13"/>
                <w:szCs w:val="13"/>
                <w:b w:val="1"/>
                <w:bCs w:val="1"/>
                <w:color w:val="FFFFFF"/>
              </w:rPr>
              <w:t>on</w:t>
            </w:r>
          </w:p>
        </w:tc>
        <w:tc>
          <w:tcPr>
            <w:tcW w:w="700" w:type="dxa"/>
            <w:vAlign w:val="bottom"/>
            <w:shd w:val="clear" w:color="auto" w:fill="0061AF"/>
          </w:tcPr>
          <w:p>
            <w:pPr>
              <w:jc w:val="center"/>
              <w:ind w:left="117"/>
              <w:spacing w:after="0" w:line="141" w:lineRule="exact"/>
              <w:rPr>
                <w:sz w:val="20"/>
                <w:szCs w:val="20"/>
                <w:color w:val="auto"/>
              </w:rPr>
            </w:pPr>
            <w:r>
              <w:rPr>
                <w:rFonts w:ascii="Arial" w:cs="Arial" w:eastAsia="Arial" w:hAnsi="Arial"/>
                <w:sz w:val="13"/>
                <w:szCs w:val="13"/>
                <w:b w:val="1"/>
                <w:bCs w:val="1"/>
                <w:color w:val="FFFFFF"/>
                <w:w w:val="97"/>
              </w:rPr>
              <w:t>of</w:t>
            </w:r>
          </w:p>
        </w:tc>
        <w:tc>
          <w:tcPr>
            <w:tcW w:w="1180" w:type="dxa"/>
            <w:vAlign w:val="bottom"/>
            <w:shd w:val="clear" w:color="auto" w:fill="0061AF"/>
          </w:tcPr>
          <w:p>
            <w:pPr>
              <w:jc w:val="center"/>
              <w:ind w:left="117"/>
              <w:spacing w:after="0" w:line="141" w:lineRule="exact"/>
              <w:rPr>
                <w:sz w:val="20"/>
                <w:szCs w:val="20"/>
                <w:color w:val="auto"/>
              </w:rPr>
            </w:pPr>
            <w:r>
              <w:rPr>
                <w:rFonts w:ascii="Arial" w:cs="Arial" w:eastAsia="Arial" w:hAnsi="Arial"/>
                <w:sz w:val="13"/>
                <w:szCs w:val="13"/>
                <w:b w:val="1"/>
                <w:bCs w:val="1"/>
                <w:color w:val="FFFFFF"/>
              </w:rPr>
              <w:t>on</w:t>
            </w:r>
          </w:p>
        </w:tc>
        <w:tc>
          <w:tcPr>
            <w:tcW w:w="800" w:type="dxa"/>
            <w:vAlign w:val="bottom"/>
            <w:shd w:val="clear" w:color="auto" w:fill="0061AF"/>
          </w:tcPr>
          <w:p>
            <w:pPr>
              <w:jc w:val="center"/>
              <w:ind w:left="17"/>
              <w:spacing w:after="0" w:line="141" w:lineRule="exact"/>
              <w:rPr>
                <w:sz w:val="20"/>
                <w:szCs w:val="20"/>
                <w:color w:val="auto"/>
              </w:rPr>
            </w:pPr>
            <w:r>
              <w:rPr>
                <w:rFonts w:ascii="Arial" w:cs="Arial" w:eastAsia="Arial" w:hAnsi="Arial"/>
                <w:sz w:val="13"/>
                <w:szCs w:val="13"/>
                <w:b w:val="1"/>
                <w:bCs w:val="1"/>
                <w:color w:val="FFFFFF"/>
                <w:w w:val="97"/>
              </w:rPr>
              <w:t>of</w:t>
            </w:r>
          </w:p>
        </w:tc>
        <w:tc>
          <w:tcPr>
            <w:tcW w:w="84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rPr>
              <w:t>on</w:t>
            </w:r>
          </w:p>
        </w:tc>
        <w:tc>
          <w:tcPr>
            <w:tcW w:w="72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w w:val="97"/>
              </w:rPr>
              <w:t>of</w:t>
            </w:r>
          </w:p>
        </w:tc>
        <w:tc>
          <w:tcPr>
            <w:tcW w:w="840" w:type="dxa"/>
            <w:vAlign w:val="bottom"/>
            <w:shd w:val="clear" w:color="auto" w:fill="0061AF"/>
          </w:tcPr>
          <w:p>
            <w:pPr>
              <w:jc w:val="center"/>
              <w:spacing w:after="0" w:line="141" w:lineRule="exact"/>
              <w:rPr>
                <w:sz w:val="20"/>
                <w:szCs w:val="20"/>
                <w:color w:val="auto"/>
              </w:rPr>
            </w:pPr>
            <w:r>
              <w:rPr>
                <w:rFonts w:ascii="Arial" w:cs="Arial" w:eastAsia="Arial" w:hAnsi="Arial"/>
                <w:sz w:val="13"/>
                <w:szCs w:val="13"/>
                <w:b w:val="1"/>
                <w:bCs w:val="1"/>
                <w:color w:val="FFFFFF"/>
              </w:rPr>
              <w:t>on</w:t>
            </w:r>
          </w:p>
        </w:tc>
        <w:tc>
          <w:tcPr>
            <w:tcW w:w="580" w:type="dxa"/>
            <w:vAlign w:val="bottom"/>
            <w:shd w:val="clear" w:color="auto" w:fill="0061AF"/>
          </w:tcPr>
          <w:p>
            <w:pPr>
              <w:jc w:val="center"/>
              <w:ind w:left="37"/>
              <w:spacing w:after="0" w:line="141" w:lineRule="exact"/>
              <w:rPr>
                <w:sz w:val="20"/>
                <w:szCs w:val="20"/>
                <w:color w:val="auto"/>
              </w:rPr>
            </w:pPr>
            <w:r>
              <w:rPr>
                <w:rFonts w:ascii="Arial" w:cs="Arial" w:eastAsia="Arial" w:hAnsi="Arial"/>
                <w:sz w:val="13"/>
                <w:szCs w:val="13"/>
                <w:b w:val="1"/>
                <w:bCs w:val="1"/>
                <w:color w:val="FFFFFF"/>
                <w:w w:val="97"/>
              </w:rPr>
              <w:t>of</w:t>
            </w:r>
          </w:p>
        </w:tc>
        <w:tc>
          <w:tcPr>
            <w:tcW w:w="680" w:type="dxa"/>
            <w:vAlign w:val="bottom"/>
            <w:shd w:val="clear" w:color="auto" w:fill="0061AF"/>
          </w:tcPr>
          <w:p>
            <w:pPr>
              <w:jc w:val="right"/>
              <w:spacing w:after="0" w:line="141" w:lineRule="exact"/>
              <w:rPr>
                <w:sz w:val="20"/>
                <w:szCs w:val="20"/>
                <w:color w:val="auto"/>
              </w:rPr>
            </w:pPr>
            <w:r>
              <w:rPr>
                <w:rFonts w:ascii="Arial" w:cs="Arial" w:eastAsia="Arial" w:hAnsi="Arial"/>
                <w:sz w:val="13"/>
                <w:szCs w:val="13"/>
                <w:b w:val="1"/>
                <w:bCs w:val="1"/>
                <w:color w:val="FFFFFF"/>
              </w:rPr>
              <w:t>o</w:t>
            </w:r>
          </w:p>
        </w:tc>
        <w:tc>
          <w:tcPr>
            <w:tcW w:w="0" w:type="dxa"/>
            <w:vAlign w:val="bottom"/>
          </w:tcPr>
          <w:p>
            <w:pPr>
              <w:spacing w:after="0"/>
              <w:rPr>
                <w:sz w:val="1"/>
                <w:szCs w:val="1"/>
                <w:color w:val="auto"/>
              </w:rPr>
            </w:pPr>
          </w:p>
        </w:tc>
      </w:tr>
      <w:tr>
        <w:trPr>
          <w:trHeight w:val="145"/>
        </w:trPr>
        <w:tc>
          <w:tcPr>
            <w:tcW w:w="800" w:type="dxa"/>
            <w:vAlign w:val="bottom"/>
            <w:vMerge w:val="restart"/>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820" w:type="dxa"/>
            <w:vAlign w:val="bottom"/>
            <w:shd w:val="clear" w:color="auto" w:fill="0061AF"/>
          </w:tcPr>
          <w:p>
            <w:pPr>
              <w:jc w:val="center"/>
              <w:ind w:left="17"/>
              <w:spacing w:after="0" w:line="146" w:lineRule="exact"/>
              <w:rPr>
                <w:sz w:val="20"/>
                <w:szCs w:val="20"/>
                <w:color w:val="auto"/>
              </w:rPr>
            </w:pPr>
            <w:r>
              <w:rPr>
                <w:rFonts w:ascii="Arial" w:cs="Arial" w:eastAsia="Arial" w:hAnsi="Arial"/>
                <w:sz w:val="13"/>
                <w:szCs w:val="13"/>
                <w:b w:val="1"/>
                <w:bCs w:val="1"/>
                <w:color w:val="FFFFFF"/>
                <w:w w:val="96"/>
              </w:rPr>
              <w:t>Shares</w:t>
            </w:r>
          </w:p>
        </w:tc>
        <w:tc>
          <w:tcPr>
            <w:tcW w:w="84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Vesting</w:t>
            </w:r>
            <w:r>
              <w:rPr>
                <w:rFonts w:ascii="Arial" w:cs="Arial" w:eastAsia="Arial" w:hAnsi="Arial"/>
                <w:sz w:val="16"/>
                <w:szCs w:val="16"/>
                <w:b w:val="1"/>
                <w:bCs w:val="1"/>
                <w:color w:val="FFFFFF"/>
                <w:vertAlign w:val="superscript"/>
              </w:rPr>
              <w:t>(b)</w:t>
            </w:r>
          </w:p>
        </w:tc>
        <w:tc>
          <w:tcPr>
            <w:tcW w:w="600" w:type="dxa"/>
            <w:vAlign w:val="bottom"/>
            <w:shd w:val="clear" w:color="auto" w:fill="0061AF"/>
          </w:tcPr>
          <w:p>
            <w:pPr>
              <w:jc w:val="center"/>
              <w:ind w:left="37"/>
              <w:spacing w:after="0" w:line="146" w:lineRule="exact"/>
              <w:rPr>
                <w:sz w:val="20"/>
                <w:szCs w:val="20"/>
                <w:color w:val="auto"/>
              </w:rPr>
            </w:pPr>
            <w:r>
              <w:rPr>
                <w:rFonts w:ascii="Arial" w:cs="Arial" w:eastAsia="Arial" w:hAnsi="Arial"/>
                <w:sz w:val="13"/>
                <w:szCs w:val="13"/>
                <w:b w:val="1"/>
                <w:bCs w:val="1"/>
                <w:color w:val="FFFFFF"/>
                <w:w w:val="96"/>
              </w:rPr>
              <w:t>Shares</w:t>
            </w:r>
          </w:p>
        </w:tc>
        <w:tc>
          <w:tcPr>
            <w:tcW w:w="1180" w:type="dxa"/>
            <w:vAlign w:val="bottom"/>
            <w:shd w:val="clear" w:color="auto" w:fill="0061AF"/>
          </w:tcPr>
          <w:p>
            <w:pPr>
              <w:jc w:val="center"/>
              <w:ind w:left="137"/>
              <w:spacing w:after="0" w:line="145" w:lineRule="exact"/>
              <w:rPr>
                <w:sz w:val="20"/>
                <w:szCs w:val="20"/>
                <w:color w:val="auto"/>
              </w:rPr>
            </w:pPr>
            <w:r>
              <w:rPr>
                <w:rFonts w:ascii="Arial" w:cs="Arial" w:eastAsia="Arial" w:hAnsi="Arial"/>
                <w:sz w:val="10"/>
                <w:szCs w:val="10"/>
                <w:b w:val="1"/>
                <w:bCs w:val="1"/>
                <w:color w:val="FFFFFF"/>
              </w:rPr>
              <w:t>Vesting</w:t>
            </w:r>
            <w:r>
              <w:rPr>
                <w:rFonts w:ascii="Arial" w:cs="Arial" w:eastAsia="Arial" w:hAnsi="Arial"/>
                <w:sz w:val="16"/>
                <w:szCs w:val="16"/>
                <w:b w:val="1"/>
                <w:bCs w:val="1"/>
                <w:color w:val="FFFFFF"/>
                <w:vertAlign w:val="superscript"/>
              </w:rPr>
              <w:t>(c)</w:t>
            </w:r>
          </w:p>
        </w:tc>
        <w:tc>
          <w:tcPr>
            <w:tcW w:w="700" w:type="dxa"/>
            <w:vAlign w:val="bottom"/>
            <w:shd w:val="clear" w:color="auto" w:fill="0061AF"/>
          </w:tcPr>
          <w:p>
            <w:pPr>
              <w:jc w:val="center"/>
              <w:ind w:left="137"/>
              <w:spacing w:after="0" w:line="146" w:lineRule="exact"/>
              <w:rPr>
                <w:sz w:val="20"/>
                <w:szCs w:val="20"/>
                <w:color w:val="auto"/>
              </w:rPr>
            </w:pPr>
            <w:r>
              <w:rPr>
                <w:rFonts w:ascii="Arial" w:cs="Arial" w:eastAsia="Arial" w:hAnsi="Arial"/>
                <w:sz w:val="13"/>
                <w:szCs w:val="13"/>
                <w:b w:val="1"/>
                <w:bCs w:val="1"/>
                <w:color w:val="FFFFFF"/>
                <w:w w:val="96"/>
              </w:rPr>
              <w:t>Shares</w:t>
            </w:r>
          </w:p>
        </w:tc>
        <w:tc>
          <w:tcPr>
            <w:tcW w:w="1180" w:type="dxa"/>
            <w:vAlign w:val="bottom"/>
            <w:shd w:val="clear" w:color="auto" w:fill="0061AF"/>
          </w:tcPr>
          <w:p>
            <w:pPr>
              <w:jc w:val="center"/>
              <w:ind w:left="137"/>
              <w:spacing w:after="0" w:line="145" w:lineRule="exact"/>
              <w:rPr>
                <w:sz w:val="20"/>
                <w:szCs w:val="20"/>
                <w:color w:val="auto"/>
              </w:rPr>
            </w:pPr>
            <w:r>
              <w:rPr>
                <w:rFonts w:ascii="Arial" w:cs="Arial" w:eastAsia="Arial" w:hAnsi="Arial"/>
                <w:sz w:val="10"/>
                <w:szCs w:val="10"/>
                <w:b w:val="1"/>
                <w:bCs w:val="1"/>
                <w:color w:val="FFFFFF"/>
              </w:rPr>
              <w:t>Vesting</w:t>
            </w:r>
            <w:r>
              <w:rPr>
                <w:rFonts w:ascii="Arial" w:cs="Arial" w:eastAsia="Arial" w:hAnsi="Arial"/>
                <w:sz w:val="16"/>
                <w:szCs w:val="16"/>
                <w:b w:val="1"/>
                <w:bCs w:val="1"/>
                <w:color w:val="FFFFFF"/>
                <w:vertAlign w:val="superscript"/>
              </w:rPr>
              <w:t>(d)</w:t>
            </w:r>
          </w:p>
        </w:tc>
        <w:tc>
          <w:tcPr>
            <w:tcW w:w="800" w:type="dxa"/>
            <w:vAlign w:val="bottom"/>
            <w:shd w:val="clear" w:color="auto" w:fill="0061AF"/>
          </w:tcPr>
          <w:p>
            <w:pPr>
              <w:jc w:val="center"/>
              <w:ind w:left="37"/>
              <w:spacing w:after="0" w:line="146" w:lineRule="exact"/>
              <w:rPr>
                <w:sz w:val="20"/>
                <w:szCs w:val="20"/>
                <w:color w:val="auto"/>
              </w:rPr>
            </w:pPr>
            <w:r>
              <w:rPr>
                <w:rFonts w:ascii="Arial" w:cs="Arial" w:eastAsia="Arial" w:hAnsi="Arial"/>
                <w:sz w:val="13"/>
                <w:szCs w:val="13"/>
                <w:b w:val="1"/>
                <w:bCs w:val="1"/>
                <w:color w:val="FFFFFF"/>
                <w:w w:val="96"/>
              </w:rPr>
              <w:t>Shares</w:t>
            </w:r>
          </w:p>
        </w:tc>
        <w:tc>
          <w:tcPr>
            <w:tcW w:w="84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Vesting</w:t>
            </w:r>
            <w:r>
              <w:rPr>
                <w:rFonts w:ascii="Arial" w:cs="Arial" w:eastAsia="Arial" w:hAnsi="Arial"/>
                <w:sz w:val="16"/>
                <w:szCs w:val="16"/>
                <w:b w:val="1"/>
                <w:bCs w:val="1"/>
                <w:color w:val="FFFFFF"/>
                <w:vertAlign w:val="superscript"/>
              </w:rPr>
              <w:t>(e)</w:t>
            </w:r>
          </w:p>
        </w:tc>
        <w:tc>
          <w:tcPr>
            <w:tcW w:w="720" w:type="dxa"/>
            <w:vAlign w:val="bottom"/>
            <w:shd w:val="clear" w:color="auto" w:fill="0061AF"/>
          </w:tcPr>
          <w:p>
            <w:pPr>
              <w:jc w:val="center"/>
              <w:spacing w:after="0" w:line="146" w:lineRule="exact"/>
              <w:rPr>
                <w:sz w:val="20"/>
                <w:szCs w:val="20"/>
                <w:color w:val="auto"/>
              </w:rPr>
            </w:pPr>
            <w:r>
              <w:rPr>
                <w:rFonts w:ascii="Arial" w:cs="Arial" w:eastAsia="Arial" w:hAnsi="Arial"/>
                <w:sz w:val="13"/>
                <w:szCs w:val="13"/>
                <w:b w:val="1"/>
                <w:bCs w:val="1"/>
                <w:color w:val="FFFFFF"/>
                <w:w w:val="96"/>
              </w:rPr>
              <w:t>Shares</w:t>
            </w:r>
          </w:p>
        </w:tc>
        <w:tc>
          <w:tcPr>
            <w:tcW w:w="840" w:type="dxa"/>
            <w:vAlign w:val="bottom"/>
            <w:shd w:val="clear" w:color="auto" w:fill="0061AF"/>
          </w:tcPr>
          <w:p>
            <w:pPr>
              <w:jc w:val="center"/>
              <w:spacing w:after="0" w:line="145" w:lineRule="exact"/>
              <w:rPr>
                <w:sz w:val="20"/>
                <w:szCs w:val="20"/>
                <w:color w:val="auto"/>
              </w:rPr>
            </w:pPr>
            <w:r>
              <w:rPr>
                <w:rFonts w:ascii="Arial" w:cs="Arial" w:eastAsia="Arial" w:hAnsi="Arial"/>
                <w:sz w:val="10"/>
                <w:szCs w:val="10"/>
                <w:b w:val="1"/>
                <w:bCs w:val="1"/>
                <w:color w:val="FFFFFF"/>
              </w:rPr>
              <w:t>Vesting</w:t>
            </w:r>
            <w:r>
              <w:rPr>
                <w:rFonts w:ascii="Arial" w:cs="Arial" w:eastAsia="Arial" w:hAnsi="Arial"/>
                <w:sz w:val="16"/>
                <w:szCs w:val="16"/>
                <w:b w:val="1"/>
                <w:bCs w:val="1"/>
                <w:color w:val="FFFFFF"/>
                <w:vertAlign w:val="superscript"/>
              </w:rPr>
              <w:t>(f)</w:t>
            </w:r>
          </w:p>
        </w:tc>
        <w:tc>
          <w:tcPr>
            <w:tcW w:w="580" w:type="dxa"/>
            <w:vAlign w:val="bottom"/>
            <w:shd w:val="clear" w:color="auto" w:fill="0061AF"/>
          </w:tcPr>
          <w:p>
            <w:pPr>
              <w:jc w:val="center"/>
              <w:ind w:left="37"/>
              <w:spacing w:after="0" w:line="146" w:lineRule="exact"/>
              <w:rPr>
                <w:sz w:val="20"/>
                <w:szCs w:val="20"/>
                <w:color w:val="auto"/>
              </w:rPr>
            </w:pPr>
            <w:r>
              <w:rPr>
                <w:rFonts w:ascii="Arial" w:cs="Arial" w:eastAsia="Arial" w:hAnsi="Arial"/>
                <w:sz w:val="13"/>
                <w:szCs w:val="13"/>
                <w:b w:val="1"/>
                <w:bCs w:val="1"/>
                <w:color w:val="FFFFFF"/>
              </w:rPr>
              <w:t>Shares</w:t>
            </w:r>
          </w:p>
        </w:tc>
        <w:tc>
          <w:tcPr>
            <w:tcW w:w="680" w:type="dxa"/>
            <w:vAlign w:val="bottom"/>
            <w:shd w:val="clear" w:color="auto" w:fill="0061AF"/>
          </w:tcPr>
          <w:p>
            <w:pPr>
              <w:jc w:val="right"/>
              <w:spacing w:after="0" w:line="146" w:lineRule="exact"/>
              <w:rPr>
                <w:sz w:val="20"/>
                <w:szCs w:val="20"/>
                <w:color w:val="auto"/>
              </w:rPr>
            </w:pPr>
            <w:r>
              <w:rPr>
                <w:rFonts w:ascii="Arial" w:cs="Arial" w:eastAsia="Arial" w:hAnsi="Arial"/>
                <w:sz w:val="13"/>
                <w:szCs w:val="13"/>
                <w:b w:val="1"/>
                <w:bCs w:val="1"/>
                <w:color w:val="FFFFFF"/>
              </w:rPr>
              <w:t>Vest</w:t>
            </w:r>
          </w:p>
        </w:tc>
        <w:tc>
          <w:tcPr>
            <w:tcW w:w="0" w:type="dxa"/>
            <w:vAlign w:val="bottom"/>
          </w:tcPr>
          <w:p>
            <w:pPr>
              <w:spacing w:after="0"/>
              <w:rPr>
                <w:sz w:val="1"/>
                <w:szCs w:val="1"/>
                <w:color w:val="auto"/>
              </w:rPr>
            </w:pPr>
          </w:p>
        </w:tc>
      </w:tr>
      <w:tr>
        <w:trPr>
          <w:trHeight w:val="167"/>
        </w:trPr>
        <w:tc>
          <w:tcPr>
            <w:tcW w:w="800" w:type="dxa"/>
            <w:vAlign w:val="bottom"/>
            <w:vMerge w:val="continue"/>
            <w:shd w:val="clear" w:color="auto" w:fill="0061AF"/>
          </w:tcPr>
          <w:p>
            <w:pPr>
              <w:spacing w:after="0"/>
              <w:rPr>
                <w:sz w:val="14"/>
                <w:szCs w:val="14"/>
                <w:color w:val="auto"/>
              </w:rPr>
            </w:pPr>
          </w:p>
        </w:tc>
        <w:tc>
          <w:tcPr>
            <w:tcW w:w="820" w:type="dxa"/>
            <w:vAlign w:val="bottom"/>
            <w:shd w:val="clear" w:color="auto" w:fill="0061AF"/>
          </w:tcPr>
          <w:p>
            <w:pPr>
              <w:jc w:val="center"/>
              <w:ind w:left="3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87"/>
              </w:rPr>
              <w:t>($)</w:t>
            </w:r>
          </w:p>
        </w:tc>
        <w:tc>
          <w:tcPr>
            <w:tcW w:w="600" w:type="dxa"/>
            <w:vAlign w:val="bottom"/>
            <w:shd w:val="clear" w:color="auto" w:fill="0061AF"/>
          </w:tcPr>
          <w:p>
            <w:pPr>
              <w:jc w:val="center"/>
              <w:ind w:left="17"/>
              <w:spacing w:after="0"/>
              <w:rPr>
                <w:sz w:val="20"/>
                <w:szCs w:val="20"/>
                <w:color w:val="auto"/>
              </w:rPr>
            </w:pPr>
            <w:r>
              <w:rPr>
                <w:rFonts w:ascii="Arial" w:cs="Arial" w:eastAsia="Arial" w:hAnsi="Arial"/>
                <w:sz w:val="13"/>
                <w:szCs w:val="13"/>
                <w:b w:val="1"/>
                <w:bCs w:val="1"/>
                <w:color w:val="FFFFFF"/>
              </w:rPr>
              <w:t>(#)</w:t>
            </w:r>
          </w:p>
        </w:tc>
        <w:tc>
          <w:tcPr>
            <w:tcW w:w="1180" w:type="dxa"/>
            <w:vAlign w:val="bottom"/>
            <w:shd w:val="clear" w:color="auto" w:fill="0061AF"/>
          </w:tcPr>
          <w:p>
            <w:pPr>
              <w:jc w:val="center"/>
              <w:ind w:left="117"/>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061AF"/>
          </w:tcPr>
          <w:p>
            <w:pPr>
              <w:jc w:val="center"/>
              <w:ind w:left="117"/>
              <w:spacing w:after="0"/>
              <w:rPr>
                <w:sz w:val="20"/>
                <w:szCs w:val="20"/>
                <w:color w:val="auto"/>
              </w:rPr>
            </w:pPr>
            <w:r>
              <w:rPr>
                <w:rFonts w:ascii="Arial" w:cs="Arial" w:eastAsia="Arial" w:hAnsi="Arial"/>
                <w:sz w:val="13"/>
                <w:szCs w:val="13"/>
                <w:b w:val="1"/>
                <w:bCs w:val="1"/>
                <w:color w:val="FFFFFF"/>
              </w:rPr>
              <w:t>(#)</w:t>
            </w:r>
          </w:p>
        </w:tc>
        <w:tc>
          <w:tcPr>
            <w:tcW w:w="1180" w:type="dxa"/>
            <w:vAlign w:val="bottom"/>
            <w:shd w:val="clear" w:color="auto" w:fill="0061AF"/>
          </w:tcPr>
          <w:p>
            <w:pPr>
              <w:jc w:val="center"/>
              <w:ind w:left="117"/>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0061AF"/>
          </w:tcPr>
          <w:p>
            <w:pPr>
              <w:jc w:val="center"/>
              <w:ind w:left="1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580" w:type="dxa"/>
            <w:vAlign w:val="bottom"/>
            <w:shd w:val="clear" w:color="auto" w:fill="0061AF"/>
          </w:tcPr>
          <w:p>
            <w:pPr>
              <w:jc w:val="center"/>
              <w:ind w:left="37"/>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0061AF"/>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43"/>
        </w:trPr>
        <w:tc>
          <w:tcPr>
            <w:tcW w:w="800" w:type="dxa"/>
            <w:vAlign w:val="bottom"/>
          </w:tcPr>
          <w:p>
            <w:pPr>
              <w:ind w:left="80"/>
              <w:spacing w:after="0" w:line="143" w:lineRule="exact"/>
              <w:rPr>
                <w:sz w:val="20"/>
                <w:szCs w:val="20"/>
                <w:color w:val="auto"/>
              </w:rPr>
            </w:pPr>
            <w:r>
              <w:rPr>
                <w:rFonts w:ascii="Arial" w:cs="Arial" w:eastAsia="Arial" w:hAnsi="Arial"/>
                <w:sz w:val="13"/>
                <w:szCs w:val="13"/>
                <w:color w:val="auto"/>
              </w:rPr>
              <w:t>Lesar</w:t>
            </w:r>
          </w:p>
        </w:tc>
        <w:tc>
          <w:tcPr>
            <w:tcW w:w="82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Wells</w:t>
            </w:r>
          </w:p>
        </w:tc>
        <w:tc>
          <w:tcPr>
            <w:tcW w:w="82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6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ind w:left="80"/>
              <w:spacing w:after="0" w:line="143" w:lineRule="exact"/>
              <w:rPr>
                <w:sz w:val="20"/>
                <w:szCs w:val="20"/>
                <w:color w:val="auto"/>
              </w:rPr>
            </w:pPr>
            <w:r>
              <w:rPr>
                <w:rFonts w:ascii="Arial" w:cs="Arial" w:eastAsia="Arial" w:hAnsi="Arial"/>
                <w:sz w:val="13"/>
                <w:szCs w:val="13"/>
                <w:color w:val="auto"/>
              </w:rPr>
              <w:t>Carroll</w:t>
            </w:r>
          </w:p>
        </w:tc>
        <w:tc>
          <w:tcPr>
            <w:tcW w:w="820" w:type="dxa"/>
            <w:vAlign w:val="bottom"/>
          </w:tcPr>
          <w:p>
            <w:pPr>
              <w:jc w:val="right"/>
              <w:ind w:right="77"/>
              <w:spacing w:after="0" w:line="143" w:lineRule="exact"/>
              <w:rPr>
                <w:sz w:val="20"/>
                <w:szCs w:val="20"/>
                <w:color w:val="auto"/>
              </w:rPr>
            </w:pPr>
            <w:r>
              <w:rPr>
                <w:rFonts w:ascii="Arial" w:cs="Arial" w:eastAsia="Arial" w:hAnsi="Arial"/>
                <w:sz w:val="13"/>
                <w:szCs w:val="13"/>
                <w:color w:val="auto"/>
              </w:rPr>
              <w:t>32,274</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739,397</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22,873</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654,682</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77,841</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3"/>
        </w:trPr>
        <w:tc>
          <w:tcPr>
            <w:tcW w:w="8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Colvin</w:t>
            </w:r>
          </w:p>
        </w:tc>
        <w:tc>
          <w:tcPr>
            <w:tcW w:w="82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3,921</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89,830</w:t>
            </w:r>
          </w:p>
        </w:tc>
        <w:tc>
          <w:tcPr>
            <w:tcW w:w="6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2,604</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74,533</w:t>
            </w:r>
          </w:p>
        </w:tc>
        <w:tc>
          <w:tcPr>
            <w:tcW w:w="7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ind w:left="80"/>
              <w:spacing w:after="0" w:line="143" w:lineRule="exact"/>
              <w:rPr>
                <w:sz w:val="20"/>
                <w:szCs w:val="20"/>
                <w:color w:val="auto"/>
              </w:rPr>
            </w:pPr>
            <w:r>
              <w:rPr>
                <w:rFonts w:ascii="Arial" w:cs="Arial" w:eastAsia="Arial" w:hAnsi="Arial"/>
                <w:sz w:val="13"/>
                <w:szCs w:val="13"/>
                <w:color w:val="auto"/>
              </w:rPr>
              <w:t>Doyle</w:t>
            </w:r>
          </w:p>
        </w:tc>
        <w:tc>
          <w:tcPr>
            <w:tcW w:w="820" w:type="dxa"/>
            <w:vAlign w:val="bottom"/>
          </w:tcPr>
          <w:p>
            <w:pPr>
              <w:jc w:val="right"/>
              <w:ind w:right="77"/>
              <w:spacing w:after="0" w:line="143" w:lineRule="exact"/>
              <w:rPr>
                <w:sz w:val="20"/>
                <w:szCs w:val="20"/>
                <w:color w:val="auto"/>
              </w:rPr>
            </w:pPr>
            <w:r>
              <w:rPr>
                <w:rFonts w:ascii="Arial" w:cs="Arial" w:eastAsia="Arial" w:hAnsi="Arial"/>
                <w:sz w:val="13"/>
                <w:szCs w:val="13"/>
                <w:color w:val="auto"/>
              </w:rPr>
              <w:t>5,683</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130,198</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3,044</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87,127</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Knight</w:t>
            </w:r>
          </w:p>
        </w:tc>
        <w:tc>
          <w:tcPr>
            <w:tcW w:w="82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6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ind w:left="80"/>
              <w:spacing w:after="0" w:line="143" w:lineRule="exact"/>
              <w:rPr>
                <w:sz w:val="20"/>
                <w:szCs w:val="20"/>
                <w:color w:val="auto"/>
              </w:rPr>
            </w:pPr>
            <w:r>
              <w:rPr>
                <w:rFonts w:ascii="Arial" w:cs="Arial" w:eastAsia="Arial" w:hAnsi="Arial"/>
                <w:sz w:val="13"/>
                <w:szCs w:val="13"/>
                <w:color w:val="auto"/>
              </w:rPr>
              <w:t>Prochazka</w:t>
            </w:r>
          </w:p>
        </w:tc>
        <w:tc>
          <w:tcPr>
            <w:tcW w:w="820" w:type="dxa"/>
            <w:vAlign w:val="bottom"/>
          </w:tcPr>
          <w:p>
            <w:pPr>
              <w:jc w:val="right"/>
              <w:ind w:right="77"/>
              <w:spacing w:after="0" w:line="143" w:lineRule="exact"/>
              <w:rPr>
                <w:sz w:val="20"/>
                <w:szCs w:val="20"/>
                <w:color w:val="auto"/>
              </w:rPr>
            </w:pPr>
            <w:r>
              <w:rPr>
                <w:rFonts w:ascii="Arial" w:cs="Arial" w:eastAsia="Arial" w:hAnsi="Arial"/>
                <w:sz w:val="13"/>
                <w:szCs w:val="13"/>
                <w:color w:val="auto"/>
              </w:rPr>
              <w:t>83,046</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1,902,584</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54,115</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856,776</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w w:val="94"/>
              </w:rPr>
              <w:t>Somerhalder</w:t>
            </w:r>
          </w:p>
        </w:tc>
        <w:tc>
          <w:tcPr>
            <w:tcW w:w="82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6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57,725</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1,140,069</w:t>
            </w:r>
          </w:p>
        </w:tc>
        <w:tc>
          <w:tcPr>
            <w:tcW w:w="72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76,177</w:t>
            </w:r>
          </w:p>
        </w:tc>
        <w:tc>
          <w:tcPr>
            <w:tcW w:w="84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1,493,069</w:t>
            </w:r>
          </w:p>
        </w:tc>
        <w:tc>
          <w:tcPr>
            <w:tcW w:w="5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ind w:left="80"/>
              <w:spacing w:after="0" w:line="143" w:lineRule="exact"/>
              <w:rPr>
                <w:sz w:val="20"/>
                <w:szCs w:val="20"/>
                <w:color w:val="auto"/>
              </w:rPr>
            </w:pPr>
            <w:r>
              <w:rPr>
                <w:rFonts w:ascii="Arial" w:cs="Arial" w:eastAsia="Arial" w:hAnsi="Arial"/>
                <w:sz w:val="13"/>
                <w:szCs w:val="13"/>
                <w:color w:val="auto"/>
              </w:rPr>
              <w:t>Liu</w:t>
            </w:r>
          </w:p>
        </w:tc>
        <w:tc>
          <w:tcPr>
            <w:tcW w:w="82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12,500</w:t>
            </w:r>
          </w:p>
        </w:tc>
        <w:tc>
          <w:tcPr>
            <w:tcW w:w="1180" w:type="dxa"/>
            <w:vAlign w:val="bottom"/>
          </w:tcPr>
          <w:p>
            <w:pPr>
              <w:jc w:val="right"/>
              <w:ind w:right="177"/>
              <w:spacing w:after="0" w:line="143" w:lineRule="exact"/>
              <w:rPr>
                <w:sz w:val="20"/>
                <w:szCs w:val="20"/>
                <w:color w:val="auto"/>
              </w:rPr>
            </w:pPr>
            <w:r>
              <w:rPr>
                <w:rFonts w:ascii="Arial" w:cs="Arial" w:eastAsia="Arial" w:hAnsi="Arial"/>
                <w:sz w:val="13"/>
                <w:szCs w:val="13"/>
                <w:color w:val="auto"/>
              </w:rPr>
              <w:t>216,781</w:t>
            </w:r>
          </w:p>
        </w:tc>
        <w:tc>
          <w:tcPr>
            <w:tcW w:w="80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Vortherms</w:t>
            </w:r>
          </w:p>
        </w:tc>
        <w:tc>
          <w:tcPr>
            <w:tcW w:w="82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4,751</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108,845</w:t>
            </w:r>
          </w:p>
        </w:tc>
        <w:tc>
          <w:tcPr>
            <w:tcW w:w="6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2,537</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72,615</w:t>
            </w:r>
          </w:p>
        </w:tc>
        <w:tc>
          <w:tcPr>
            <w:tcW w:w="70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D8E7F3"/>
          </w:tcPr>
          <w:p>
            <w:pPr>
              <w:jc w:val="right"/>
              <w:ind w:right="177"/>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8E7F3"/>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D8E7F3"/>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8E7F3"/>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5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D8E7F3"/>
          </w:tcPr>
          <w:p>
            <w:pPr>
              <w:spacing w:after="0"/>
              <w:rPr>
                <w:sz w:val="12"/>
                <w:szCs w:val="1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both"/>
        <w:ind w:left="480" w:right="860" w:hanging="186"/>
        <w:spacing w:after="0" w:line="254" w:lineRule="auto"/>
        <w:tabs>
          <w:tab w:leader="none" w:pos="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A participant is vested in the right to receive performance share units under the award agreements as of December 31, 2020 (the end of the performance cycle). However, pursuant to the terms of the awards, the actual number of shares to be awarded to the participant is not known until the Compensation Committee determines the applicable performance levels of the underlying goals within 60 days after the end of the performance cycle. Accordingly, the awards are valued for compensation purposes after the Compensation Committee completes its determination and the procedures to verify the financial information used in determining the applicable performance level achievements have been completed. After completion of this process, the actual transfer of the stock is made to participants.</w:t>
      </w:r>
    </w:p>
    <w:p>
      <w:pPr>
        <w:spacing w:after="0" w:line="43" w:lineRule="exact"/>
        <w:rPr>
          <w:rFonts w:ascii="Arial" w:cs="Arial" w:eastAsia="Arial" w:hAnsi="Arial"/>
          <w:sz w:val="12"/>
          <w:szCs w:val="12"/>
          <w:color w:val="auto"/>
        </w:rPr>
      </w:pPr>
    </w:p>
    <w:p>
      <w:pPr>
        <w:jc w:val="both"/>
        <w:ind w:left="480" w:right="860" w:hanging="186"/>
        <w:spacing w:after="0" w:line="233" w:lineRule="auto"/>
        <w:tabs>
          <w:tab w:leader="none" w:pos="4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Value Realized on Vesting for the performance share unit awards was determined using the closing market price of our common stock ($19.75) on the New York Stock Exchange on February 25, 2021, together with a dividend equivalent amount equal to the dividends accrued during the performance period until they were delivered ($3.16 per share) on our shares of common stock. The number of performance share units vested was determined based on an overall achievement level of 135%.</w:t>
      </w:r>
    </w:p>
    <w:p>
      <w:pPr>
        <w:spacing w:after="0" w:line="50" w:lineRule="exact"/>
        <w:rPr>
          <w:rFonts w:ascii="Arial" w:cs="Arial" w:eastAsia="Arial" w:hAnsi="Arial"/>
          <w:sz w:val="13"/>
          <w:szCs w:val="13"/>
          <w:color w:val="auto"/>
        </w:rPr>
      </w:pPr>
    </w:p>
    <w:p>
      <w:pPr>
        <w:ind w:left="480" w:right="880" w:hanging="186"/>
        <w:spacing w:after="0" w:line="237" w:lineRule="auto"/>
        <w:tabs>
          <w:tab w:leader="none" w:pos="4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Value Realized on Vesting for the stock awards was determined using the closing market price of our common stock ($25.27) on the New York Stock Exchange on February 21, 2020, together with dividend equivalents per share during the vesting period of $3.3525.</w:t>
      </w:r>
    </w:p>
    <w:p>
      <w:pPr>
        <w:spacing w:after="0" w:line="49" w:lineRule="exact"/>
        <w:rPr>
          <w:rFonts w:ascii="Arial" w:cs="Arial" w:eastAsia="Arial" w:hAnsi="Arial"/>
          <w:sz w:val="13"/>
          <w:szCs w:val="13"/>
          <w:color w:val="auto"/>
        </w:rPr>
      </w:pPr>
    </w:p>
    <w:p>
      <w:pPr>
        <w:ind w:left="480" w:right="880" w:hanging="186"/>
        <w:spacing w:after="0" w:line="237" w:lineRule="auto"/>
        <w:tabs>
          <w:tab w:leader="none" w:pos="4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Value Realized on Vesting for the stock awards was determined using the closing market price of our common stock ($16.19) on the New York Stock Exchange on April 22, 2020, together with dividend equivalents per share during the vesting period of $1.15.</w:t>
      </w:r>
    </w:p>
    <w:p>
      <w:pPr>
        <w:spacing w:after="0" w:line="49" w:lineRule="exact"/>
        <w:rPr>
          <w:rFonts w:ascii="Arial" w:cs="Arial" w:eastAsia="Arial" w:hAnsi="Arial"/>
          <w:sz w:val="13"/>
          <w:szCs w:val="13"/>
          <w:color w:val="auto"/>
        </w:rPr>
      </w:pPr>
    </w:p>
    <w:p>
      <w:pPr>
        <w:ind w:left="480" w:right="880" w:hanging="186"/>
        <w:spacing w:after="0" w:line="237" w:lineRule="auto"/>
        <w:tabs>
          <w:tab w:leader="none" w:pos="4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Value Realized on Vesting for the stock awards was determined using the closing market price of our common stock ($19.60) on the New York Stock Exchange on July 6, 2020, together with dividend equivalents per share during the vesting period of $0.15.</w:t>
      </w:r>
    </w:p>
    <w:p>
      <w:pPr>
        <w:spacing w:after="0" w:line="49" w:lineRule="exact"/>
        <w:rPr>
          <w:rFonts w:ascii="Arial" w:cs="Arial" w:eastAsia="Arial" w:hAnsi="Arial"/>
          <w:sz w:val="13"/>
          <w:szCs w:val="13"/>
          <w:color w:val="auto"/>
        </w:rPr>
      </w:pPr>
    </w:p>
    <w:p>
      <w:pPr>
        <w:ind w:left="480" w:right="880" w:hanging="186"/>
        <w:spacing w:after="0" w:line="237" w:lineRule="auto"/>
        <w:tabs>
          <w:tab w:leader="none" w:pos="4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Value Realized on Vesting for the stock awards was determined using the closing market price of our common stock ($19.60) on the New York Stock Exchange on July 6, 2020. No dividend equivalents per share accrued during the vesting period.</w:t>
      </w:r>
    </w:p>
    <w:p>
      <w:pPr>
        <w:spacing w:after="0" w:line="49" w:lineRule="exact"/>
        <w:rPr>
          <w:rFonts w:ascii="Arial" w:cs="Arial" w:eastAsia="Arial" w:hAnsi="Arial"/>
          <w:sz w:val="13"/>
          <w:szCs w:val="13"/>
          <w:color w:val="auto"/>
        </w:rPr>
      </w:pPr>
    </w:p>
    <w:p>
      <w:pPr>
        <w:jc w:val="both"/>
        <w:ind w:left="480" w:right="860" w:hanging="186"/>
        <w:spacing w:after="0" w:line="233" w:lineRule="auto"/>
        <w:tabs>
          <w:tab w:leader="none" w:pos="4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Value Realized on Vesting for the stock awards was determined by using the closing market price ($19.27) of the New York Stock Exchange on the grant date of July 1, 2020 as these stock awards were immediately fully vested on such date. On the grant date, Mr. Carroll received 25,947 shares, representing 1/3 of the grant, that immediately vested on that date, with 1/3 of the grant, or 25,947 shares to be distributed on the first anniversary of the grant date and the remaining 1/3 of the grant, or 25,947 shares, to be distributed on the second anniversary of the grant date.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ind w:right="860"/>
        <w:spacing w:after="0" w:line="235" w:lineRule="auto"/>
        <w:rPr>
          <w:sz w:val="20"/>
          <w:szCs w:val="20"/>
          <w:color w:val="auto"/>
        </w:rPr>
      </w:pPr>
      <w:r>
        <w:rPr>
          <w:rFonts w:ascii="Arial" w:cs="Arial" w:eastAsia="Arial" w:hAnsi="Arial"/>
          <w:sz w:val="16"/>
          <w:szCs w:val="16"/>
          <w:color w:val="auto"/>
        </w:rPr>
        <w:t>Our senior executive officers hired or rehired before January 1, 2020 (Messrs. Prochazka, Doyle and Vortherms and Ms. Colvin) are eligible for pension benefits under a tax-qualified defined benefit pension plan—the CenterPoint Energy Retirement Plan. Ms. Liu, although eligible under the plan during her period of service with the Company, terminated employment prior to vesting and forfeited any benefits under the plan. Mr. Knight was rehired after January 1, 2020 and, therefore, is ineligible to accrue additional benefits under the plan. However, he has retained a vested benefit under the plan from his prior period of employment. In addition, our senior executive officers who are eligible for benefits under the CenterPoint Energy Retirement Plan are also eligible for benefits under a benefit</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10580"/>
          </w:cols>
          <w:pgMar w:left="1080" w:top="305" w:right="239" w:bottom="1440" w:gutter="0" w:footer="0" w:header="0"/>
        </w:sectPr>
      </w:pPr>
    </w:p>
    <w:bookmarkStart w:id="73" w:name="page74"/>
    <w:bookmarkEnd w:id="7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restoration plan, which is also a defined benefit plan. Participants are fully vested in both plans after three years of service. For all employees hired on or after January 1, 1999 but prior to January 1, 2009 (including Mr. Prochazka and Mr. Knight with respect to his prior benefit), participants accumulated a retirement benefit based upon a cash balance formula of four percent of base salary and short-term incentive compensation through December 31, 2008. For all employees hired prior to January 1, 1999 (including Messrs. Doyle and Vortherms and Ms. Colvin), benefits accrued based on a participant’s years of service, final average pay and covered compensation through December 31, 2008. Beginning January 1, 2009, final average pay formula benefits under the retirement plan were frozen as to any future accruals. The lump sum value of the age-65 annuity for all final average pay formula participants was calculated using an interest conversion rate of 4.52% as of December 31, 2008. This lump sum amount will continue to grow annually with interest, based on the 30-year Treasury rate from the prior November, until commencement of the benefit.</w:t>
      </w:r>
    </w:p>
    <w:p>
      <w:pPr>
        <w:spacing w:after="0" w:line="182"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 participant’s benefit through December 31, 2008 is the greatest of (i) this lump sum value, (ii) the final average pay benefit and (iii) the cash balance benefit. For periods after December 31, 2008, the retirement benefit is based on a cash balance formula of five percent of base salary and short-term incentive compensation.</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Benefits that may not be provided under the retirement plan because of Internal Revenue Code annual limits on benefits and compensation are made in a bookkeeping account under the benefit restoration plan. This excess benefit amount is determined based on the final average pay formula and the cash balance formula under the retirement plan, as applicable. To comply with the requirements under Section 409A of the Internal Revenue Code, we established the CenterPoint Energy Benefit Restoration Plan (CNP Benefit Restoration Plan) for excess benefits that accrued or vested after 2004. This plan is subject to Section 409A. Benefits accrued under this plan are generally paid in a lump sum following the participant’s separation from service. All of our senior executive officers who are eligible for the Retirement Plan also participate in this plan and will generally receive payments in a lump sum form under this plan. Benefit payments for our senior executive officers and other key employees will be delayed for six months to comply with Section 409A of the Internal Revenue Code. The CNP Benefit Restoration Plan does not provide any past service credits or accelerated service benefits.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table below provides information regarding our senior executive officers’ accumulated benefits under our retirement and benefit restoration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shd w:val="clear" w:color="auto" w:fill="0061AF"/>
          </w:tcPr>
          <w:p>
            <w:pPr>
              <w:spacing w:after="0"/>
              <w:rPr>
                <w:sz w:val="13"/>
                <w:szCs w:val="13"/>
                <w:color w:val="auto"/>
              </w:rPr>
            </w:pPr>
          </w:p>
        </w:tc>
        <w:tc>
          <w:tcPr>
            <w:tcW w:w="2700" w:type="dxa"/>
            <w:vAlign w:val="bottom"/>
            <w:shd w:val="clear" w:color="auto" w:fill="0061AF"/>
          </w:tcPr>
          <w:p>
            <w:pPr>
              <w:spacing w:after="0"/>
              <w:rPr>
                <w:sz w:val="13"/>
                <w:szCs w:val="13"/>
                <w:color w:val="auto"/>
              </w:rPr>
            </w:pPr>
          </w:p>
        </w:tc>
        <w:tc>
          <w:tcPr>
            <w:tcW w:w="1600" w:type="dxa"/>
            <w:vAlign w:val="bottom"/>
            <w:shd w:val="clear" w:color="auto" w:fill="0061AF"/>
          </w:tcPr>
          <w:p>
            <w:pPr>
              <w:jc w:val="center"/>
              <w:ind w:left="177"/>
              <w:spacing w:after="0"/>
              <w:rPr>
                <w:sz w:val="20"/>
                <w:szCs w:val="20"/>
                <w:color w:val="auto"/>
              </w:rPr>
            </w:pPr>
            <w:r>
              <w:rPr>
                <w:rFonts w:ascii="Arial" w:cs="Arial" w:eastAsia="Arial" w:hAnsi="Arial"/>
                <w:sz w:val="13"/>
                <w:szCs w:val="13"/>
                <w:b w:val="1"/>
                <w:bCs w:val="1"/>
                <w:color w:val="FFFFFF"/>
                <w:w w:val="98"/>
              </w:rPr>
              <w:t>Number of</w:t>
            </w:r>
          </w:p>
        </w:tc>
        <w:tc>
          <w:tcPr>
            <w:tcW w:w="1760" w:type="dxa"/>
            <w:vAlign w:val="bottom"/>
            <w:shd w:val="clear" w:color="auto" w:fill="0061AF"/>
          </w:tcPr>
          <w:p>
            <w:pPr>
              <w:spacing w:after="0"/>
              <w:rPr>
                <w:sz w:val="13"/>
                <w:szCs w:val="13"/>
                <w:color w:val="auto"/>
              </w:rPr>
            </w:pPr>
          </w:p>
        </w:tc>
        <w:tc>
          <w:tcPr>
            <w:tcW w:w="1400" w:type="dxa"/>
            <w:vAlign w:val="bottom"/>
            <w:shd w:val="clear" w:color="auto" w:fill="0061AF"/>
          </w:tcPr>
          <w:p>
            <w:pPr>
              <w:spacing w:after="0"/>
              <w:rPr>
                <w:sz w:val="13"/>
                <w:szCs w:val="13"/>
                <w:color w:val="auto"/>
              </w:rPr>
            </w:pPr>
          </w:p>
        </w:tc>
      </w:tr>
      <w:tr>
        <w:trPr>
          <w:trHeight w:val="143"/>
        </w:trPr>
        <w:tc>
          <w:tcPr>
            <w:tcW w:w="2260" w:type="dxa"/>
            <w:vAlign w:val="bottom"/>
            <w:shd w:val="clear" w:color="auto" w:fill="0061AF"/>
          </w:tcPr>
          <w:p>
            <w:pPr>
              <w:spacing w:after="0"/>
              <w:rPr>
                <w:sz w:val="12"/>
                <w:szCs w:val="12"/>
                <w:color w:val="auto"/>
              </w:rPr>
            </w:pPr>
          </w:p>
        </w:tc>
        <w:tc>
          <w:tcPr>
            <w:tcW w:w="2700" w:type="dxa"/>
            <w:vAlign w:val="bottom"/>
            <w:shd w:val="clear" w:color="auto" w:fill="0061AF"/>
          </w:tcPr>
          <w:p>
            <w:pPr>
              <w:spacing w:after="0"/>
              <w:rPr>
                <w:sz w:val="12"/>
                <w:szCs w:val="12"/>
                <w:color w:val="auto"/>
              </w:rPr>
            </w:pPr>
          </w:p>
        </w:tc>
        <w:tc>
          <w:tcPr>
            <w:tcW w:w="1600" w:type="dxa"/>
            <w:vAlign w:val="bottom"/>
            <w:shd w:val="clear" w:color="auto" w:fill="0061AF"/>
          </w:tcPr>
          <w:p>
            <w:pPr>
              <w:jc w:val="center"/>
              <w:ind w:left="157"/>
              <w:spacing w:after="0" w:line="143" w:lineRule="exact"/>
              <w:rPr>
                <w:sz w:val="20"/>
                <w:szCs w:val="20"/>
                <w:color w:val="auto"/>
              </w:rPr>
            </w:pPr>
            <w:r>
              <w:rPr>
                <w:rFonts w:ascii="Arial" w:cs="Arial" w:eastAsia="Arial" w:hAnsi="Arial"/>
                <w:sz w:val="13"/>
                <w:szCs w:val="13"/>
                <w:b w:val="1"/>
                <w:bCs w:val="1"/>
                <w:color w:val="FFFFFF"/>
                <w:w w:val="95"/>
              </w:rPr>
              <w:t>Years</w:t>
            </w:r>
          </w:p>
        </w:tc>
        <w:tc>
          <w:tcPr>
            <w:tcW w:w="17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Present Value of</w:t>
            </w:r>
          </w:p>
        </w:tc>
        <w:tc>
          <w:tcPr>
            <w:tcW w:w="1400" w:type="dxa"/>
            <w:vAlign w:val="bottom"/>
            <w:shd w:val="clear" w:color="auto" w:fill="0061AF"/>
          </w:tcPr>
          <w:p>
            <w:pPr>
              <w:spacing w:after="0"/>
              <w:rPr>
                <w:sz w:val="12"/>
                <w:szCs w:val="12"/>
                <w:color w:val="auto"/>
              </w:rPr>
            </w:pPr>
          </w:p>
        </w:tc>
      </w:tr>
      <w:tr>
        <w:trPr>
          <w:trHeight w:val="143"/>
        </w:trPr>
        <w:tc>
          <w:tcPr>
            <w:tcW w:w="2260" w:type="dxa"/>
            <w:vAlign w:val="bottom"/>
            <w:shd w:val="clear" w:color="auto" w:fill="0061AF"/>
          </w:tcPr>
          <w:p>
            <w:pPr>
              <w:spacing w:after="0"/>
              <w:rPr>
                <w:sz w:val="12"/>
                <w:szCs w:val="12"/>
                <w:color w:val="auto"/>
              </w:rPr>
            </w:pPr>
          </w:p>
        </w:tc>
        <w:tc>
          <w:tcPr>
            <w:tcW w:w="2700" w:type="dxa"/>
            <w:vAlign w:val="bottom"/>
            <w:shd w:val="clear" w:color="auto" w:fill="0061AF"/>
          </w:tcPr>
          <w:p>
            <w:pPr>
              <w:spacing w:after="0"/>
              <w:rPr>
                <w:sz w:val="12"/>
                <w:szCs w:val="12"/>
                <w:color w:val="auto"/>
              </w:rPr>
            </w:pPr>
          </w:p>
        </w:tc>
        <w:tc>
          <w:tcPr>
            <w:tcW w:w="1600" w:type="dxa"/>
            <w:vAlign w:val="bottom"/>
            <w:shd w:val="clear" w:color="auto" w:fill="0061AF"/>
          </w:tcPr>
          <w:p>
            <w:pPr>
              <w:jc w:val="center"/>
              <w:ind w:left="177"/>
              <w:spacing w:after="0" w:line="143" w:lineRule="exact"/>
              <w:rPr>
                <w:sz w:val="20"/>
                <w:szCs w:val="20"/>
                <w:color w:val="auto"/>
              </w:rPr>
            </w:pPr>
            <w:r>
              <w:rPr>
                <w:rFonts w:ascii="Arial" w:cs="Arial" w:eastAsia="Arial" w:hAnsi="Arial"/>
                <w:sz w:val="13"/>
                <w:szCs w:val="13"/>
                <w:b w:val="1"/>
                <w:bCs w:val="1"/>
                <w:color w:val="FFFFFF"/>
                <w:w w:val="98"/>
              </w:rPr>
              <w:t>Credited</w:t>
            </w:r>
          </w:p>
        </w:tc>
        <w:tc>
          <w:tcPr>
            <w:tcW w:w="17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Accumulated</w:t>
            </w:r>
          </w:p>
        </w:tc>
        <w:tc>
          <w:tcPr>
            <w:tcW w:w="1400" w:type="dxa"/>
            <w:vAlign w:val="bottom"/>
            <w:shd w:val="clear" w:color="auto" w:fill="0061AF"/>
          </w:tcPr>
          <w:p>
            <w:pPr>
              <w:jc w:val="right"/>
              <w:ind w:right="217"/>
              <w:spacing w:after="0" w:line="143" w:lineRule="exact"/>
              <w:rPr>
                <w:sz w:val="20"/>
                <w:szCs w:val="20"/>
                <w:color w:val="auto"/>
              </w:rPr>
            </w:pPr>
            <w:r>
              <w:rPr>
                <w:rFonts w:ascii="Arial" w:cs="Arial" w:eastAsia="Arial" w:hAnsi="Arial"/>
                <w:sz w:val="13"/>
                <w:szCs w:val="13"/>
                <w:b w:val="1"/>
                <w:bCs w:val="1"/>
                <w:color w:val="FFFFFF"/>
              </w:rPr>
              <w:t>Payments</w:t>
            </w:r>
          </w:p>
        </w:tc>
      </w:tr>
      <w:tr>
        <w:trPr>
          <w:trHeight w:val="143"/>
        </w:trPr>
        <w:tc>
          <w:tcPr>
            <w:tcW w:w="2260" w:type="dxa"/>
            <w:vAlign w:val="bottom"/>
            <w:shd w:val="clear" w:color="auto" w:fill="0061AF"/>
          </w:tcPr>
          <w:p>
            <w:pPr>
              <w:spacing w:after="0"/>
              <w:rPr>
                <w:sz w:val="12"/>
                <w:szCs w:val="12"/>
                <w:color w:val="auto"/>
              </w:rPr>
            </w:pPr>
          </w:p>
        </w:tc>
        <w:tc>
          <w:tcPr>
            <w:tcW w:w="2700" w:type="dxa"/>
            <w:vAlign w:val="bottom"/>
            <w:shd w:val="clear" w:color="auto" w:fill="0061AF"/>
          </w:tcPr>
          <w:p>
            <w:pPr>
              <w:spacing w:after="0"/>
              <w:rPr>
                <w:sz w:val="12"/>
                <w:szCs w:val="12"/>
                <w:color w:val="auto"/>
              </w:rPr>
            </w:pPr>
          </w:p>
        </w:tc>
        <w:tc>
          <w:tcPr>
            <w:tcW w:w="1600" w:type="dxa"/>
            <w:vAlign w:val="bottom"/>
            <w:shd w:val="clear" w:color="auto" w:fill="0061AF"/>
          </w:tcPr>
          <w:p>
            <w:pPr>
              <w:jc w:val="center"/>
              <w:ind w:left="177"/>
              <w:spacing w:after="0" w:line="143" w:lineRule="exact"/>
              <w:rPr>
                <w:sz w:val="20"/>
                <w:szCs w:val="20"/>
                <w:color w:val="auto"/>
              </w:rPr>
            </w:pPr>
            <w:r>
              <w:rPr>
                <w:rFonts w:ascii="Arial" w:cs="Arial" w:eastAsia="Arial" w:hAnsi="Arial"/>
                <w:sz w:val="13"/>
                <w:szCs w:val="13"/>
                <w:b w:val="1"/>
                <w:bCs w:val="1"/>
                <w:color w:val="FFFFFF"/>
                <w:w w:val="95"/>
              </w:rPr>
              <w:t>Service</w:t>
            </w:r>
          </w:p>
        </w:tc>
        <w:tc>
          <w:tcPr>
            <w:tcW w:w="176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9"/>
              </w:rPr>
              <w:t>Benefit</w:t>
            </w:r>
          </w:p>
        </w:tc>
        <w:tc>
          <w:tcPr>
            <w:tcW w:w="1400" w:type="dxa"/>
            <w:vAlign w:val="bottom"/>
            <w:shd w:val="clear" w:color="auto" w:fill="0061AF"/>
          </w:tcPr>
          <w:p>
            <w:pPr>
              <w:jc w:val="right"/>
              <w:ind w:right="197"/>
              <w:spacing w:after="0" w:line="143" w:lineRule="exact"/>
              <w:rPr>
                <w:sz w:val="20"/>
                <w:szCs w:val="20"/>
                <w:color w:val="auto"/>
              </w:rPr>
            </w:pPr>
            <w:r>
              <w:rPr>
                <w:rFonts w:ascii="Arial" w:cs="Arial" w:eastAsia="Arial" w:hAnsi="Arial"/>
                <w:sz w:val="13"/>
                <w:szCs w:val="13"/>
                <w:b w:val="1"/>
                <w:bCs w:val="1"/>
                <w:color w:val="FFFFFF"/>
              </w:rPr>
              <w:t>during 2020</w:t>
            </w:r>
          </w:p>
        </w:tc>
      </w:tr>
      <w:tr>
        <w:trPr>
          <w:trHeight w:val="167"/>
        </w:trPr>
        <w:tc>
          <w:tcPr>
            <w:tcW w:w="226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2700" w:type="dxa"/>
            <w:vAlign w:val="bottom"/>
            <w:shd w:val="clear" w:color="auto" w:fill="0061AF"/>
          </w:tcPr>
          <w:p>
            <w:pPr>
              <w:ind w:left="1300"/>
              <w:spacing w:after="0"/>
              <w:rPr>
                <w:sz w:val="20"/>
                <w:szCs w:val="20"/>
                <w:color w:val="auto"/>
              </w:rPr>
            </w:pPr>
            <w:r>
              <w:rPr>
                <w:rFonts w:ascii="Arial" w:cs="Arial" w:eastAsia="Arial" w:hAnsi="Arial"/>
                <w:sz w:val="13"/>
                <w:szCs w:val="13"/>
                <w:b w:val="1"/>
                <w:bCs w:val="1"/>
                <w:color w:val="FFFFFF"/>
              </w:rPr>
              <w:t>Plan Name</w:t>
            </w:r>
          </w:p>
        </w:tc>
        <w:tc>
          <w:tcPr>
            <w:tcW w:w="1600" w:type="dxa"/>
            <w:vAlign w:val="bottom"/>
            <w:shd w:val="clear" w:color="auto" w:fill="0061AF"/>
          </w:tcPr>
          <w:p>
            <w:pPr>
              <w:jc w:val="center"/>
              <w:ind w:left="177"/>
              <w:spacing w:after="0"/>
              <w:rPr>
                <w:sz w:val="20"/>
                <w:szCs w:val="20"/>
                <w:color w:val="auto"/>
              </w:rPr>
            </w:pPr>
            <w:r>
              <w:rPr>
                <w:rFonts w:ascii="Arial" w:cs="Arial" w:eastAsia="Arial" w:hAnsi="Arial"/>
                <w:sz w:val="13"/>
                <w:szCs w:val="13"/>
                <w:b w:val="1"/>
                <w:bCs w:val="1"/>
                <w:color w:val="FFFFFF"/>
              </w:rPr>
              <w:t>(#)</w:t>
            </w:r>
          </w:p>
        </w:tc>
        <w:tc>
          <w:tcPr>
            <w:tcW w:w="17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400" w:type="dxa"/>
            <w:vAlign w:val="bottom"/>
            <w:shd w:val="clear" w:color="auto" w:fill="0061AF"/>
          </w:tcPr>
          <w:p>
            <w:pPr>
              <w:jc w:val="right"/>
              <w:ind w:right="437"/>
              <w:spacing w:after="0"/>
              <w:rPr>
                <w:sz w:val="20"/>
                <w:szCs w:val="20"/>
                <w:color w:val="auto"/>
              </w:rPr>
            </w:pPr>
            <w:r>
              <w:rPr>
                <w:rFonts w:ascii="Arial" w:cs="Arial" w:eastAsia="Arial" w:hAnsi="Arial"/>
                <w:sz w:val="13"/>
                <w:szCs w:val="13"/>
                <w:b w:val="1"/>
                <w:bCs w:val="1"/>
                <w:color w:val="FFFFFF"/>
              </w:rPr>
              <w:t>($)</w:t>
            </w:r>
          </w:p>
        </w:tc>
      </w:tr>
      <w:tr>
        <w:trPr>
          <w:trHeight w:val="143"/>
        </w:trPr>
        <w:tc>
          <w:tcPr>
            <w:tcW w:w="2260" w:type="dxa"/>
            <w:vAlign w:val="bottom"/>
          </w:tcPr>
          <w:p>
            <w:pPr>
              <w:ind w:left="80"/>
              <w:spacing w:after="0" w:line="143" w:lineRule="exact"/>
              <w:rPr>
                <w:sz w:val="20"/>
                <w:szCs w:val="20"/>
                <w:color w:val="auto"/>
              </w:rPr>
            </w:pPr>
            <w:r>
              <w:rPr>
                <w:rFonts w:ascii="Arial" w:cs="Arial" w:eastAsia="Arial" w:hAnsi="Arial"/>
                <w:sz w:val="10"/>
                <w:szCs w:val="10"/>
                <w:b w:val="1"/>
                <w:bCs w:val="1"/>
                <w:i w:val="1"/>
                <w:iCs w:val="1"/>
                <w:color w:val="auto"/>
              </w:rPr>
              <w:t>Cash Balance Formula</w:t>
            </w:r>
            <w:r>
              <w:rPr>
                <w:rFonts w:ascii="Arial" w:cs="Arial" w:eastAsia="Arial" w:hAnsi="Arial"/>
                <w:sz w:val="16"/>
                <w:szCs w:val="16"/>
                <w:b w:val="1"/>
                <w:bCs w:val="1"/>
                <w:i w:val="1"/>
                <w:iCs w:val="1"/>
                <w:color w:val="auto"/>
                <w:vertAlign w:val="superscript"/>
              </w:rPr>
              <w:t>(1)</w:t>
            </w:r>
          </w:p>
        </w:tc>
        <w:tc>
          <w:tcPr>
            <w:tcW w:w="2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3"/>
        </w:trPr>
        <w:tc>
          <w:tcPr>
            <w:tcW w:w="22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Knight</w:t>
            </w:r>
          </w:p>
        </w:tc>
        <w:tc>
          <w:tcPr>
            <w:tcW w:w="2700" w:type="dxa"/>
            <w:vAlign w:val="bottom"/>
            <w:shd w:val="clear" w:color="auto" w:fill="D8E7F3"/>
          </w:tcPr>
          <w:p>
            <w:pPr>
              <w:ind w:left="440"/>
              <w:spacing w:after="0" w:line="143" w:lineRule="exact"/>
              <w:rPr>
                <w:sz w:val="20"/>
                <w:szCs w:val="20"/>
                <w:color w:val="auto"/>
              </w:rPr>
            </w:pPr>
            <w:r>
              <w:rPr>
                <w:rFonts w:ascii="Arial" w:cs="Arial" w:eastAsia="Arial" w:hAnsi="Arial"/>
                <w:sz w:val="13"/>
                <w:szCs w:val="13"/>
                <w:color w:val="auto"/>
              </w:rPr>
              <w:t>Retirement Plan</w:t>
            </w:r>
          </w:p>
        </w:tc>
        <w:tc>
          <w:tcPr>
            <w:tcW w:w="1600" w:type="dxa"/>
            <w:vAlign w:val="bottom"/>
            <w:shd w:val="clear" w:color="auto" w:fill="D8E7F3"/>
          </w:tcPr>
          <w:p>
            <w:pPr>
              <w:jc w:val="right"/>
              <w:ind w:right="477"/>
              <w:spacing w:after="0" w:line="143" w:lineRule="exact"/>
              <w:rPr>
                <w:sz w:val="20"/>
                <w:szCs w:val="20"/>
                <w:color w:val="auto"/>
              </w:rPr>
            </w:pPr>
            <w:r>
              <w:rPr>
                <w:rFonts w:ascii="Arial" w:cs="Arial" w:eastAsia="Arial" w:hAnsi="Arial"/>
                <w:sz w:val="13"/>
                <w:szCs w:val="13"/>
                <w:color w:val="auto"/>
              </w:rPr>
              <w:t>10.4</w:t>
            </w:r>
          </w:p>
        </w:tc>
        <w:tc>
          <w:tcPr>
            <w:tcW w:w="1760" w:type="dxa"/>
            <w:vAlign w:val="bottom"/>
            <w:shd w:val="clear" w:color="auto" w:fill="D8E7F3"/>
          </w:tcPr>
          <w:p>
            <w:pPr>
              <w:jc w:val="right"/>
              <w:ind w:right="537"/>
              <w:spacing w:after="0" w:line="143" w:lineRule="exact"/>
              <w:rPr>
                <w:sz w:val="20"/>
                <w:szCs w:val="20"/>
                <w:color w:val="auto"/>
              </w:rPr>
            </w:pPr>
            <w:r>
              <w:rPr>
                <w:rFonts w:ascii="Arial" w:cs="Arial" w:eastAsia="Arial" w:hAnsi="Arial"/>
                <w:sz w:val="13"/>
                <w:szCs w:val="13"/>
                <w:color w:val="auto"/>
              </w:rPr>
              <w:t>130,819</w:t>
            </w:r>
          </w:p>
        </w:tc>
        <w:tc>
          <w:tcPr>
            <w:tcW w:w="140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tcPr>
          <w:p>
            <w:pPr>
              <w:spacing w:after="0"/>
              <w:rPr>
                <w:sz w:val="12"/>
                <w:szCs w:val="12"/>
                <w:color w:val="auto"/>
              </w:rPr>
            </w:pPr>
          </w:p>
        </w:tc>
        <w:tc>
          <w:tcPr>
            <w:tcW w:w="2700" w:type="dxa"/>
            <w:vAlign w:val="bottom"/>
          </w:tcPr>
          <w:p>
            <w:pPr>
              <w:ind w:left="440"/>
              <w:spacing w:after="0" w:line="143" w:lineRule="exact"/>
              <w:rPr>
                <w:sz w:val="20"/>
                <w:szCs w:val="20"/>
                <w:color w:val="auto"/>
              </w:rPr>
            </w:pPr>
            <w:r>
              <w:rPr>
                <w:rFonts w:ascii="Arial" w:cs="Arial" w:eastAsia="Arial" w:hAnsi="Arial"/>
                <w:sz w:val="13"/>
                <w:szCs w:val="13"/>
                <w:color w:val="auto"/>
              </w:rPr>
              <w:t>CNP Benefit Restoration Plan</w:t>
            </w:r>
          </w:p>
        </w:tc>
        <w:tc>
          <w:tcPr>
            <w:tcW w:w="1600" w:type="dxa"/>
            <w:vAlign w:val="bottom"/>
          </w:tcPr>
          <w:p>
            <w:pPr>
              <w:jc w:val="right"/>
              <w:ind w:right="477"/>
              <w:spacing w:after="0" w:line="143" w:lineRule="exact"/>
              <w:rPr>
                <w:sz w:val="20"/>
                <w:szCs w:val="20"/>
                <w:color w:val="auto"/>
              </w:rPr>
            </w:pPr>
            <w:r>
              <w:rPr>
                <w:rFonts w:ascii="Arial" w:cs="Arial" w:eastAsia="Arial" w:hAnsi="Arial"/>
                <w:sz w:val="13"/>
                <w:szCs w:val="13"/>
                <w:color w:val="auto"/>
              </w:rPr>
              <w:t>10.4</w:t>
            </w:r>
          </w:p>
        </w:tc>
        <w:tc>
          <w:tcPr>
            <w:tcW w:w="1760" w:type="dxa"/>
            <w:vAlign w:val="bottom"/>
          </w:tcPr>
          <w:p>
            <w:pPr>
              <w:jc w:val="right"/>
              <w:ind w:right="537"/>
              <w:spacing w:after="0" w:line="143"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Prochazka</w:t>
            </w:r>
          </w:p>
        </w:tc>
        <w:tc>
          <w:tcPr>
            <w:tcW w:w="2700" w:type="dxa"/>
            <w:vAlign w:val="bottom"/>
            <w:shd w:val="clear" w:color="auto" w:fill="D8E7F3"/>
          </w:tcPr>
          <w:p>
            <w:pPr>
              <w:ind w:left="440"/>
              <w:spacing w:after="0" w:line="143" w:lineRule="exact"/>
              <w:rPr>
                <w:sz w:val="20"/>
                <w:szCs w:val="20"/>
                <w:color w:val="auto"/>
              </w:rPr>
            </w:pPr>
            <w:r>
              <w:rPr>
                <w:rFonts w:ascii="Arial" w:cs="Arial" w:eastAsia="Arial" w:hAnsi="Arial"/>
                <w:sz w:val="13"/>
                <w:szCs w:val="13"/>
                <w:color w:val="auto"/>
              </w:rPr>
              <w:t>Retirement Plan</w:t>
            </w:r>
          </w:p>
        </w:tc>
        <w:tc>
          <w:tcPr>
            <w:tcW w:w="1600" w:type="dxa"/>
            <w:vAlign w:val="bottom"/>
            <w:shd w:val="clear" w:color="auto" w:fill="D8E7F3"/>
          </w:tcPr>
          <w:p>
            <w:pPr>
              <w:jc w:val="right"/>
              <w:ind w:right="477"/>
              <w:spacing w:after="0" w:line="143" w:lineRule="exact"/>
              <w:rPr>
                <w:sz w:val="20"/>
                <w:szCs w:val="20"/>
                <w:color w:val="auto"/>
              </w:rPr>
            </w:pPr>
            <w:r>
              <w:rPr>
                <w:rFonts w:ascii="Arial" w:cs="Arial" w:eastAsia="Arial" w:hAnsi="Arial"/>
                <w:sz w:val="13"/>
                <w:szCs w:val="13"/>
                <w:color w:val="auto"/>
              </w:rPr>
              <w:t>—</w:t>
            </w:r>
          </w:p>
        </w:tc>
        <w:tc>
          <w:tcPr>
            <w:tcW w:w="1760" w:type="dxa"/>
            <w:vAlign w:val="bottom"/>
            <w:shd w:val="clear" w:color="auto" w:fill="D8E7F3"/>
          </w:tcPr>
          <w:p>
            <w:pPr>
              <w:jc w:val="right"/>
              <w:ind w:right="537"/>
              <w:spacing w:after="0" w:line="143" w:lineRule="exact"/>
              <w:rPr>
                <w:sz w:val="20"/>
                <w:szCs w:val="20"/>
                <w:color w:val="auto"/>
              </w:rPr>
            </w:pPr>
            <w:r>
              <w:rPr>
                <w:rFonts w:ascii="Arial" w:cs="Arial" w:eastAsia="Arial" w:hAnsi="Arial"/>
                <w:sz w:val="13"/>
                <w:szCs w:val="13"/>
                <w:color w:val="auto"/>
              </w:rPr>
              <w:t>—</w:t>
            </w:r>
          </w:p>
        </w:tc>
        <w:tc>
          <w:tcPr>
            <w:tcW w:w="140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283,055</w:t>
            </w:r>
          </w:p>
        </w:tc>
      </w:tr>
      <w:tr>
        <w:trPr>
          <w:trHeight w:val="143"/>
        </w:trPr>
        <w:tc>
          <w:tcPr>
            <w:tcW w:w="2260" w:type="dxa"/>
            <w:vAlign w:val="bottom"/>
          </w:tcPr>
          <w:p>
            <w:pPr>
              <w:spacing w:after="0"/>
              <w:rPr>
                <w:sz w:val="12"/>
                <w:szCs w:val="12"/>
                <w:color w:val="auto"/>
              </w:rPr>
            </w:pPr>
          </w:p>
        </w:tc>
        <w:tc>
          <w:tcPr>
            <w:tcW w:w="2700" w:type="dxa"/>
            <w:vAlign w:val="bottom"/>
          </w:tcPr>
          <w:p>
            <w:pPr>
              <w:ind w:left="440"/>
              <w:spacing w:after="0" w:line="143" w:lineRule="exact"/>
              <w:rPr>
                <w:sz w:val="20"/>
                <w:szCs w:val="20"/>
                <w:color w:val="auto"/>
              </w:rPr>
            </w:pPr>
            <w:r>
              <w:rPr>
                <w:rFonts w:ascii="Arial" w:cs="Arial" w:eastAsia="Arial" w:hAnsi="Arial"/>
                <w:sz w:val="13"/>
                <w:szCs w:val="13"/>
                <w:color w:val="auto"/>
              </w:rPr>
              <w:t>CNP Benefit Restoration Plan</w:t>
            </w:r>
          </w:p>
        </w:tc>
        <w:tc>
          <w:tcPr>
            <w:tcW w:w="1600" w:type="dxa"/>
            <w:vAlign w:val="bottom"/>
          </w:tcPr>
          <w:p>
            <w:pPr>
              <w:jc w:val="right"/>
              <w:ind w:right="477"/>
              <w:spacing w:after="0" w:line="143" w:lineRule="exact"/>
              <w:rPr>
                <w:sz w:val="20"/>
                <w:szCs w:val="20"/>
                <w:color w:val="auto"/>
              </w:rPr>
            </w:pPr>
            <w:r>
              <w:rPr>
                <w:rFonts w:ascii="Arial" w:cs="Arial" w:eastAsia="Arial" w:hAnsi="Arial"/>
                <w:sz w:val="13"/>
                <w:szCs w:val="13"/>
                <w:color w:val="auto"/>
              </w:rPr>
              <w:t>—</w:t>
            </w:r>
          </w:p>
        </w:tc>
        <w:tc>
          <w:tcPr>
            <w:tcW w:w="1760" w:type="dxa"/>
            <w:vAlign w:val="bottom"/>
          </w:tcPr>
          <w:p>
            <w:pPr>
              <w:jc w:val="right"/>
              <w:ind w:right="537"/>
              <w:spacing w:after="0" w:line="143"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762,550</w:t>
            </w:r>
          </w:p>
        </w:tc>
      </w:tr>
      <w:tr>
        <w:trPr>
          <w:trHeight w:val="143"/>
        </w:trPr>
        <w:tc>
          <w:tcPr>
            <w:tcW w:w="22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Liu</w:t>
            </w:r>
          </w:p>
        </w:tc>
        <w:tc>
          <w:tcPr>
            <w:tcW w:w="2700" w:type="dxa"/>
            <w:vAlign w:val="bottom"/>
            <w:shd w:val="clear" w:color="auto" w:fill="D8E7F3"/>
          </w:tcPr>
          <w:p>
            <w:pPr>
              <w:ind w:left="440"/>
              <w:spacing w:after="0" w:line="143" w:lineRule="exact"/>
              <w:rPr>
                <w:sz w:val="20"/>
                <w:szCs w:val="20"/>
                <w:color w:val="auto"/>
              </w:rPr>
            </w:pPr>
            <w:r>
              <w:rPr>
                <w:rFonts w:ascii="Arial" w:cs="Arial" w:eastAsia="Arial" w:hAnsi="Arial"/>
                <w:sz w:val="13"/>
                <w:szCs w:val="13"/>
                <w:color w:val="auto"/>
              </w:rPr>
              <w:t>Retirement Plan</w:t>
            </w:r>
          </w:p>
        </w:tc>
        <w:tc>
          <w:tcPr>
            <w:tcW w:w="1600" w:type="dxa"/>
            <w:vAlign w:val="bottom"/>
            <w:shd w:val="clear" w:color="auto" w:fill="D8E7F3"/>
          </w:tcPr>
          <w:p>
            <w:pPr>
              <w:jc w:val="right"/>
              <w:ind w:right="477"/>
              <w:spacing w:after="0" w:line="143" w:lineRule="exact"/>
              <w:rPr>
                <w:sz w:val="20"/>
                <w:szCs w:val="20"/>
                <w:color w:val="auto"/>
              </w:rPr>
            </w:pPr>
            <w:r>
              <w:rPr>
                <w:rFonts w:ascii="Arial" w:cs="Arial" w:eastAsia="Arial" w:hAnsi="Arial"/>
                <w:sz w:val="13"/>
                <w:szCs w:val="13"/>
                <w:color w:val="auto"/>
              </w:rPr>
              <w:t>—</w:t>
            </w:r>
          </w:p>
        </w:tc>
        <w:tc>
          <w:tcPr>
            <w:tcW w:w="1760" w:type="dxa"/>
            <w:vAlign w:val="bottom"/>
            <w:shd w:val="clear" w:color="auto" w:fill="D8E7F3"/>
          </w:tcPr>
          <w:p>
            <w:pPr>
              <w:jc w:val="right"/>
              <w:ind w:right="537"/>
              <w:spacing w:after="0" w:line="143" w:lineRule="exact"/>
              <w:rPr>
                <w:sz w:val="20"/>
                <w:szCs w:val="20"/>
                <w:color w:val="auto"/>
              </w:rPr>
            </w:pPr>
            <w:r>
              <w:rPr>
                <w:rFonts w:ascii="Arial" w:cs="Arial" w:eastAsia="Arial" w:hAnsi="Arial"/>
                <w:sz w:val="13"/>
                <w:szCs w:val="13"/>
                <w:color w:val="auto"/>
              </w:rPr>
              <w:t>—</w:t>
            </w:r>
          </w:p>
        </w:tc>
        <w:tc>
          <w:tcPr>
            <w:tcW w:w="140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tcPr>
          <w:p>
            <w:pPr>
              <w:spacing w:after="0"/>
              <w:rPr>
                <w:sz w:val="12"/>
                <w:szCs w:val="12"/>
                <w:color w:val="auto"/>
              </w:rPr>
            </w:pPr>
          </w:p>
        </w:tc>
        <w:tc>
          <w:tcPr>
            <w:tcW w:w="2700" w:type="dxa"/>
            <w:vAlign w:val="bottom"/>
          </w:tcPr>
          <w:p>
            <w:pPr>
              <w:ind w:left="440"/>
              <w:spacing w:after="0" w:line="143" w:lineRule="exact"/>
              <w:rPr>
                <w:sz w:val="20"/>
                <w:szCs w:val="20"/>
                <w:color w:val="auto"/>
              </w:rPr>
            </w:pPr>
            <w:r>
              <w:rPr>
                <w:rFonts w:ascii="Arial" w:cs="Arial" w:eastAsia="Arial" w:hAnsi="Arial"/>
                <w:sz w:val="13"/>
                <w:szCs w:val="13"/>
                <w:color w:val="auto"/>
              </w:rPr>
              <w:t>CNP Benefit Restoration Plan</w:t>
            </w:r>
          </w:p>
        </w:tc>
        <w:tc>
          <w:tcPr>
            <w:tcW w:w="1600" w:type="dxa"/>
            <w:vAlign w:val="bottom"/>
          </w:tcPr>
          <w:p>
            <w:pPr>
              <w:jc w:val="right"/>
              <w:ind w:right="477"/>
              <w:spacing w:after="0" w:line="143" w:lineRule="exact"/>
              <w:rPr>
                <w:sz w:val="20"/>
                <w:szCs w:val="20"/>
                <w:color w:val="auto"/>
              </w:rPr>
            </w:pPr>
            <w:r>
              <w:rPr>
                <w:rFonts w:ascii="Arial" w:cs="Arial" w:eastAsia="Arial" w:hAnsi="Arial"/>
                <w:sz w:val="13"/>
                <w:szCs w:val="13"/>
                <w:color w:val="auto"/>
              </w:rPr>
              <w:t>—</w:t>
            </w:r>
          </w:p>
        </w:tc>
        <w:tc>
          <w:tcPr>
            <w:tcW w:w="1760" w:type="dxa"/>
            <w:vAlign w:val="bottom"/>
          </w:tcPr>
          <w:p>
            <w:pPr>
              <w:jc w:val="right"/>
              <w:ind w:right="537"/>
              <w:spacing w:after="0" w:line="143"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b w:val="1"/>
                <w:bCs w:val="1"/>
                <w:i w:val="1"/>
                <w:iCs w:val="1"/>
                <w:color w:val="auto"/>
              </w:rPr>
              <w:t>Final Average Pay Formula</w:t>
            </w:r>
            <w:r>
              <w:rPr>
                <w:rFonts w:ascii="Arial" w:cs="Arial" w:eastAsia="Arial" w:hAnsi="Arial"/>
                <w:sz w:val="16"/>
                <w:szCs w:val="16"/>
                <w:b w:val="1"/>
                <w:bCs w:val="1"/>
                <w:i w:val="1"/>
                <w:iCs w:val="1"/>
                <w:color w:val="auto"/>
                <w:vertAlign w:val="superscript"/>
              </w:rPr>
              <w:t>(2)</w:t>
            </w:r>
          </w:p>
        </w:tc>
        <w:tc>
          <w:tcPr>
            <w:tcW w:w="2700" w:type="dxa"/>
            <w:vAlign w:val="bottom"/>
            <w:shd w:val="clear" w:color="auto" w:fill="D8E7F3"/>
          </w:tcPr>
          <w:p>
            <w:pPr>
              <w:spacing w:after="0"/>
              <w:rPr>
                <w:sz w:val="12"/>
                <w:szCs w:val="12"/>
                <w:color w:val="auto"/>
              </w:rPr>
            </w:pPr>
          </w:p>
        </w:tc>
        <w:tc>
          <w:tcPr>
            <w:tcW w:w="1600" w:type="dxa"/>
            <w:vAlign w:val="bottom"/>
            <w:shd w:val="clear" w:color="auto" w:fill="D8E7F3"/>
          </w:tcPr>
          <w:p>
            <w:pPr>
              <w:spacing w:after="0"/>
              <w:rPr>
                <w:sz w:val="12"/>
                <w:szCs w:val="12"/>
                <w:color w:val="auto"/>
              </w:rPr>
            </w:pPr>
          </w:p>
        </w:tc>
        <w:tc>
          <w:tcPr>
            <w:tcW w:w="1760" w:type="dxa"/>
            <w:vAlign w:val="bottom"/>
            <w:shd w:val="clear" w:color="auto" w:fill="D8E7F3"/>
          </w:tcPr>
          <w:p>
            <w:pPr>
              <w:spacing w:after="0"/>
              <w:rPr>
                <w:sz w:val="12"/>
                <w:szCs w:val="12"/>
                <w:color w:val="auto"/>
              </w:rPr>
            </w:pPr>
          </w:p>
        </w:tc>
        <w:tc>
          <w:tcPr>
            <w:tcW w:w="1400" w:type="dxa"/>
            <w:vAlign w:val="bottom"/>
            <w:shd w:val="clear" w:color="auto" w:fill="D8E7F3"/>
          </w:tcPr>
          <w:p>
            <w:pPr>
              <w:spacing w:after="0"/>
              <w:rPr>
                <w:sz w:val="12"/>
                <w:szCs w:val="12"/>
                <w:color w:val="auto"/>
              </w:rPr>
            </w:pPr>
          </w:p>
        </w:tc>
      </w:tr>
      <w:tr>
        <w:trPr>
          <w:trHeight w:val="143"/>
        </w:trPr>
        <w:tc>
          <w:tcPr>
            <w:tcW w:w="2260" w:type="dxa"/>
            <w:vAlign w:val="bottom"/>
          </w:tcPr>
          <w:p>
            <w:pPr>
              <w:ind w:left="80"/>
              <w:spacing w:after="0" w:line="143" w:lineRule="exact"/>
              <w:rPr>
                <w:sz w:val="20"/>
                <w:szCs w:val="20"/>
                <w:color w:val="auto"/>
              </w:rPr>
            </w:pPr>
            <w:r>
              <w:rPr>
                <w:rFonts w:ascii="Arial" w:cs="Arial" w:eastAsia="Arial" w:hAnsi="Arial"/>
                <w:sz w:val="13"/>
                <w:szCs w:val="13"/>
                <w:color w:val="auto"/>
              </w:rPr>
              <w:t>Colvin</w:t>
            </w:r>
          </w:p>
        </w:tc>
        <w:tc>
          <w:tcPr>
            <w:tcW w:w="2700" w:type="dxa"/>
            <w:vAlign w:val="bottom"/>
          </w:tcPr>
          <w:p>
            <w:pPr>
              <w:ind w:left="440"/>
              <w:spacing w:after="0" w:line="143" w:lineRule="exact"/>
              <w:rPr>
                <w:sz w:val="20"/>
                <w:szCs w:val="20"/>
                <w:color w:val="auto"/>
              </w:rPr>
            </w:pPr>
            <w:r>
              <w:rPr>
                <w:rFonts w:ascii="Arial" w:cs="Arial" w:eastAsia="Arial" w:hAnsi="Arial"/>
                <w:sz w:val="13"/>
                <w:szCs w:val="13"/>
                <w:color w:val="auto"/>
              </w:rPr>
              <w:t>Retirement Plan</w:t>
            </w:r>
          </w:p>
        </w:tc>
        <w:tc>
          <w:tcPr>
            <w:tcW w:w="1600" w:type="dxa"/>
            <w:vAlign w:val="bottom"/>
          </w:tcPr>
          <w:p>
            <w:pPr>
              <w:jc w:val="right"/>
              <w:ind w:right="477"/>
              <w:spacing w:after="0" w:line="143" w:lineRule="exact"/>
              <w:rPr>
                <w:sz w:val="20"/>
                <w:szCs w:val="20"/>
                <w:color w:val="auto"/>
              </w:rPr>
            </w:pPr>
            <w:r>
              <w:rPr>
                <w:rFonts w:ascii="Arial" w:cs="Arial" w:eastAsia="Arial" w:hAnsi="Arial"/>
                <w:sz w:val="13"/>
                <w:szCs w:val="13"/>
                <w:color w:val="auto"/>
              </w:rPr>
              <w:t>31.5</w:t>
            </w:r>
          </w:p>
        </w:tc>
        <w:tc>
          <w:tcPr>
            <w:tcW w:w="1760" w:type="dxa"/>
            <w:vAlign w:val="bottom"/>
          </w:tcPr>
          <w:p>
            <w:pPr>
              <w:jc w:val="right"/>
              <w:ind w:right="537"/>
              <w:spacing w:after="0" w:line="143" w:lineRule="exact"/>
              <w:rPr>
                <w:sz w:val="20"/>
                <w:szCs w:val="20"/>
                <w:color w:val="auto"/>
              </w:rPr>
            </w:pPr>
            <w:r>
              <w:rPr>
                <w:rFonts w:ascii="Arial" w:cs="Arial" w:eastAsia="Arial" w:hAnsi="Arial"/>
                <w:sz w:val="13"/>
                <w:szCs w:val="13"/>
                <w:color w:val="auto"/>
              </w:rPr>
              <w:t>1,134,822</w:t>
            </w:r>
          </w:p>
        </w:tc>
        <w:tc>
          <w:tcPr>
            <w:tcW w:w="140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shd w:val="clear" w:color="auto" w:fill="D8E7F3"/>
          </w:tcPr>
          <w:p>
            <w:pPr>
              <w:spacing w:after="0"/>
              <w:rPr>
                <w:sz w:val="12"/>
                <w:szCs w:val="12"/>
                <w:color w:val="auto"/>
              </w:rPr>
            </w:pPr>
          </w:p>
        </w:tc>
        <w:tc>
          <w:tcPr>
            <w:tcW w:w="2700" w:type="dxa"/>
            <w:vAlign w:val="bottom"/>
            <w:shd w:val="clear" w:color="auto" w:fill="D8E7F3"/>
          </w:tcPr>
          <w:p>
            <w:pPr>
              <w:ind w:left="440"/>
              <w:spacing w:after="0" w:line="143" w:lineRule="exact"/>
              <w:rPr>
                <w:sz w:val="20"/>
                <w:szCs w:val="20"/>
                <w:color w:val="auto"/>
              </w:rPr>
            </w:pPr>
            <w:r>
              <w:rPr>
                <w:rFonts w:ascii="Arial" w:cs="Arial" w:eastAsia="Arial" w:hAnsi="Arial"/>
                <w:sz w:val="13"/>
                <w:szCs w:val="13"/>
                <w:color w:val="auto"/>
              </w:rPr>
              <w:t>CNP Benefit Restoration Plan</w:t>
            </w:r>
          </w:p>
        </w:tc>
        <w:tc>
          <w:tcPr>
            <w:tcW w:w="1600" w:type="dxa"/>
            <w:vAlign w:val="bottom"/>
            <w:shd w:val="clear" w:color="auto" w:fill="D8E7F3"/>
          </w:tcPr>
          <w:p>
            <w:pPr>
              <w:jc w:val="right"/>
              <w:ind w:right="477"/>
              <w:spacing w:after="0" w:line="143" w:lineRule="exact"/>
              <w:rPr>
                <w:sz w:val="20"/>
                <w:szCs w:val="20"/>
                <w:color w:val="auto"/>
              </w:rPr>
            </w:pPr>
            <w:r>
              <w:rPr>
                <w:rFonts w:ascii="Arial" w:cs="Arial" w:eastAsia="Arial" w:hAnsi="Arial"/>
                <w:sz w:val="13"/>
                <w:szCs w:val="13"/>
                <w:color w:val="auto"/>
              </w:rPr>
              <w:t>31.5</w:t>
            </w:r>
          </w:p>
        </w:tc>
        <w:tc>
          <w:tcPr>
            <w:tcW w:w="1760" w:type="dxa"/>
            <w:vAlign w:val="bottom"/>
            <w:shd w:val="clear" w:color="auto" w:fill="D8E7F3"/>
          </w:tcPr>
          <w:p>
            <w:pPr>
              <w:jc w:val="right"/>
              <w:ind w:right="537"/>
              <w:spacing w:after="0" w:line="143" w:lineRule="exact"/>
              <w:rPr>
                <w:sz w:val="20"/>
                <w:szCs w:val="20"/>
                <w:color w:val="auto"/>
              </w:rPr>
            </w:pPr>
            <w:r>
              <w:rPr>
                <w:rFonts w:ascii="Arial" w:cs="Arial" w:eastAsia="Arial" w:hAnsi="Arial"/>
                <w:sz w:val="13"/>
                <w:szCs w:val="13"/>
                <w:color w:val="auto"/>
              </w:rPr>
              <w:t>114,318</w:t>
            </w:r>
          </w:p>
        </w:tc>
        <w:tc>
          <w:tcPr>
            <w:tcW w:w="140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tcPr>
          <w:p>
            <w:pPr>
              <w:ind w:left="80"/>
              <w:spacing w:after="0" w:line="143" w:lineRule="exact"/>
              <w:rPr>
                <w:sz w:val="20"/>
                <w:szCs w:val="20"/>
                <w:color w:val="auto"/>
              </w:rPr>
            </w:pPr>
            <w:r>
              <w:rPr>
                <w:rFonts w:ascii="Arial" w:cs="Arial" w:eastAsia="Arial" w:hAnsi="Arial"/>
                <w:sz w:val="13"/>
                <w:szCs w:val="13"/>
                <w:color w:val="auto"/>
              </w:rPr>
              <w:t>Doyle</w:t>
            </w:r>
          </w:p>
        </w:tc>
        <w:tc>
          <w:tcPr>
            <w:tcW w:w="2700" w:type="dxa"/>
            <w:vAlign w:val="bottom"/>
          </w:tcPr>
          <w:p>
            <w:pPr>
              <w:ind w:left="440"/>
              <w:spacing w:after="0" w:line="143" w:lineRule="exact"/>
              <w:rPr>
                <w:sz w:val="20"/>
                <w:szCs w:val="20"/>
                <w:color w:val="auto"/>
              </w:rPr>
            </w:pPr>
            <w:r>
              <w:rPr>
                <w:rFonts w:ascii="Arial" w:cs="Arial" w:eastAsia="Arial" w:hAnsi="Arial"/>
                <w:sz w:val="13"/>
                <w:szCs w:val="13"/>
                <w:color w:val="auto"/>
              </w:rPr>
              <w:t>Retirement Plan</w:t>
            </w:r>
          </w:p>
        </w:tc>
        <w:tc>
          <w:tcPr>
            <w:tcW w:w="1600" w:type="dxa"/>
            <w:vAlign w:val="bottom"/>
          </w:tcPr>
          <w:p>
            <w:pPr>
              <w:jc w:val="right"/>
              <w:ind w:right="477"/>
              <w:spacing w:after="0" w:line="143" w:lineRule="exact"/>
              <w:rPr>
                <w:sz w:val="20"/>
                <w:szCs w:val="20"/>
                <w:color w:val="auto"/>
              </w:rPr>
            </w:pPr>
            <w:r>
              <w:rPr>
                <w:rFonts w:ascii="Arial" w:cs="Arial" w:eastAsia="Arial" w:hAnsi="Arial"/>
                <w:sz w:val="13"/>
                <w:szCs w:val="13"/>
                <w:color w:val="auto"/>
              </w:rPr>
              <w:t>25.9</w:t>
            </w:r>
          </w:p>
        </w:tc>
        <w:tc>
          <w:tcPr>
            <w:tcW w:w="1760" w:type="dxa"/>
            <w:vAlign w:val="bottom"/>
          </w:tcPr>
          <w:p>
            <w:pPr>
              <w:jc w:val="right"/>
              <w:ind w:right="537"/>
              <w:spacing w:after="0" w:line="143" w:lineRule="exact"/>
              <w:rPr>
                <w:sz w:val="20"/>
                <w:szCs w:val="20"/>
                <w:color w:val="auto"/>
              </w:rPr>
            </w:pPr>
            <w:r>
              <w:rPr>
                <w:rFonts w:ascii="Arial" w:cs="Arial" w:eastAsia="Arial" w:hAnsi="Arial"/>
                <w:sz w:val="13"/>
                <w:szCs w:val="13"/>
                <w:color w:val="auto"/>
              </w:rPr>
              <w:t>504,956</w:t>
            </w:r>
          </w:p>
        </w:tc>
        <w:tc>
          <w:tcPr>
            <w:tcW w:w="140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shd w:val="clear" w:color="auto" w:fill="D8E7F3"/>
          </w:tcPr>
          <w:p>
            <w:pPr>
              <w:spacing w:after="0"/>
              <w:rPr>
                <w:sz w:val="12"/>
                <w:szCs w:val="12"/>
                <w:color w:val="auto"/>
              </w:rPr>
            </w:pPr>
          </w:p>
        </w:tc>
        <w:tc>
          <w:tcPr>
            <w:tcW w:w="2700" w:type="dxa"/>
            <w:vAlign w:val="bottom"/>
            <w:shd w:val="clear" w:color="auto" w:fill="D8E7F3"/>
          </w:tcPr>
          <w:p>
            <w:pPr>
              <w:ind w:left="440"/>
              <w:spacing w:after="0" w:line="143" w:lineRule="exact"/>
              <w:rPr>
                <w:sz w:val="20"/>
                <w:szCs w:val="20"/>
                <w:color w:val="auto"/>
              </w:rPr>
            </w:pPr>
            <w:r>
              <w:rPr>
                <w:rFonts w:ascii="Arial" w:cs="Arial" w:eastAsia="Arial" w:hAnsi="Arial"/>
                <w:sz w:val="13"/>
                <w:szCs w:val="13"/>
                <w:color w:val="auto"/>
              </w:rPr>
              <w:t>CNP Benefit Restoration Plan</w:t>
            </w:r>
          </w:p>
        </w:tc>
        <w:tc>
          <w:tcPr>
            <w:tcW w:w="1600" w:type="dxa"/>
            <w:vAlign w:val="bottom"/>
            <w:shd w:val="clear" w:color="auto" w:fill="D8E7F3"/>
          </w:tcPr>
          <w:p>
            <w:pPr>
              <w:jc w:val="right"/>
              <w:ind w:right="477"/>
              <w:spacing w:after="0" w:line="143" w:lineRule="exact"/>
              <w:rPr>
                <w:sz w:val="20"/>
                <w:szCs w:val="20"/>
                <w:color w:val="auto"/>
              </w:rPr>
            </w:pPr>
            <w:r>
              <w:rPr>
                <w:rFonts w:ascii="Arial" w:cs="Arial" w:eastAsia="Arial" w:hAnsi="Arial"/>
                <w:sz w:val="13"/>
                <w:szCs w:val="13"/>
                <w:color w:val="auto"/>
              </w:rPr>
              <w:t>25.9</w:t>
            </w:r>
          </w:p>
        </w:tc>
        <w:tc>
          <w:tcPr>
            <w:tcW w:w="1760" w:type="dxa"/>
            <w:vAlign w:val="bottom"/>
            <w:shd w:val="clear" w:color="auto" w:fill="D8E7F3"/>
          </w:tcPr>
          <w:p>
            <w:pPr>
              <w:jc w:val="right"/>
              <w:ind w:right="537"/>
              <w:spacing w:after="0" w:line="143" w:lineRule="exact"/>
              <w:rPr>
                <w:sz w:val="20"/>
                <w:szCs w:val="20"/>
                <w:color w:val="auto"/>
              </w:rPr>
            </w:pPr>
            <w:r>
              <w:rPr>
                <w:rFonts w:ascii="Arial" w:cs="Arial" w:eastAsia="Arial" w:hAnsi="Arial"/>
                <w:sz w:val="13"/>
                <w:szCs w:val="13"/>
                <w:color w:val="auto"/>
              </w:rPr>
              <w:t>108,624</w:t>
            </w:r>
          </w:p>
        </w:tc>
        <w:tc>
          <w:tcPr>
            <w:tcW w:w="140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tcPr>
          <w:p>
            <w:pPr>
              <w:ind w:left="80"/>
              <w:spacing w:after="0" w:line="143" w:lineRule="exact"/>
              <w:rPr>
                <w:sz w:val="20"/>
                <w:szCs w:val="20"/>
                <w:color w:val="auto"/>
              </w:rPr>
            </w:pPr>
            <w:r>
              <w:rPr>
                <w:rFonts w:ascii="Arial" w:cs="Arial" w:eastAsia="Arial" w:hAnsi="Arial"/>
                <w:sz w:val="13"/>
                <w:szCs w:val="13"/>
                <w:color w:val="auto"/>
              </w:rPr>
              <w:t>Vortherms</w:t>
            </w:r>
          </w:p>
        </w:tc>
        <w:tc>
          <w:tcPr>
            <w:tcW w:w="2700" w:type="dxa"/>
            <w:vAlign w:val="bottom"/>
          </w:tcPr>
          <w:p>
            <w:pPr>
              <w:ind w:left="440"/>
              <w:spacing w:after="0" w:line="143" w:lineRule="exact"/>
              <w:rPr>
                <w:sz w:val="20"/>
                <w:szCs w:val="20"/>
                <w:color w:val="auto"/>
              </w:rPr>
            </w:pPr>
            <w:r>
              <w:rPr>
                <w:rFonts w:ascii="Arial" w:cs="Arial" w:eastAsia="Arial" w:hAnsi="Arial"/>
                <w:sz w:val="13"/>
                <w:szCs w:val="13"/>
                <w:color w:val="auto"/>
              </w:rPr>
              <w:t>Retirement Plan</w:t>
            </w:r>
          </w:p>
        </w:tc>
        <w:tc>
          <w:tcPr>
            <w:tcW w:w="1600" w:type="dxa"/>
            <w:vAlign w:val="bottom"/>
          </w:tcPr>
          <w:p>
            <w:pPr>
              <w:jc w:val="right"/>
              <w:ind w:right="477"/>
              <w:spacing w:after="0" w:line="143" w:lineRule="exact"/>
              <w:rPr>
                <w:sz w:val="20"/>
                <w:szCs w:val="20"/>
                <w:color w:val="auto"/>
              </w:rPr>
            </w:pPr>
            <w:r>
              <w:rPr>
                <w:rFonts w:ascii="Arial" w:cs="Arial" w:eastAsia="Arial" w:hAnsi="Arial"/>
                <w:sz w:val="13"/>
                <w:szCs w:val="13"/>
                <w:color w:val="auto"/>
              </w:rPr>
              <w:t>35.5</w:t>
            </w:r>
          </w:p>
        </w:tc>
        <w:tc>
          <w:tcPr>
            <w:tcW w:w="1760" w:type="dxa"/>
            <w:vAlign w:val="bottom"/>
          </w:tcPr>
          <w:p>
            <w:pPr>
              <w:jc w:val="right"/>
              <w:ind w:right="537"/>
              <w:spacing w:after="0" w:line="143" w:lineRule="exact"/>
              <w:rPr>
                <w:sz w:val="20"/>
                <w:szCs w:val="20"/>
                <w:color w:val="auto"/>
              </w:rPr>
            </w:pPr>
            <w:r>
              <w:rPr>
                <w:rFonts w:ascii="Arial" w:cs="Arial" w:eastAsia="Arial" w:hAnsi="Arial"/>
                <w:sz w:val="13"/>
                <w:szCs w:val="13"/>
                <w:color w:val="auto"/>
              </w:rPr>
              <w:t>636,215</w:t>
            </w:r>
          </w:p>
        </w:tc>
        <w:tc>
          <w:tcPr>
            <w:tcW w:w="140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r>
      <w:tr>
        <w:trPr>
          <w:trHeight w:val="143"/>
        </w:trPr>
        <w:tc>
          <w:tcPr>
            <w:tcW w:w="2260" w:type="dxa"/>
            <w:vAlign w:val="bottom"/>
            <w:shd w:val="clear" w:color="auto" w:fill="D8E7F3"/>
          </w:tcPr>
          <w:p>
            <w:pPr>
              <w:spacing w:after="0"/>
              <w:rPr>
                <w:sz w:val="12"/>
                <w:szCs w:val="12"/>
                <w:color w:val="auto"/>
              </w:rPr>
            </w:pPr>
          </w:p>
        </w:tc>
        <w:tc>
          <w:tcPr>
            <w:tcW w:w="2700" w:type="dxa"/>
            <w:vAlign w:val="bottom"/>
            <w:shd w:val="clear" w:color="auto" w:fill="D8E7F3"/>
          </w:tcPr>
          <w:p>
            <w:pPr>
              <w:ind w:left="440"/>
              <w:spacing w:after="0" w:line="143" w:lineRule="exact"/>
              <w:rPr>
                <w:sz w:val="20"/>
                <w:szCs w:val="20"/>
                <w:color w:val="auto"/>
              </w:rPr>
            </w:pPr>
            <w:r>
              <w:rPr>
                <w:rFonts w:ascii="Arial" w:cs="Arial" w:eastAsia="Arial" w:hAnsi="Arial"/>
                <w:sz w:val="13"/>
                <w:szCs w:val="13"/>
                <w:color w:val="auto"/>
              </w:rPr>
              <w:t>CNP Benefit Restoration Plan</w:t>
            </w:r>
          </w:p>
        </w:tc>
        <w:tc>
          <w:tcPr>
            <w:tcW w:w="1600" w:type="dxa"/>
            <w:vAlign w:val="bottom"/>
            <w:shd w:val="clear" w:color="auto" w:fill="D8E7F3"/>
          </w:tcPr>
          <w:p>
            <w:pPr>
              <w:jc w:val="right"/>
              <w:ind w:right="477"/>
              <w:spacing w:after="0" w:line="143" w:lineRule="exact"/>
              <w:rPr>
                <w:sz w:val="20"/>
                <w:szCs w:val="20"/>
                <w:color w:val="auto"/>
              </w:rPr>
            </w:pPr>
            <w:r>
              <w:rPr>
                <w:rFonts w:ascii="Arial" w:cs="Arial" w:eastAsia="Arial" w:hAnsi="Arial"/>
                <w:sz w:val="13"/>
                <w:szCs w:val="13"/>
                <w:color w:val="auto"/>
              </w:rPr>
              <w:t>35.5</w:t>
            </w:r>
          </w:p>
        </w:tc>
        <w:tc>
          <w:tcPr>
            <w:tcW w:w="1760" w:type="dxa"/>
            <w:vAlign w:val="bottom"/>
            <w:shd w:val="clear" w:color="auto" w:fill="D8E7F3"/>
          </w:tcPr>
          <w:p>
            <w:pPr>
              <w:jc w:val="right"/>
              <w:ind w:right="537"/>
              <w:spacing w:after="0" w:line="143" w:lineRule="exact"/>
              <w:rPr>
                <w:sz w:val="20"/>
                <w:szCs w:val="20"/>
                <w:color w:val="auto"/>
              </w:rPr>
            </w:pPr>
            <w:r>
              <w:rPr>
                <w:rFonts w:ascii="Arial" w:cs="Arial" w:eastAsia="Arial" w:hAnsi="Arial"/>
                <w:sz w:val="13"/>
                <w:szCs w:val="13"/>
                <w:color w:val="auto"/>
              </w:rPr>
              <w:t>70,119</w:t>
            </w:r>
          </w:p>
        </w:tc>
        <w:tc>
          <w:tcPr>
            <w:tcW w:w="140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r>
    </w:tbl>
    <w:p>
      <w:pPr>
        <w:spacing w:after="0" w:line="111" w:lineRule="exact"/>
        <w:rPr>
          <w:sz w:val="20"/>
          <w:szCs w:val="20"/>
          <w:color w:val="auto"/>
        </w:rPr>
      </w:pPr>
    </w:p>
    <w:p>
      <w:pPr>
        <w:ind w:left="300" w:hanging="291"/>
        <w:spacing w:after="0" w:line="237" w:lineRule="auto"/>
        <w:tabs>
          <w:tab w:leader="none" w:pos="3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benefits for Messrs. Knight (with respect to his prior benefit) and Prochazka are based solely on the cash balance formula under the retirement plan. Interest accrues in the current year at the average annual interest rate for 30-year Treasury Securities as reported daily during</w:t>
      </w:r>
    </w:p>
    <w:p>
      <w:pPr>
        <w:spacing w:after="0" w:line="174" w:lineRule="exact"/>
        <w:rPr>
          <w:sz w:val="20"/>
          <w:szCs w:val="20"/>
          <w:color w:val="auto"/>
        </w:rPr>
      </w:pPr>
    </w:p>
    <w:p>
      <w:pPr>
        <w:ind w:left="400" w:hanging="391"/>
        <w:spacing w:after="0"/>
        <w:tabs>
          <w:tab w:leader="none" w:pos="400" w:val="left"/>
        </w:tabs>
        <w:numPr>
          <w:ilvl w:val="0"/>
          <w:numId w:val="91"/>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4" w:name="page75"/>
    <w:bookmarkEnd w:id="74"/>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220" w:lineRule="exact"/>
        <w:rPr>
          <w:sz w:val="20"/>
          <w:szCs w:val="20"/>
          <w:color w:val="auto"/>
        </w:rPr>
      </w:pPr>
    </w:p>
    <w:p>
      <w:pPr>
        <w:jc w:val="both"/>
        <w:ind w:left="300"/>
        <w:spacing w:after="0" w:line="231" w:lineRule="auto"/>
        <w:rPr>
          <w:sz w:val="20"/>
          <w:szCs w:val="20"/>
          <w:color w:val="auto"/>
        </w:rPr>
      </w:pPr>
      <w:r>
        <w:rPr>
          <w:rFonts w:ascii="Arial" w:cs="Arial" w:eastAsia="Arial" w:hAnsi="Arial"/>
          <w:sz w:val="13"/>
          <w:szCs w:val="13"/>
          <w:color w:val="auto"/>
        </w:rPr>
        <w:t>the previous November based upon the account balance as of the end of the previous year. The interest rate for the 2020 plan year was 2.28%. Mr. Knight’s benefit under the retirement plan was accrued during a prior period of employment and continues to accrue interest; however, because he was rehired after January 1, 2020, he is ineligible to accrue additional benefits under the retirement plan. In addition, Messrs. Knight (with respect to his prior benefit) and Prochazka accrued an excess benefit amount under the CNP Benefit Restoration Plan based on the cash balance formula as if the Internal Revenue Code annual benefit and compensation limits did not apply. Mr. Knight’s benefit under the CNP Benefit Restoration Plan was accrued during a prior period of employment and was paid upon his prior separation from service. He is not eligible to accrue any further benefits under the plan.</w:t>
      </w:r>
    </w:p>
    <w:p>
      <w:pPr>
        <w:spacing w:after="0" w:line="53" w:lineRule="exact"/>
        <w:rPr>
          <w:sz w:val="20"/>
          <w:szCs w:val="20"/>
          <w:color w:val="auto"/>
        </w:rPr>
      </w:pPr>
    </w:p>
    <w:p>
      <w:pPr>
        <w:jc w:val="both"/>
        <w:ind w:left="300"/>
        <w:spacing w:after="0" w:line="231" w:lineRule="auto"/>
        <w:rPr>
          <w:sz w:val="20"/>
          <w:szCs w:val="20"/>
          <w:color w:val="auto"/>
        </w:rPr>
      </w:pPr>
      <w:r>
        <w:rPr>
          <w:rFonts w:ascii="Arial" w:cs="Arial" w:eastAsia="Arial" w:hAnsi="Arial"/>
          <w:sz w:val="13"/>
          <w:szCs w:val="13"/>
          <w:color w:val="auto"/>
        </w:rPr>
        <w:t>The present value for Mr. Knight was calculated based on benefits accrued through December 31, 2020 payable at age 65 (the earliest retirement age where the benefit is not reduced). Account balances are assumed to accumulate interest credits until age 65 at 2.25%. Since this is a cash balance plan, the lump sum payment is equal to the participant’s account balance at retirement. The single life annuity is calculated by dividing the account balance by the present value factor of an immediate single life annuity assuming an interest rate of 2.45% and using the mortality table prescribed by Section 417(e)(3) of the Internal Revenue Code. To calculate the present value of the benefit in the table, mortality assumptions are based on the PRI-2012 Mortality Table projected using Scale MP-2020, and the interest rate for discounting payments back to December 31, 2020 is 2.45%.</w:t>
      </w:r>
    </w:p>
    <w:p>
      <w:pPr>
        <w:spacing w:after="0" w:line="53" w:lineRule="exact"/>
        <w:rPr>
          <w:sz w:val="20"/>
          <w:szCs w:val="20"/>
          <w:color w:val="auto"/>
        </w:rPr>
      </w:pPr>
    </w:p>
    <w:p>
      <w:pPr>
        <w:ind w:left="300" w:hanging="291"/>
        <w:spacing w:after="0" w:line="237" w:lineRule="auto"/>
        <w:tabs>
          <w:tab w:leader="none" w:pos="30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Through December 31, 2008, Messrs. Doyle and Vortherms and Ms. Colvin accrued benefits based on years of service, final average pay and covered compensation, which we refer to as final average pay (FAP) formulas.</w:t>
      </w:r>
    </w:p>
    <w:p>
      <w:pPr>
        <w:spacing w:after="0" w:line="50" w:lineRule="exact"/>
        <w:rPr>
          <w:sz w:val="20"/>
          <w:szCs w:val="20"/>
          <w:color w:val="auto"/>
        </w:rPr>
      </w:pPr>
    </w:p>
    <w:p>
      <w:pPr>
        <w:jc w:val="both"/>
        <w:ind w:left="300"/>
        <w:spacing w:after="0" w:line="274" w:lineRule="auto"/>
        <w:rPr>
          <w:sz w:val="20"/>
          <w:szCs w:val="20"/>
          <w:color w:val="auto"/>
        </w:rPr>
      </w:pPr>
      <w:r>
        <w:rPr>
          <w:rFonts w:ascii="Arial" w:cs="Arial" w:eastAsia="Arial" w:hAnsi="Arial"/>
          <w:sz w:val="12"/>
          <w:szCs w:val="12"/>
          <w:color w:val="auto"/>
        </w:rPr>
        <w:t>For Mr. Doyle, final average pay means the highest base salary plus overtime, commissions, and bonuses for the 36 consecutive months out of the 120 consecutive months immediately preceding the earlier of retirement or December 31, 2008. This FAP retirement plan benefit is calculated under the following formula: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1.25% x FAP x Service + [0.65% x (FAP—Social Security Covered Compensation) x Service]</w:t>
      </w:r>
    </w:p>
    <w:p>
      <w:pPr>
        <w:spacing w:after="0" w:line="65" w:lineRule="exact"/>
        <w:rPr>
          <w:sz w:val="20"/>
          <w:szCs w:val="20"/>
          <w:color w:val="auto"/>
        </w:rPr>
      </w:pPr>
    </w:p>
    <w:p>
      <w:pPr>
        <w:jc w:val="both"/>
        <w:ind w:left="300" w:right="20"/>
        <w:spacing w:after="0" w:line="274" w:lineRule="auto"/>
        <w:rPr>
          <w:sz w:val="20"/>
          <w:szCs w:val="20"/>
          <w:color w:val="auto"/>
        </w:rPr>
      </w:pPr>
      <w:r>
        <w:rPr>
          <w:rFonts w:ascii="Arial" w:cs="Arial" w:eastAsia="Arial" w:hAnsi="Arial"/>
          <w:sz w:val="12"/>
          <w:szCs w:val="12"/>
          <w:color w:val="auto"/>
        </w:rPr>
        <w:t>In this final average pay formula, the maximum service applicable to the portion of the benefit attributable to FAP in excess of Social Security Covered Compensation is 35 years. The benefit is reduced for early retirement if retirement occurs before age 65. Early retirement subsidies are provided for retirement at age 55 or older.</w:t>
      </w:r>
    </w:p>
    <w:p>
      <w:pPr>
        <w:spacing w:after="0" w:line="30" w:lineRule="exact"/>
        <w:rPr>
          <w:sz w:val="20"/>
          <w:szCs w:val="20"/>
          <w:color w:val="auto"/>
        </w:rPr>
      </w:pPr>
    </w:p>
    <w:p>
      <w:pPr>
        <w:jc w:val="both"/>
        <w:ind w:left="300"/>
        <w:spacing w:after="0" w:line="237" w:lineRule="auto"/>
        <w:rPr>
          <w:sz w:val="20"/>
          <w:szCs w:val="20"/>
          <w:color w:val="auto"/>
        </w:rPr>
      </w:pPr>
      <w:r>
        <w:rPr>
          <w:rFonts w:ascii="Arial" w:cs="Arial" w:eastAsia="Arial" w:hAnsi="Arial"/>
          <w:sz w:val="13"/>
          <w:szCs w:val="13"/>
          <w:color w:val="auto"/>
        </w:rPr>
        <w:t>For Ms. Colvin, final average pay means the highest base salary for the 36 consecutive months out of the 120 consecutive months immediately preceding the earlier of retirement or December 31, 2008. This FAP retirement plan benefit is calculated under the following formula: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1.5% x FAP x Service + [0.44% x (FAP—Social Security Covered Compensation) x Service]</w:t>
      </w:r>
    </w:p>
    <w:p>
      <w:pPr>
        <w:spacing w:after="0" w:line="65" w:lineRule="exact"/>
        <w:rPr>
          <w:sz w:val="20"/>
          <w:szCs w:val="20"/>
          <w:color w:val="auto"/>
        </w:rPr>
      </w:pPr>
    </w:p>
    <w:p>
      <w:pPr>
        <w:jc w:val="both"/>
        <w:ind w:left="300" w:right="20"/>
        <w:spacing w:after="0" w:line="274" w:lineRule="auto"/>
        <w:rPr>
          <w:sz w:val="20"/>
          <w:szCs w:val="20"/>
          <w:color w:val="auto"/>
        </w:rPr>
      </w:pPr>
      <w:r>
        <w:rPr>
          <w:rFonts w:ascii="Arial" w:cs="Arial" w:eastAsia="Arial" w:hAnsi="Arial"/>
          <w:sz w:val="12"/>
          <w:szCs w:val="12"/>
          <w:color w:val="auto"/>
        </w:rPr>
        <w:t>In this final average pay formula, the maximum service applicable to the portion of the benefit attributable to FAP in excess of Social Security Covered Compensation is 35 years. The benefit is reduced for early retirement if retirement occurs before age 60. Early retirement subsidies are provided for retirement at age 55 or older.</w:t>
      </w:r>
    </w:p>
    <w:p>
      <w:pPr>
        <w:spacing w:after="0" w:line="30" w:lineRule="exact"/>
        <w:rPr>
          <w:sz w:val="20"/>
          <w:szCs w:val="20"/>
          <w:color w:val="auto"/>
        </w:rPr>
      </w:pPr>
    </w:p>
    <w:p>
      <w:pPr>
        <w:jc w:val="both"/>
        <w:ind w:left="300"/>
        <w:spacing w:after="0" w:line="237" w:lineRule="auto"/>
        <w:rPr>
          <w:sz w:val="20"/>
          <w:szCs w:val="20"/>
          <w:color w:val="auto"/>
        </w:rPr>
      </w:pPr>
      <w:r>
        <w:rPr>
          <w:rFonts w:ascii="Arial" w:cs="Arial" w:eastAsia="Arial" w:hAnsi="Arial"/>
          <w:sz w:val="13"/>
          <w:szCs w:val="13"/>
          <w:color w:val="auto"/>
        </w:rPr>
        <w:t>For Mr. Vortherms, final average pay means the highest base salary plus commissions and variable pay for 60 consecutive months out of the 120 consecutive months immediately preceding the earlier of retirement or December 31, 2008. This retirement plan benefit is calculated under the following formula: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1.1% x FAP x Service + [0.45% x (FAP—Social Security Covered Compensation) x Service]</w:t>
      </w:r>
    </w:p>
    <w:p>
      <w:pPr>
        <w:spacing w:after="0" w:line="65" w:lineRule="exact"/>
        <w:rPr>
          <w:sz w:val="20"/>
          <w:szCs w:val="20"/>
          <w:color w:val="auto"/>
        </w:rPr>
      </w:pPr>
    </w:p>
    <w:p>
      <w:pPr>
        <w:jc w:val="both"/>
        <w:ind w:left="300"/>
        <w:spacing w:after="0" w:line="274" w:lineRule="auto"/>
        <w:rPr>
          <w:sz w:val="20"/>
          <w:szCs w:val="20"/>
          <w:color w:val="auto"/>
        </w:rPr>
      </w:pPr>
      <w:r>
        <w:rPr>
          <w:rFonts w:ascii="Arial" w:cs="Arial" w:eastAsia="Arial" w:hAnsi="Arial"/>
          <w:sz w:val="12"/>
          <w:szCs w:val="12"/>
          <w:color w:val="auto"/>
        </w:rPr>
        <w:t>In the final average pay formula, the maximum service applicable to the portion of the benefit attributable to FAP in excess of Social Security Covered Compensation is 30 years. The benefit is reduced for early retirement if retirement occurs before age 65. Early retirement subsidies are provided for retirement at age 55 or older.</w:t>
      </w:r>
    </w:p>
    <w:p>
      <w:pPr>
        <w:spacing w:after="0" w:line="30" w:lineRule="exact"/>
        <w:rPr>
          <w:sz w:val="20"/>
          <w:szCs w:val="20"/>
          <w:color w:val="auto"/>
        </w:rPr>
      </w:pPr>
    </w:p>
    <w:p>
      <w:pPr>
        <w:jc w:val="both"/>
        <w:ind w:left="300"/>
        <w:spacing w:after="0" w:line="237" w:lineRule="auto"/>
        <w:rPr>
          <w:sz w:val="20"/>
          <w:szCs w:val="20"/>
          <w:color w:val="auto"/>
        </w:rPr>
      </w:pPr>
      <w:r>
        <w:rPr>
          <w:rFonts w:ascii="Arial" w:cs="Arial" w:eastAsia="Arial" w:hAnsi="Arial"/>
          <w:sz w:val="13"/>
          <w:szCs w:val="13"/>
          <w:color w:val="auto"/>
        </w:rPr>
        <w:t>Beginning in 2009, Messrs. Doyle and Vortherms and Ms. Colvin accrued a benefit under the benefit restoration plan based on the cash balance formula as if the Internal Revenue Code compensation limits did not apply.</w:t>
      </w:r>
    </w:p>
    <w:p>
      <w:pPr>
        <w:spacing w:after="0" w:line="50" w:lineRule="exact"/>
        <w:rPr>
          <w:sz w:val="20"/>
          <w:szCs w:val="20"/>
          <w:color w:val="auto"/>
        </w:rPr>
      </w:pPr>
    </w:p>
    <w:p>
      <w:pPr>
        <w:jc w:val="both"/>
        <w:ind w:left="300"/>
        <w:spacing w:after="0" w:line="231" w:lineRule="auto"/>
        <w:rPr>
          <w:sz w:val="20"/>
          <w:szCs w:val="20"/>
          <w:color w:val="auto"/>
        </w:rPr>
      </w:pPr>
      <w:r>
        <w:rPr>
          <w:rFonts w:ascii="Arial" w:cs="Arial" w:eastAsia="Arial" w:hAnsi="Arial"/>
          <w:sz w:val="13"/>
          <w:szCs w:val="13"/>
          <w:color w:val="auto"/>
        </w:rPr>
        <w:t>The present values for Messrs. Doyle and Vortherms and Ms. Colvin were calculated based on benefits accrued through December 31, 2020 assuming retirement at the earliest reduced age. The calculation assumes the participant is 45% likely to commence the benefit in the form of a single life annuity and 55% likely to elect a lump sum distribution. The single life annuity is the normal form of benefit under the plan. Mortality assumptions for discounting annuities are based on the PRI-2012 Mortality Table projected using Scale MP-2020 and an interest rate of 2.45%. The lump sum distribution for benefits accrued through December 31, 2008 is calculated as the greater of the cash balance amount and the present value of the accrued benefit commencing at age 65 assuming an interest rate of 2.45% and using the mortality table prescribed by Section 417(e)(3) of the Internal Revenue Code. The interest rate for discounting payments back to December 31, 2020 was 2.45%. These assumptions, where applicable, are the same assumptions disclosed in “Stock Based Incentive Compensation Plans and Employee Benefit Plans” in Note 8 to our consolidated financial statements included in our annual report on Form 10-K for the year ended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Savings Plan and Savings Restoration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Under our savings plan, our senior executive officers may contribute up to 50% of their plan -eligible compensation as pre-tax or Roth contributions. They may also contribute up to 16% of eligible pay as after-tax contributions. In addition, we make employer matching contributions of 100% of the first 6% of eligible pay our senior executive officers contribute under the plan. For our senior executive officers hired or rehired on or after January 1, 2020 (Messrs. Lesar, Wells, Knight and Somerhalder), in lieu of eligibility under the defined benefit pension plans, we also make employer nonelective contributions of 3% of eligible pay. Payment options under the savings plan include (i) a</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5" w:name="page76"/>
    <w:bookmarkEnd w:id="75"/>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lump sum payment; (ii) annual, semi-annual, quarterly or monthly installments over a period elected by the participant, not to exceed ten years; (iii) a partial cash distribution of the participant’s account balance or (iv) a rollover of the account. Once the annual compensation limit under the Internal Revenue Code is reached in the savings plan, employer contributions are made in a bookkeeping account under the savings restoration plan. To comply with the provisions under Section 409A of the Internal Revenue Code, we established the CenterPoint Energy Savings Restoration Plan (CNP Savings Restoration Plan) for all benefits earned or vested from and after 2005, and this plan is subject to Section 409A. Benefits under this plan are paid in a lump sum following the participant’s separation from service, and all of our senior executive officers participate in this plan. Benefit payments for our senior executive officers and other key employees will be delayed for six months following the separation from service to comply with Section 409A of the Internal Revenue Code, unless the separation from service is due to death. Benefits earned and vested prior to 2005 are payable under the 1991 CenterPoint Energy Savings Restoration Plan (1991 Savings Restoration Plan), and no new benefits are provided from and after 2005 under this plan. The 1991 Savings Restoration Plan is not subject to Section 409A, and benefits are paid under this plan at the same time and in the same form and manner as distributions payable from the savings plan. Earnings on both restoration plans are based on each participant’s annual rate of return on their account in the savings plan. Participants are not permitted to make voluntary deferrals into either savings restoration plan.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Our current deferred compensation plan permits eligible key employees to elect voluntarily each year to defer a percentage of up to 90% of salary and/or short-term incentive compensation. The Company amended the Deferred Compensation Plan as of December 31, 2007, renamed it the 1989 Deferred Compensation Plan and froze the plan to new participants and benefit accruals as of December 31, 2007. Effective January 1, 2008, obligations with respect to deferrals under the 1989 Deferred Compensation Plan after December 31, 2004, along with all associated earnings were transferred to and are paid from the 2005 Deferred Compensation Plan, which was adopted effective as of January 1, 2008, to replace the 1989 Deferred Compensation Plan. References to our deferred compensation plan include both our 2005 Deferred Compensation Plan, which covers amounts subject to Section 409A, as well as our 1989 Deferred Compensation Plan, which covers amounts which are exempt from Section 409A. Under the terms of our deferred compensation plan, interest accrues on deferrals at a rate adjusted annually equal to the average yield during the year of the Moody’s Long-Term Corporate Bond Index plus two percent.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Participants in the plan currently may elect to receive distributions of their deferred compensation and interest in three ways:</w:t>
      </w:r>
    </w:p>
    <w:p>
      <w:pPr>
        <w:spacing w:after="0" w:line="102" w:lineRule="exact"/>
        <w:rPr>
          <w:sz w:val="20"/>
          <w:szCs w:val="20"/>
          <w:color w:val="auto"/>
        </w:rPr>
      </w:pPr>
    </w:p>
    <w:p>
      <w:pPr>
        <w:jc w:val="both"/>
        <w:ind w:left="380" w:hanging="276"/>
        <w:spacing w:after="0" w:line="237" w:lineRule="auto"/>
        <w:tabs>
          <w:tab w:leader="none" w:pos="380" w:val="left"/>
        </w:tabs>
        <w:numPr>
          <w:ilvl w:val="0"/>
          <w:numId w:val="93"/>
        </w:numPr>
        <w:rPr>
          <w:rFonts w:ascii="Arial" w:cs="Arial" w:eastAsia="Arial" w:hAnsi="Arial"/>
          <w:sz w:val="16"/>
          <w:szCs w:val="16"/>
          <w:color w:val="0061AF"/>
        </w:rPr>
      </w:pPr>
      <w:r>
        <w:rPr>
          <w:rFonts w:ascii="Arial" w:cs="Arial" w:eastAsia="Arial" w:hAnsi="Arial"/>
          <w:sz w:val="16"/>
          <w:szCs w:val="16"/>
          <w:color w:val="auto"/>
        </w:rPr>
        <w:t>an early distribution of either 50% or 100% of their account balance in any year that is at least four years from the year of deferral or, if earlier, the year in which they attain their normal retirement date under the plan (the first day of the month coincident with or next following attainment of age 65);</w:t>
      </w:r>
    </w:p>
    <w:p>
      <w:pPr>
        <w:spacing w:after="0" w:line="97" w:lineRule="exact"/>
        <w:rPr>
          <w:rFonts w:ascii="Arial" w:cs="Arial" w:eastAsia="Arial" w:hAnsi="Arial"/>
          <w:sz w:val="16"/>
          <w:szCs w:val="16"/>
          <w:color w:val="0061AF"/>
        </w:rPr>
      </w:pPr>
    </w:p>
    <w:p>
      <w:pPr>
        <w:ind w:left="380" w:hanging="276"/>
        <w:spacing w:after="0"/>
        <w:tabs>
          <w:tab w:leader="none" w:pos="380" w:val="left"/>
        </w:tabs>
        <w:numPr>
          <w:ilvl w:val="0"/>
          <w:numId w:val="93"/>
        </w:numPr>
        <w:rPr>
          <w:rFonts w:ascii="Arial" w:cs="Arial" w:eastAsia="Arial" w:hAnsi="Arial"/>
          <w:sz w:val="16"/>
          <w:szCs w:val="16"/>
          <w:color w:val="0061AF"/>
        </w:rPr>
      </w:pPr>
      <w:r>
        <w:rPr>
          <w:rFonts w:ascii="Arial" w:cs="Arial" w:eastAsia="Arial" w:hAnsi="Arial"/>
          <w:sz w:val="16"/>
          <w:szCs w:val="16"/>
          <w:color w:val="auto"/>
        </w:rPr>
        <w:t>a lump sum distribution upon termination of employment on or after age 55; or</w:t>
      </w:r>
    </w:p>
    <w:p>
      <w:pPr>
        <w:spacing w:after="0" w:line="101" w:lineRule="exact"/>
        <w:rPr>
          <w:rFonts w:ascii="Arial" w:cs="Arial" w:eastAsia="Arial" w:hAnsi="Arial"/>
          <w:sz w:val="16"/>
          <w:szCs w:val="16"/>
          <w:color w:val="0061AF"/>
        </w:rPr>
      </w:pPr>
    </w:p>
    <w:p>
      <w:pPr>
        <w:ind w:left="380" w:hanging="276"/>
        <w:spacing w:after="0"/>
        <w:tabs>
          <w:tab w:leader="none" w:pos="380" w:val="left"/>
        </w:tabs>
        <w:numPr>
          <w:ilvl w:val="0"/>
          <w:numId w:val="93"/>
        </w:numPr>
        <w:rPr>
          <w:rFonts w:ascii="Arial" w:cs="Arial" w:eastAsia="Arial" w:hAnsi="Arial"/>
          <w:sz w:val="16"/>
          <w:szCs w:val="16"/>
          <w:color w:val="0061AF"/>
        </w:rPr>
      </w:pPr>
      <w:r>
        <w:rPr>
          <w:rFonts w:ascii="Arial" w:cs="Arial" w:eastAsia="Arial" w:hAnsi="Arial"/>
          <w:sz w:val="16"/>
          <w:szCs w:val="16"/>
          <w:color w:val="auto"/>
        </w:rPr>
        <w:t>15 annual installments commencing upon termination of employment on or after age 55.</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If a participant terminates employment prior to age 55, a lump sum distribution of his or her deferral amount plus interest, calculated using the Moody’s rate and excluding the additional two percentage points, will be made regardless of his or her form of election. For deferrals under the 2005 Deferred Compensation Plan, if a participant terminates employment on or after age 55, the deferral amount plus interest (including the additional two percent) will be paid in accordance with the participant’s distribution elections, in either a lump sum payment in the January after his or her termination or 15 annual installments commencing upon his or her separation from service. However, benefit payments for our named executive officers and other key employees will not be paid earlier than six months after separation from service (other than by reason of death) to comply with Section 409A of the Internal Revenue Code. Messrs. Carroll and Doyle were the only named executive officers who elected to defer compensation under the plan during 2020.</w:t>
      </w:r>
    </w:p>
    <w:p>
      <w:pPr>
        <w:spacing w:after="0" w:line="181" w:lineRule="exact"/>
        <w:rPr>
          <w:sz w:val="20"/>
          <w:szCs w:val="20"/>
          <w:color w:val="auto"/>
        </w:rPr>
      </w:pPr>
    </w:p>
    <w:p>
      <w:pPr>
        <w:ind w:left="400" w:hanging="391"/>
        <w:spacing w:after="0"/>
        <w:tabs>
          <w:tab w:leader="none" w:pos="400" w:val="left"/>
        </w:tabs>
        <w:numPr>
          <w:ilvl w:val="0"/>
          <w:numId w:val="94"/>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6" w:name="page77"/>
    <w:bookmarkEnd w:id="76"/>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2"/>
          <w:szCs w:val="12"/>
          <w:i w:val="1"/>
          <w:iCs w:val="1"/>
          <w:color w:val="auto"/>
        </w:rPr>
        <w:t>Executive Compensation Tables (continued)</w:t>
      </w: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deferrals under the 1989 Deferred Compensation Plan, if a participant terminates employment from and after age 55 but prior to age 60, the deferral amount plus interest (including the additional two percent) will be paid in accordance with the participant’s distribution elections, in either a lump sum payment in the January after his or her separation from service or 15 annual installments commencing upon his or her separation from service. If a participant terminates employment after age 60 under the 1989 Deferred Compensation Plan, the deferral amount plus interest, including the additional two percent, will be paid in accordance with the participant’s distribution elections after he or she reaches age 65.</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Each of our deferred compensation plans discussed above is a nonqualified, unfunded plan, and the employees are general, unsecured creditors of CenterPoint Energy. No fund or other assets of CenterPoint Energy have been set aside or segregated to pay benefits under any of these plans. Please refer to “Rabbi Trust” under “Potential Payments upon Change in Control or Termination” for information on funding of the plans upon a change in control.</w:t>
      </w: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with respect to benefits under the deferred compensation plans and the savings restoration plans.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shd w:val="clear" w:color="auto" w:fill="0061AF"/>
          </w:tcPr>
          <w:p>
            <w:pPr>
              <w:spacing w:after="0"/>
              <w:rPr>
                <w:sz w:val="13"/>
                <w:szCs w:val="13"/>
                <w:color w:val="auto"/>
              </w:rPr>
            </w:pPr>
          </w:p>
        </w:tc>
        <w:tc>
          <w:tcPr>
            <w:tcW w:w="580" w:type="dxa"/>
            <w:vAlign w:val="bottom"/>
            <w:shd w:val="clear" w:color="auto" w:fill="0061AF"/>
          </w:tcPr>
          <w:p>
            <w:pPr>
              <w:spacing w:after="0"/>
              <w:rPr>
                <w:sz w:val="13"/>
                <w:szCs w:val="13"/>
                <w:color w:val="auto"/>
              </w:rPr>
            </w:pPr>
          </w:p>
        </w:tc>
        <w:tc>
          <w:tcPr>
            <w:tcW w:w="1840" w:type="dxa"/>
            <w:vAlign w:val="bottom"/>
            <w:shd w:val="clear" w:color="auto" w:fill="0061AF"/>
          </w:tcPr>
          <w:p>
            <w:pPr>
              <w:spacing w:after="0"/>
              <w:rPr>
                <w:sz w:val="13"/>
                <w:szCs w:val="13"/>
                <w:color w:val="auto"/>
              </w:rPr>
            </w:pPr>
          </w:p>
        </w:tc>
        <w:tc>
          <w:tcPr>
            <w:tcW w:w="1220" w:type="dxa"/>
            <w:vAlign w:val="bottom"/>
            <w:shd w:val="clear" w:color="auto" w:fill="0061AF"/>
          </w:tcPr>
          <w:p>
            <w:pPr>
              <w:spacing w:after="0"/>
              <w:rPr>
                <w:sz w:val="13"/>
                <w:szCs w:val="13"/>
                <w:color w:val="auto"/>
              </w:rPr>
            </w:pPr>
          </w:p>
        </w:tc>
        <w:tc>
          <w:tcPr>
            <w:tcW w:w="1220" w:type="dxa"/>
            <w:vAlign w:val="bottom"/>
            <w:shd w:val="clear" w:color="auto" w:fill="0061AF"/>
          </w:tcPr>
          <w:p>
            <w:pPr>
              <w:spacing w:after="0"/>
              <w:rPr>
                <w:sz w:val="13"/>
                <w:szCs w:val="13"/>
                <w:color w:val="auto"/>
              </w:rPr>
            </w:pPr>
          </w:p>
        </w:tc>
        <w:tc>
          <w:tcPr>
            <w:tcW w:w="1160" w:type="dxa"/>
            <w:vAlign w:val="bottom"/>
            <w:shd w:val="clear" w:color="auto" w:fill="0061AF"/>
          </w:tcPr>
          <w:p>
            <w:pPr>
              <w:spacing w:after="0"/>
              <w:rPr>
                <w:sz w:val="13"/>
                <w:szCs w:val="13"/>
                <w:color w:val="auto"/>
              </w:rPr>
            </w:pPr>
          </w:p>
        </w:tc>
        <w:tc>
          <w:tcPr>
            <w:tcW w:w="1340" w:type="dxa"/>
            <w:vAlign w:val="bottom"/>
            <w:shd w:val="clear" w:color="auto" w:fill="0061AF"/>
          </w:tcPr>
          <w:p>
            <w:pPr>
              <w:spacing w:after="0"/>
              <w:rPr>
                <w:sz w:val="13"/>
                <w:szCs w:val="13"/>
                <w:color w:val="auto"/>
              </w:rPr>
            </w:pPr>
          </w:p>
        </w:tc>
        <w:tc>
          <w:tcPr>
            <w:tcW w:w="1400" w:type="dxa"/>
            <w:vAlign w:val="bottom"/>
            <w:shd w:val="clear" w:color="auto" w:fill="0061AF"/>
          </w:tcPr>
          <w:p>
            <w:pPr>
              <w:jc w:val="right"/>
              <w:ind w:right="277"/>
              <w:spacing w:after="0"/>
              <w:rPr>
                <w:sz w:val="20"/>
                <w:szCs w:val="20"/>
                <w:color w:val="auto"/>
              </w:rPr>
            </w:pPr>
            <w:r>
              <w:rPr>
                <w:rFonts w:ascii="Arial" w:cs="Arial" w:eastAsia="Arial" w:hAnsi="Arial"/>
                <w:sz w:val="13"/>
                <w:szCs w:val="13"/>
                <w:b w:val="1"/>
                <w:bCs w:val="1"/>
                <w:color w:val="FFFFFF"/>
              </w:rPr>
              <w:t>Aggregate</w:t>
            </w:r>
          </w:p>
        </w:tc>
      </w:tr>
      <w:tr>
        <w:trPr>
          <w:trHeight w:val="143"/>
        </w:trPr>
        <w:tc>
          <w:tcPr>
            <w:tcW w:w="960" w:type="dxa"/>
            <w:vAlign w:val="bottom"/>
            <w:shd w:val="clear" w:color="auto" w:fill="0061AF"/>
          </w:tcPr>
          <w:p>
            <w:pPr>
              <w:spacing w:after="0"/>
              <w:rPr>
                <w:sz w:val="12"/>
                <w:szCs w:val="12"/>
                <w:color w:val="auto"/>
              </w:rPr>
            </w:pPr>
          </w:p>
        </w:tc>
        <w:tc>
          <w:tcPr>
            <w:tcW w:w="580" w:type="dxa"/>
            <w:vAlign w:val="bottom"/>
            <w:shd w:val="clear" w:color="auto" w:fill="0061AF"/>
          </w:tcPr>
          <w:p>
            <w:pPr>
              <w:spacing w:after="0"/>
              <w:rPr>
                <w:sz w:val="12"/>
                <w:szCs w:val="12"/>
                <w:color w:val="auto"/>
              </w:rPr>
            </w:pPr>
          </w:p>
        </w:tc>
        <w:tc>
          <w:tcPr>
            <w:tcW w:w="1840" w:type="dxa"/>
            <w:vAlign w:val="bottom"/>
            <w:shd w:val="clear" w:color="auto" w:fill="0061AF"/>
          </w:tcPr>
          <w:p>
            <w:pPr>
              <w:spacing w:after="0"/>
              <w:rPr>
                <w:sz w:val="12"/>
                <w:szCs w:val="12"/>
                <w:color w:val="auto"/>
              </w:rPr>
            </w:pPr>
          </w:p>
        </w:tc>
        <w:tc>
          <w:tcPr>
            <w:tcW w:w="12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Executive</w:t>
            </w:r>
          </w:p>
        </w:tc>
        <w:tc>
          <w:tcPr>
            <w:tcW w:w="12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Registrant</w:t>
            </w:r>
          </w:p>
        </w:tc>
        <w:tc>
          <w:tcPr>
            <w:tcW w:w="1160" w:type="dxa"/>
            <w:vAlign w:val="bottom"/>
            <w:shd w:val="clear" w:color="auto" w:fill="0061AF"/>
          </w:tcPr>
          <w:p>
            <w:pPr>
              <w:jc w:val="right"/>
              <w:ind w:right="237"/>
              <w:spacing w:after="0" w:line="143" w:lineRule="exact"/>
              <w:rPr>
                <w:sz w:val="20"/>
                <w:szCs w:val="20"/>
                <w:color w:val="auto"/>
              </w:rPr>
            </w:pPr>
            <w:r>
              <w:rPr>
                <w:rFonts w:ascii="Arial" w:cs="Arial" w:eastAsia="Arial" w:hAnsi="Arial"/>
                <w:sz w:val="13"/>
                <w:szCs w:val="13"/>
                <w:b w:val="1"/>
                <w:bCs w:val="1"/>
                <w:color w:val="FFFFFF"/>
              </w:rPr>
              <w:t>Aggregate</w:t>
            </w:r>
          </w:p>
        </w:tc>
        <w:tc>
          <w:tcPr>
            <w:tcW w:w="13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Aggregate</w:t>
            </w:r>
          </w:p>
        </w:tc>
        <w:tc>
          <w:tcPr>
            <w:tcW w:w="1400" w:type="dxa"/>
            <w:vAlign w:val="bottom"/>
            <w:shd w:val="clear" w:color="auto" w:fill="0061AF"/>
          </w:tcPr>
          <w:p>
            <w:pPr>
              <w:jc w:val="right"/>
              <w:ind w:right="277"/>
              <w:spacing w:after="0" w:line="143" w:lineRule="exact"/>
              <w:rPr>
                <w:sz w:val="20"/>
                <w:szCs w:val="20"/>
                <w:color w:val="auto"/>
              </w:rPr>
            </w:pPr>
            <w:r>
              <w:rPr>
                <w:rFonts w:ascii="Arial" w:cs="Arial" w:eastAsia="Arial" w:hAnsi="Arial"/>
                <w:sz w:val="13"/>
                <w:szCs w:val="13"/>
                <w:b w:val="1"/>
                <w:bCs w:val="1"/>
                <w:color w:val="FFFFFF"/>
              </w:rPr>
              <w:t>Balance at</w:t>
            </w:r>
          </w:p>
        </w:tc>
      </w:tr>
      <w:tr>
        <w:trPr>
          <w:trHeight w:val="143"/>
        </w:trPr>
        <w:tc>
          <w:tcPr>
            <w:tcW w:w="960" w:type="dxa"/>
            <w:vAlign w:val="bottom"/>
            <w:shd w:val="clear" w:color="auto" w:fill="0061AF"/>
          </w:tcPr>
          <w:p>
            <w:pPr>
              <w:spacing w:after="0"/>
              <w:rPr>
                <w:sz w:val="12"/>
                <w:szCs w:val="12"/>
                <w:color w:val="auto"/>
              </w:rPr>
            </w:pPr>
          </w:p>
        </w:tc>
        <w:tc>
          <w:tcPr>
            <w:tcW w:w="580" w:type="dxa"/>
            <w:vAlign w:val="bottom"/>
            <w:shd w:val="clear" w:color="auto" w:fill="0061AF"/>
          </w:tcPr>
          <w:p>
            <w:pPr>
              <w:spacing w:after="0"/>
              <w:rPr>
                <w:sz w:val="12"/>
                <w:szCs w:val="12"/>
                <w:color w:val="auto"/>
              </w:rPr>
            </w:pPr>
          </w:p>
        </w:tc>
        <w:tc>
          <w:tcPr>
            <w:tcW w:w="1840" w:type="dxa"/>
            <w:vAlign w:val="bottom"/>
            <w:shd w:val="clear" w:color="auto" w:fill="0061AF"/>
          </w:tcPr>
          <w:p>
            <w:pPr>
              <w:spacing w:after="0"/>
              <w:rPr>
                <w:sz w:val="12"/>
                <w:szCs w:val="12"/>
                <w:color w:val="auto"/>
              </w:rPr>
            </w:pPr>
          </w:p>
        </w:tc>
        <w:tc>
          <w:tcPr>
            <w:tcW w:w="12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Contributions</w:t>
            </w:r>
          </w:p>
        </w:tc>
        <w:tc>
          <w:tcPr>
            <w:tcW w:w="122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Contributions</w:t>
            </w:r>
          </w:p>
        </w:tc>
        <w:tc>
          <w:tcPr>
            <w:tcW w:w="1160" w:type="dxa"/>
            <w:vAlign w:val="bottom"/>
            <w:shd w:val="clear" w:color="auto" w:fill="0061AF"/>
          </w:tcPr>
          <w:p>
            <w:pPr>
              <w:jc w:val="right"/>
              <w:ind w:right="197"/>
              <w:spacing w:after="0" w:line="143" w:lineRule="exact"/>
              <w:rPr>
                <w:sz w:val="20"/>
                <w:szCs w:val="20"/>
                <w:color w:val="auto"/>
              </w:rPr>
            </w:pPr>
            <w:r>
              <w:rPr>
                <w:rFonts w:ascii="Arial" w:cs="Arial" w:eastAsia="Arial" w:hAnsi="Arial"/>
                <w:sz w:val="13"/>
                <w:szCs w:val="13"/>
                <w:b w:val="1"/>
                <w:bCs w:val="1"/>
                <w:color w:val="FFFFFF"/>
              </w:rPr>
              <w:t>Earnings in</w:t>
            </w:r>
          </w:p>
        </w:tc>
        <w:tc>
          <w:tcPr>
            <w:tcW w:w="13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Withdrawals/</w:t>
            </w:r>
          </w:p>
        </w:tc>
        <w:tc>
          <w:tcPr>
            <w:tcW w:w="1400" w:type="dxa"/>
            <w:vAlign w:val="bottom"/>
            <w:shd w:val="clear" w:color="auto" w:fill="0061AF"/>
          </w:tcPr>
          <w:p>
            <w:pPr>
              <w:jc w:val="right"/>
              <w:ind w:right="217"/>
              <w:spacing w:after="0" w:line="143" w:lineRule="exact"/>
              <w:rPr>
                <w:sz w:val="20"/>
                <w:szCs w:val="20"/>
                <w:color w:val="auto"/>
              </w:rPr>
            </w:pPr>
            <w:r>
              <w:rPr>
                <w:rFonts w:ascii="Arial" w:cs="Arial" w:eastAsia="Arial" w:hAnsi="Arial"/>
                <w:sz w:val="13"/>
                <w:szCs w:val="13"/>
                <w:b w:val="1"/>
                <w:bCs w:val="1"/>
                <w:color w:val="FFFFFF"/>
              </w:rPr>
              <w:t>December 31,</w:t>
            </w:r>
          </w:p>
        </w:tc>
      </w:tr>
      <w:tr>
        <w:trPr>
          <w:trHeight w:val="143"/>
        </w:trPr>
        <w:tc>
          <w:tcPr>
            <w:tcW w:w="960" w:type="dxa"/>
            <w:vAlign w:val="bottom"/>
            <w:shd w:val="clear" w:color="auto" w:fill="0061AF"/>
          </w:tcPr>
          <w:p>
            <w:pPr>
              <w:spacing w:after="0"/>
              <w:rPr>
                <w:sz w:val="12"/>
                <w:szCs w:val="12"/>
                <w:color w:val="auto"/>
              </w:rPr>
            </w:pPr>
          </w:p>
        </w:tc>
        <w:tc>
          <w:tcPr>
            <w:tcW w:w="580" w:type="dxa"/>
            <w:vAlign w:val="bottom"/>
            <w:shd w:val="clear" w:color="auto" w:fill="0061AF"/>
          </w:tcPr>
          <w:p>
            <w:pPr>
              <w:spacing w:after="0"/>
              <w:rPr>
                <w:sz w:val="12"/>
                <w:szCs w:val="12"/>
                <w:color w:val="auto"/>
              </w:rPr>
            </w:pPr>
          </w:p>
        </w:tc>
        <w:tc>
          <w:tcPr>
            <w:tcW w:w="1840" w:type="dxa"/>
            <w:vAlign w:val="bottom"/>
            <w:shd w:val="clear" w:color="auto" w:fill="0061AF"/>
          </w:tcPr>
          <w:p>
            <w:pPr>
              <w:spacing w:after="0"/>
              <w:rPr>
                <w:sz w:val="12"/>
                <w:szCs w:val="12"/>
                <w:color w:val="auto"/>
              </w:rPr>
            </w:pPr>
          </w:p>
        </w:tc>
        <w:tc>
          <w:tcPr>
            <w:tcW w:w="1220" w:type="dxa"/>
            <w:vAlign w:val="bottom"/>
            <w:shd w:val="clear" w:color="auto" w:fill="0061AF"/>
          </w:tcPr>
          <w:p>
            <w:pPr>
              <w:jc w:val="center"/>
              <w:spacing w:after="0" w:line="143" w:lineRule="exact"/>
              <w:rPr>
                <w:sz w:val="20"/>
                <w:szCs w:val="20"/>
                <w:color w:val="auto"/>
              </w:rPr>
            </w:pPr>
            <w:r>
              <w:rPr>
                <w:rFonts w:ascii="Arial" w:cs="Arial" w:eastAsia="Arial" w:hAnsi="Arial"/>
                <w:sz w:val="10"/>
                <w:szCs w:val="10"/>
                <w:b w:val="1"/>
                <w:bCs w:val="1"/>
                <w:color w:val="FFFFFF"/>
              </w:rPr>
              <w:t>in 2020</w:t>
            </w:r>
            <w:r>
              <w:rPr>
                <w:rFonts w:ascii="Arial" w:cs="Arial" w:eastAsia="Arial" w:hAnsi="Arial"/>
                <w:sz w:val="16"/>
                <w:szCs w:val="16"/>
                <w:b w:val="1"/>
                <w:bCs w:val="1"/>
                <w:color w:val="FFFFFF"/>
                <w:vertAlign w:val="superscript"/>
              </w:rPr>
              <w:t>(1)</w:t>
            </w:r>
          </w:p>
        </w:tc>
        <w:tc>
          <w:tcPr>
            <w:tcW w:w="1220" w:type="dxa"/>
            <w:vAlign w:val="bottom"/>
            <w:shd w:val="clear" w:color="auto" w:fill="0061AF"/>
          </w:tcPr>
          <w:p>
            <w:pPr>
              <w:jc w:val="center"/>
              <w:spacing w:after="0" w:line="143" w:lineRule="exact"/>
              <w:rPr>
                <w:sz w:val="20"/>
                <w:szCs w:val="20"/>
                <w:color w:val="auto"/>
              </w:rPr>
            </w:pPr>
            <w:r>
              <w:rPr>
                <w:rFonts w:ascii="Arial" w:cs="Arial" w:eastAsia="Arial" w:hAnsi="Arial"/>
                <w:sz w:val="10"/>
                <w:szCs w:val="10"/>
                <w:b w:val="1"/>
                <w:bCs w:val="1"/>
                <w:color w:val="FFFFFF"/>
              </w:rPr>
              <w:t>in 2020</w:t>
            </w:r>
            <w:r>
              <w:rPr>
                <w:rFonts w:ascii="Arial" w:cs="Arial" w:eastAsia="Arial" w:hAnsi="Arial"/>
                <w:sz w:val="16"/>
                <w:szCs w:val="16"/>
                <w:b w:val="1"/>
                <w:bCs w:val="1"/>
                <w:color w:val="FFFFFF"/>
                <w:vertAlign w:val="superscript"/>
              </w:rPr>
              <w:t>(1)</w:t>
            </w:r>
          </w:p>
        </w:tc>
        <w:tc>
          <w:tcPr>
            <w:tcW w:w="1160" w:type="dxa"/>
            <w:vAlign w:val="bottom"/>
            <w:shd w:val="clear" w:color="auto" w:fill="0061AF"/>
          </w:tcPr>
          <w:p>
            <w:pPr>
              <w:jc w:val="right"/>
              <w:ind w:right="337"/>
              <w:spacing w:after="0" w:line="143" w:lineRule="exact"/>
              <w:rPr>
                <w:sz w:val="20"/>
                <w:szCs w:val="20"/>
                <w:color w:val="auto"/>
              </w:rPr>
            </w:pPr>
            <w:r>
              <w:rPr>
                <w:rFonts w:ascii="Arial" w:cs="Arial" w:eastAsia="Arial" w:hAnsi="Arial"/>
                <w:sz w:val="10"/>
                <w:szCs w:val="10"/>
                <w:b w:val="1"/>
                <w:bCs w:val="1"/>
                <w:color w:val="FFFFFF"/>
              </w:rPr>
              <w:t>2020</w:t>
            </w:r>
            <w:r>
              <w:rPr>
                <w:rFonts w:ascii="Arial" w:cs="Arial" w:eastAsia="Arial" w:hAnsi="Arial"/>
                <w:sz w:val="16"/>
                <w:szCs w:val="16"/>
                <w:b w:val="1"/>
                <w:bCs w:val="1"/>
                <w:color w:val="FFFFFF"/>
                <w:vertAlign w:val="superscript"/>
              </w:rPr>
              <w:t>(2)</w:t>
            </w:r>
          </w:p>
        </w:tc>
        <w:tc>
          <w:tcPr>
            <w:tcW w:w="13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Distributions</w:t>
            </w:r>
          </w:p>
        </w:tc>
        <w:tc>
          <w:tcPr>
            <w:tcW w:w="1400" w:type="dxa"/>
            <w:vAlign w:val="bottom"/>
            <w:shd w:val="clear" w:color="auto" w:fill="0061AF"/>
          </w:tcPr>
          <w:p>
            <w:pPr>
              <w:jc w:val="right"/>
              <w:ind w:right="397"/>
              <w:spacing w:after="0" w:line="143" w:lineRule="exact"/>
              <w:rPr>
                <w:sz w:val="20"/>
                <w:szCs w:val="20"/>
                <w:color w:val="auto"/>
              </w:rPr>
            </w:pPr>
            <w:r>
              <w:rPr>
                <w:rFonts w:ascii="Arial" w:cs="Arial" w:eastAsia="Arial" w:hAnsi="Arial"/>
                <w:sz w:val="10"/>
                <w:szCs w:val="10"/>
                <w:b w:val="1"/>
                <w:bCs w:val="1"/>
                <w:color w:val="FFFFFF"/>
              </w:rPr>
              <w:t>2020</w:t>
            </w:r>
            <w:r>
              <w:rPr>
                <w:rFonts w:ascii="Arial" w:cs="Arial" w:eastAsia="Arial" w:hAnsi="Arial"/>
                <w:sz w:val="16"/>
                <w:szCs w:val="16"/>
                <w:b w:val="1"/>
                <w:bCs w:val="1"/>
                <w:color w:val="FFFFFF"/>
                <w:vertAlign w:val="superscript"/>
              </w:rPr>
              <w:t>(3)</w:t>
            </w:r>
          </w:p>
        </w:tc>
      </w:tr>
      <w:tr>
        <w:trPr>
          <w:trHeight w:val="167"/>
        </w:trPr>
        <w:tc>
          <w:tcPr>
            <w:tcW w:w="96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580" w:type="dxa"/>
            <w:vAlign w:val="bottom"/>
            <w:shd w:val="clear" w:color="auto" w:fill="0061AF"/>
          </w:tcPr>
          <w:p>
            <w:pPr>
              <w:spacing w:after="0"/>
              <w:rPr>
                <w:sz w:val="14"/>
                <w:szCs w:val="14"/>
                <w:color w:val="auto"/>
              </w:rPr>
            </w:pPr>
          </w:p>
        </w:tc>
        <w:tc>
          <w:tcPr>
            <w:tcW w:w="1840" w:type="dxa"/>
            <w:vAlign w:val="bottom"/>
            <w:shd w:val="clear" w:color="auto" w:fill="0061AF"/>
          </w:tcPr>
          <w:p>
            <w:pPr>
              <w:ind w:left="380"/>
              <w:spacing w:after="0"/>
              <w:rPr>
                <w:sz w:val="20"/>
                <w:szCs w:val="20"/>
                <w:color w:val="auto"/>
              </w:rPr>
            </w:pPr>
            <w:r>
              <w:rPr>
                <w:rFonts w:ascii="Arial" w:cs="Arial" w:eastAsia="Arial" w:hAnsi="Arial"/>
                <w:sz w:val="13"/>
                <w:szCs w:val="13"/>
                <w:b w:val="1"/>
                <w:bCs w:val="1"/>
                <w:color w:val="FFFFFF"/>
              </w:rPr>
              <w:t>Plan Name</w:t>
            </w:r>
          </w:p>
        </w:tc>
        <w:tc>
          <w:tcPr>
            <w:tcW w:w="12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87"/>
              </w:rPr>
              <w:t>($)</w:t>
            </w:r>
          </w:p>
        </w:tc>
        <w:tc>
          <w:tcPr>
            <w:tcW w:w="122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shd w:val="clear" w:color="auto" w:fill="0061AF"/>
          </w:tcPr>
          <w:p>
            <w:pPr>
              <w:jc w:val="right"/>
              <w:ind w:right="457"/>
              <w:spacing w:after="0"/>
              <w:rPr>
                <w:sz w:val="20"/>
                <w:szCs w:val="20"/>
                <w:color w:val="auto"/>
              </w:rPr>
            </w:pPr>
            <w:r>
              <w:rPr>
                <w:rFonts w:ascii="Arial" w:cs="Arial" w:eastAsia="Arial" w:hAnsi="Arial"/>
                <w:sz w:val="13"/>
                <w:szCs w:val="13"/>
                <w:b w:val="1"/>
                <w:bCs w:val="1"/>
                <w:color w:val="FFFFFF"/>
              </w:rPr>
              <w:t>($)</w:t>
            </w:r>
          </w:p>
        </w:tc>
        <w:tc>
          <w:tcPr>
            <w:tcW w:w="13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87"/>
              </w:rPr>
              <w:t>($)</w:t>
            </w:r>
          </w:p>
        </w:tc>
        <w:tc>
          <w:tcPr>
            <w:tcW w:w="1400" w:type="dxa"/>
            <w:vAlign w:val="bottom"/>
            <w:shd w:val="clear" w:color="auto" w:fill="0061AF"/>
          </w:tcPr>
          <w:p>
            <w:pPr>
              <w:jc w:val="right"/>
              <w:ind w:right="517"/>
              <w:spacing w:after="0"/>
              <w:rPr>
                <w:sz w:val="20"/>
                <w:szCs w:val="20"/>
                <w:color w:val="auto"/>
              </w:rPr>
            </w:pPr>
            <w:r>
              <w:rPr>
                <w:rFonts w:ascii="Arial" w:cs="Arial" w:eastAsia="Arial" w:hAnsi="Arial"/>
                <w:sz w:val="13"/>
                <w:szCs w:val="13"/>
                <w:b w:val="1"/>
                <w:bCs w:val="1"/>
                <w:color w:val="FFFFFF"/>
              </w:rPr>
              <w:t>($)</w:t>
            </w:r>
          </w:p>
        </w:tc>
      </w:tr>
      <w:tr>
        <w:trPr>
          <w:trHeight w:val="143"/>
        </w:trPr>
        <w:tc>
          <w:tcPr>
            <w:tcW w:w="960" w:type="dxa"/>
            <w:vAlign w:val="bottom"/>
          </w:tcPr>
          <w:p>
            <w:pPr>
              <w:ind w:left="80"/>
              <w:spacing w:after="0" w:line="143" w:lineRule="exact"/>
              <w:rPr>
                <w:sz w:val="20"/>
                <w:szCs w:val="20"/>
                <w:color w:val="auto"/>
              </w:rPr>
            </w:pPr>
            <w:r>
              <w:rPr>
                <w:rFonts w:ascii="Arial" w:cs="Arial" w:eastAsia="Arial" w:hAnsi="Arial"/>
                <w:sz w:val="13"/>
                <w:szCs w:val="13"/>
                <w:color w:val="auto"/>
              </w:rPr>
              <w:t>Lesar</w:t>
            </w:r>
          </w:p>
        </w:tc>
        <w:tc>
          <w:tcPr>
            <w:tcW w:w="24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CNP Savings Restoration Plan</w:t>
            </w:r>
          </w:p>
        </w:tc>
        <w:tc>
          <w:tcPr>
            <w:tcW w:w="12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35,100</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5,742</w:t>
            </w:r>
          </w:p>
        </w:tc>
        <w:tc>
          <w:tcPr>
            <w:tcW w:w="134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40,842</w:t>
            </w:r>
          </w:p>
        </w:tc>
      </w:tr>
      <w:tr>
        <w:trPr>
          <w:trHeight w:val="143"/>
        </w:trPr>
        <w:tc>
          <w:tcPr>
            <w:tcW w:w="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Wells</w:t>
            </w:r>
          </w:p>
        </w:tc>
        <w:tc>
          <w:tcPr>
            <w:tcW w:w="2420" w:type="dxa"/>
            <w:vAlign w:val="bottom"/>
            <w:gridSpan w:val="2"/>
            <w:shd w:val="clear" w:color="auto" w:fill="D8E7F3"/>
          </w:tcPr>
          <w:p>
            <w:pPr>
              <w:ind w:left="280"/>
              <w:spacing w:after="0" w:line="143" w:lineRule="exact"/>
              <w:rPr>
                <w:sz w:val="20"/>
                <w:szCs w:val="20"/>
                <w:color w:val="auto"/>
              </w:rPr>
            </w:pPr>
            <w:r>
              <w:rPr>
                <w:rFonts w:ascii="Arial" w:cs="Arial" w:eastAsia="Arial" w:hAnsi="Arial"/>
                <w:sz w:val="13"/>
                <w:szCs w:val="13"/>
                <w:color w:val="auto"/>
              </w:rPr>
              <w:t>CNP Savings Restoration Plan</w:t>
            </w:r>
          </w:p>
        </w:tc>
        <w:tc>
          <w:tcPr>
            <w:tcW w:w="12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34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43"/>
        </w:trPr>
        <w:tc>
          <w:tcPr>
            <w:tcW w:w="960" w:type="dxa"/>
            <w:vAlign w:val="bottom"/>
          </w:tcPr>
          <w:p>
            <w:pPr>
              <w:ind w:left="80"/>
              <w:spacing w:after="0" w:line="143" w:lineRule="exact"/>
              <w:rPr>
                <w:sz w:val="20"/>
                <w:szCs w:val="20"/>
                <w:color w:val="auto"/>
              </w:rPr>
            </w:pPr>
            <w:r>
              <w:rPr>
                <w:rFonts w:ascii="Arial" w:cs="Arial" w:eastAsia="Arial" w:hAnsi="Arial"/>
                <w:sz w:val="13"/>
                <w:szCs w:val="13"/>
                <w:color w:val="auto"/>
              </w:rPr>
              <w:t>Colvin</w:t>
            </w:r>
          </w:p>
        </w:tc>
        <w:tc>
          <w:tcPr>
            <w:tcW w:w="24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2005 Deferred Compensation Plan</w:t>
            </w:r>
          </w:p>
        </w:tc>
        <w:tc>
          <w:tcPr>
            <w:tcW w:w="12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43"/>
        </w:trPr>
        <w:tc>
          <w:tcPr>
            <w:tcW w:w="960" w:type="dxa"/>
            <w:vAlign w:val="bottom"/>
            <w:shd w:val="clear" w:color="auto" w:fill="D8E7F3"/>
          </w:tcPr>
          <w:p>
            <w:pPr>
              <w:spacing w:after="0"/>
              <w:rPr>
                <w:sz w:val="12"/>
                <w:szCs w:val="12"/>
                <w:color w:val="auto"/>
              </w:rPr>
            </w:pPr>
          </w:p>
        </w:tc>
        <w:tc>
          <w:tcPr>
            <w:tcW w:w="2420" w:type="dxa"/>
            <w:vAlign w:val="bottom"/>
            <w:gridSpan w:val="2"/>
            <w:shd w:val="clear" w:color="auto" w:fill="D8E7F3"/>
          </w:tcPr>
          <w:p>
            <w:pPr>
              <w:ind w:left="280"/>
              <w:spacing w:after="0" w:line="143" w:lineRule="exact"/>
              <w:rPr>
                <w:sz w:val="20"/>
                <w:szCs w:val="20"/>
                <w:color w:val="auto"/>
              </w:rPr>
            </w:pPr>
            <w:r>
              <w:rPr>
                <w:rFonts w:ascii="Arial" w:cs="Arial" w:eastAsia="Arial" w:hAnsi="Arial"/>
                <w:sz w:val="13"/>
                <w:szCs w:val="13"/>
                <w:color w:val="auto"/>
              </w:rPr>
              <w:t>CNP Savings Restoration Plan</w:t>
            </w:r>
          </w:p>
        </w:tc>
        <w:tc>
          <w:tcPr>
            <w:tcW w:w="12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30,459</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59,459</w:t>
            </w:r>
          </w:p>
        </w:tc>
        <w:tc>
          <w:tcPr>
            <w:tcW w:w="134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299,408</w:t>
            </w:r>
          </w:p>
        </w:tc>
      </w:tr>
      <w:tr>
        <w:trPr>
          <w:trHeight w:val="143"/>
        </w:trPr>
        <w:tc>
          <w:tcPr>
            <w:tcW w:w="960" w:type="dxa"/>
            <w:vAlign w:val="bottom"/>
          </w:tcPr>
          <w:p>
            <w:pPr>
              <w:spacing w:after="0"/>
              <w:rPr>
                <w:sz w:val="12"/>
                <w:szCs w:val="12"/>
                <w:color w:val="auto"/>
              </w:rPr>
            </w:pPr>
          </w:p>
        </w:tc>
        <w:tc>
          <w:tcPr>
            <w:tcW w:w="580" w:type="dxa"/>
            <w:vAlign w:val="bottom"/>
          </w:tcPr>
          <w:p>
            <w:pPr>
              <w:ind w:left="280"/>
              <w:spacing w:after="0" w:line="143" w:lineRule="exact"/>
              <w:rPr>
                <w:sz w:val="20"/>
                <w:szCs w:val="20"/>
                <w:color w:val="auto"/>
              </w:rPr>
            </w:pPr>
            <w:r>
              <w:rPr>
                <w:rFonts w:ascii="Arial" w:cs="Arial" w:eastAsia="Arial" w:hAnsi="Arial"/>
                <w:sz w:val="13"/>
                <w:szCs w:val="13"/>
                <w:color w:val="auto"/>
                <w:w w:val="96"/>
              </w:rPr>
              <w:t>1991</w:t>
            </w:r>
          </w:p>
        </w:tc>
        <w:tc>
          <w:tcPr>
            <w:tcW w:w="1840" w:type="dxa"/>
            <w:vAlign w:val="bottom"/>
          </w:tcPr>
          <w:p>
            <w:pPr>
              <w:ind w:left="20"/>
              <w:spacing w:after="0" w:line="143" w:lineRule="exact"/>
              <w:rPr>
                <w:sz w:val="20"/>
                <w:szCs w:val="20"/>
                <w:color w:val="auto"/>
              </w:rPr>
            </w:pPr>
            <w:r>
              <w:rPr>
                <w:rFonts w:ascii="Arial" w:cs="Arial" w:eastAsia="Arial" w:hAnsi="Arial"/>
                <w:sz w:val="13"/>
                <w:szCs w:val="13"/>
                <w:color w:val="auto"/>
              </w:rPr>
              <w:t>Deferred Compensation Plan</w:t>
            </w:r>
          </w:p>
        </w:tc>
        <w:tc>
          <w:tcPr>
            <w:tcW w:w="12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4,725</w:t>
            </w:r>
          </w:p>
        </w:tc>
        <w:tc>
          <w:tcPr>
            <w:tcW w:w="1340" w:type="dxa"/>
            <w:vAlign w:val="bottom"/>
          </w:tcPr>
          <w:p>
            <w:pPr>
              <w:spacing w:after="0"/>
              <w:rPr>
                <w:sz w:val="12"/>
                <w:szCs w:val="12"/>
                <w:color w:val="auto"/>
              </w:rPr>
            </w:pPr>
          </w:p>
        </w:tc>
        <w:tc>
          <w:tcPr>
            <w:tcW w:w="140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23,791</w:t>
            </w:r>
          </w:p>
        </w:tc>
      </w:tr>
      <w:tr>
        <w:trPr>
          <w:trHeight w:val="143"/>
        </w:trPr>
        <w:tc>
          <w:tcPr>
            <w:tcW w:w="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Carroll</w:t>
            </w:r>
          </w:p>
        </w:tc>
        <w:tc>
          <w:tcPr>
            <w:tcW w:w="580" w:type="dxa"/>
            <w:vAlign w:val="bottom"/>
            <w:shd w:val="clear" w:color="auto" w:fill="D8E7F3"/>
          </w:tcPr>
          <w:p>
            <w:pPr>
              <w:ind w:left="280"/>
              <w:spacing w:after="0" w:line="143" w:lineRule="exact"/>
              <w:rPr>
                <w:sz w:val="20"/>
                <w:szCs w:val="20"/>
                <w:color w:val="auto"/>
              </w:rPr>
            </w:pPr>
            <w:r>
              <w:rPr>
                <w:rFonts w:ascii="Arial" w:cs="Arial" w:eastAsia="Arial" w:hAnsi="Arial"/>
                <w:sz w:val="13"/>
                <w:szCs w:val="13"/>
                <w:color w:val="auto"/>
                <w:w w:val="96"/>
              </w:rPr>
              <w:t>1989</w:t>
            </w:r>
          </w:p>
        </w:tc>
        <w:tc>
          <w:tcPr>
            <w:tcW w:w="1840" w:type="dxa"/>
            <w:vAlign w:val="bottom"/>
            <w:shd w:val="clear" w:color="auto" w:fill="D8E7F3"/>
          </w:tcPr>
          <w:p>
            <w:pPr>
              <w:ind w:left="20"/>
              <w:spacing w:after="0" w:line="143" w:lineRule="exact"/>
              <w:rPr>
                <w:sz w:val="20"/>
                <w:szCs w:val="20"/>
                <w:color w:val="auto"/>
              </w:rPr>
            </w:pPr>
            <w:r>
              <w:rPr>
                <w:rFonts w:ascii="Arial" w:cs="Arial" w:eastAsia="Arial" w:hAnsi="Arial"/>
                <w:sz w:val="13"/>
                <w:szCs w:val="13"/>
                <w:color w:val="auto"/>
              </w:rPr>
              <w:t>Deferred Compensation Plan</w:t>
            </w:r>
          </w:p>
        </w:tc>
        <w:tc>
          <w:tcPr>
            <w:tcW w:w="12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40,048</w:t>
            </w:r>
          </w:p>
        </w:tc>
        <w:tc>
          <w:tcPr>
            <w:tcW w:w="134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767,643</w:t>
            </w:r>
          </w:p>
        </w:tc>
      </w:tr>
      <w:tr>
        <w:trPr>
          <w:trHeight w:val="143"/>
        </w:trPr>
        <w:tc>
          <w:tcPr>
            <w:tcW w:w="960" w:type="dxa"/>
            <w:vAlign w:val="bottom"/>
          </w:tcPr>
          <w:p>
            <w:pPr>
              <w:spacing w:after="0"/>
              <w:rPr>
                <w:sz w:val="12"/>
                <w:szCs w:val="12"/>
                <w:color w:val="auto"/>
              </w:rPr>
            </w:pPr>
          </w:p>
        </w:tc>
        <w:tc>
          <w:tcPr>
            <w:tcW w:w="580" w:type="dxa"/>
            <w:vAlign w:val="bottom"/>
          </w:tcPr>
          <w:p>
            <w:pPr>
              <w:ind w:left="280"/>
              <w:spacing w:after="0" w:line="143" w:lineRule="exact"/>
              <w:rPr>
                <w:sz w:val="20"/>
                <w:szCs w:val="20"/>
                <w:color w:val="auto"/>
              </w:rPr>
            </w:pPr>
            <w:r>
              <w:rPr>
                <w:rFonts w:ascii="Arial" w:cs="Arial" w:eastAsia="Arial" w:hAnsi="Arial"/>
                <w:sz w:val="13"/>
                <w:szCs w:val="13"/>
                <w:color w:val="auto"/>
                <w:w w:val="96"/>
              </w:rPr>
              <w:t>2005</w:t>
            </w:r>
          </w:p>
        </w:tc>
        <w:tc>
          <w:tcPr>
            <w:tcW w:w="1840" w:type="dxa"/>
            <w:vAlign w:val="bottom"/>
          </w:tcPr>
          <w:p>
            <w:pPr>
              <w:ind w:left="20"/>
              <w:spacing w:after="0" w:line="143" w:lineRule="exact"/>
              <w:rPr>
                <w:sz w:val="20"/>
                <w:szCs w:val="20"/>
                <w:color w:val="auto"/>
              </w:rPr>
            </w:pPr>
            <w:r>
              <w:rPr>
                <w:rFonts w:ascii="Arial" w:cs="Arial" w:eastAsia="Arial" w:hAnsi="Arial"/>
                <w:sz w:val="13"/>
                <w:szCs w:val="13"/>
                <w:color w:val="auto"/>
              </w:rPr>
              <w:t>Deferred Compensation Plan</w:t>
            </w:r>
          </w:p>
        </w:tc>
        <w:tc>
          <w:tcPr>
            <w:tcW w:w="12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114,000</w:t>
            </w:r>
          </w:p>
        </w:tc>
        <w:tc>
          <w:tcPr>
            <w:tcW w:w="12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72,573</w:t>
            </w:r>
          </w:p>
        </w:tc>
        <w:tc>
          <w:tcPr>
            <w:tcW w:w="134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1,255,155</w:t>
            </w:r>
          </w:p>
        </w:tc>
      </w:tr>
      <w:tr>
        <w:trPr>
          <w:trHeight w:val="143"/>
        </w:trPr>
        <w:tc>
          <w:tcPr>
            <w:tcW w:w="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Doyle</w:t>
            </w:r>
          </w:p>
        </w:tc>
        <w:tc>
          <w:tcPr>
            <w:tcW w:w="580" w:type="dxa"/>
            <w:vAlign w:val="bottom"/>
            <w:shd w:val="clear" w:color="auto" w:fill="D8E7F3"/>
          </w:tcPr>
          <w:p>
            <w:pPr>
              <w:ind w:left="280"/>
              <w:spacing w:after="0" w:line="143" w:lineRule="exact"/>
              <w:rPr>
                <w:sz w:val="20"/>
                <w:szCs w:val="20"/>
                <w:color w:val="auto"/>
              </w:rPr>
            </w:pPr>
            <w:r>
              <w:rPr>
                <w:rFonts w:ascii="Arial" w:cs="Arial" w:eastAsia="Arial" w:hAnsi="Arial"/>
                <w:sz w:val="13"/>
                <w:szCs w:val="13"/>
                <w:color w:val="auto"/>
                <w:w w:val="96"/>
              </w:rPr>
              <w:t>2005</w:t>
            </w:r>
          </w:p>
        </w:tc>
        <w:tc>
          <w:tcPr>
            <w:tcW w:w="1840" w:type="dxa"/>
            <w:vAlign w:val="bottom"/>
            <w:shd w:val="clear" w:color="auto" w:fill="D8E7F3"/>
          </w:tcPr>
          <w:p>
            <w:pPr>
              <w:ind w:left="20"/>
              <w:spacing w:after="0" w:line="143" w:lineRule="exact"/>
              <w:rPr>
                <w:sz w:val="20"/>
                <w:szCs w:val="20"/>
                <w:color w:val="auto"/>
              </w:rPr>
            </w:pPr>
            <w:r>
              <w:rPr>
                <w:rFonts w:ascii="Arial" w:cs="Arial" w:eastAsia="Arial" w:hAnsi="Arial"/>
                <w:sz w:val="13"/>
                <w:szCs w:val="13"/>
                <w:color w:val="auto"/>
              </w:rPr>
              <w:t>Deferred Compensation Plan</w:t>
            </w:r>
          </w:p>
        </w:tc>
        <w:tc>
          <w:tcPr>
            <w:tcW w:w="12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76,000</w:t>
            </w:r>
          </w:p>
        </w:tc>
        <w:tc>
          <w:tcPr>
            <w:tcW w:w="12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19,093</w:t>
            </w:r>
          </w:p>
        </w:tc>
        <w:tc>
          <w:tcPr>
            <w:tcW w:w="134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401,173</w:t>
            </w:r>
          </w:p>
        </w:tc>
      </w:tr>
      <w:tr>
        <w:trPr>
          <w:trHeight w:val="143"/>
        </w:trPr>
        <w:tc>
          <w:tcPr>
            <w:tcW w:w="960" w:type="dxa"/>
            <w:vAlign w:val="bottom"/>
          </w:tcPr>
          <w:p>
            <w:pPr>
              <w:spacing w:after="0"/>
              <w:rPr>
                <w:sz w:val="12"/>
                <w:szCs w:val="12"/>
                <w:color w:val="auto"/>
              </w:rPr>
            </w:pPr>
          </w:p>
        </w:tc>
        <w:tc>
          <w:tcPr>
            <w:tcW w:w="24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CNP Savings Restoration Plan</w:t>
            </w:r>
          </w:p>
        </w:tc>
        <w:tc>
          <w:tcPr>
            <w:tcW w:w="12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28,590</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11,789</w:t>
            </w:r>
          </w:p>
        </w:tc>
        <w:tc>
          <w:tcPr>
            <w:tcW w:w="134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150,482</w:t>
            </w:r>
          </w:p>
        </w:tc>
      </w:tr>
      <w:tr>
        <w:trPr>
          <w:trHeight w:val="143"/>
        </w:trPr>
        <w:tc>
          <w:tcPr>
            <w:tcW w:w="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Knight</w:t>
            </w:r>
          </w:p>
        </w:tc>
        <w:tc>
          <w:tcPr>
            <w:tcW w:w="2420" w:type="dxa"/>
            <w:vAlign w:val="bottom"/>
            <w:gridSpan w:val="2"/>
            <w:shd w:val="clear" w:color="auto" w:fill="D8E7F3"/>
          </w:tcPr>
          <w:p>
            <w:pPr>
              <w:ind w:left="280"/>
              <w:spacing w:after="0" w:line="143" w:lineRule="exact"/>
              <w:rPr>
                <w:sz w:val="20"/>
                <w:szCs w:val="20"/>
                <w:color w:val="auto"/>
              </w:rPr>
            </w:pPr>
            <w:r>
              <w:rPr>
                <w:rFonts w:ascii="Arial" w:cs="Arial" w:eastAsia="Arial" w:hAnsi="Arial"/>
                <w:sz w:val="13"/>
                <w:szCs w:val="13"/>
                <w:color w:val="auto"/>
              </w:rPr>
              <w:t>2005 Deferred Compensation Plan</w:t>
            </w:r>
          </w:p>
        </w:tc>
        <w:tc>
          <w:tcPr>
            <w:tcW w:w="12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34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43"/>
        </w:trPr>
        <w:tc>
          <w:tcPr>
            <w:tcW w:w="960" w:type="dxa"/>
            <w:vAlign w:val="bottom"/>
          </w:tcPr>
          <w:p>
            <w:pPr>
              <w:spacing w:after="0"/>
              <w:rPr>
                <w:sz w:val="12"/>
                <w:szCs w:val="12"/>
                <w:color w:val="auto"/>
              </w:rPr>
            </w:pPr>
          </w:p>
        </w:tc>
        <w:tc>
          <w:tcPr>
            <w:tcW w:w="24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CNP Savings Restoration Plan</w:t>
            </w:r>
          </w:p>
        </w:tc>
        <w:tc>
          <w:tcPr>
            <w:tcW w:w="12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43"/>
        </w:trPr>
        <w:tc>
          <w:tcPr>
            <w:tcW w:w="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Prochazka</w:t>
            </w:r>
          </w:p>
        </w:tc>
        <w:tc>
          <w:tcPr>
            <w:tcW w:w="580" w:type="dxa"/>
            <w:vAlign w:val="bottom"/>
            <w:shd w:val="clear" w:color="auto" w:fill="D8E7F3"/>
          </w:tcPr>
          <w:p>
            <w:pPr>
              <w:ind w:left="280"/>
              <w:spacing w:after="0" w:line="143" w:lineRule="exact"/>
              <w:rPr>
                <w:sz w:val="20"/>
                <w:szCs w:val="20"/>
                <w:color w:val="auto"/>
              </w:rPr>
            </w:pPr>
            <w:r>
              <w:rPr>
                <w:rFonts w:ascii="Arial" w:cs="Arial" w:eastAsia="Arial" w:hAnsi="Arial"/>
                <w:sz w:val="13"/>
                <w:szCs w:val="13"/>
                <w:color w:val="auto"/>
                <w:w w:val="96"/>
              </w:rPr>
              <w:t>2005</w:t>
            </w:r>
          </w:p>
        </w:tc>
        <w:tc>
          <w:tcPr>
            <w:tcW w:w="1840" w:type="dxa"/>
            <w:vAlign w:val="bottom"/>
            <w:shd w:val="clear" w:color="auto" w:fill="D8E7F3"/>
          </w:tcPr>
          <w:p>
            <w:pPr>
              <w:ind w:left="20"/>
              <w:spacing w:after="0" w:line="143" w:lineRule="exact"/>
              <w:rPr>
                <w:sz w:val="20"/>
                <w:szCs w:val="20"/>
                <w:color w:val="auto"/>
              </w:rPr>
            </w:pPr>
            <w:r>
              <w:rPr>
                <w:rFonts w:ascii="Arial" w:cs="Arial" w:eastAsia="Arial" w:hAnsi="Arial"/>
                <w:sz w:val="13"/>
                <w:szCs w:val="13"/>
                <w:color w:val="auto"/>
              </w:rPr>
              <w:t>Deferred Compensation Plan</w:t>
            </w:r>
          </w:p>
        </w:tc>
        <w:tc>
          <w:tcPr>
            <w:tcW w:w="12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57"/>
              <w:spacing w:after="0" w:line="143" w:lineRule="exact"/>
              <w:rPr>
                <w:sz w:val="20"/>
                <w:szCs w:val="20"/>
                <w:color w:val="auto"/>
              </w:rPr>
            </w:pPr>
            <w:r>
              <w:rPr>
                <w:rFonts w:ascii="Arial" w:cs="Arial" w:eastAsia="Arial" w:hAnsi="Arial"/>
                <w:sz w:val="13"/>
                <w:szCs w:val="13"/>
                <w:color w:val="auto"/>
              </w:rPr>
              <w:t>(12,564)</w:t>
            </w:r>
          </w:p>
        </w:tc>
        <w:tc>
          <w:tcPr>
            <w:tcW w:w="134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(514,842)</w:t>
            </w:r>
          </w:p>
        </w:tc>
        <w:tc>
          <w:tcPr>
            <w:tcW w:w="140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43"/>
        </w:trPr>
        <w:tc>
          <w:tcPr>
            <w:tcW w:w="960" w:type="dxa"/>
            <w:vAlign w:val="bottom"/>
          </w:tcPr>
          <w:p>
            <w:pPr>
              <w:spacing w:after="0"/>
              <w:rPr>
                <w:sz w:val="12"/>
                <w:szCs w:val="12"/>
                <w:color w:val="auto"/>
              </w:rPr>
            </w:pPr>
          </w:p>
        </w:tc>
        <w:tc>
          <w:tcPr>
            <w:tcW w:w="24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CNP Savings Restoration Plan</w:t>
            </w:r>
          </w:p>
        </w:tc>
        <w:tc>
          <w:tcPr>
            <w:tcW w:w="12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9,733</w:t>
            </w:r>
          </w:p>
        </w:tc>
        <w:tc>
          <w:tcPr>
            <w:tcW w:w="134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(1,241,776)</w:t>
            </w:r>
          </w:p>
        </w:tc>
        <w:tc>
          <w:tcPr>
            <w:tcW w:w="140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43"/>
        </w:trPr>
        <w:tc>
          <w:tcPr>
            <w:tcW w:w="960" w:type="dxa"/>
            <w:vAlign w:val="bottom"/>
            <w:shd w:val="clear" w:color="auto" w:fill="D8E7F3"/>
          </w:tcPr>
          <w:p>
            <w:pPr>
              <w:spacing w:after="0"/>
              <w:rPr>
                <w:sz w:val="12"/>
                <w:szCs w:val="12"/>
                <w:color w:val="auto"/>
              </w:rPr>
            </w:pPr>
          </w:p>
        </w:tc>
        <w:tc>
          <w:tcPr>
            <w:tcW w:w="580" w:type="dxa"/>
            <w:vAlign w:val="bottom"/>
            <w:shd w:val="clear" w:color="auto" w:fill="D8E7F3"/>
          </w:tcPr>
          <w:p>
            <w:pPr>
              <w:ind w:left="280"/>
              <w:spacing w:after="0" w:line="143" w:lineRule="exact"/>
              <w:rPr>
                <w:sz w:val="20"/>
                <w:szCs w:val="20"/>
                <w:color w:val="auto"/>
              </w:rPr>
            </w:pPr>
            <w:r>
              <w:rPr>
                <w:rFonts w:ascii="Arial" w:cs="Arial" w:eastAsia="Arial" w:hAnsi="Arial"/>
                <w:sz w:val="13"/>
                <w:szCs w:val="13"/>
                <w:color w:val="auto"/>
                <w:w w:val="96"/>
              </w:rPr>
              <w:t>1991</w:t>
            </w:r>
          </w:p>
        </w:tc>
        <w:tc>
          <w:tcPr>
            <w:tcW w:w="1840" w:type="dxa"/>
            <w:vAlign w:val="bottom"/>
            <w:shd w:val="clear" w:color="auto" w:fill="D8E7F3"/>
          </w:tcPr>
          <w:p>
            <w:pPr>
              <w:ind w:left="20"/>
              <w:spacing w:after="0" w:line="143" w:lineRule="exact"/>
              <w:rPr>
                <w:sz w:val="20"/>
                <w:szCs w:val="20"/>
                <w:color w:val="auto"/>
              </w:rPr>
            </w:pPr>
            <w:r>
              <w:rPr>
                <w:rFonts w:ascii="Arial" w:cs="Arial" w:eastAsia="Arial" w:hAnsi="Arial"/>
                <w:sz w:val="13"/>
                <w:szCs w:val="13"/>
                <w:color w:val="auto"/>
              </w:rPr>
              <w:t>Savings Restoration Plan</w:t>
            </w:r>
          </w:p>
        </w:tc>
        <w:tc>
          <w:tcPr>
            <w:tcW w:w="12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340" w:type="dxa"/>
            <w:vAlign w:val="bottom"/>
            <w:shd w:val="clear" w:color="auto" w:fill="D8E7F3"/>
          </w:tcPr>
          <w:p>
            <w:pPr>
              <w:jc w:val="right"/>
              <w:ind w:right="237"/>
              <w:spacing w:after="0" w:line="143" w:lineRule="exact"/>
              <w:rPr>
                <w:sz w:val="20"/>
                <w:szCs w:val="20"/>
                <w:color w:val="auto"/>
              </w:rPr>
            </w:pPr>
            <w:r>
              <w:rPr>
                <w:rFonts w:ascii="Arial" w:cs="Arial" w:eastAsia="Arial" w:hAnsi="Arial"/>
                <w:sz w:val="13"/>
                <w:szCs w:val="13"/>
                <w:color w:val="auto"/>
              </w:rPr>
              <w:t>(34,187)</w:t>
            </w:r>
          </w:p>
        </w:tc>
        <w:tc>
          <w:tcPr>
            <w:tcW w:w="140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43"/>
        </w:trPr>
        <w:tc>
          <w:tcPr>
            <w:tcW w:w="960" w:type="dxa"/>
            <w:vAlign w:val="bottom"/>
          </w:tcPr>
          <w:p>
            <w:pPr>
              <w:ind w:left="80"/>
              <w:spacing w:after="0" w:line="143" w:lineRule="exact"/>
              <w:rPr>
                <w:sz w:val="20"/>
                <w:szCs w:val="20"/>
                <w:color w:val="auto"/>
              </w:rPr>
            </w:pPr>
            <w:r>
              <w:rPr>
                <w:rFonts w:ascii="Arial" w:cs="Arial" w:eastAsia="Arial" w:hAnsi="Arial"/>
                <w:sz w:val="13"/>
                <w:szCs w:val="13"/>
                <w:color w:val="auto"/>
              </w:rPr>
              <w:t>Liu</w:t>
            </w:r>
          </w:p>
        </w:tc>
        <w:tc>
          <w:tcPr>
            <w:tcW w:w="2420" w:type="dxa"/>
            <w:vAlign w:val="bottom"/>
            <w:gridSpan w:val="2"/>
          </w:tcPr>
          <w:p>
            <w:pPr>
              <w:ind w:left="280"/>
              <w:spacing w:after="0" w:line="143" w:lineRule="exact"/>
              <w:rPr>
                <w:sz w:val="20"/>
                <w:szCs w:val="20"/>
                <w:color w:val="auto"/>
              </w:rPr>
            </w:pPr>
            <w:r>
              <w:rPr>
                <w:rFonts w:ascii="Arial" w:cs="Arial" w:eastAsia="Arial" w:hAnsi="Arial"/>
                <w:sz w:val="13"/>
                <w:szCs w:val="13"/>
                <w:color w:val="auto"/>
              </w:rPr>
              <w:t>CNP Savings Restoration Plan</w:t>
            </w:r>
          </w:p>
        </w:tc>
        <w:tc>
          <w:tcPr>
            <w:tcW w:w="12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8</w:t>
            </w:r>
          </w:p>
        </w:tc>
        <w:tc>
          <w:tcPr>
            <w:tcW w:w="1340" w:type="dxa"/>
            <w:vAlign w:val="bottom"/>
          </w:tcPr>
          <w:p>
            <w:pPr>
              <w:jc w:val="right"/>
              <w:ind w:right="237"/>
              <w:spacing w:after="0" w:line="143" w:lineRule="exact"/>
              <w:rPr>
                <w:sz w:val="20"/>
                <w:szCs w:val="20"/>
                <w:color w:val="auto"/>
              </w:rPr>
            </w:pPr>
            <w:r>
              <w:rPr>
                <w:rFonts w:ascii="Arial" w:cs="Arial" w:eastAsia="Arial" w:hAnsi="Arial"/>
                <w:sz w:val="13"/>
                <w:szCs w:val="13"/>
                <w:color w:val="auto"/>
              </w:rPr>
              <w:t>(6,769)</w:t>
            </w:r>
          </w:p>
        </w:tc>
        <w:tc>
          <w:tcPr>
            <w:tcW w:w="1400" w:type="dxa"/>
            <w:vAlign w:val="bottom"/>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43"/>
        </w:trPr>
        <w:tc>
          <w:tcPr>
            <w:tcW w:w="9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Vortherms</w:t>
            </w:r>
          </w:p>
        </w:tc>
        <w:tc>
          <w:tcPr>
            <w:tcW w:w="2420" w:type="dxa"/>
            <w:vAlign w:val="bottom"/>
            <w:gridSpan w:val="2"/>
            <w:shd w:val="clear" w:color="auto" w:fill="D8E7F3"/>
          </w:tcPr>
          <w:p>
            <w:pPr>
              <w:ind w:left="280"/>
              <w:spacing w:after="0" w:line="143" w:lineRule="exact"/>
              <w:rPr>
                <w:sz w:val="20"/>
                <w:szCs w:val="20"/>
                <w:color w:val="auto"/>
              </w:rPr>
            </w:pPr>
            <w:r>
              <w:rPr>
                <w:rFonts w:ascii="Arial" w:cs="Arial" w:eastAsia="Arial" w:hAnsi="Arial"/>
                <w:sz w:val="13"/>
                <w:szCs w:val="13"/>
                <w:color w:val="auto"/>
              </w:rPr>
              <w:t>2005 Deferred Compensation Plan</w:t>
            </w:r>
          </w:p>
        </w:tc>
        <w:tc>
          <w:tcPr>
            <w:tcW w:w="1220" w:type="dxa"/>
            <w:vAlign w:val="bottom"/>
            <w:shd w:val="clear" w:color="auto" w:fill="D8E7F3"/>
          </w:tcPr>
          <w:p>
            <w:pPr>
              <w:jc w:val="right"/>
              <w:ind w:right="317"/>
              <w:spacing w:after="0" w:line="143" w:lineRule="exact"/>
              <w:rPr>
                <w:sz w:val="20"/>
                <w:szCs w:val="20"/>
                <w:color w:val="auto"/>
              </w:rPr>
            </w:pPr>
            <w:r>
              <w:rPr>
                <w:rFonts w:ascii="Arial" w:cs="Arial" w:eastAsia="Arial" w:hAnsi="Arial"/>
                <w:sz w:val="13"/>
                <w:szCs w:val="13"/>
                <w:color w:val="auto"/>
              </w:rPr>
              <w:t>—</w:t>
            </w:r>
          </w:p>
        </w:tc>
        <w:tc>
          <w:tcPr>
            <w:tcW w:w="1220" w:type="dxa"/>
            <w:vAlign w:val="bottom"/>
            <w:shd w:val="clear" w:color="auto" w:fill="D8E7F3"/>
          </w:tcPr>
          <w:p>
            <w:pPr>
              <w:jc w:val="right"/>
              <w:ind w:right="337"/>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c>
          <w:tcPr>
            <w:tcW w:w="1340" w:type="dxa"/>
            <w:vAlign w:val="bottom"/>
            <w:shd w:val="clear" w:color="auto" w:fill="D8E7F3"/>
          </w:tcPr>
          <w:p>
            <w:pPr>
              <w:jc w:val="right"/>
              <w:ind w:right="277"/>
              <w:spacing w:after="0" w:line="143" w:lineRule="exact"/>
              <w:rPr>
                <w:sz w:val="20"/>
                <w:szCs w:val="20"/>
                <w:color w:val="auto"/>
              </w:rPr>
            </w:pPr>
            <w:r>
              <w:rPr>
                <w:rFonts w:ascii="Arial" w:cs="Arial" w:eastAsia="Arial" w:hAnsi="Arial"/>
                <w:sz w:val="13"/>
                <w:szCs w:val="13"/>
                <w:color w:val="auto"/>
              </w:rPr>
              <w:t>—</w:t>
            </w:r>
          </w:p>
        </w:tc>
        <w:tc>
          <w:tcPr>
            <w:tcW w:w="1400" w:type="dxa"/>
            <w:vAlign w:val="bottom"/>
            <w:shd w:val="clear" w:color="auto" w:fill="D8E7F3"/>
          </w:tcPr>
          <w:p>
            <w:pPr>
              <w:jc w:val="right"/>
              <w:ind w:right="297"/>
              <w:spacing w:after="0" w:line="143" w:lineRule="exact"/>
              <w:rPr>
                <w:sz w:val="20"/>
                <w:szCs w:val="20"/>
                <w:color w:val="auto"/>
              </w:rPr>
            </w:pPr>
            <w:r>
              <w:rPr>
                <w:rFonts w:ascii="Arial" w:cs="Arial" w:eastAsia="Arial" w:hAnsi="Arial"/>
                <w:sz w:val="13"/>
                <w:szCs w:val="13"/>
                <w:color w:val="auto"/>
              </w:rPr>
              <w:t>—</w:t>
            </w:r>
          </w:p>
        </w:tc>
      </w:tr>
      <w:tr>
        <w:trPr>
          <w:trHeight w:val="157"/>
        </w:trPr>
        <w:tc>
          <w:tcPr>
            <w:tcW w:w="960" w:type="dxa"/>
            <w:vAlign w:val="bottom"/>
          </w:tcPr>
          <w:p>
            <w:pPr>
              <w:spacing w:after="0"/>
              <w:rPr>
                <w:sz w:val="13"/>
                <w:szCs w:val="13"/>
                <w:color w:val="auto"/>
              </w:rPr>
            </w:pPr>
          </w:p>
        </w:tc>
        <w:tc>
          <w:tcPr>
            <w:tcW w:w="2420" w:type="dxa"/>
            <w:vAlign w:val="bottom"/>
            <w:gridSpan w:val="2"/>
          </w:tcPr>
          <w:p>
            <w:pPr>
              <w:ind w:left="280"/>
              <w:spacing w:after="0"/>
              <w:rPr>
                <w:sz w:val="20"/>
                <w:szCs w:val="20"/>
                <w:color w:val="auto"/>
              </w:rPr>
            </w:pPr>
            <w:r>
              <w:rPr>
                <w:rFonts w:ascii="Arial" w:cs="Arial" w:eastAsia="Arial" w:hAnsi="Arial"/>
                <w:sz w:val="13"/>
                <w:szCs w:val="13"/>
                <w:color w:val="auto"/>
              </w:rPr>
              <w:t>CNP Savings Restoration Plan</w:t>
            </w: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297"/>
              <w:spacing w:after="0"/>
              <w:rPr>
                <w:sz w:val="20"/>
                <w:szCs w:val="20"/>
                <w:color w:val="auto"/>
              </w:rPr>
            </w:pPr>
            <w:r>
              <w:rPr>
                <w:rFonts w:ascii="Arial" w:cs="Arial" w:eastAsia="Arial" w:hAnsi="Arial"/>
                <w:sz w:val="13"/>
                <w:szCs w:val="13"/>
                <w:color w:val="auto"/>
              </w:rPr>
              <w:t>59,046</w:t>
            </w:r>
          </w:p>
        </w:tc>
      </w:tr>
    </w:tbl>
    <w:p>
      <w:pPr>
        <w:spacing w:after="0" w:line="97" w:lineRule="exact"/>
        <w:rPr>
          <w:sz w:val="20"/>
          <w:szCs w:val="20"/>
          <w:color w:val="auto"/>
        </w:rPr>
      </w:pPr>
    </w:p>
    <w:p>
      <w:pPr>
        <w:jc w:val="both"/>
        <w:ind w:left="300" w:hanging="291"/>
        <w:spacing w:after="0" w:line="232" w:lineRule="auto"/>
        <w:tabs>
          <w:tab w:leader="none" w:pos="3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Registrant Contributions in 2020 column for the savings restoration plan include employer matching contributions that could not be made to the savings plan due to limitations under the Internal Revenue Code. Mr. Doyle’s contributions to the deferred compensation plan are also included in the Non-Equity Incentive Plan Compensation column of the Summary Compensation Table. Messrs. Carroll’s and Doyle’s contribution to the deferred compensation plan are included in the Salary column of the Summary Compensation Table. Our contributions to the savings plan and savings restoration plan for the senior executive officers are also included in the footnote to the All Other Compensation column of the Summary Compensation Table.</w:t>
      </w:r>
    </w:p>
    <w:p>
      <w:pPr>
        <w:spacing w:after="0" w:line="50" w:lineRule="exact"/>
        <w:rPr>
          <w:rFonts w:ascii="Arial" w:cs="Arial" w:eastAsia="Arial" w:hAnsi="Arial"/>
          <w:sz w:val="13"/>
          <w:szCs w:val="13"/>
          <w:color w:val="auto"/>
        </w:rPr>
      </w:pPr>
    </w:p>
    <w:p>
      <w:pPr>
        <w:jc w:val="both"/>
        <w:ind w:left="300" w:hanging="291"/>
        <w:spacing w:after="0" w:line="232" w:lineRule="auto"/>
        <w:tabs>
          <w:tab w:leader="none" w:pos="3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For the deferred compensation plans, Aggregate Earnings in 2020 consist of earnings on prior plan deferrals. Mr. Prochazka’s 2020 interest rate for the 2005 Deferred Compensation Plans was 3.22% with interest compounded annually; however, Mr. Prochazka forfeited the additional 2% interest previously earned because he was not at least 55 years of age when he separated from service. The 2020 interest rate for the 2005 Deferred Compensation Plan for Mr. Carroll was 5.82% with interest compounded annually on the month he attained age 65. The amounts are also included in the footnote to the Change in Pension Value and Nonqualified Deferred Compensation Earnings column of the Summary Compensation Table.</w:t>
      </w:r>
    </w:p>
    <w:p>
      <w:pPr>
        <w:spacing w:after="0" w:line="207"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7" w:name="page78"/>
    <w:bookmarkEnd w:id="7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6" w:lineRule="exact"/>
        <w:rPr>
          <w:sz w:val="20"/>
          <w:szCs w:val="20"/>
          <w:color w:val="auto"/>
        </w:rPr>
      </w:pPr>
    </w:p>
    <w:p>
      <w:pPr>
        <w:jc w:val="both"/>
        <w:ind w:left="300"/>
        <w:spacing w:after="0" w:line="234" w:lineRule="auto"/>
        <w:rPr>
          <w:sz w:val="20"/>
          <w:szCs w:val="20"/>
          <w:color w:val="auto"/>
        </w:rPr>
      </w:pPr>
      <w:r>
        <w:rPr>
          <w:rFonts w:ascii="Arial" w:cs="Arial" w:eastAsia="Arial" w:hAnsi="Arial"/>
          <w:sz w:val="13"/>
          <w:szCs w:val="13"/>
          <w:color w:val="auto"/>
        </w:rPr>
        <w:t>For the savings restoration plans, Aggregate Earnings in 2020 include gains and losses determined based on the participant’s balances as of January 1, 2020 plus any matching contributions credited for that year. The gains and losses are calculated using the annualized rate of return for the participant’s account in the plans based on the investment funds selected by the participant.</w:t>
      </w:r>
    </w:p>
    <w:p>
      <w:pPr>
        <w:spacing w:after="0" w:line="51" w:lineRule="exact"/>
        <w:rPr>
          <w:sz w:val="20"/>
          <w:szCs w:val="20"/>
          <w:color w:val="auto"/>
        </w:rPr>
      </w:pPr>
    </w:p>
    <w:p>
      <w:pPr>
        <w:ind w:left="300" w:hanging="291"/>
        <w:spacing w:after="0" w:line="237" w:lineRule="auto"/>
        <w:tabs>
          <w:tab w:leader="none" w:pos="3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table below sets forth the portion of these aggregate account balances that were reported as compensation in the Summary Compensation Table for 2018 and 2019.</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0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5120" w:type="dxa"/>
            <w:vAlign w:val="bottom"/>
            <w:shd w:val="clear" w:color="auto" w:fill="0061AF"/>
          </w:tcPr>
          <w:p>
            <w:pPr>
              <w:ind w:left="3000"/>
              <w:spacing w:after="0"/>
              <w:rPr>
                <w:sz w:val="20"/>
                <w:szCs w:val="20"/>
                <w:color w:val="auto"/>
              </w:rPr>
            </w:pPr>
            <w:r>
              <w:rPr>
                <w:rFonts w:ascii="Arial" w:cs="Arial" w:eastAsia="Arial" w:hAnsi="Arial"/>
                <w:sz w:val="13"/>
                <w:szCs w:val="13"/>
                <w:b w:val="1"/>
                <w:bCs w:val="1"/>
                <w:color w:val="FFFFFF"/>
              </w:rPr>
              <w:t>Amount Previously Reported ($)</w:t>
            </w:r>
          </w:p>
        </w:tc>
      </w:tr>
      <w:tr>
        <w:trPr>
          <w:trHeight w:val="143"/>
        </w:trPr>
        <w:tc>
          <w:tcPr>
            <w:tcW w:w="43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David J. Lesar</w:t>
            </w:r>
          </w:p>
        </w:tc>
        <w:tc>
          <w:tcPr>
            <w:tcW w:w="5120" w:type="dxa"/>
            <w:vAlign w:val="bottom"/>
            <w:shd w:val="clear" w:color="auto" w:fill="D8E7F3"/>
          </w:tcPr>
          <w:p>
            <w:pPr>
              <w:jc w:val="center"/>
              <w:ind w:left="2737"/>
              <w:spacing w:after="0" w:line="143" w:lineRule="exact"/>
              <w:rPr>
                <w:sz w:val="20"/>
                <w:szCs w:val="20"/>
                <w:color w:val="auto"/>
              </w:rPr>
            </w:pPr>
            <w:r>
              <w:rPr>
                <w:rFonts w:ascii="Arial" w:cs="Arial" w:eastAsia="Arial" w:hAnsi="Arial"/>
                <w:sz w:val="13"/>
                <w:szCs w:val="13"/>
                <w:color w:val="auto"/>
                <w:w w:val="91"/>
              </w:rPr>
              <w:t>—</w:t>
            </w:r>
          </w:p>
        </w:tc>
      </w:tr>
      <w:tr>
        <w:trPr>
          <w:trHeight w:val="143"/>
        </w:trPr>
        <w:tc>
          <w:tcPr>
            <w:tcW w:w="430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Jason P. Wells</w:t>
            </w:r>
          </w:p>
        </w:tc>
        <w:tc>
          <w:tcPr>
            <w:tcW w:w="5120" w:type="dxa"/>
            <w:vAlign w:val="bottom"/>
          </w:tcPr>
          <w:p>
            <w:pPr>
              <w:jc w:val="center"/>
              <w:ind w:left="2737"/>
              <w:spacing w:after="0" w:line="143" w:lineRule="exact"/>
              <w:rPr>
                <w:sz w:val="20"/>
                <w:szCs w:val="20"/>
                <w:color w:val="auto"/>
              </w:rPr>
            </w:pPr>
            <w:r>
              <w:rPr>
                <w:rFonts w:ascii="Arial" w:cs="Arial" w:eastAsia="Arial" w:hAnsi="Arial"/>
                <w:sz w:val="13"/>
                <w:szCs w:val="13"/>
                <w:color w:val="auto"/>
                <w:w w:val="91"/>
              </w:rPr>
              <w:t>—</w:t>
            </w:r>
          </w:p>
        </w:tc>
      </w:tr>
      <w:tr>
        <w:trPr>
          <w:trHeight w:val="143"/>
        </w:trPr>
        <w:tc>
          <w:tcPr>
            <w:tcW w:w="43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Milton Carroll</w:t>
            </w:r>
          </w:p>
        </w:tc>
        <w:tc>
          <w:tcPr>
            <w:tcW w:w="5120" w:type="dxa"/>
            <w:vAlign w:val="bottom"/>
            <w:shd w:val="clear" w:color="auto" w:fill="D8E7F3"/>
          </w:tcPr>
          <w:p>
            <w:pPr>
              <w:jc w:val="center"/>
              <w:ind w:left="2757"/>
              <w:spacing w:after="0" w:line="143" w:lineRule="exact"/>
              <w:rPr>
                <w:sz w:val="20"/>
                <w:szCs w:val="20"/>
                <w:color w:val="auto"/>
              </w:rPr>
            </w:pPr>
            <w:r>
              <w:rPr>
                <w:rFonts w:ascii="Arial" w:cs="Arial" w:eastAsia="Arial" w:hAnsi="Arial"/>
                <w:sz w:val="13"/>
                <w:szCs w:val="13"/>
                <w:color w:val="auto"/>
                <w:w w:val="95"/>
              </w:rPr>
              <w:t>86,563</w:t>
            </w:r>
          </w:p>
        </w:tc>
      </w:tr>
      <w:tr>
        <w:trPr>
          <w:trHeight w:val="143"/>
        </w:trPr>
        <w:tc>
          <w:tcPr>
            <w:tcW w:w="430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Kristie L. Colvin</w:t>
            </w:r>
          </w:p>
        </w:tc>
        <w:tc>
          <w:tcPr>
            <w:tcW w:w="5120" w:type="dxa"/>
            <w:vAlign w:val="bottom"/>
          </w:tcPr>
          <w:p>
            <w:pPr>
              <w:jc w:val="center"/>
              <w:ind w:left="2737"/>
              <w:spacing w:after="0" w:line="143" w:lineRule="exact"/>
              <w:rPr>
                <w:sz w:val="20"/>
                <w:szCs w:val="20"/>
                <w:color w:val="auto"/>
              </w:rPr>
            </w:pPr>
            <w:r>
              <w:rPr>
                <w:rFonts w:ascii="Arial" w:cs="Arial" w:eastAsia="Arial" w:hAnsi="Arial"/>
                <w:sz w:val="13"/>
                <w:szCs w:val="13"/>
                <w:color w:val="auto"/>
                <w:w w:val="91"/>
              </w:rPr>
              <w:t>—</w:t>
            </w:r>
          </w:p>
        </w:tc>
      </w:tr>
      <w:tr>
        <w:trPr>
          <w:trHeight w:val="143"/>
        </w:trPr>
        <w:tc>
          <w:tcPr>
            <w:tcW w:w="43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Scott E. Doyle</w:t>
            </w:r>
          </w:p>
        </w:tc>
        <w:tc>
          <w:tcPr>
            <w:tcW w:w="5120" w:type="dxa"/>
            <w:vAlign w:val="bottom"/>
            <w:shd w:val="clear" w:color="auto" w:fill="D8E7F3"/>
          </w:tcPr>
          <w:p>
            <w:pPr>
              <w:jc w:val="center"/>
              <w:ind w:left="2737"/>
              <w:spacing w:after="0" w:line="143" w:lineRule="exact"/>
              <w:rPr>
                <w:sz w:val="20"/>
                <w:szCs w:val="20"/>
                <w:color w:val="auto"/>
              </w:rPr>
            </w:pPr>
            <w:r>
              <w:rPr>
                <w:rFonts w:ascii="Arial" w:cs="Arial" w:eastAsia="Arial" w:hAnsi="Arial"/>
                <w:sz w:val="13"/>
                <w:szCs w:val="13"/>
                <w:color w:val="auto"/>
                <w:w w:val="98"/>
              </w:rPr>
              <w:t>5,848</w:t>
            </w:r>
          </w:p>
        </w:tc>
      </w:tr>
      <w:tr>
        <w:trPr>
          <w:trHeight w:val="143"/>
        </w:trPr>
        <w:tc>
          <w:tcPr>
            <w:tcW w:w="430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Gregory E. Knight</w:t>
            </w:r>
          </w:p>
        </w:tc>
        <w:tc>
          <w:tcPr>
            <w:tcW w:w="5120" w:type="dxa"/>
            <w:vAlign w:val="bottom"/>
          </w:tcPr>
          <w:p>
            <w:pPr>
              <w:jc w:val="center"/>
              <w:ind w:left="2737"/>
              <w:spacing w:after="0" w:line="143" w:lineRule="exact"/>
              <w:rPr>
                <w:sz w:val="20"/>
                <w:szCs w:val="20"/>
                <w:color w:val="auto"/>
              </w:rPr>
            </w:pPr>
            <w:r>
              <w:rPr>
                <w:rFonts w:ascii="Arial" w:cs="Arial" w:eastAsia="Arial" w:hAnsi="Arial"/>
                <w:sz w:val="13"/>
                <w:szCs w:val="13"/>
                <w:color w:val="auto"/>
                <w:w w:val="91"/>
              </w:rPr>
              <w:t>—</w:t>
            </w:r>
          </w:p>
        </w:tc>
      </w:tr>
      <w:tr>
        <w:trPr>
          <w:trHeight w:val="143"/>
        </w:trPr>
        <w:tc>
          <w:tcPr>
            <w:tcW w:w="43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Scott M. Prochazka</w:t>
            </w:r>
          </w:p>
        </w:tc>
        <w:tc>
          <w:tcPr>
            <w:tcW w:w="5120" w:type="dxa"/>
            <w:vAlign w:val="bottom"/>
            <w:shd w:val="clear" w:color="auto" w:fill="D8E7F3"/>
          </w:tcPr>
          <w:p>
            <w:pPr>
              <w:jc w:val="center"/>
              <w:ind w:left="2757"/>
              <w:spacing w:after="0" w:line="143" w:lineRule="exact"/>
              <w:rPr>
                <w:sz w:val="20"/>
                <w:szCs w:val="20"/>
                <w:color w:val="auto"/>
              </w:rPr>
            </w:pPr>
            <w:r>
              <w:rPr>
                <w:rFonts w:ascii="Arial" w:cs="Arial" w:eastAsia="Arial" w:hAnsi="Arial"/>
                <w:sz w:val="13"/>
                <w:szCs w:val="13"/>
                <w:color w:val="auto"/>
                <w:w w:val="95"/>
              </w:rPr>
              <w:t>19,104</w:t>
            </w:r>
          </w:p>
        </w:tc>
      </w:tr>
      <w:tr>
        <w:trPr>
          <w:trHeight w:val="143"/>
        </w:trPr>
        <w:tc>
          <w:tcPr>
            <w:tcW w:w="430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Xia Liu</w:t>
            </w:r>
          </w:p>
        </w:tc>
        <w:tc>
          <w:tcPr>
            <w:tcW w:w="5120" w:type="dxa"/>
            <w:vAlign w:val="bottom"/>
          </w:tcPr>
          <w:p>
            <w:pPr>
              <w:jc w:val="center"/>
              <w:ind w:left="2737"/>
              <w:spacing w:after="0" w:line="143" w:lineRule="exact"/>
              <w:rPr>
                <w:sz w:val="20"/>
                <w:szCs w:val="20"/>
                <w:color w:val="auto"/>
              </w:rPr>
            </w:pPr>
            <w:r>
              <w:rPr>
                <w:rFonts w:ascii="Arial" w:cs="Arial" w:eastAsia="Arial" w:hAnsi="Arial"/>
                <w:sz w:val="13"/>
                <w:szCs w:val="13"/>
                <w:color w:val="auto"/>
                <w:w w:val="91"/>
              </w:rPr>
              <w:t>—</w:t>
            </w:r>
          </w:p>
        </w:tc>
      </w:tr>
      <w:tr>
        <w:trPr>
          <w:trHeight w:val="143"/>
        </w:trPr>
        <w:tc>
          <w:tcPr>
            <w:tcW w:w="4300" w:type="dxa"/>
            <w:vAlign w:val="bottom"/>
            <w:shd w:val="clear" w:color="auto" w:fill="D8E7F3"/>
          </w:tcPr>
          <w:p>
            <w:pPr>
              <w:ind w:left="60"/>
              <w:spacing w:after="0" w:line="143" w:lineRule="exact"/>
              <w:rPr>
                <w:sz w:val="20"/>
                <w:szCs w:val="20"/>
                <w:color w:val="auto"/>
              </w:rPr>
            </w:pPr>
            <w:r>
              <w:rPr>
                <w:rFonts w:ascii="Arial" w:cs="Arial" w:eastAsia="Arial" w:hAnsi="Arial"/>
                <w:sz w:val="13"/>
                <w:szCs w:val="13"/>
                <w:b w:val="1"/>
                <w:bCs w:val="1"/>
                <w:color w:val="auto"/>
              </w:rPr>
              <w:t>Joseph J. Vortherms</w:t>
            </w:r>
          </w:p>
        </w:tc>
        <w:tc>
          <w:tcPr>
            <w:tcW w:w="5120" w:type="dxa"/>
            <w:vAlign w:val="bottom"/>
            <w:shd w:val="clear" w:color="auto" w:fill="D8E7F3"/>
          </w:tcPr>
          <w:p>
            <w:pPr>
              <w:jc w:val="center"/>
              <w:ind w:left="2737"/>
              <w:spacing w:after="0" w:line="143" w:lineRule="exact"/>
              <w:rPr>
                <w:sz w:val="20"/>
                <w:szCs w:val="20"/>
                <w:color w:val="auto"/>
              </w:rPr>
            </w:pPr>
            <w:r>
              <w:rPr>
                <w:rFonts w:ascii="Arial" w:cs="Arial" w:eastAsia="Arial" w:hAnsi="Arial"/>
                <w:sz w:val="13"/>
                <w:szCs w:val="13"/>
                <w:color w:val="auto"/>
                <w:w w:val="91"/>
              </w:rPr>
              <w:t>—</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Potential Payments upon Change in Control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Board adopted a change in control plan to ensure consistency of officer benefits and to simplify administration, which was effective January 1, 2015, and was subsequently amended and restated, effective May 1, 2017 (the “plan”). All of our named executive officers, except for Mr. Somerhalder, are (or were prior to their departures from the Company) participants in the plan.</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plan was amended and restated effective May 1, 2017 to provide that awards granted under the long-term incentive plan on or after such date are not subject to the plan and are instead governed by the long-term incentive plan and the applicable award agreements.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change in control plan provides for payments and other benefits in the event a covered termination of employment occurs within three months prior to a change in control (provided that a binding agreement to effect a change in control has been executed as of the termination) or within two years after the completion of a transaction that effects a change in control. A “change in control” will be deemed to occur under the plan if:</w:t>
      </w:r>
    </w:p>
    <w:p>
      <w:pPr>
        <w:spacing w:after="0" w:line="97" w:lineRule="exact"/>
        <w:rPr>
          <w:sz w:val="20"/>
          <w:szCs w:val="20"/>
          <w:color w:val="auto"/>
        </w:rPr>
      </w:pPr>
    </w:p>
    <w:p>
      <w:pPr>
        <w:jc w:val="both"/>
        <w:ind w:left="380" w:hanging="276"/>
        <w:spacing w:after="0" w:line="237" w:lineRule="auto"/>
        <w:tabs>
          <w:tab w:leader="none" w:pos="380" w:val="left"/>
        </w:tabs>
        <w:numPr>
          <w:ilvl w:val="0"/>
          <w:numId w:val="97"/>
        </w:numPr>
        <w:rPr>
          <w:rFonts w:ascii="Arial" w:cs="Arial" w:eastAsia="Arial" w:hAnsi="Arial"/>
          <w:sz w:val="16"/>
          <w:szCs w:val="16"/>
          <w:color w:val="0061AF"/>
        </w:rPr>
      </w:pPr>
      <w:r>
        <w:rPr>
          <w:rFonts w:ascii="Arial" w:cs="Arial" w:eastAsia="Arial" w:hAnsi="Arial"/>
          <w:sz w:val="16"/>
          <w:szCs w:val="16"/>
          <w:color w:val="auto"/>
        </w:rPr>
        <w:t>any person or group becomes the direct or indirect beneficial owner of 30% or more of our outstanding voting securities, unless these securities are acquired directly from CenterPoint Energy as part of a merger or consolidation and following the merger or consolidation the conditions for an exclusion from a merger or consolidation event described below are met;</w:t>
      </w:r>
    </w:p>
    <w:p>
      <w:pPr>
        <w:spacing w:after="0" w:line="97" w:lineRule="exact"/>
        <w:rPr>
          <w:rFonts w:ascii="Arial" w:cs="Arial" w:eastAsia="Arial" w:hAnsi="Arial"/>
          <w:sz w:val="16"/>
          <w:szCs w:val="16"/>
          <w:color w:val="0061AF"/>
        </w:rPr>
      </w:pPr>
    </w:p>
    <w:p>
      <w:pPr>
        <w:ind w:left="380" w:hanging="276"/>
        <w:spacing w:after="0"/>
        <w:tabs>
          <w:tab w:leader="none" w:pos="380" w:val="left"/>
        </w:tabs>
        <w:numPr>
          <w:ilvl w:val="0"/>
          <w:numId w:val="97"/>
        </w:numPr>
        <w:rPr>
          <w:rFonts w:ascii="Arial" w:cs="Arial" w:eastAsia="Arial" w:hAnsi="Arial"/>
          <w:sz w:val="16"/>
          <w:szCs w:val="16"/>
          <w:color w:val="0061AF"/>
        </w:rPr>
      </w:pPr>
      <w:r>
        <w:rPr>
          <w:rFonts w:ascii="Arial" w:cs="Arial" w:eastAsia="Arial" w:hAnsi="Arial"/>
          <w:sz w:val="16"/>
          <w:szCs w:val="16"/>
          <w:color w:val="auto"/>
        </w:rPr>
        <w:t>the members of our Board on the effective date of the plan, and successors designated as provided in the agreement, cease to constitute a majority of the Board;</w:t>
      </w:r>
    </w:p>
    <w:p>
      <w:pPr>
        <w:spacing w:after="0" w:line="96" w:lineRule="exact"/>
        <w:rPr>
          <w:rFonts w:ascii="Arial" w:cs="Arial" w:eastAsia="Arial" w:hAnsi="Arial"/>
          <w:sz w:val="16"/>
          <w:szCs w:val="16"/>
          <w:color w:val="0061AF"/>
        </w:rPr>
      </w:pPr>
    </w:p>
    <w:p>
      <w:pPr>
        <w:ind w:left="380" w:hanging="276"/>
        <w:spacing w:after="0"/>
        <w:tabs>
          <w:tab w:leader="none" w:pos="380" w:val="left"/>
        </w:tabs>
        <w:numPr>
          <w:ilvl w:val="0"/>
          <w:numId w:val="97"/>
        </w:numPr>
        <w:rPr>
          <w:rFonts w:ascii="Arial" w:cs="Arial" w:eastAsia="Arial" w:hAnsi="Arial"/>
          <w:sz w:val="16"/>
          <w:szCs w:val="16"/>
          <w:color w:val="0061AF"/>
        </w:rPr>
      </w:pPr>
      <w:r>
        <w:rPr>
          <w:rFonts w:ascii="Arial" w:cs="Arial" w:eastAsia="Arial" w:hAnsi="Arial"/>
          <w:sz w:val="16"/>
          <w:szCs w:val="16"/>
          <w:color w:val="auto"/>
        </w:rPr>
        <w:t>approval by the shareholders of (or if there is no such approval, consummation of) a merger or consolidation of, or involving, CenterPoint Energy unless:</w:t>
      </w:r>
    </w:p>
    <w:p>
      <w:pPr>
        <w:spacing w:after="0" w:line="96" w:lineRule="exact"/>
        <w:rPr>
          <w:rFonts w:ascii="Arial" w:cs="Arial" w:eastAsia="Arial" w:hAnsi="Arial"/>
          <w:sz w:val="16"/>
          <w:szCs w:val="16"/>
          <w:color w:val="0061AF"/>
        </w:rPr>
      </w:pPr>
    </w:p>
    <w:p>
      <w:pPr>
        <w:ind w:left="780" w:hanging="390"/>
        <w:spacing w:after="0"/>
        <w:tabs>
          <w:tab w:leader="none" w:pos="780" w:val="left"/>
        </w:tabs>
        <w:numPr>
          <w:ilvl w:val="1"/>
          <w:numId w:val="97"/>
        </w:numPr>
        <w:rPr>
          <w:rFonts w:ascii="Arial" w:cs="Arial" w:eastAsia="Arial" w:hAnsi="Arial"/>
          <w:sz w:val="16"/>
          <w:szCs w:val="16"/>
          <w:color w:val="0061AF"/>
        </w:rPr>
      </w:pPr>
      <w:r>
        <w:rPr>
          <w:rFonts w:ascii="Arial" w:cs="Arial" w:eastAsia="Arial" w:hAnsi="Arial"/>
          <w:sz w:val="16"/>
          <w:szCs w:val="16"/>
          <w:color w:val="auto"/>
        </w:rPr>
        <w:t>more than 70% of the surviving corporation’s outstanding voting securities are owned by former shareholders of CenterPoint Energy,</w:t>
      </w:r>
    </w:p>
    <w:p>
      <w:pPr>
        <w:spacing w:after="0" w:line="96" w:lineRule="exact"/>
        <w:rPr>
          <w:rFonts w:ascii="Arial" w:cs="Arial" w:eastAsia="Arial" w:hAnsi="Arial"/>
          <w:sz w:val="16"/>
          <w:szCs w:val="16"/>
          <w:color w:val="0061AF"/>
        </w:rPr>
      </w:pPr>
    </w:p>
    <w:p>
      <w:pPr>
        <w:jc w:val="both"/>
        <w:ind w:left="780" w:hanging="390"/>
        <w:spacing w:after="0" w:line="237" w:lineRule="auto"/>
        <w:tabs>
          <w:tab w:leader="none" w:pos="780" w:val="left"/>
        </w:tabs>
        <w:numPr>
          <w:ilvl w:val="1"/>
          <w:numId w:val="97"/>
        </w:numPr>
        <w:rPr>
          <w:rFonts w:ascii="Arial" w:cs="Arial" w:eastAsia="Arial" w:hAnsi="Arial"/>
          <w:sz w:val="16"/>
          <w:szCs w:val="16"/>
          <w:color w:val="0061AF"/>
        </w:rPr>
      </w:pPr>
      <w:r>
        <w:rPr>
          <w:rFonts w:ascii="Arial" w:cs="Arial" w:eastAsia="Arial" w:hAnsi="Arial"/>
          <w:sz w:val="16"/>
          <w:szCs w:val="16"/>
          <w:color w:val="auto"/>
        </w:rPr>
        <w:t>if the transaction involves CenterPoint Energy’s acquisition of another entity, the total fair market value of the consideration plus long-term debt of the business being acquired does not exceed 50% of the total fair market value of CenterPoint Energy’s outstanding voting securities, plus CenterPoint Energy’s consolidated long-term debt,</w:t>
      </w:r>
    </w:p>
    <w:p>
      <w:pPr>
        <w:spacing w:after="0" w:line="97" w:lineRule="exact"/>
        <w:rPr>
          <w:rFonts w:ascii="Arial" w:cs="Arial" w:eastAsia="Arial" w:hAnsi="Arial"/>
          <w:sz w:val="16"/>
          <w:szCs w:val="16"/>
          <w:color w:val="0061AF"/>
        </w:rPr>
      </w:pPr>
    </w:p>
    <w:p>
      <w:pPr>
        <w:ind w:left="780" w:hanging="390"/>
        <w:spacing w:after="0"/>
        <w:tabs>
          <w:tab w:leader="none" w:pos="780" w:val="left"/>
        </w:tabs>
        <w:numPr>
          <w:ilvl w:val="1"/>
          <w:numId w:val="97"/>
        </w:numPr>
        <w:rPr>
          <w:rFonts w:ascii="Arial" w:cs="Arial" w:eastAsia="Arial" w:hAnsi="Arial"/>
          <w:sz w:val="16"/>
          <w:szCs w:val="16"/>
          <w:color w:val="0061AF"/>
        </w:rPr>
      </w:pPr>
      <w:r>
        <w:rPr>
          <w:rFonts w:ascii="Arial" w:cs="Arial" w:eastAsia="Arial" w:hAnsi="Arial"/>
          <w:sz w:val="16"/>
          <w:szCs w:val="16"/>
          <w:color w:val="auto"/>
        </w:rPr>
        <w:t>no person is the direct or indirect beneficial owner of 30% or more of the then outstanding shares of voting stock of the parent corporation resulting from the transaction, and</w:t>
      </w:r>
    </w:p>
    <w:p>
      <w:pPr>
        <w:spacing w:after="0" w:line="177" w:lineRule="exact"/>
        <w:rPr>
          <w:sz w:val="20"/>
          <w:szCs w:val="20"/>
          <w:color w:val="auto"/>
        </w:rPr>
      </w:pPr>
    </w:p>
    <w:p>
      <w:pPr>
        <w:ind w:left="400" w:hanging="391"/>
        <w:spacing w:after="0"/>
        <w:tabs>
          <w:tab w:leader="none" w:pos="400" w:val="left"/>
        </w:tabs>
        <w:numPr>
          <w:ilvl w:val="0"/>
          <w:numId w:val="98"/>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8" w:name="page79"/>
    <w:bookmarkEnd w:id="7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215" w:lineRule="exact"/>
        <w:rPr>
          <w:sz w:val="20"/>
          <w:szCs w:val="20"/>
          <w:color w:val="auto"/>
        </w:rPr>
      </w:pPr>
    </w:p>
    <w:p>
      <w:pPr>
        <w:ind w:left="780" w:hanging="390"/>
        <w:spacing w:after="0"/>
        <w:tabs>
          <w:tab w:leader="none" w:pos="780" w:val="left"/>
        </w:tabs>
        <w:numPr>
          <w:ilvl w:val="1"/>
          <w:numId w:val="99"/>
        </w:numPr>
        <w:rPr>
          <w:rFonts w:ascii="Arial" w:cs="Arial" w:eastAsia="Arial" w:hAnsi="Arial"/>
          <w:sz w:val="16"/>
          <w:szCs w:val="16"/>
          <w:color w:val="0061AF"/>
        </w:rPr>
      </w:pPr>
      <w:r>
        <w:rPr>
          <w:rFonts w:ascii="Arial" w:cs="Arial" w:eastAsia="Arial" w:hAnsi="Arial"/>
          <w:sz w:val="16"/>
          <w:szCs w:val="16"/>
          <w:color w:val="auto"/>
        </w:rPr>
        <w:t>a majority of the members of the board of directors of the parent corporation resulting from the transaction were members of our Board immediately prior to consummation of the transaction; or</w:t>
      </w:r>
    </w:p>
    <w:p>
      <w:pPr>
        <w:spacing w:after="0" w:line="96" w:lineRule="exact"/>
        <w:rPr>
          <w:rFonts w:ascii="Arial" w:cs="Arial" w:eastAsia="Arial" w:hAnsi="Arial"/>
          <w:sz w:val="16"/>
          <w:szCs w:val="16"/>
          <w:color w:val="0061AF"/>
        </w:rPr>
      </w:pPr>
    </w:p>
    <w:p>
      <w:pPr>
        <w:ind w:left="380" w:right="20" w:hanging="276"/>
        <w:spacing w:after="0"/>
        <w:tabs>
          <w:tab w:leader="none" w:pos="380" w:val="left"/>
        </w:tabs>
        <w:numPr>
          <w:ilvl w:val="0"/>
          <w:numId w:val="99"/>
        </w:numPr>
        <w:rPr>
          <w:rFonts w:ascii="Arial" w:cs="Arial" w:eastAsia="Arial" w:hAnsi="Arial"/>
          <w:sz w:val="16"/>
          <w:szCs w:val="16"/>
          <w:color w:val="0061AF"/>
        </w:rPr>
      </w:pPr>
      <w:r>
        <w:rPr>
          <w:rFonts w:ascii="Arial" w:cs="Arial" w:eastAsia="Arial" w:hAnsi="Arial"/>
          <w:sz w:val="16"/>
          <w:szCs w:val="16"/>
          <w:color w:val="auto"/>
        </w:rPr>
        <w:t>approval by the shareholders of (or if there is no such approval, consummation of) a sale or disposition of 70% or more of CenterPoint Energy’s assets unless:</w:t>
      </w:r>
    </w:p>
    <w:p>
      <w:pPr>
        <w:spacing w:after="0" w:line="96" w:lineRule="exact"/>
        <w:rPr>
          <w:rFonts w:ascii="Arial" w:cs="Arial" w:eastAsia="Arial" w:hAnsi="Arial"/>
          <w:sz w:val="16"/>
          <w:szCs w:val="16"/>
          <w:color w:val="0061AF"/>
        </w:rPr>
      </w:pPr>
    </w:p>
    <w:p>
      <w:pPr>
        <w:jc w:val="both"/>
        <w:ind w:left="780" w:hanging="390"/>
        <w:spacing w:after="0" w:line="236" w:lineRule="auto"/>
        <w:tabs>
          <w:tab w:leader="none" w:pos="780" w:val="left"/>
        </w:tabs>
        <w:numPr>
          <w:ilvl w:val="1"/>
          <w:numId w:val="99"/>
        </w:numPr>
        <w:rPr>
          <w:rFonts w:ascii="Arial" w:cs="Arial" w:eastAsia="Arial" w:hAnsi="Arial"/>
          <w:sz w:val="16"/>
          <w:szCs w:val="16"/>
          <w:color w:val="0061AF"/>
        </w:rPr>
      </w:pPr>
      <w:r>
        <w:rPr>
          <w:rFonts w:ascii="Arial" w:cs="Arial" w:eastAsia="Arial" w:hAnsi="Arial"/>
          <w:sz w:val="16"/>
          <w:szCs w:val="16"/>
          <w:color w:val="auto"/>
        </w:rPr>
        <w:t>individuals and entities that were beneficial owners of CenterPoint Energy’s outstanding voting securities immediately prior to the asset sale are the direct or indirect beneficial owners of more than 70% of the then outstanding voting securities of CenterPoint Energy (if it continues to exist) and of the entity that acquires the largest portion of the assets (or the entity that owns a majority of the outstanding voting stock of the acquiring entity), and</w:t>
      </w:r>
    </w:p>
    <w:p>
      <w:pPr>
        <w:spacing w:after="0" w:line="97" w:lineRule="exact"/>
        <w:rPr>
          <w:rFonts w:ascii="Arial" w:cs="Arial" w:eastAsia="Arial" w:hAnsi="Arial"/>
          <w:sz w:val="16"/>
          <w:szCs w:val="16"/>
          <w:color w:val="0061AF"/>
        </w:rPr>
      </w:pPr>
    </w:p>
    <w:p>
      <w:pPr>
        <w:jc w:val="both"/>
        <w:ind w:left="780" w:hanging="390"/>
        <w:spacing w:after="0" w:line="237" w:lineRule="auto"/>
        <w:tabs>
          <w:tab w:leader="none" w:pos="780" w:val="left"/>
        </w:tabs>
        <w:numPr>
          <w:ilvl w:val="1"/>
          <w:numId w:val="99"/>
        </w:numPr>
        <w:rPr>
          <w:rFonts w:ascii="Arial" w:cs="Arial" w:eastAsia="Arial" w:hAnsi="Arial"/>
          <w:sz w:val="16"/>
          <w:szCs w:val="16"/>
          <w:color w:val="0061AF"/>
        </w:rPr>
      </w:pPr>
      <w:r>
        <w:rPr>
          <w:rFonts w:ascii="Arial" w:cs="Arial" w:eastAsia="Arial" w:hAnsi="Arial"/>
          <w:sz w:val="16"/>
          <w:szCs w:val="16"/>
          <w:color w:val="auto"/>
        </w:rPr>
        <w:t>a majority of the members of our Board (if CenterPoint Energy continues to exist) and of the entity that acquires the largest portion of the assets (or the entity that owns a majority of the outstanding voting stock of the acquiring entity) were members of our Board immediately prior to the asset sale.</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Under the plan, a covered termination occurs if the officer’s employment is terminated within three months prior to a change in control (provided that a binding agreement to effect a change in control has been executed as of the termination) or within two years after a change in control for reasons other than death, disability (as defined in our long-term disability plan), involuntary termination for cause (as defined), or resignation of the officer unless such resignation is due to “good reason” that is not cured within the cure period under the plan. “Good reason” means any of the following: (a) a failure to maintain the officer in his or her position or a substantially equivalent position; (b) a significant adverse change in the authorities, powers, functions, responsibilities or duties held; (c) a material reduction in the officer’s base salary; (d) a significant reduction in the officer’s qualified, nonqualified and welfare benefits other than a reduction that applies generally to all covered employees; (e) a material reduction in the officer’s overall compensation opportunities under the short-term incentive plan, a long-term incentive plan or other equity plan; (f) a change in the location of the officer’s principal place of employment by more than 50 miles; or (g) a failure to provide directors’ and officers’ liability insurance covering the officer.</w:t>
      </w:r>
    </w:p>
    <w:p>
      <w:pPr>
        <w:spacing w:after="0" w:line="182"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 plan provides that we would pay our named executive officers experiencing a covered termination of employment a lump sum amount equal to (i) three times, in the case of Mr. Lesar, and (ii) two times, in the case of Messrs. Wells, Carroll, Doyle and Knight and Ms. Colvin, the sum of the officer’s base salary plus short-term incentive award at target, if applicable.</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For officers who are not age 55 or older with five years of service (which includes all the senior executive officers except for Ms. Colvin), the plan also provides for a short-term incentive lump sum payment based on eligible earnings to the date of termination multiplied by his or her short-term incentive target. In addition, Mr. Doyle and Ms. Colvin will be entitled to a benefit equal to two additional years of pay credits under the cash balance formula under the retirement plan, and such additional benefit will be paid in the same time and manner that the officer’s benefit under the benefit restoration plan is paid. Effective March 1, 2021, the Board adopted an amendment to the plan to provide a similar benefit for officers who are not eligible to participate in the retirement plan. Under the amendment, Mr. Lesar will be entitled to a benefit equal to three additional years, and Messrs. Wells and Knight will be entitled to a benefit equal to two additional years, of employer nonelective contributions under the savings plan, and such additional benefit will be paid in the same time and manner that the officer’s benefit under the savings restoration plan is paid. In addition, the plan provides for welfare benefits for a period of two years, career transition placement services and the reimbursement of legal fees incurred related to the severance. With respect to awards granted under the long-term incentive plan, such awards are not subject to the plan and are governed by the long-term incentive plan and applicable award agreements.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Due to Messrs. Prochazka’s and Vortherms’ and Ms. Liu’s respective departures from the Company, they are not eligible to receive any payments upon a change in control under the plan. Further, Mr. Somerhalder, in his capacity as the Company’s former Interim President and Chief Executive Officer, did not participate in the plan.</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79" w:name="page80"/>
    <w:bookmarkEnd w:id="7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plan does not include any excise tax gross-up payment provisions. Under our plan, the executive’s total change in control payment is automatically reduced to the minimum extent necessary to prevent triggering the excise tax, but only if the after-tax benefit of the reduced payment exceeds the after-tax benefit if the payment was not reduced. If the payment is not reduced, the officer will be liable for any excise tax due under Section 4999.</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 officer must sign a waiver and release in connection with any claims relating to the executive’s employment with or separation from the Company prior to receiving any benefits under the plan. The plan provides that for one year following a covered termination, an officer is prohibited from hiring or soliciting any employees to leave our employment or solicit or attempt to solicit the business of any of our customers or acquisition prospects. In addition, for one year following a covered termination, an officer is prohibited, without prior written consent, from engaging in any business or accepting employment with or rendering services to a business that is in competition with us. These non-solicit and non-compete restrictions are limited to a 50-mile radius around any geographical area in which we engage (or have a definite plan to engage) in operations or marketing of products or services at the time of the officer’s covered termination.</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Change in control provisions in awards under our current long-term incentive plan</w:t>
      </w:r>
      <w:r>
        <w:rPr>
          <w:rFonts w:ascii="Arial" w:cs="Arial" w:eastAsia="Arial" w:hAnsi="Arial"/>
          <w:sz w:val="16"/>
          <w:szCs w:val="16"/>
          <w:color w:val="auto"/>
        </w:rPr>
        <w:t>. Awards granted under the long-term incentive plan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subject to the plan and are governed by the long-term incentive plan and the applicable award agreements. The different outstanding award types under the long-term incentive plan are treated as follows:</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Stock Awards</w:t>
      </w:r>
      <w:r>
        <w:rPr>
          <w:rFonts w:ascii="Arial" w:cs="Arial" w:eastAsia="Arial" w:hAnsi="Arial"/>
          <w:sz w:val="16"/>
          <w:szCs w:val="16"/>
          <w:color w:val="auto"/>
        </w:rPr>
        <w:t>. For stock awards granted beginning in February 2018, “double trigger” vesting applies, and vesting is accelerated upon a change in control only if the award is not continued, assumed, or substituted or a covered termination of employment occurs. A covered termination of employment occurs for purposes of awards under the long-term incentive plan if the officer’s employment is terminated within two years after the completion of a transaction that effects a change in control for reasons other than death, disability (as defined in our long-term disability plan), involuntary termination for cause (as defined in the award agreement), or resignation of the officer unless such resignation is due to “good reason” that is not cured within the cure period set forth in the award agreement. “Good reason” for this purpose is defined in substantially the same manner as such term is defined in the change in control plan.</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u w:val="single" w:color="auto"/>
          <w:color w:val="auto"/>
        </w:rPr>
        <w:t>Performance Share Units</w:t>
      </w:r>
      <w:r>
        <w:rPr>
          <w:rFonts w:ascii="Arial" w:cs="Arial" w:eastAsia="Arial" w:hAnsi="Arial"/>
          <w:sz w:val="16"/>
          <w:szCs w:val="16"/>
          <w:color w:val="auto"/>
        </w:rPr>
        <w:t>. For performance share units granted beginning February 2018, “double trigger” vesting applies, and vesting is accelerated upon a change in control only if the award is not continued, assumed, or substituted or if a covered termination of employment occurs (as described above for stock awards).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Payments in the event of change in control</w:t>
      </w:r>
      <w:r>
        <w:rPr>
          <w:rFonts w:ascii="Arial" w:cs="Arial" w:eastAsia="Arial" w:hAnsi="Arial"/>
          <w:sz w:val="16"/>
          <w:szCs w:val="16"/>
          <w:color w:val="auto"/>
        </w:rPr>
        <w:t>. The table below presents amounts that would have been payable and the value of the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under the change in control plan assuming a covered termination of employment occurred on December 31, 2020 following a change of control. The numbers in the table have been rounded to the nearest one thousand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Type of Payment</w:t>
            </w:r>
          </w:p>
        </w:tc>
        <w:tc>
          <w:tcPr>
            <w:tcW w:w="720" w:type="dxa"/>
            <w:vAlign w:val="bottom"/>
            <w:shd w:val="clear" w:color="auto" w:fill="0061AF"/>
          </w:tcPr>
          <w:p>
            <w:pPr>
              <w:jc w:val="right"/>
              <w:ind w:right="137"/>
              <w:spacing w:after="0"/>
              <w:rPr>
                <w:sz w:val="20"/>
                <w:szCs w:val="20"/>
                <w:color w:val="auto"/>
              </w:rPr>
            </w:pPr>
            <w:r>
              <w:rPr>
                <w:rFonts w:ascii="Arial" w:cs="Arial" w:eastAsia="Arial" w:hAnsi="Arial"/>
                <w:sz w:val="13"/>
                <w:szCs w:val="13"/>
                <w:b w:val="1"/>
                <w:bCs w:val="1"/>
                <w:color w:val="FFFFFF"/>
              </w:rPr>
              <w:t>Lesar</w:t>
            </w:r>
          </w:p>
        </w:tc>
        <w:tc>
          <w:tcPr>
            <w:tcW w:w="140" w:type="dxa"/>
            <w:vAlign w:val="bottom"/>
            <w:shd w:val="clear" w:color="auto" w:fill="0061AF"/>
          </w:tcPr>
          <w:p>
            <w:pPr>
              <w:spacing w:after="0"/>
              <w:rPr>
                <w:sz w:val="12"/>
                <w:szCs w:val="12"/>
                <w:color w:val="auto"/>
              </w:rPr>
            </w:pPr>
          </w:p>
        </w:tc>
        <w:tc>
          <w:tcPr>
            <w:tcW w:w="760" w:type="dxa"/>
            <w:vAlign w:val="bottom"/>
            <w:gridSpan w:val="2"/>
            <w:shd w:val="clear" w:color="auto" w:fill="0061AF"/>
          </w:tcPr>
          <w:p>
            <w:pPr>
              <w:ind w:left="140"/>
              <w:spacing w:after="0"/>
              <w:rPr>
                <w:sz w:val="20"/>
                <w:szCs w:val="20"/>
                <w:color w:val="auto"/>
              </w:rPr>
            </w:pPr>
            <w:r>
              <w:rPr>
                <w:rFonts w:ascii="Arial" w:cs="Arial" w:eastAsia="Arial" w:hAnsi="Arial"/>
                <w:sz w:val="13"/>
                <w:szCs w:val="13"/>
                <w:b w:val="1"/>
                <w:bCs w:val="1"/>
                <w:color w:val="FFFFFF"/>
              </w:rPr>
              <w:t>Wells</w:t>
            </w:r>
          </w:p>
        </w:tc>
        <w:tc>
          <w:tcPr>
            <w:tcW w:w="720" w:type="dxa"/>
            <w:vAlign w:val="bottom"/>
            <w:gridSpan w:val="2"/>
            <w:shd w:val="clear" w:color="auto" w:fill="0061AF"/>
          </w:tcPr>
          <w:p>
            <w:pPr>
              <w:jc w:val="right"/>
              <w:ind w:right="180"/>
              <w:spacing w:after="0"/>
              <w:rPr>
                <w:sz w:val="20"/>
                <w:szCs w:val="20"/>
                <w:color w:val="auto"/>
              </w:rPr>
            </w:pPr>
            <w:r>
              <w:rPr>
                <w:rFonts w:ascii="Arial" w:cs="Arial" w:eastAsia="Arial" w:hAnsi="Arial"/>
                <w:sz w:val="13"/>
                <w:szCs w:val="13"/>
                <w:b w:val="1"/>
                <w:bCs w:val="1"/>
                <w:color w:val="FFFFFF"/>
              </w:rPr>
              <w:t>Carroll</w:t>
            </w:r>
          </w:p>
        </w:tc>
        <w:tc>
          <w:tcPr>
            <w:tcW w:w="60" w:type="dxa"/>
            <w:vAlign w:val="bottom"/>
            <w:shd w:val="clear" w:color="auto" w:fill="0061AF"/>
          </w:tcPr>
          <w:p>
            <w:pPr>
              <w:spacing w:after="0"/>
              <w:rPr>
                <w:sz w:val="12"/>
                <w:szCs w:val="12"/>
                <w:color w:val="auto"/>
              </w:rPr>
            </w:pPr>
          </w:p>
        </w:tc>
        <w:tc>
          <w:tcPr>
            <w:tcW w:w="780" w:type="dxa"/>
            <w:vAlign w:val="bottom"/>
            <w:gridSpan w:val="2"/>
            <w:shd w:val="clear" w:color="auto" w:fill="0061AF"/>
          </w:tcPr>
          <w:p>
            <w:pPr>
              <w:jc w:val="right"/>
              <w:ind w:right="260"/>
              <w:spacing w:after="0"/>
              <w:rPr>
                <w:sz w:val="20"/>
                <w:szCs w:val="20"/>
                <w:color w:val="auto"/>
              </w:rPr>
            </w:pPr>
            <w:r>
              <w:rPr>
                <w:rFonts w:ascii="Arial" w:cs="Arial" w:eastAsia="Arial" w:hAnsi="Arial"/>
                <w:sz w:val="13"/>
                <w:szCs w:val="13"/>
                <w:b w:val="1"/>
                <w:bCs w:val="1"/>
                <w:color w:val="FFFFFF"/>
              </w:rPr>
              <w:t>Colvin</w:t>
            </w:r>
          </w:p>
        </w:tc>
        <w:tc>
          <w:tcPr>
            <w:tcW w:w="680" w:type="dxa"/>
            <w:vAlign w:val="bottom"/>
            <w:gridSpan w:val="2"/>
            <w:shd w:val="clear" w:color="auto" w:fill="0061AF"/>
          </w:tcPr>
          <w:p>
            <w:pPr>
              <w:ind w:left="140"/>
              <w:spacing w:after="0"/>
              <w:rPr>
                <w:sz w:val="20"/>
                <w:szCs w:val="20"/>
                <w:color w:val="auto"/>
              </w:rPr>
            </w:pPr>
            <w:r>
              <w:rPr>
                <w:rFonts w:ascii="Arial" w:cs="Arial" w:eastAsia="Arial" w:hAnsi="Arial"/>
                <w:sz w:val="13"/>
                <w:szCs w:val="13"/>
                <w:b w:val="1"/>
                <w:bCs w:val="1"/>
                <w:color w:val="FFFFFF"/>
              </w:rPr>
              <w:t>Doyle</w:t>
            </w:r>
          </w:p>
        </w:tc>
        <w:tc>
          <w:tcPr>
            <w:tcW w:w="60" w:type="dxa"/>
            <w:vAlign w:val="bottom"/>
            <w:shd w:val="clear" w:color="auto" w:fill="0061AF"/>
          </w:tcPr>
          <w:p>
            <w:pPr>
              <w:spacing w:after="0"/>
              <w:rPr>
                <w:sz w:val="12"/>
                <w:szCs w:val="12"/>
                <w:color w:val="auto"/>
              </w:rPr>
            </w:pPr>
          </w:p>
        </w:tc>
        <w:tc>
          <w:tcPr>
            <w:tcW w:w="740" w:type="dxa"/>
            <w:vAlign w:val="bottom"/>
            <w:gridSpan w:val="2"/>
            <w:shd w:val="clear" w:color="auto" w:fill="0061AF"/>
          </w:tcPr>
          <w:p>
            <w:pPr>
              <w:jc w:val="right"/>
              <w:ind w:right="220"/>
              <w:spacing w:after="0"/>
              <w:rPr>
                <w:sz w:val="20"/>
                <w:szCs w:val="20"/>
                <w:color w:val="auto"/>
              </w:rPr>
            </w:pPr>
            <w:r>
              <w:rPr>
                <w:rFonts w:ascii="Arial" w:cs="Arial" w:eastAsia="Arial" w:hAnsi="Arial"/>
                <w:sz w:val="13"/>
                <w:szCs w:val="13"/>
                <w:b w:val="1"/>
                <w:bCs w:val="1"/>
                <w:color w:val="FFFFFF"/>
              </w:rPr>
              <w:t>Knight</w:t>
            </w:r>
          </w:p>
        </w:tc>
      </w:tr>
      <w:tr>
        <w:trPr>
          <w:trHeight w:val="147"/>
        </w:trPr>
        <w:tc>
          <w:tcPr>
            <w:tcW w:w="5060" w:type="dxa"/>
            <w:vAlign w:val="bottom"/>
          </w:tcPr>
          <w:p>
            <w:pPr>
              <w:ind w:left="80"/>
              <w:spacing w:after="0" w:line="147" w:lineRule="exact"/>
              <w:rPr>
                <w:sz w:val="20"/>
                <w:szCs w:val="20"/>
                <w:color w:val="auto"/>
              </w:rPr>
            </w:pPr>
            <w:r>
              <w:rPr>
                <w:rFonts w:ascii="Arial" w:cs="Arial" w:eastAsia="Arial" w:hAnsi="Arial"/>
                <w:sz w:val="13"/>
                <w:szCs w:val="13"/>
                <w:color w:val="auto"/>
              </w:rPr>
              <w:t>Severance amount</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50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9,119,000</w:t>
            </w:r>
          </w:p>
        </w:tc>
        <w:tc>
          <w:tcPr>
            <w:tcW w:w="78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$2,277,000</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w w:val="95"/>
              </w:rPr>
              <w:t>$1,641,000</w:t>
            </w:r>
          </w:p>
        </w:tc>
        <w:tc>
          <w:tcPr>
            <w:tcW w:w="70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$1,179,000</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w w:val="95"/>
              </w:rPr>
              <w:t>$1,635,000</w:t>
            </w:r>
          </w:p>
        </w:tc>
        <w:tc>
          <w:tcPr>
            <w:tcW w:w="70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$1,207,000</w:t>
            </w:r>
          </w:p>
        </w:tc>
        <w:tc>
          <w:tcPr>
            <w:tcW w:w="100" w:type="dxa"/>
            <w:vAlign w:val="bottom"/>
          </w:tcPr>
          <w:p>
            <w:pPr>
              <w:spacing w:after="0"/>
              <w:rPr>
                <w:sz w:val="12"/>
                <w:szCs w:val="12"/>
                <w:color w:val="auto"/>
              </w:rPr>
            </w:pPr>
          </w:p>
        </w:tc>
      </w:tr>
      <w:tr>
        <w:trPr>
          <w:trHeight w:val="143"/>
        </w:trPr>
        <w:tc>
          <w:tcPr>
            <w:tcW w:w="506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Short-term Incentive Plan</w:t>
            </w:r>
            <w:r>
              <w:rPr>
                <w:rFonts w:ascii="Arial" w:cs="Arial" w:eastAsia="Arial" w:hAnsi="Arial"/>
                <w:sz w:val="16"/>
                <w:szCs w:val="16"/>
                <w:color w:val="auto"/>
                <w:vertAlign w:val="superscript"/>
              </w:rPr>
              <w:t>(1)</w:t>
            </w:r>
          </w:p>
        </w:tc>
        <w:tc>
          <w:tcPr>
            <w:tcW w:w="7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1,689,000</w:t>
            </w:r>
          </w:p>
        </w:tc>
        <w:tc>
          <w:tcPr>
            <w:tcW w:w="780" w:type="dxa"/>
            <w:vAlign w:val="bottom"/>
            <w:gridSpan w:val="2"/>
            <w:shd w:val="clear" w:color="auto" w:fill="D8E7F3"/>
          </w:tcPr>
          <w:p>
            <w:pPr>
              <w:jc w:val="right"/>
              <w:spacing w:after="0" w:line="143" w:lineRule="exact"/>
              <w:rPr>
                <w:sz w:val="20"/>
                <w:szCs w:val="20"/>
                <w:color w:val="auto"/>
              </w:rPr>
            </w:pPr>
            <w:r>
              <w:rPr>
                <w:rFonts w:ascii="Arial" w:cs="Arial" w:eastAsia="Arial" w:hAnsi="Arial"/>
                <w:sz w:val="13"/>
                <w:szCs w:val="13"/>
                <w:color w:val="auto"/>
              </w:rPr>
              <w:t>488,000</w:t>
            </w:r>
          </w:p>
        </w:tc>
        <w:tc>
          <w:tcPr>
            <w:tcW w:w="120" w:type="dxa"/>
            <w:vAlign w:val="bottom"/>
            <w:shd w:val="clear" w:color="auto" w:fill="D8E7F3"/>
          </w:tcPr>
          <w:p>
            <w:pPr>
              <w:spacing w:after="0"/>
              <w:rPr>
                <w:sz w:val="12"/>
                <w:szCs w:val="12"/>
                <w:color w:val="auto"/>
              </w:rPr>
            </w:pPr>
          </w:p>
        </w:tc>
        <w:tc>
          <w:tcPr>
            <w:tcW w:w="720" w:type="dxa"/>
            <w:vAlign w:val="bottom"/>
            <w:gridSpan w:val="2"/>
            <w:shd w:val="clear" w:color="auto" w:fill="D8E7F3"/>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D8E7F3"/>
          </w:tcPr>
          <w:p>
            <w:pPr>
              <w:jc w:val="right"/>
              <w:ind w:right="140"/>
              <w:spacing w:after="0" w:line="143" w:lineRule="exact"/>
              <w:rPr>
                <w:sz w:val="20"/>
                <w:szCs w:val="20"/>
                <w:color w:val="auto"/>
              </w:rPr>
            </w:pPr>
            <w:r>
              <w:rPr>
                <w:rFonts w:ascii="Arial" w:cs="Arial" w:eastAsia="Arial" w:hAnsi="Arial"/>
                <w:sz w:val="13"/>
                <w:szCs w:val="13"/>
                <w:color w:val="auto"/>
              </w:rPr>
              <w:t>209,000</w:t>
            </w:r>
          </w:p>
        </w:tc>
        <w:tc>
          <w:tcPr>
            <w:tcW w:w="680" w:type="dxa"/>
            <w:vAlign w:val="bottom"/>
            <w:gridSpan w:val="2"/>
            <w:shd w:val="clear" w:color="auto" w:fill="D8E7F3"/>
          </w:tcPr>
          <w:p>
            <w:pPr>
              <w:jc w:val="right"/>
              <w:ind w:right="40"/>
              <w:spacing w:after="0" w:line="143" w:lineRule="exact"/>
              <w:rPr>
                <w:sz w:val="20"/>
                <w:szCs w:val="20"/>
                <w:color w:val="auto"/>
              </w:rPr>
            </w:pPr>
            <w:r>
              <w:rPr>
                <w:rFonts w:ascii="Arial" w:cs="Arial" w:eastAsia="Arial" w:hAnsi="Arial"/>
                <w:sz w:val="13"/>
                <w:szCs w:val="13"/>
                <w:color w:val="auto"/>
              </w:rPr>
              <w:t>317,000</w:t>
            </w:r>
          </w:p>
        </w:tc>
        <w:tc>
          <w:tcPr>
            <w:tcW w:w="800" w:type="dxa"/>
            <w:vAlign w:val="bottom"/>
            <w:gridSpan w:val="3"/>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118,000</w:t>
            </w:r>
          </w:p>
        </w:tc>
      </w:tr>
      <w:tr>
        <w:trPr>
          <w:trHeight w:val="143"/>
        </w:trPr>
        <w:tc>
          <w:tcPr>
            <w:tcW w:w="5060" w:type="dxa"/>
            <w:vAlign w:val="bottom"/>
          </w:tcPr>
          <w:p>
            <w:pPr>
              <w:ind w:left="80"/>
              <w:spacing w:after="0" w:line="143" w:lineRule="exact"/>
              <w:rPr>
                <w:sz w:val="20"/>
                <w:szCs w:val="20"/>
                <w:color w:val="auto"/>
              </w:rPr>
            </w:pPr>
            <w:r>
              <w:rPr>
                <w:rFonts w:ascii="Arial" w:cs="Arial" w:eastAsia="Arial" w:hAnsi="Arial"/>
                <w:sz w:val="10"/>
                <w:szCs w:val="10"/>
                <w:color w:val="auto"/>
              </w:rPr>
              <w:t>Long-term Incentive Plan:</w:t>
            </w:r>
            <w:r>
              <w:rPr>
                <w:rFonts w:ascii="Arial" w:cs="Arial" w:eastAsia="Arial" w:hAnsi="Arial"/>
                <w:sz w:val="16"/>
                <w:szCs w:val="16"/>
                <w:color w:val="auto"/>
                <w:vertAlign w:val="superscript"/>
              </w:rPr>
              <w:t>(2)</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5060" w:type="dxa"/>
            <w:vAlign w:val="bottom"/>
            <w:shd w:val="clear" w:color="auto" w:fill="D8E7F3"/>
          </w:tcPr>
          <w:p>
            <w:pPr>
              <w:ind w:left="200"/>
              <w:spacing w:after="0" w:line="143" w:lineRule="exact"/>
              <w:rPr>
                <w:sz w:val="20"/>
                <w:szCs w:val="20"/>
                <w:color w:val="auto"/>
              </w:rPr>
            </w:pPr>
            <w:r>
              <w:rPr>
                <w:rFonts w:ascii="Arial" w:cs="Arial" w:eastAsia="Arial" w:hAnsi="Arial"/>
                <w:sz w:val="13"/>
                <w:szCs w:val="13"/>
                <w:color w:val="auto"/>
              </w:rPr>
              <w:t>Performance share units</w:t>
            </w:r>
          </w:p>
        </w:tc>
        <w:tc>
          <w:tcPr>
            <w:tcW w:w="7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5,707,000</w:t>
            </w:r>
          </w:p>
        </w:tc>
        <w:tc>
          <w:tcPr>
            <w:tcW w:w="780" w:type="dxa"/>
            <w:vAlign w:val="bottom"/>
            <w:gridSpan w:val="2"/>
            <w:shd w:val="clear" w:color="auto" w:fill="D8E7F3"/>
          </w:tcPr>
          <w:p>
            <w:pPr>
              <w:jc w:val="right"/>
              <w:spacing w:after="0" w:line="143" w:lineRule="exact"/>
              <w:rPr>
                <w:sz w:val="20"/>
                <w:szCs w:val="20"/>
                <w:color w:val="auto"/>
              </w:rPr>
            </w:pPr>
            <w:r>
              <w:rPr>
                <w:rFonts w:ascii="Arial" w:cs="Arial" w:eastAsia="Arial" w:hAnsi="Arial"/>
                <w:sz w:val="13"/>
                <w:szCs w:val="13"/>
                <w:color w:val="auto"/>
              </w:rPr>
              <w:t>1,338,000</w:t>
            </w:r>
          </w:p>
        </w:tc>
        <w:tc>
          <w:tcPr>
            <w:tcW w:w="120" w:type="dxa"/>
            <w:vAlign w:val="bottom"/>
            <w:shd w:val="clear" w:color="auto" w:fill="D8E7F3"/>
          </w:tcPr>
          <w:p>
            <w:pPr>
              <w:spacing w:after="0"/>
              <w:rPr>
                <w:sz w:val="12"/>
                <w:szCs w:val="12"/>
                <w:color w:val="auto"/>
              </w:rPr>
            </w:pPr>
          </w:p>
        </w:tc>
        <w:tc>
          <w:tcPr>
            <w:tcW w:w="720" w:type="dxa"/>
            <w:vAlign w:val="bottom"/>
            <w:gridSpan w:val="2"/>
            <w:shd w:val="clear" w:color="auto" w:fill="D8E7F3"/>
          </w:tcPr>
          <w:p>
            <w:pPr>
              <w:jc w:val="right"/>
              <w:ind w:right="80"/>
              <w:spacing w:after="0" w:line="143" w:lineRule="exact"/>
              <w:rPr>
                <w:sz w:val="20"/>
                <w:szCs w:val="20"/>
                <w:color w:val="auto"/>
              </w:rPr>
            </w:pPr>
            <w:r>
              <w:rPr>
                <w:rFonts w:ascii="Arial" w:cs="Arial" w:eastAsia="Arial" w:hAnsi="Arial"/>
                <w:sz w:val="13"/>
                <w:szCs w:val="13"/>
                <w:color w:val="auto"/>
              </w:rPr>
              <w:t>4,316,000</w:t>
            </w:r>
          </w:p>
        </w:tc>
        <w:tc>
          <w:tcPr>
            <w:tcW w:w="840" w:type="dxa"/>
            <w:vAlign w:val="bottom"/>
            <w:gridSpan w:val="3"/>
            <w:shd w:val="clear" w:color="auto" w:fill="D8E7F3"/>
          </w:tcPr>
          <w:p>
            <w:pPr>
              <w:jc w:val="right"/>
              <w:ind w:right="140"/>
              <w:spacing w:after="0" w:line="143" w:lineRule="exact"/>
              <w:rPr>
                <w:sz w:val="20"/>
                <w:szCs w:val="20"/>
                <w:color w:val="auto"/>
              </w:rPr>
            </w:pPr>
            <w:r>
              <w:rPr>
                <w:rFonts w:ascii="Arial" w:cs="Arial" w:eastAsia="Arial" w:hAnsi="Arial"/>
                <w:sz w:val="13"/>
                <w:szCs w:val="13"/>
                <w:color w:val="auto"/>
              </w:rPr>
              <w:t>584,000</w:t>
            </w:r>
          </w:p>
        </w:tc>
        <w:tc>
          <w:tcPr>
            <w:tcW w:w="680" w:type="dxa"/>
            <w:vAlign w:val="bottom"/>
            <w:gridSpan w:val="2"/>
            <w:shd w:val="clear" w:color="auto" w:fill="D8E7F3"/>
          </w:tcPr>
          <w:p>
            <w:pPr>
              <w:jc w:val="right"/>
              <w:ind w:right="40"/>
              <w:spacing w:after="0" w:line="143" w:lineRule="exact"/>
              <w:rPr>
                <w:sz w:val="20"/>
                <w:szCs w:val="20"/>
                <w:color w:val="auto"/>
              </w:rPr>
            </w:pPr>
            <w:r>
              <w:rPr>
                <w:rFonts w:ascii="Arial" w:cs="Arial" w:eastAsia="Arial" w:hAnsi="Arial"/>
                <w:sz w:val="13"/>
                <w:szCs w:val="13"/>
                <w:color w:val="auto"/>
              </w:rPr>
              <w:t>1,117,000</w:t>
            </w:r>
          </w:p>
        </w:tc>
        <w:tc>
          <w:tcPr>
            <w:tcW w:w="800" w:type="dxa"/>
            <w:vAlign w:val="bottom"/>
            <w:gridSpan w:val="3"/>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501,000</w:t>
            </w:r>
          </w:p>
        </w:tc>
      </w:tr>
      <w:tr>
        <w:trPr>
          <w:trHeight w:val="143"/>
        </w:trPr>
        <w:tc>
          <w:tcPr>
            <w:tcW w:w="5060" w:type="dxa"/>
            <w:vAlign w:val="bottom"/>
          </w:tcPr>
          <w:p>
            <w:pPr>
              <w:ind w:left="200"/>
              <w:spacing w:after="0" w:line="143" w:lineRule="exact"/>
              <w:rPr>
                <w:sz w:val="20"/>
                <w:szCs w:val="20"/>
                <w:color w:val="auto"/>
              </w:rPr>
            </w:pPr>
            <w:r>
              <w:rPr>
                <w:rFonts w:ascii="Arial" w:cs="Arial" w:eastAsia="Arial" w:hAnsi="Arial"/>
                <w:sz w:val="13"/>
                <w:szCs w:val="13"/>
                <w:color w:val="auto"/>
              </w:rPr>
              <w:t>Stock awards</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3,536,000</w:t>
            </w:r>
          </w:p>
        </w:tc>
        <w:tc>
          <w:tcPr>
            <w:tcW w:w="7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1,704,000</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2,998,000</w:t>
            </w:r>
          </w:p>
        </w:tc>
        <w:tc>
          <w:tcPr>
            <w:tcW w:w="84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525,000</w:t>
            </w: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478,000</w:t>
            </w:r>
          </w:p>
        </w:tc>
        <w:tc>
          <w:tcPr>
            <w:tcW w:w="800" w:type="dxa"/>
            <w:vAlign w:val="bottom"/>
            <w:gridSpan w:val="3"/>
          </w:tcPr>
          <w:p>
            <w:pPr>
              <w:jc w:val="right"/>
              <w:ind w:right="100"/>
              <w:spacing w:after="0" w:line="143" w:lineRule="exact"/>
              <w:rPr>
                <w:sz w:val="20"/>
                <w:szCs w:val="20"/>
                <w:color w:val="auto"/>
              </w:rPr>
            </w:pPr>
            <w:r>
              <w:rPr>
                <w:rFonts w:ascii="Arial" w:cs="Arial" w:eastAsia="Arial" w:hAnsi="Arial"/>
                <w:sz w:val="13"/>
                <w:szCs w:val="13"/>
                <w:color w:val="auto"/>
              </w:rPr>
              <w:t>566,000</w:t>
            </w:r>
          </w:p>
        </w:tc>
      </w:tr>
      <w:tr>
        <w:trPr>
          <w:trHeight w:val="143"/>
        </w:trPr>
        <w:tc>
          <w:tcPr>
            <w:tcW w:w="506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Benefit restoration plan</w:t>
            </w:r>
            <w:r>
              <w:rPr>
                <w:rFonts w:ascii="Arial" w:cs="Arial" w:eastAsia="Arial" w:hAnsi="Arial"/>
                <w:sz w:val="16"/>
                <w:szCs w:val="16"/>
                <w:color w:val="auto"/>
                <w:vertAlign w:val="superscript"/>
              </w:rPr>
              <w:t>(3)</w:t>
            </w:r>
          </w:p>
        </w:tc>
        <w:tc>
          <w:tcPr>
            <w:tcW w:w="7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D8E7F3"/>
          </w:tcPr>
          <w:p>
            <w:pPr>
              <w:spacing w:after="0"/>
              <w:rPr>
                <w:sz w:val="12"/>
                <w:szCs w:val="12"/>
                <w:color w:val="auto"/>
              </w:rPr>
            </w:pPr>
          </w:p>
        </w:tc>
        <w:tc>
          <w:tcPr>
            <w:tcW w:w="76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E7F3"/>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D8E7F3"/>
          </w:tcPr>
          <w:p>
            <w:pPr>
              <w:jc w:val="right"/>
              <w:ind w:right="140"/>
              <w:spacing w:after="0" w:line="143" w:lineRule="exact"/>
              <w:rPr>
                <w:sz w:val="20"/>
                <w:szCs w:val="20"/>
                <w:color w:val="auto"/>
              </w:rPr>
            </w:pPr>
            <w:r>
              <w:rPr>
                <w:rFonts w:ascii="Arial" w:cs="Arial" w:eastAsia="Arial" w:hAnsi="Arial"/>
                <w:sz w:val="13"/>
                <w:szCs w:val="13"/>
                <w:color w:val="auto"/>
              </w:rPr>
              <w:t>58,000</w:t>
            </w:r>
          </w:p>
        </w:tc>
        <w:tc>
          <w:tcPr>
            <w:tcW w:w="680" w:type="dxa"/>
            <w:vAlign w:val="bottom"/>
            <w:gridSpan w:val="2"/>
            <w:shd w:val="clear" w:color="auto" w:fill="D8E7F3"/>
          </w:tcPr>
          <w:p>
            <w:pPr>
              <w:jc w:val="right"/>
              <w:ind w:right="40"/>
              <w:spacing w:after="0" w:line="143" w:lineRule="exact"/>
              <w:rPr>
                <w:sz w:val="20"/>
                <w:szCs w:val="20"/>
                <w:color w:val="auto"/>
              </w:rPr>
            </w:pPr>
            <w:r>
              <w:rPr>
                <w:rFonts w:ascii="Arial" w:cs="Arial" w:eastAsia="Arial" w:hAnsi="Arial"/>
                <w:sz w:val="13"/>
                <w:szCs w:val="13"/>
                <w:color w:val="auto"/>
              </w:rPr>
              <w:t>84,000</w:t>
            </w:r>
          </w:p>
        </w:tc>
        <w:tc>
          <w:tcPr>
            <w:tcW w:w="60" w:type="dxa"/>
            <w:vAlign w:val="bottom"/>
            <w:shd w:val="clear" w:color="auto" w:fill="D8E7F3"/>
          </w:tcPr>
          <w:p>
            <w:pPr>
              <w:spacing w:after="0"/>
              <w:rPr>
                <w:sz w:val="12"/>
                <w:szCs w:val="12"/>
                <w:color w:val="auto"/>
              </w:rPr>
            </w:pPr>
          </w:p>
        </w:tc>
        <w:tc>
          <w:tcPr>
            <w:tcW w:w="7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r>
      <w:tr>
        <w:trPr>
          <w:trHeight w:val="143"/>
        </w:trPr>
        <w:tc>
          <w:tcPr>
            <w:tcW w:w="5060" w:type="dxa"/>
            <w:vAlign w:val="bottom"/>
          </w:tcPr>
          <w:p>
            <w:pPr>
              <w:ind w:left="80"/>
              <w:spacing w:after="0" w:line="143" w:lineRule="exact"/>
              <w:rPr>
                <w:sz w:val="20"/>
                <w:szCs w:val="20"/>
                <w:color w:val="auto"/>
              </w:rPr>
            </w:pPr>
            <w:r>
              <w:rPr>
                <w:rFonts w:ascii="Arial" w:cs="Arial" w:eastAsia="Arial" w:hAnsi="Arial"/>
                <w:sz w:val="13"/>
                <w:szCs w:val="13"/>
                <w:color w:val="auto"/>
              </w:rPr>
              <w:t>Health and welfare benefits</w:t>
            </w:r>
          </w:p>
        </w:tc>
        <w:tc>
          <w:tcPr>
            <w:tcW w:w="7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line="143" w:lineRule="exact"/>
              <w:rPr>
                <w:sz w:val="20"/>
                <w:szCs w:val="20"/>
                <w:color w:val="auto"/>
              </w:rPr>
            </w:pPr>
            <w:r>
              <w:rPr>
                <w:rFonts w:ascii="Arial" w:cs="Arial" w:eastAsia="Arial" w:hAnsi="Arial"/>
                <w:sz w:val="13"/>
                <w:szCs w:val="13"/>
                <w:color w:val="auto"/>
              </w:rPr>
              <w:t>28,000</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34,000</w:t>
            </w: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43,000</w:t>
            </w:r>
          </w:p>
        </w:tc>
        <w:tc>
          <w:tcPr>
            <w:tcW w:w="800" w:type="dxa"/>
            <w:vAlign w:val="bottom"/>
            <w:gridSpan w:val="3"/>
          </w:tcPr>
          <w:p>
            <w:pPr>
              <w:jc w:val="right"/>
              <w:ind w:right="100"/>
              <w:spacing w:after="0" w:line="143" w:lineRule="exact"/>
              <w:rPr>
                <w:sz w:val="20"/>
                <w:szCs w:val="20"/>
                <w:color w:val="auto"/>
              </w:rPr>
            </w:pPr>
            <w:r>
              <w:rPr>
                <w:rFonts w:ascii="Arial" w:cs="Arial" w:eastAsia="Arial" w:hAnsi="Arial"/>
                <w:sz w:val="13"/>
                <w:szCs w:val="13"/>
                <w:color w:val="auto"/>
              </w:rPr>
              <w:t>13,000</w:t>
            </w:r>
          </w:p>
        </w:tc>
      </w:tr>
      <w:tr>
        <w:trPr>
          <w:trHeight w:val="143"/>
        </w:trPr>
        <w:tc>
          <w:tcPr>
            <w:tcW w:w="506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Outplacement</w:t>
            </w:r>
          </w:p>
        </w:tc>
        <w:tc>
          <w:tcPr>
            <w:tcW w:w="72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4,000</w:t>
            </w:r>
          </w:p>
        </w:tc>
        <w:tc>
          <w:tcPr>
            <w:tcW w:w="140" w:type="dxa"/>
            <w:vAlign w:val="bottom"/>
            <w:shd w:val="clear" w:color="auto" w:fill="D8E7F3"/>
          </w:tcPr>
          <w:p>
            <w:pPr>
              <w:spacing w:after="0"/>
              <w:rPr>
                <w:sz w:val="12"/>
                <w:szCs w:val="12"/>
                <w:color w:val="auto"/>
              </w:rPr>
            </w:pPr>
          </w:p>
        </w:tc>
        <w:tc>
          <w:tcPr>
            <w:tcW w:w="6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4,000</w:t>
            </w:r>
          </w:p>
        </w:tc>
        <w:tc>
          <w:tcPr>
            <w:tcW w:w="120" w:type="dxa"/>
            <w:vAlign w:val="bottom"/>
            <w:shd w:val="clear" w:color="auto" w:fill="D8E7F3"/>
          </w:tcPr>
          <w:p>
            <w:pPr>
              <w:spacing w:after="0"/>
              <w:rPr>
                <w:sz w:val="12"/>
                <w:szCs w:val="12"/>
                <w:color w:val="auto"/>
              </w:rPr>
            </w:pPr>
          </w:p>
        </w:tc>
        <w:tc>
          <w:tcPr>
            <w:tcW w:w="720" w:type="dxa"/>
            <w:vAlign w:val="bottom"/>
            <w:gridSpan w:val="2"/>
            <w:shd w:val="clear" w:color="auto" w:fill="D8E7F3"/>
          </w:tcPr>
          <w:p>
            <w:pPr>
              <w:jc w:val="right"/>
              <w:ind w:right="80"/>
              <w:spacing w:after="0" w:line="143" w:lineRule="exact"/>
              <w:rPr>
                <w:sz w:val="20"/>
                <w:szCs w:val="20"/>
                <w:color w:val="auto"/>
              </w:rPr>
            </w:pPr>
            <w:r>
              <w:rPr>
                <w:rFonts w:ascii="Arial" w:cs="Arial" w:eastAsia="Arial" w:hAnsi="Arial"/>
                <w:sz w:val="13"/>
                <w:szCs w:val="13"/>
                <w:color w:val="auto"/>
              </w:rPr>
              <w:t>4,000</w:t>
            </w:r>
          </w:p>
        </w:tc>
        <w:tc>
          <w:tcPr>
            <w:tcW w:w="840" w:type="dxa"/>
            <w:vAlign w:val="bottom"/>
            <w:gridSpan w:val="3"/>
            <w:shd w:val="clear" w:color="auto" w:fill="D8E7F3"/>
          </w:tcPr>
          <w:p>
            <w:pPr>
              <w:jc w:val="right"/>
              <w:ind w:right="140"/>
              <w:spacing w:after="0" w:line="143" w:lineRule="exact"/>
              <w:rPr>
                <w:sz w:val="20"/>
                <w:szCs w:val="20"/>
                <w:color w:val="auto"/>
              </w:rPr>
            </w:pPr>
            <w:r>
              <w:rPr>
                <w:rFonts w:ascii="Arial" w:cs="Arial" w:eastAsia="Arial" w:hAnsi="Arial"/>
                <w:sz w:val="13"/>
                <w:szCs w:val="13"/>
                <w:color w:val="auto"/>
              </w:rPr>
              <w:t>4,000</w:t>
            </w:r>
          </w:p>
        </w:tc>
        <w:tc>
          <w:tcPr>
            <w:tcW w:w="680" w:type="dxa"/>
            <w:vAlign w:val="bottom"/>
            <w:gridSpan w:val="2"/>
            <w:shd w:val="clear" w:color="auto" w:fill="D8E7F3"/>
          </w:tcPr>
          <w:p>
            <w:pPr>
              <w:jc w:val="right"/>
              <w:ind w:right="40"/>
              <w:spacing w:after="0" w:line="143" w:lineRule="exact"/>
              <w:rPr>
                <w:sz w:val="20"/>
                <w:szCs w:val="20"/>
                <w:color w:val="auto"/>
              </w:rPr>
            </w:pPr>
            <w:r>
              <w:rPr>
                <w:rFonts w:ascii="Arial" w:cs="Arial" w:eastAsia="Arial" w:hAnsi="Arial"/>
                <w:sz w:val="13"/>
                <w:szCs w:val="13"/>
                <w:color w:val="auto"/>
              </w:rPr>
              <w:t>4,000</w:t>
            </w:r>
          </w:p>
        </w:tc>
        <w:tc>
          <w:tcPr>
            <w:tcW w:w="800" w:type="dxa"/>
            <w:vAlign w:val="bottom"/>
            <w:gridSpan w:val="3"/>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4,000</w:t>
            </w:r>
          </w:p>
        </w:tc>
      </w:tr>
      <w:tr>
        <w:trPr>
          <w:trHeight w:val="20"/>
        </w:trPr>
        <w:tc>
          <w:tcPr>
            <w:tcW w:w="5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060" w:type="dxa"/>
            <w:vAlign w:val="bottom"/>
          </w:tcPr>
          <w:p>
            <w:pPr>
              <w:ind w:left="200"/>
              <w:spacing w:after="0" w:line="147" w:lineRule="exact"/>
              <w:rPr>
                <w:sz w:val="20"/>
                <w:szCs w:val="20"/>
                <w:color w:val="auto"/>
              </w:rPr>
            </w:pPr>
            <w:r>
              <w:rPr>
                <w:rFonts w:ascii="Arial" w:cs="Arial" w:eastAsia="Arial" w:hAnsi="Arial"/>
                <w:sz w:val="13"/>
                <w:szCs w:val="13"/>
                <w:color w:val="auto"/>
              </w:rPr>
              <w:t>Total benefit and payment</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w w:val="92"/>
              </w:rPr>
              <w:t>$ 20,055,000</w:t>
            </w:r>
          </w:p>
        </w:tc>
        <w:tc>
          <w:tcPr>
            <w:tcW w:w="780" w:type="dxa"/>
            <w:vAlign w:val="bottom"/>
            <w:gridSpan w:val="2"/>
          </w:tcPr>
          <w:p>
            <w:pPr>
              <w:jc w:val="right"/>
              <w:spacing w:after="0" w:line="147"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5,839,000</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7" w:lineRule="exact"/>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8,959,000</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2,593,000</w:t>
            </w: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7" w:lineRule="exact"/>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3,678,000</w:t>
            </w:r>
          </w:p>
        </w:tc>
        <w:tc>
          <w:tcPr>
            <w:tcW w:w="700" w:type="dxa"/>
            <w:vAlign w:val="bottom"/>
            <w:gridSpan w:val="2"/>
          </w:tcPr>
          <w:p>
            <w:pPr>
              <w:jc w:val="right"/>
              <w:spacing w:after="0" w:line="147"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2,409,000</w:t>
            </w:r>
          </w:p>
        </w:tc>
        <w:tc>
          <w:tcPr>
            <w:tcW w:w="100" w:type="dxa"/>
            <w:vAlign w:val="bottom"/>
          </w:tcPr>
          <w:p>
            <w:pPr>
              <w:spacing w:after="0"/>
              <w:rPr>
                <w:sz w:val="12"/>
                <w:szCs w:val="12"/>
                <w:color w:val="auto"/>
              </w:rPr>
            </w:pPr>
          </w:p>
        </w:tc>
      </w:tr>
      <w:tr>
        <w:trPr>
          <w:trHeight w:val="20"/>
        </w:trPr>
        <w:tc>
          <w:tcPr>
            <w:tcW w:w="5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300" w:hanging="291"/>
        <w:spacing w:after="0" w:line="233" w:lineRule="auto"/>
        <w:tabs>
          <w:tab w:leader="none" w:pos="3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Under the terms of our short-term incentive plan, an individual age 55 or older with at least five years of service satisfies the retirement provisions under the plan. If the individual terminates employment during the plan year, he or she is eligible for a pro rata payment at the target level of achievement, without regard to whether it is preceded by a change in control, based on his or her eligible earnings to the date of termination multiplied by his or her short-term incentive target. Refer to “— Payments upon termination of employment.”</w:t>
      </w:r>
    </w:p>
    <w:p>
      <w:pPr>
        <w:spacing w:after="0" w:line="174" w:lineRule="exact"/>
        <w:rPr>
          <w:sz w:val="20"/>
          <w:szCs w:val="20"/>
          <w:color w:val="auto"/>
        </w:rPr>
      </w:pPr>
    </w:p>
    <w:p>
      <w:pPr>
        <w:ind w:left="400" w:hanging="391"/>
        <w:spacing w:after="0"/>
        <w:tabs>
          <w:tab w:leader="none" w:pos="400" w:val="left"/>
        </w:tabs>
        <w:numPr>
          <w:ilvl w:val="0"/>
          <w:numId w:val="101"/>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0" w:name="page81"/>
    <w:bookmarkEnd w:id="8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220" w:lineRule="exact"/>
        <w:rPr>
          <w:sz w:val="20"/>
          <w:szCs w:val="20"/>
          <w:color w:val="auto"/>
        </w:rPr>
      </w:pPr>
    </w:p>
    <w:p>
      <w:pPr>
        <w:jc w:val="both"/>
        <w:ind w:left="300" w:hanging="291"/>
        <w:spacing w:after="0" w:line="231" w:lineRule="auto"/>
        <w:tabs>
          <w:tab w:leader="none" w:pos="3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For purposes of the calculations, amounts that would be payable in shares have been converted to dollars using the New York Stock Exchange closing price for CenterPoint Energy common stock on December 31, 2020 (which was $21.64). Under the terms of our current long-term incentive plan, amounts payable in shares would be converted to dollars using the New York Stock Exchange closing price on the date on which the change in control occurred. The payments are determined as described under “—Change in control provisions in awards under our current long-term incentive plan.” Amounts shown for performance share units are calculated based on a target level of achievement for each award. Amounts shown for the long-term incentive plan in this table include amounts in the “Payments upon termination of employment” table below.</w:t>
      </w:r>
    </w:p>
    <w:p>
      <w:pPr>
        <w:spacing w:after="0" w:line="52" w:lineRule="exact"/>
        <w:rPr>
          <w:rFonts w:ascii="Arial" w:cs="Arial" w:eastAsia="Arial" w:hAnsi="Arial"/>
          <w:sz w:val="13"/>
          <w:szCs w:val="13"/>
          <w:color w:val="auto"/>
        </w:rPr>
      </w:pPr>
    </w:p>
    <w:p>
      <w:pPr>
        <w:ind w:left="300" w:right="20" w:hanging="291"/>
        <w:spacing w:after="0" w:line="237" w:lineRule="auto"/>
        <w:tabs>
          <w:tab w:leader="none" w:pos="3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Amounts shown consist of the increase in cash balance accounts that would result from crediting an additional two years of pay credits under the cash balance formula for Mr. Doyle and for Ms. Colvin.</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Upon a change in control, each named executive officer would also be entitled to receive payment for any fully vested benefits to which he is already entitled, if payable upon a change in control, or which are required to be provided by law. These benefits could include those earned under CenterPoint Energy’s retirement, benefit restoration, savings, savings restoration, deferred compensation and retiree medical plans, as well as the continuation of health coverage required by the Consolidated Omnibus Budget Reconciliation Act (COBRA).</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i w:val="1"/>
          <w:iCs w:val="1"/>
          <w:color w:val="auto"/>
        </w:rPr>
        <w:t>Payments upon termination of employment</w:t>
      </w:r>
      <w:r>
        <w:rPr>
          <w:rFonts w:ascii="Arial" w:cs="Arial" w:eastAsia="Arial" w:hAnsi="Arial"/>
          <w:sz w:val="16"/>
          <w:szCs w:val="16"/>
          <w:color w:val="auto"/>
        </w:rPr>
        <w:t>. Certain benefits are payable to a named executive officer upon his or her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other than in the event of a change in control as described above. The table below presents information on the value of short-term and long-term incentive benefits at the target level of achievement that would be provided if a named executive officer terminated employment as of December 31, 2020. The numbers in the table have been rounded to the nearest one thousand dollars. With respect to payments and other benefits received by Messrs. Prochazka, Somerhalder and Vortherms in connection with their respective departures from the Company in February, June and October 2020, see “Compensation Discussion and Analysis—Executive Summary—Leadership Transition.”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2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Type of Payment</w:t>
            </w:r>
          </w:p>
        </w:tc>
        <w:tc>
          <w:tcPr>
            <w:tcW w:w="340" w:type="dxa"/>
            <w:vAlign w:val="bottom"/>
            <w:shd w:val="clear" w:color="auto" w:fill="0061AF"/>
          </w:tcPr>
          <w:p>
            <w:pPr>
              <w:jc w:val="right"/>
              <w:spacing w:after="0"/>
              <w:rPr>
                <w:sz w:val="20"/>
                <w:szCs w:val="20"/>
                <w:color w:val="auto"/>
              </w:rPr>
            </w:pPr>
            <w:r>
              <w:rPr>
                <w:rFonts w:ascii="Arial" w:cs="Arial" w:eastAsia="Arial" w:hAnsi="Arial"/>
                <w:sz w:val="13"/>
                <w:szCs w:val="13"/>
                <w:b w:val="1"/>
                <w:bCs w:val="1"/>
                <w:color w:val="FFFFFF"/>
                <w:w w:val="92"/>
              </w:rPr>
              <w:t>Lesar</w:t>
            </w:r>
          </w:p>
        </w:tc>
        <w:tc>
          <w:tcPr>
            <w:tcW w:w="220" w:type="dxa"/>
            <w:vAlign w:val="bottom"/>
            <w:shd w:val="clear" w:color="auto" w:fill="0061AF"/>
          </w:tcPr>
          <w:p>
            <w:pPr>
              <w:spacing w:after="0"/>
              <w:rPr>
                <w:sz w:val="13"/>
                <w:szCs w:val="13"/>
                <w:color w:val="auto"/>
              </w:rPr>
            </w:pPr>
          </w:p>
        </w:tc>
        <w:tc>
          <w:tcPr>
            <w:tcW w:w="340" w:type="dxa"/>
            <w:vAlign w:val="bottom"/>
            <w:shd w:val="clear" w:color="auto" w:fill="0061AF"/>
          </w:tcPr>
          <w:p>
            <w:pPr>
              <w:jc w:val="right"/>
              <w:spacing w:after="0"/>
              <w:rPr>
                <w:sz w:val="20"/>
                <w:szCs w:val="20"/>
                <w:color w:val="auto"/>
              </w:rPr>
            </w:pPr>
            <w:r>
              <w:rPr>
                <w:rFonts w:ascii="Arial" w:cs="Arial" w:eastAsia="Arial" w:hAnsi="Arial"/>
                <w:sz w:val="13"/>
                <w:szCs w:val="13"/>
                <w:b w:val="1"/>
                <w:bCs w:val="1"/>
                <w:color w:val="FFFFFF"/>
                <w:w w:val="88"/>
              </w:rPr>
              <w:t>Wells</w:t>
            </w:r>
          </w:p>
        </w:tc>
        <w:tc>
          <w:tcPr>
            <w:tcW w:w="200" w:type="dxa"/>
            <w:vAlign w:val="bottom"/>
            <w:shd w:val="clear" w:color="auto" w:fill="0061AF"/>
          </w:tcPr>
          <w:p>
            <w:pPr>
              <w:spacing w:after="0"/>
              <w:rPr>
                <w:sz w:val="13"/>
                <w:szCs w:val="13"/>
                <w:color w:val="auto"/>
              </w:rPr>
            </w:pPr>
          </w:p>
        </w:tc>
        <w:tc>
          <w:tcPr>
            <w:tcW w:w="80" w:type="dxa"/>
            <w:vAlign w:val="bottom"/>
            <w:shd w:val="clear" w:color="auto" w:fill="0061AF"/>
          </w:tcPr>
          <w:p>
            <w:pPr>
              <w:spacing w:after="0"/>
              <w:rPr>
                <w:sz w:val="13"/>
                <w:szCs w:val="13"/>
                <w:color w:val="auto"/>
              </w:rPr>
            </w:pPr>
          </w:p>
        </w:tc>
        <w:tc>
          <w:tcPr>
            <w:tcW w:w="560" w:type="dxa"/>
            <w:vAlign w:val="bottom"/>
            <w:shd w:val="clear" w:color="auto" w:fill="0061AF"/>
          </w:tcPr>
          <w:p>
            <w:pPr>
              <w:jc w:val="right"/>
              <w:ind w:right="37"/>
              <w:spacing w:after="0"/>
              <w:rPr>
                <w:sz w:val="20"/>
                <w:szCs w:val="20"/>
                <w:color w:val="auto"/>
              </w:rPr>
            </w:pPr>
            <w:r>
              <w:rPr>
                <w:rFonts w:ascii="Arial" w:cs="Arial" w:eastAsia="Arial" w:hAnsi="Arial"/>
                <w:sz w:val="13"/>
                <w:szCs w:val="13"/>
                <w:b w:val="1"/>
                <w:bCs w:val="1"/>
                <w:color w:val="FFFFFF"/>
              </w:rPr>
              <w:t>Carroll</w:t>
            </w:r>
          </w:p>
        </w:tc>
        <w:tc>
          <w:tcPr>
            <w:tcW w:w="220" w:type="dxa"/>
            <w:vAlign w:val="bottom"/>
            <w:shd w:val="clear" w:color="auto" w:fill="0061AF"/>
          </w:tcPr>
          <w:p>
            <w:pPr>
              <w:spacing w:after="0"/>
              <w:rPr>
                <w:sz w:val="13"/>
                <w:szCs w:val="13"/>
                <w:color w:val="auto"/>
              </w:rPr>
            </w:pPr>
          </w:p>
        </w:tc>
        <w:tc>
          <w:tcPr>
            <w:tcW w:w="760" w:type="dxa"/>
            <w:vAlign w:val="bottom"/>
            <w:gridSpan w:val="2"/>
            <w:shd w:val="clear" w:color="auto" w:fill="0061AF"/>
          </w:tcPr>
          <w:p>
            <w:pPr>
              <w:ind w:left="80"/>
              <w:spacing w:after="0"/>
              <w:rPr>
                <w:sz w:val="20"/>
                <w:szCs w:val="20"/>
                <w:color w:val="auto"/>
              </w:rPr>
            </w:pPr>
            <w:r>
              <w:rPr>
                <w:rFonts w:ascii="Arial" w:cs="Arial" w:eastAsia="Arial" w:hAnsi="Arial"/>
                <w:sz w:val="13"/>
                <w:szCs w:val="13"/>
                <w:b w:val="1"/>
                <w:bCs w:val="1"/>
                <w:color w:val="FFFFFF"/>
              </w:rPr>
              <w:t>Colvin</w:t>
            </w:r>
          </w:p>
        </w:tc>
        <w:tc>
          <w:tcPr>
            <w:tcW w:w="480" w:type="dxa"/>
            <w:vAlign w:val="bottom"/>
            <w:gridSpan w:val="2"/>
            <w:shd w:val="clear" w:color="auto" w:fill="0061AF"/>
          </w:tcPr>
          <w:p>
            <w:pPr>
              <w:jc w:val="right"/>
              <w:ind w:right="140"/>
              <w:spacing w:after="0"/>
              <w:rPr>
                <w:sz w:val="20"/>
                <w:szCs w:val="20"/>
                <w:color w:val="auto"/>
              </w:rPr>
            </w:pPr>
            <w:r>
              <w:rPr>
                <w:rFonts w:ascii="Arial" w:cs="Arial" w:eastAsia="Arial" w:hAnsi="Arial"/>
                <w:sz w:val="13"/>
                <w:szCs w:val="13"/>
                <w:b w:val="1"/>
                <w:bCs w:val="1"/>
                <w:color w:val="FFFFFF"/>
                <w:w w:val="90"/>
              </w:rPr>
              <w:t>Doyle</w:t>
            </w:r>
          </w:p>
        </w:tc>
        <w:tc>
          <w:tcPr>
            <w:tcW w:w="500" w:type="dxa"/>
            <w:vAlign w:val="bottom"/>
            <w:gridSpan w:val="2"/>
            <w:shd w:val="clear" w:color="auto" w:fill="0061AF"/>
          </w:tcPr>
          <w:p>
            <w:pPr>
              <w:jc w:val="right"/>
              <w:ind w:right="100"/>
              <w:spacing w:after="0"/>
              <w:rPr>
                <w:sz w:val="20"/>
                <w:szCs w:val="20"/>
                <w:color w:val="auto"/>
              </w:rPr>
            </w:pPr>
            <w:r>
              <w:rPr>
                <w:rFonts w:ascii="Arial" w:cs="Arial" w:eastAsia="Arial" w:hAnsi="Arial"/>
                <w:sz w:val="13"/>
                <w:szCs w:val="13"/>
                <w:b w:val="1"/>
                <w:bCs w:val="1"/>
                <w:color w:val="FFFFFF"/>
                <w:w w:val="92"/>
              </w:rPr>
              <w:t>Knight</w:t>
            </w:r>
          </w:p>
        </w:tc>
      </w:tr>
      <w:tr>
        <w:trPr>
          <w:trHeight w:val="143"/>
        </w:trPr>
        <w:tc>
          <w:tcPr>
            <w:tcW w:w="6020" w:type="dxa"/>
            <w:vAlign w:val="bottom"/>
          </w:tcPr>
          <w:p>
            <w:pPr>
              <w:ind w:left="80"/>
              <w:spacing w:after="0" w:line="143" w:lineRule="exact"/>
              <w:rPr>
                <w:sz w:val="20"/>
                <w:szCs w:val="20"/>
                <w:color w:val="auto"/>
              </w:rPr>
            </w:pPr>
            <w:r>
              <w:rPr>
                <w:rFonts w:ascii="Arial" w:cs="Arial" w:eastAsia="Arial" w:hAnsi="Arial"/>
                <w:sz w:val="10"/>
                <w:szCs w:val="10"/>
                <w:color w:val="auto"/>
              </w:rPr>
              <w:t>Short-term Incentive Plan</w:t>
            </w:r>
            <w:r>
              <w:rPr>
                <w:rFonts w:ascii="Arial" w:cs="Arial" w:eastAsia="Arial" w:hAnsi="Arial"/>
                <w:sz w:val="16"/>
                <w:szCs w:val="16"/>
                <w:color w:val="auto"/>
                <w:vertAlign w:val="superscript"/>
              </w:rPr>
              <w:t>(1)</w:t>
            </w: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220"/>
              <w:spacing w:after="0" w:line="143" w:lineRule="exact"/>
              <w:rPr>
                <w:sz w:val="20"/>
                <w:szCs w:val="20"/>
                <w:color w:val="auto"/>
              </w:rPr>
            </w:pPr>
            <w:r>
              <w:rPr>
                <w:rFonts w:ascii="Arial" w:cs="Arial" w:eastAsia="Arial" w:hAnsi="Arial"/>
                <w:sz w:val="13"/>
                <w:szCs w:val="13"/>
                <w:color w:val="auto"/>
              </w:rPr>
              <w:t>$209,000</w:t>
            </w:r>
          </w:p>
        </w:tc>
        <w:tc>
          <w:tcPr>
            <w:tcW w:w="4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r>
      <w:tr>
        <w:trPr>
          <w:trHeight w:val="143"/>
        </w:trPr>
        <w:tc>
          <w:tcPr>
            <w:tcW w:w="602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Long-term Incentive Plan:</w:t>
            </w:r>
            <w:r>
              <w:rPr>
                <w:rFonts w:ascii="Arial" w:cs="Arial" w:eastAsia="Arial" w:hAnsi="Arial"/>
                <w:sz w:val="16"/>
                <w:szCs w:val="16"/>
                <w:color w:val="auto"/>
                <w:vertAlign w:val="superscript"/>
              </w:rPr>
              <w:t>(2)</w:t>
            </w:r>
          </w:p>
        </w:tc>
        <w:tc>
          <w:tcPr>
            <w:tcW w:w="340" w:type="dxa"/>
            <w:vAlign w:val="bottom"/>
            <w:shd w:val="clear" w:color="auto" w:fill="D8E7F3"/>
          </w:tcPr>
          <w:p>
            <w:pPr>
              <w:spacing w:after="0"/>
              <w:rPr>
                <w:sz w:val="12"/>
                <w:szCs w:val="12"/>
                <w:color w:val="auto"/>
              </w:rPr>
            </w:pPr>
          </w:p>
        </w:tc>
        <w:tc>
          <w:tcPr>
            <w:tcW w:w="220" w:type="dxa"/>
            <w:vAlign w:val="bottom"/>
            <w:shd w:val="clear" w:color="auto" w:fill="D8E7F3"/>
          </w:tcPr>
          <w:p>
            <w:pPr>
              <w:spacing w:after="0"/>
              <w:rPr>
                <w:sz w:val="12"/>
                <w:szCs w:val="12"/>
                <w:color w:val="auto"/>
              </w:rPr>
            </w:pPr>
          </w:p>
        </w:tc>
        <w:tc>
          <w:tcPr>
            <w:tcW w:w="340" w:type="dxa"/>
            <w:vAlign w:val="bottom"/>
            <w:shd w:val="clear" w:color="auto" w:fill="D8E7F3"/>
          </w:tcPr>
          <w:p>
            <w:pPr>
              <w:spacing w:after="0"/>
              <w:rPr>
                <w:sz w:val="12"/>
                <w:szCs w:val="12"/>
                <w:color w:val="auto"/>
              </w:rPr>
            </w:pPr>
          </w:p>
        </w:tc>
        <w:tc>
          <w:tcPr>
            <w:tcW w:w="20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5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D8E7F3"/>
          </w:tcPr>
          <w:p>
            <w:pPr>
              <w:spacing w:after="0"/>
              <w:rPr>
                <w:sz w:val="12"/>
                <w:szCs w:val="12"/>
                <w:color w:val="auto"/>
              </w:rPr>
            </w:pPr>
          </w:p>
        </w:tc>
        <w:tc>
          <w:tcPr>
            <w:tcW w:w="540" w:type="dxa"/>
            <w:vAlign w:val="bottom"/>
            <w:shd w:val="clear" w:color="auto" w:fill="D8E7F3"/>
          </w:tcPr>
          <w:p>
            <w:pPr>
              <w:spacing w:after="0"/>
              <w:rPr>
                <w:sz w:val="12"/>
                <w:szCs w:val="12"/>
                <w:color w:val="auto"/>
              </w:rPr>
            </w:pPr>
          </w:p>
        </w:tc>
        <w:tc>
          <w:tcPr>
            <w:tcW w:w="220" w:type="dxa"/>
            <w:vAlign w:val="bottom"/>
            <w:shd w:val="clear" w:color="auto" w:fill="D8E7F3"/>
          </w:tcPr>
          <w:p>
            <w:pPr>
              <w:spacing w:after="0"/>
              <w:rPr>
                <w:sz w:val="12"/>
                <w:szCs w:val="12"/>
                <w:color w:val="auto"/>
              </w:rPr>
            </w:pPr>
          </w:p>
        </w:tc>
        <w:tc>
          <w:tcPr>
            <w:tcW w:w="480" w:type="dxa"/>
            <w:vAlign w:val="bottom"/>
            <w:gridSpan w:val="2"/>
            <w:shd w:val="clear" w:color="auto" w:fill="D8E7F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40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r>
      <w:tr>
        <w:trPr>
          <w:trHeight w:val="143"/>
        </w:trPr>
        <w:tc>
          <w:tcPr>
            <w:tcW w:w="6020" w:type="dxa"/>
            <w:vAlign w:val="bottom"/>
          </w:tcPr>
          <w:p>
            <w:pPr>
              <w:ind w:left="340"/>
              <w:spacing w:after="0" w:line="143" w:lineRule="exact"/>
              <w:rPr>
                <w:sz w:val="20"/>
                <w:szCs w:val="20"/>
                <w:color w:val="auto"/>
              </w:rPr>
            </w:pPr>
            <w:r>
              <w:rPr>
                <w:rFonts w:ascii="Arial" w:cs="Arial" w:eastAsia="Arial" w:hAnsi="Arial"/>
                <w:sz w:val="13"/>
                <w:szCs w:val="13"/>
                <w:color w:val="auto"/>
              </w:rPr>
              <w:t>Performance Share Units</w:t>
            </w: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w w:val="93"/>
              </w:rPr>
              <w:t>2,824,000</w:t>
            </w:r>
          </w:p>
        </w:tc>
        <w:tc>
          <w:tcPr>
            <w:tcW w:w="980" w:type="dxa"/>
            <w:vAlign w:val="bottom"/>
            <w:gridSpan w:val="3"/>
          </w:tcPr>
          <w:p>
            <w:pPr>
              <w:jc w:val="right"/>
              <w:ind w:right="220"/>
              <w:spacing w:after="0" w:line="143" w:lineRule="exact"/>
              <w:rPr>
                <w:sz w:val="20"/>
                <w:szCs w:val="20"/>
                <w:color w:val="auto"/>
              </w:rPr>
            </w:pPr>
            <w:r>
              <w:rPr>
                <w:rFonts w:ascii="Arial" w:cs="Arial" w:eastAsia="Arial" w:hAnsi="Arial"/>
                <w:sz w:val="13"/>
                <w:szCs w:val="13"/>
                <w:color w:val="auto"/>
              </w:rPr>
              <w:t>332,000</w:t>
            </w:r>
          </w:p>
        </w:tc>
        <w:tc>
          <w:tcPr>
            <w:tcW w:w="4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r>
      <w:tr>
        <w:trPr>
          <w:trHeight w:val="143"/>
        </w:trPr>
        <w:tc>
          <w:tcPr>
            <w:tcW w:w="6020" w:type="dxa"/>
            <w:vAlign w:val="bottom"/>
            <w:shd w:val="clear" w:color="auto" w:fill="D8E7F3"/>
          </w:tcPr>
          <w:p>
            <w:pPr>
              <w:ind w:left="340"/>
              <w:spacing w:after="0" w:line="143" w:lineRule="exact"/>
              <w:rPr>
                <w:sz w:val="20"/>
                <w:szCs w:val="20"/>
                <w:color w:val="auto"/>
              </w:rPr>
            </w:pPr>
            <w:r>
              <w:rPr>
                <w:rFonts w:ascii="Arial" w:cs="Arial" w:eastAsia="Arial" w:hAnsi="Arial"/>
                <w:sz w:val="13"/>
                <w:szCs w:val="13"/>
                <w:color w:val="auto"/>
              </w:rPr>
              <w:t>Stock Awards</w:t>
            </w:r>
          </w:p>
        </w:tc>
        <w:tc>
          <w:tcPr>
            <w:tcW w:w="3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D8E7F3"/>
          </w:tcPr>
          <w:p>
            <w:pPr>
              <w:spacing w:after="0"/>
              <w:rPr>
                <w:sz w:val="12"/>
                <w:szCs w:val="12"/>
                <w:color w:val="auto"/>
              </w:rPr>
            </w:pPr>
          </w:p>
        </w:tc>
        <w:tc>
          <w:tcPr>
            <w:tcW w:w="3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5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w w:val="93"/>
              </w:rPr>
              <w:t>2,277,000</w:t>
            </w:r>
          </w:p>
        </w:tc>
        <w:tc>
          <w:tcPr>
            <w:tcW w:w="220" w:type="dxa"/>
            <w:vAlign w:val="bottom"/>
            <w:shd w:val="clear" w:color="auto" w:fill="D8E7F3"/>
          </w:tcPr>
          <w:p>
            <w:pPr>
              <w:spacing w:after="0"/>
              <w:rPr>
                <w:sz w:val="12"/>
                <w:szCs w:val="12"/>
                <w:color w:val="auto"/>
              </w:rPr>
            </w:pPr>
          </w:p>
        </w:tc>
        <w:tc>
          <w:tcPr>
            <w:tcW w:w="5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132,000</w:t>
            </w:r>
          </w:p>
        </w:tc>
        <w:tc>
          <w:tcPr>
            <w:tcW w:w="220" w:type="dxa"/>
            <w:vAlign w:val="bottom"/>
            <w:shd w:val="clear" w:color="auto" w:fill="D8E7F3"/>
          </w:tcPr>
          <w:p>
            <w:pPr>
              <w:spacing w:after="0"/>
              <w:rPr>
                <w:sz w:val="12"/>
                <w:szCs w:val="12"/>
                <w:color w:val="auto"/>
              </w:rPr>
            </w:pPr>
          </w:p>
        </w:tc>
        <w:tc>
          <w:tcPr>
            <w:tcW w:w="480" w:type="dxa"/>
            <w:vAlign w:val="bottom"/>
            <w:gridSpan w:val="2"/>
            <w:shd w:val="clear" w:color="auto" w:fill="D8E7F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w:t>
            </w:r>
          </w:p>
        </w:tc>
      </w:tr>
      <w:tr>
        <w:trPr>
          <w:trHeight w:val="20"/>
        </w:trPr>
        <w:tc>
          <w:tcPr>
            <w:tcW w:w="6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6020" w:type="dxa"/>
            <w:vAlign w:val="bottom"/>
          </w:tcPr>
          <w:p>
            <w:pPr>
              <w:ind w:left="80"/>
              <w:spacing w:after="0" w:line="147" w:lineRule="exact"/>
              <w:rPr>
                <w:sz w:val="20"/>
                <w:szCs w:val="20"/>
                <w:color w:val="auto"/>
              </w:rPr>
            </w:pPr>
            <w:r>
              <w:rPr>
                <w:rFonts w:ascii="Arial" w:cs="Arial" w:eastAsia="Arial" w:hAnsi="Arial"/>
                <w:sz w:val="13"/>
                <w:szCs w:val="13"/>
                <w:color w:val="auto"/>
              </w:rPr>
              <w:t>Total</w:t>
            </w:r>
          </w:p>
        </w:tc>
        <w:tc>
          <w:tcPr>
            <w:tcW w:w="3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jc w:val="right"/>
              <w:spacing w:after="0" w:line="147" w:lineRule="exact"/>
              <w:rPr>
                <w:sz w:val="20"/>
                <w:szCs w:val="20"/>
                <w:color w:val="auto"/>
              </w:rPr>
            </w:pPr>
            <w:r>
              <w:rPr>
                <w:rFonts w:ascii="Arial" w:cs="Arial" w:eastAsia="Arial" w:hAnsi="Arial"/>
                <w:sz w:val="13"/>
                <w:szCs w:val="13"/>
                <w:u w:val="single" w:color="auto"/>
                <w:color w:val="auto"/>
                <w:w w:val="82"/>
              </w:rPr>
              <w:t>$</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w w:val="93"/>
              </w:rPr>
              <w:t>5,101,000</w:t>
            </w:r>
          </w:p>
        </w:tc>
        <w:tc>
          <w:tcPr>
            <w:tcW w:w="2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673,000</w:t>
            </w:r>
          </w:p>
        </w:tc>
        <w:tc>
          <w:tcPr>
            <w:tcW w:w="220" w:type="dxa"/>
            <w:vAlign w:val="bottom"/>
          </w:tcPr>
          <w:p>
            <w:pPr>
              <w:spacing w:after="0"/>
              <w:rPr>
                <w:sz w:val="12"/>
                <w:szCs w:val="12"/>
                <w:color w:val="auto"/>
              </w:rPr>
            </w:pPr>
          </w:p>
        </w:tc>
        <w:tc>
          <w:tcPr>
            <w:tcW w:w="48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w:t>
            </w:r>
          </w:p>
        </w:tc>
      </w:tr>
      <w:tr>
        <w:trPr>
          <w:trHeight w:val="20"/>
        </w:trPr>
        <w:tc>
          <w:tcPr>
            <w:tcW w:w="6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300" w:hanging="291"/>
        <w:spacing w:after="0" w:line="234" w:lineRule="auto"/>
        <w:tabs>
          <w:tab w:leader="none" w:pos="3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Under the terms of our short-term incentive plan, an individual age 55 with five years of service satisfies the retirement provisions under the plan. If the individual terminates employment during the plan year, he or she is eligible for a pro rata plan distribution at the target level of achievement based on eligible earnings to date multiplied by his or her short-term incentive target.</w:t>
      </w:r>
    </w:p>
    <w:p>
      <w:pPr>
        <w:spacing w:after="0" w:line="50" w:lineRule="exact"/>
        <w:rPr>
          <w:rFonts w:ascii="Arial" w:cs="Arial" w:eastAsia="Arial" w:hAnsi="Arial"/>
          <w:sz w:val="13"/>
          <w:szCs w:val="13"/>
          <w:color w:val="auto"/>
        </w:rPr>
      </w:pPr>
    </w:p>
    <w:p>
      <w:pPr>
        <w:jc w:val="both"/>
        <w:ind w:left="300" w:hanging="291"/>
        <w:spacing w:after="0" w:line="231" w:lineRule="auto"/>
        <w:tabs>
          <w:tab w:leader="none" w:pos="3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For purposes of the calculations, amounts that would be payable in shares have been converted to dollars using the New York Stock Exchange closing price for CenterPoint Energy common stock on December 31, 2020 (which was $21.64). Under the terms of our long-term incentive awards, an individual age 55 with five years of service (or, for Mr. Lesar, at least three years of service) satisfies the retirement provisions under the plan and is eligible for a pro rata plan distribution. In the case of performance share units, such distribution is based on the number of days employed in the performance cycle and the actual level of achievement. All amounts above have been calculated assuming the target level of achievement. In the case of stock awards, such distribution is based on the number of days employed in the vesting period. Mr. Carroll and Ms. Colvin satisfy the retirement provisions under the plan.</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Upon termination of employment, each named executive officer would also be entitled to receive payment for any fully vested benefits to which he is already entitled, if payable upon termination of employment,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211"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1" w:name="page82"/>
    <w:bookmarkEnd w:id="8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 xml:space="preserve">Payments upon termination due to death. </w:t>
      </w:r>
      <w:r>
        <w:rPr>
          <w:rFonts w:ascii="Arial" w:cs="Arial" w:eastAsia="Arial" w:hAnsi="Arial"/>
          <w:sz w:val="16"/>
          <w:szCs w:val="16"/>
          <w:color w:val="auto"/>
        </w:rPr>
        <w:t>The table below presents information on the value of the benefits payable if a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had died on December 31, 2020. The numbers in the table have been rounded to the nearest one thousand dollars. The beneficiaries would have been entitled to the following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Type of Payment</w:t>
            </w:r>
          </w:p>
        </w:tc>
        <w:tc>
          <w:tcPr>
            <w:tcW w:w="700" w:type="dxa"/>
            <w:vAlign w:val="bottom"/>
            <w:gridSpan w:val="2"/>
            <w:shd w:val="clear" w:color="auto" w:fill="0061AF"/>
          </w:tcPr>
          <w:p>
            <w:pPr>
              <w:jc w:val="right"/>
              <w:ind w:right="220"/>
              <w:spacing w:after="0"/>
              <w:rPr>
                <w:sz w:val="20"/>
                <w:szCs w:val="20"/>
                <w:color w:val="auto"/>
              </w:rPr>
            </w:pPr>
            <w:r>
              <w:rPr>
                <w:rFonts w:ascii="Arial" w:cs="Arial" w:eastAsia="Arial" w:hAnsi="Arial"/>
                <w:sz w:val="13"/>
                <w:szCs w:val="13"/>
                <w:b w:val="1"/>
                <w:bCs w:val="1"/>
                <w:color w:val="FFFFFF"/>
              </w:rPr>
              <w:t>Lesar</w:t>
            </w:r>
          </w:p>
        </w:tc>
        <w:tc>
          <w:tcPr>
            <w:tcW w:w="140" w:type="dxa"/>
            <w:vAlign w:val="bottom"/>
            <w:tcBorders>
              <w:right w:val="single" w:sz="8" w:color="0061AF"/>
            </w:tcBorders>
            <w:shd w:val="clear" w:color="auto" w:fill="0061AF"/>
          </w:tcPr>
          <w:p>
            <w:pPr>
              <w:spacing w:after="0"/>
              <w:rPr>
                <w:sz w:val="13"/>
                <w:szCs w:val="13"/>
                <w:color w:val="auto"/>
              </w:rPr>
            </w:pPr>
          </w:p>
        </w:tc>
        <w:tc>
          <w:tcPr>
            <w:tcW w:w="700" w:type="dxa"/>
            <w:vAlign w:val="bottom"/>
            <w:gridSpan w:val="2"/>
            <w:shd w:val="clear" w:color="auto" w:fill="0061AF"/>
          </w:tcPr>
          <w:p>
            <w:pPr>
              <w:ind w:left="80"/>
              <w:spacing w:after="0"/>
              <w:rPr>
                <w:sz w:val="20"/>
                <w:szCs w:val="20"/>
                <w:color w:val="auto"/>
              </w:rPr>
            </w:pPr>
            <w:r>
              <w:rPr>
                <w:rFonts w:ascii="Arial" w:cs="Arial" w:eastAsia="Arial" w:hAnsi="Arial"/>
                <w:sz w:val="13"/>
                <w:szCs w:val="13"/>
                <w:b w:val="1"/>
                <w:bCs w:val="1"/>
                <w:color w:val="FFFFFF"/>
              </w:rPr>
              <w:t>Wells</w:t>
            </w:r>
          </w:p>
        </w:tc>
        <w:tc>
          <w:tcPr>
            <w:tcW w:w="80" w:type="dxa"/>
            <w:vAlign w:val="bottom"/>
            <w:shd w:val="clear" w:color="auto" w:fill="0061AF"/>
          </w:tcPr>
          <w:p>
            <w:pPr>
              <w:spacing w:after="0"/>
              <w:rPr>
                <w:sz w:val="13"/>
                <w:szCs w:val="13"/>
                <w:color w:val="auto"/>
              </w:rPr>
            </w:pPr>
          </w:p>
        </w:tc>
        <w:tc>
          <w:tcPr>
            <w:tcW w:w="640" w:type="dxa"/>
            <w:vAlign w:val="bottom"/>
            <w:gridSpan w:val="2"/>
            <w:shd w:val="clear" w:color="auto" w:fill="0061AF"/>
          </w:tcPr>
          <w:p>
            <w:pPr>
              <w:jc w:val="right"/>
              <w:ind w:right="180"/>
              <w:spacing w:after="0"/>
              <w:rPr>
                <w:sz w:val="20"/>
                <w:szCs w:val="20"/>
                <w:color w:val="auto"/>
              </w:rPr>
            </w:pPr>
            <w:r>
              <w:rPr>
                <w:rFonts w:ascii="Arial" w:cs="Arial" w:eastAsia="Arial" w:hAnsi="Arial"/>
                <w:sz w:val="13"/>
                <w:szCs w:val="13"/>
                <w:b w:val="1"/>
                <w:bCs w:val="1"/>
                <w:color w:val="FFFFFF"/>
              </w:rPr>
              <w:t>Carroll</w:t>
            </w:r>
          </w:p>
        </w:tc>
        <w:tc>
          <w:tcPr>
            <w:tcW w:w="60" w:type="dxa"/>
            <w:vAlign w:val="bottom"/>
            <w:shd w:val="clear" w:color="auto" w:fill="0061AF"/>
          </w:tcPr>
          <w:p>
            <w:pPr>
              <w:spacing w:after="0"/>
              <w:rPr>
                <w:sz w:val="13"/>
                <w:szCs w:val="13"/>
                <w:color w:val="auto"/>
              </w:rPr>
            </w:pPr>
          </w:p>
        </w:tc>
        <w:tc>
          <w:tcPr>
            <w:tcW w:w="80" w:type="dxa"/>
            <w:vAlign w:val="bottom"/>
            <w:shd w:val="clear" w:color="auto" w:fill="0061AF"/>
          </w:tcPr>
          <w:p>
            <w:pPr>
              <w:spacing w:after="0"/>
              <w:rPr>
                <w:sz w:val="13"/>
                <w:szCs w:val="13"/>
                <w:color w:val="auto"/>
              </w:rPr>
            </w:pPr>
          </w:p>
        </w:tc>
        <w:tc>
          <w:tcPr>
            <w:tcW w:w="700" w:type="dxa"/>
            <w:vAlign w:val="bottom"/>
            <w:gridSpan w:val="2"/>
            <w:shd w:val="clear" w:color="auto" w:fill="0061AF"/>
          </w:tcPr>
          <w:p>
            <w:pPr>
              <w:jc w:val="right"/>
              <w:ind w:right="260"/>
              <w:spacing w:after="0"/>
              <w:rPr>
                <w:sz w:val="20"/>
                <w:szCs w:val="20"/>
                <w:color w:val="auto"/>
              </w:rPr>
            </w:pPr>
            <w:r>
              <w:rPr>
                <w:rFonts w:ascii="Arial" w:cs="Arial" w:eastAsia="Arial" w:hAnsi="Arial"/>
                <w:sz w:val="13"/>
                <w:szCs w:val="13"/>
                <w:b w:val="1"/>
                <w:bCs w:val="1"/>
                <w:color w:val="FFFFFF"/>
              </w:rPr>
              <w:t>Colvin</w:t>
            </w:r>
          </w:p>
        </w:tc>
        <w:tc>
          <w:tcPr>
            <w:tcW w:w="60" w:type="dxa"/>
            <w:vAlign w:val="bottom"/>
            <w:shd w:val="clear" w:color="auto" w:fill="0061AF"/>
          </w:tcPr>
          <w:p>
            <w:pPr>
              <w:spacing w:after="0"/>
              <w:rPr>
                <w:sz w:val="13"/>
                <w:szCs w:val="13"/>
                <w:color w:val="auto"/>
              </w:rPr>
            </w:pPr>
          </w:p>
        </w:tc>
        <w:tc>
          <w:tcPr>
            <w:tcW w:w="620" w:type="dxa"/>
            <w:vAlign w:val="bottom"/>
            <w:gridSpan w:val="2"/>
            <w:shd w:val="clear" w:color="auto" w:fill="0061AF"/>
          </w:tcPr>
          <w:p>
            <w:pPr>
              <w:ind w:left="80"/>
              <w:spacing w:after="0"/>
              <w:rPr>
                <w:sz w:val="20"/>
                <w:szCs w:val="20"/>
                <w:color w:val="auto"/>
              </w:rPr>
            </w:pPr>
            <w:r>
              <w:rPr>
                <w:rFonts w:ascii="Arial" w:cs="Arial" w:eastAsia="Arial" w:hAnsi="Arial"/>
                <w:sz w:val="13"/>
                <w:szCs w:val="13"/>
                <w:b w:val="1"/>
                <w:bCs w:val="1"/>
                <w:color w:val="FFFFFF"/>
              </w:rPr>
              <w:t>Doyle</w:t>
            </w:r>
          </w:p>
        </w:tc>
        <w:tc>
          <w:tcPr>
            <w:tcW w:w="60" w:type="dxa"/>
            <w:vAlign w:val="bottom"/>
            <w:shd w:val="clear" w:color="auto" w:fill="0061AF"/>
          </w:tcPr>
          <w:p>
            <w:pPr>
              <w:spacing w:after="0"/>
              <w:rPr>
                <w:sz w:val="13"/>
                <w:szCs w:val="13"/>
                <w:color w:val="auto"/>
              </w:rPr>
            </w:pPr>
          </w:p>
        </w:tc>
        <w:tc>
          <w:tcPr>
            <w:tcW w:w="80" w:type="dxa"/>
            <w:vAlign w:val="bottom"/>
            <w:shd w:val="clear" w:color="auto" w:fill="0061AF"/>
          </w:tcPr>
          <w:p>
            <w:pPr>
              <w:spacing w:after="0"/>
              <w:rPr>
                <w:sz w:val="13"/>
                <w:szCs w:val="13"/>
                <w:color w:val="auto"/>
              </w:rPr>
            </w:pPr>
          </w:p>
        </w:tc>
        <w:tc>
          <w:tcPr>
            <w:tcW w:w="660" w:type="dxa"/>
            <w:vAlign w:val="bottom"/>
            <w:gridSpan w:val="2"/>
            <w:shd w:val="clear" w:color="auto" w:fill="0061AF"/>
          </w:tcPr>
          <w:p>
            <w:pPr>
              <w:jc w:val="right"/>
              <w:ind w:right="220"/>
              <w:spacing w:after="0"/>
              <w:rPr>
                <w:sz w:val="20"/>
                <w:szCs w:val="20"/>
                <w:color w:val="auto"/>
              </w:rPr>
            </w:pPr>
            <w:r>
              <w:rPr>
                <w:rFonts w:ascii="Arial" w:cs="Arial" w:eastAsia="Arial" w:hAnsi="Arial"/>
                <w:sz w:val="13"/>
                <w:szCs w:val="13"/>
                <w:b w:val="1"/>
                <w:bCs w:val="1"/>
                <w:color w:val="FFFFFF"/>
              </w:rPr>
              <w:t>Knight</w:t>
            </w:r>
          </w:p>
        </w:tc>
      </w:tr>
      <w:tr>
        <w:trPr>
          <w:trHeight w:val="143"/>
        </w:trPr>
        <w:tc>
          <w:tcPr>
            <w:tcW w:w="5140" w:type="dxa"/>
            <w:vAlign w:val="bottom"/>
          </w:tcPr>
          <w:p>
            <w:pPr>
              <w:ind w:left="80"/>
              <w:spacing w:after="0" w:line="143" w:lineRule="exact"/>
              <w:rPr>
                <w:sz w:val="20"/>
                <w:szCs w:val="20"/>
                <w:color w:val="auto"/>
              </w:rPr>
            </w:pPr>
            <w:r>
              <w:rPr>
                <w:rFonts w:ascii="Arial" w:cs="Arial" w:eastAsia="Arial" w:hAnsi="Arial"/>
                <w:sz w:val="10"/>
                <w:szCs w:val="10"/>
                <w:color w:val="auto"/>
              </w:rPr>
              <w:t>Short-term Incentive Plan</w:t>
            </w:r>
            <w:r>
              <w:rPr>
                <w:rFonts w:ascii="Arial" w:cs="Arial" w:eastAsia="Arial" w:hAnsi="Arial"/>
                <w:sz w:val="16"/>
                <w:szCs w:val="16"/>
                <w:color w:val="auto"/>
                <w:vertAlign w:val="superscript"/>
              </w:rPr>
              <w:t>(1)</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w w:val="95"/>
              </w:rPr>
              <w:t>$1,688,000</w:t>
            </w:r>
          </w:p>
        </w:tc>
        <w:tc>
          <w:tcPr>
            <w:tcW w:w="6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488,000</w:t>
            </w:r>
          </w:p>
        </w:tc>
        <w:tc>
          <w:tcPr>
            <w:tcW w:w="1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209,000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317,000</w:t>
            </w:r>
          </w:p>
        </w:tc>
        <w:tc>
          <w:tcPr>
            <w:tcW w:w="1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118,000</w:t>
            </w:r>
          </w:p>
        </w:tc>
      </w:tr>
      <w:tr>
        <w:trPr>
          <w:trHeight w:val="143"/>
        </w:trPr>
        <w:tc>
          <w:tcPr>
            <w:tcW w:w="514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Long-term Incentive Plan:</w:t>
            </w:r>
            <w:r>
              <w:rPr>
                <w:rFonts w:ascii="Arial" w:cs="Arial" w:eastAsia="Arial" w:hAnsi="Arial"/>
                <w:sz w:val="16"/>
                <w:szCs w:val="16"/>
                <w:color w:val="auto"/>
                <w:vertAlign w:val="superscript"/>
              </w:rPr>
              <w:t>(2)</w:t>
            </w:r>
          </w:p>
        </w:tc>
        <w:tc>
          <w:tcPr>
            <w:tcW w:w="64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140" w:type="dxa"/>
            <w:vAlign w:val="bottom"/>
            <w:tcBorders>
              <w:right w:val="single" w:sz="8" w:color="D8E7F3"/>
            </w:tcBorders>
            <w:shd w:val="clear" w:color="auto" w:fill="D8E7F3"/>
          </w:tcPr>
          <w:p>
            <w:pPr>
              <w:spacing w:after="0"/>
              <w:rPr>
                <w:sz w:val="12"/>
                <w:szCs w:val="12"/>
                <w:color w:val="auto"/>
              </w:rPr>
            </w:pPr>
          </w:p>
        </w:tc>
        <w:tc>
          <w:tcPr>
            <w:tcW w:w="580" w:type="dxa"/>
            <w:vAlign w:val="bottom"/>
            <w:shd w:val="clear" w:color="auto" w:fill="D8E7F3"/>
          </w:tcPr>
          <w:p>
            <w:pPr>
              <w:spacing w:after="0"/>
              <w:rPr>
                <w:sz w:val="12"/>
                <w:szCs w:val="12"/>
                <w:color w:val="auto"/>
              </w:rPr>
            </w:pPr>
          </w:p>
        </w:tc>
        <w:tc>
          <w:tcPr>
            <w:tcW w:w="12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5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560" w:type="dxa"/>
            <w:vAlign w:val="bottom"/>
            <w:shd w:val="clear" w:color="auto" w:fill="D8E7F3"/>
          </w:tcPr>
          <w:p>
            <w:pPr>
              <w:spacing w:after="0"/>
              <w:rPr>
                <w:sz w:val="12"/>
                <w:szCs w:val="12"/>
                <w:color w:val="auto"/>
              </w:rPr>
            </w:pPr>
          </w:p>
        </w:tc>
        <w:tc>
          <w:tcPr>
            <w:tcW w:w="14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580" w:type="dxa"/>
            <w:vAlign w:val="bottom"/>
            <w:shd w:val="clear" w:color="auto" w:fill="D8E7F3"/>
          </w:tcPr>
          <w:p>
            <w:pPr>
              <w:spacing w:after="0"/>
              <w:rPr>
                <w:sz w:val="12"/>
                <w:szCs w:val="12"/>
                <w:color w:val="auto"/>
              </w:rPr>
            </w:pPr>
          </w:p>
        </w:tc>
        <w:tc>
          <w:tcPr>
            <w:tcW w:w="4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56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r>
      <w:tr>
        <w:trPr>
          <w:trHeight w:val="143"/>
        </w:trPr>
        <w:tc>
          <w:tcPr>
            <w:tcW w:w="5140" w:type="dxa"/>
            <w:vAlign w:val="bottom"/>
          </w:tcPr>
          <w:p>
            <w:pPr>
              <w:ind w:left="340"/>
              <w:spacing w:after="0" w:line="143" w:lineRule="exact"/>
              <w:rPr>
                <w:sz w:val="20"/>
                <w:szCs w:val="20"/>
                <w:color w:val="auto"/>
              </w:rPr>
            </w:pPr>
            <w:r>
              <w:rPr>
                <w:rFonts w:ascii="Arial" w:cs="Arial" w:eastAsia="Arial" w:hAnsi="Arial"/>
                <w:sz w:val="13"/>
                <w:szCs w:val="13"/>
                <w:color w:val="auto"/>
              </w:rPr>
              <w:t>Performance Share Units</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5,707,000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w w:val="96"/>
              </w:rPr>
              <w:t>1,338,000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w w:val="93"/>
              </w:rPr>
              <w:t>4,258,000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577,000</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6"/>
              </w:rPr>
              <w:t>1,102,000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589,000</w:t>
            </w:r>
          </w:p>
        </w:tc>
      </w:tr>
      <w:tr>
        <w:trPr>
          <w:trHeight w:val="143"/>
        </w:trPr>
        <w:tc>
          <w:tcPr>
            <w:tcW w:w="5140" w:type="dxa"/>
            <w:vAlign w:val="bottom"/>
            <w:shd w:val="clear" w:color="auto" w:fill="D8E7F3"/>
          </w:tcPr>
          <w:p>
            <w:pPr>
              <w:ind w:left="340"/>
              <w:spacing w:after="0" w:line="143" w:lineRule="exact"/>
              <w:rPr>
                <w:sz w:val="20"/>
                <w:szCs w:val="20"/>
                <w:color w:val="auto"/>
              </w:rPr>
            </w:pPr>
            <w:r>
              <w:rPr>
                <w:rFonts w:ascii="Arial" w:cs="Arial" w:eastAsia="Arial" w:hAnsi="Arial"/>
                <w:sz w:val="13"/>
                <w:szCs w:val="13"/>
                <w:color w:val="auto"/>
              </w:rPr>
              <w:t>Stock Awards</w:t>
            </w:r>
          </w:p>
        </w:tc>
        <w:tc>
          <w:tcPr>
            <w:tcW w:w="6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2,398,000</w:t>
            </w:r>
          </w:p>
        </w:tc>
        <w:tc>
          <w:tcPr>
            <w:tcW w:w="60" w:type="dxa"/>
            <w:vAlign w:val="bottom"/>
            <w:shd w:val="clear" w:color="auto" w:fill="D8E7F3"/>
          </w:tcPr>
          <w:p>
            <w:pPr>
              <w:spacing w:after="0"/>
              <w:rPr>
                <w:sz w:val="12"/>
                <w:szCs w:val="12"/>
                <w:color w:val="auto"/>
              </w:rPr>
            </w:pPr>
          </w:p>
        </w:tc>
        <w:tc>
          <w:tcPr>
            <w:tcW w:w="140" w:type="dxa"/>
            <w:vAlign w:val="bottom"/>
            <w:tcBorders>
              <w:right w:val="single" w:sz="8" w:color="D8E7F3"/>
            </w:tcBorders>
            <w:shd w:val="clear" w:color="auto" w:fill="D8E7F3"/>
          </w:tcPr>
          <w:p>
            <w:pPr>
              <w:spacing w:after="0"/>
              <w:rPr>
                <w:sz w:val="12"/>
                <w:szCs w:val="12"/>
                <w:color w:val="auto"/>
              </w:rPr>
            </w:pPr>
          </w:p>
        </w:tc>
        <w:tc>
          <w:tcPr>
            <w:tcW w:w="5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558,000</w:t>
            </w:r>
          </w:p>
        </w:tc>
        <w:tc>
          <w:tcPr>
            <w:tcW w:w="12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640" w:type="dxa"/>
            <w:vAlign w:val="bottom"/>
            <w:gridSpan w:val="2"/>
            <w:shd w:val="clear" w:color="auto" w:fill="D8E7F3"/>
          </w:tcPr>
          <w:p>
            <w:pPr>
              <w:jc w:val="right"/>
              <w:ind w:right="80"/>
              <w:spacing w:after="0" w:line="143" w:lineRule="exact"/>
              <w:rPr>
                <w:sz w:val="20"/>
                <w:szCs w:val="20"/>
                <w:color w:val="auto"/>
              </w:rPr>
            </w:pPr>
            <w:r>
              <w:rPr>
                <w:rFonts w:ascii="Arial" w:cs="Arial" w:eastAsia="Arial" w:hAnsi="Arial"/>
                <w:sz w:val="13"/>
                <w:szCs w:val="13"/>
                <w:color w:val="auto"/>
                <w:w w:val="93"/>
              </w:rPr>
              <w:t>2,957,000</w:t>
            </w:r>
          </w:p>
        </w:tc>
        <w:tc>
          <w:tcPr>
            <w:tcW w:w="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700" w:type="dxa"/>
            <w:vAlign w:val="bottom"/>
            <w:gridSpan w:val="2"/>
            <w:shd w:val="clear" w:color="auto" w:fill="D8E7F3"/>
          </w:tcPr>
          <w:p>
            <w:pPr>
              <w:jc w:val="right"/>
              <w:ind w:right="140"/>
              <w:spacing w:after="0" w:line="143" w:lineRule="exact"/>
              <w:rPr>
                <w:sz w:val="20"/>
                <w:szCs w:val="20"/>
                <w:color w:val="auto"/>
              </w:rPr>
            </w:pPr>
            <w:r>
              <w:rPr>
                <w:rFonts w:ascii="Arial" w:cs="Arial" w:eastAsia="Arial" w:hAnsi="Arial"/>
                <w:sz w:val="13"/>
                <w:szCs w:val="13"/>
                <w:color w:val="auto"/>
              </w:rPr>
              <w:t>517,000</w:t>
            </w:r>
          </w:p>
        </w:tc>
        <w:tc>
          <w:tcPr>
            <w:tcW w:w="60" w:type="dxa"/>
            <w:vAlign w:val="bottom"/>
            <w:shd w:val="clear" w:color="auto" w:fill="D8E7F3"/>
          </w:tcPr>
          <w:p>
            <w:pPr>
              <w:spacing w:after="0"/>
              <w:rPr>
                <w:sz w:val="12"/>
                <w:szCs w:val="12"/>
                <w:color w:val="auto"/>
              </w:rPr>
            </w:pPr>
          </w:p>
        </w:tc>
        <w:tc>
          <w:tcPr>
            <w:tcW w:w="620" w:type="dxa"/>
            <w:vAlign w:val="bottom"/>
            <w:gridSpan w:val="2"/>
            <w:shd w:val="clear" w:color="auto" w:fill="D8E7F3"/>
          </w:tcPr>
          <w:p>
            <w:pPr>
              <w:jc w:val="right"/>
              <w:ind w:right="40"/>
              <w:spacing w:after="0" w:line="143" w:lineRule="exact"/>
              <w:rPr>
                <w:sz w:val="20"/>
                <w:szCs w:val="20"/>
                <w:color w:val="auto"/>
              </w:rPr>
            </w:pPr>
            <w:r>
              <w:rPr>
                <w:rFonts w:ascii="Arial" w:cs="Arial" w:eastAsia="Arial" w:hAnsi="Arial"/>
                <w:sz w:val="13"/>
                <w:szCs w:val="13"/>
                <w:color w:val="auto"/>
              </w:rPr>
              <w:t>471,000</w:t>
            </w:r>
          </w:p>
        </w:tc>
        <w:tc>
          <w:tcPr>
            <w:tcW w:w="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66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247,000</w:t>
            </w:r>
          </w:p>
        </w:tc>
      </w:tr>
      <w:tr>
        <w:trPr>
          <w:trHeight w:val="143"/>
        </w:trPr>
        <w:tc>
          <w:tcPr>
            <w:tcW w:w="5140" w:type="dxa"/>
            <w:vAlign w:val="bottom"/>
          </w:tcPr>
          <w:p>
            <w:pPr>
              <w:ind w:left="80"/>
              <w:spacing w:after="0" w:line="143" w:lineRule="exact"/>
              <w:rPr>
                <w:sz w:val="20"/>
                <w:szCs w:val="20"/>
                <w:color w:val="auto"/>
              </w:rPr>
            </w:pPr>
            <w:r>
              <w:rPr>
                <w:rFonts w:ascii="Arial" w:cs="Arial" w:eastAsia="Arial" w:hAnsi="Arial"/>
                <w:sz w:val="10"/>
                <w:szCs w:val="10"/>
                <w:color w:val="auto"/>
              </w:rPr>
              <w:t>Executive life insurance plan</w:t>
            </w:r>
            <w:r>
              <w:rPr>
                <w:rFonts w:ascii="Arial" w:cs="Arial" w:eastAsia="Arial" w:hAnsi="Arial"/>
                <w:sz w:val="16"/>
                <w:szCs w:val="16"/>
                <w:color w:val="auto"/>
                <w:vertAlign w:val="superscript"/>
              </w:rPr>
              <w:t>(3)</w:t>
            </w:r>
          </w:p>
        </w:tc>
        <w:tc>
          <w:tcPr>
            <w:tcW w:w="7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180,000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r>
      <w:tr>
        <w:trPr>
          <w:trHeight w:val="143"/>
        </w:trPr>
        <w:tc>
          <w:tcPr>
            <w:tcW w:w="514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Basic life insurance</w:t>
            </w:r>
            <w:r>
              <w:rPr>
                <w:rFonts w:ascii="Arial" w:cs="Arial" w:eastAsia="Arial" w:hAnsi="Arial"/>
                <w:sz w:val="16"/>
                <w:szCs w:val="16"/>
                <w:color w:val="auto"/>
                <w:vertAlign w:val="superscript"/>
              </w:rPr>
              <w:t>(3)</w:t>
            </w:r>
          </w:p>
        </w:tc>
        <w:tc>
          <w:tcPr>
            <w:tcW w:w="700" w:type="dxa"/>
            <w:vAlign w:val="bottom"/>
            <w:gridSpan w:val="2"/>
            <w:shd w:val="clear" w:color="auto" w:fill="D8E7F3"/>
          </w:tcPr>
          <w:p>
            <w:pPr>
              <w:jc w:val="right"/>
              <w:ind w:right="60"/>
              <w:spacing w:after="0" w:line="143" w:lineRule="exact"/>
              <w:rPr>
                <w:sz w:val="20"/>
                <w:szCs w:val="20"/>
                <w:color w:val="auto"/>
              </w:rPr>
            </w:pPr>
            <w:r>
              <w:rPr>
                <w:rFonts w:ascii="Arial" w:cs="Arial" w:eastAsia="Arial" w:hAnsi="Arial"/>
                <w:sz w:val="13"/>
                <w:szCs w:val="13"/>
                <w:color w:val="auto"/>
              </w:rPr>
              <w:t>50,000</w:t>
            </w:r>
          </w:p>
        </w:tc>
        <w:tc>
          <w:tcPr>
            <w:tcW w:w="140" w:type="dxa"/>
            <w:vAlign w:val="bottom"/>
            <w:tcBorders>
              <w:right w:val="single" w:sz="8" w:color="D8E7F3"/>
            </w:tcBorders>
            <w:shd w:val="clear" w:color="auto" w:fill="D8E7F3"/>
          </w:tcPr>
          <w:p>
            <w:pPr>
              <w:spacing w:after="0"/>
              <w:rPr>
                <w:sz w:val="12"/>
                <w:szCs w:val="12"/>
                <w:color w:val="auto"/>
              </w:rPr>
            </w:pPr>
          </w:p>
        </w:tc>
        <w:tc>
          <w:tcPr>
            <w:tcW w:w="700" w:type="dxa"/>
            <w:vAlign w:val="bottom"/>
            <w:gridSpan w:val="2"/>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50,000</w:t>
            </w:r>
          </w:p>
        </w:tc>
        <w:tc>
          <w:tcPr>
            <w:tcW w:w="80" w:type="dxa"/>
            <w:vAlign w:val="bottom"/>
            <w:shd w:val="clear" w:color="auto" w:fill="D8E7F3"/>
          </w:tcPr>
          <w:p>
            <w:pPr>
              <w:spacing w:after="0"/>
              <w:rPr>
                <w:sz w:val="12"/>
                <w:szCs w:val="12"/>
                <w:color w:val="auto"/>
              </w:rPr>
            </w:pPr>
          </w:p>
        </w:tc>
        <w:tc>
          <w:tcPr>
            <w:tcW w:w="640" w:type="dxa"/>
            <w:vAlign w:val="bottom"/>
            <w:gridSpan w:val="2"/>
            <w:shd w:val="clear" w:color="auto" w:fill="D8E7F3"/>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700" w:type="dxa"/>
            <w:vAlign w:val="bottom"/>
            <w:gridSpan w:val="2"/>
            <w:shd w:val="clear" w:color="auto" w:fill="D8E7F3"/>
          </w:tcPr>
          <w:p>
            <w:pPr>
              <w:jc w:val="right"/>
              <w:ind w:right="140"/>
              <w:spacing w:after="0" w:line="143" w:lineRule="exact"/>
              <w:rPr>
                <w:sz w:val="20"/>
                <w:szCs w:val="20"/>
                <w:color w:val="auto"/>
              </w:rPr>
            </w:pPr>
            <w:r>
              <w:rPr>
                <w:rFonts w:ascii="Arial" w:cs="Arial" w:eastAsia="Arial" w:hAnsi="Arial"/>
                <w:sz w:val="13"/>
                <w:szCs w:val="13"/>
                <w:color w:val="auto"/>
              </w:rPr>
              <w:t>50,000</w:t>
            </w:r>
          </w:p>
        </w:tc>
        <w:tc>
          <w:tcPr>
            <w:tcW w:w="60" w:type="dxa"/>
            <w:vAlign w:val="bottom"/>
            <w:shd w:val="clear" w:color="auto" w:fill="D8E7F3"/>
          </w:tcPr>
          <w:p>
            <w:pPr>
              <w:spacing w:after="0"/>
              <w:rPr>
                <w:sz w:val="12"/>
                <w:szCs w:val="12"/>
                <w:color w:val="auto"/>
              </w:rPr>
            </w:pPr>
          </w:p>
        </w:tc>
        <w:tc>
          <w:tcPr>
            <w:tcW w:w="620" w:type="dxa"/>
            <w:vAlign w:val="bottom"/>
            <w:gridSpan w:val="2"/>
            <w:shd w:val="clear" w:color="auto" w:fill="D8E7F3"/>
          </w:tcPr>
          <w:p>
            <w:pPr>
              <w:jc w:val="right"/>
              <w:ind w:right="40"/>
              <w:spacing w:after="0" w:line="143" w:lineRule="exact"/>
              <w:rPr>
                <w:sz w:val="20"/>
                <w:szCs w:val="20"/>
                <w:color w:val="auto"/>
              </w:rPr>
            </w:pPr>
            <w:r>
              <w:rPr>
                <w:rFonts w:ascii="Arial" w:cs="Arial" w:eastAsia="Arial" w:hAnsi="Arial"/>
                <w:sz w:val="13"/>
                <w:szCs w:val="13"/>
                <w:color w:val="auto"/>
              </w:rPr>
              <w:t>50,000</w:t>
            </w:r>
          </w:p>
        </w:tc>
        <w:tc>
          <w:tcPr>
            <w:tcW w:w="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66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50,000</w:t>
            </w:r>
          </w:p>
        </w:tc>
      </w:tr>
      <w:tr>
        <w:trPr>
          <w:trHeight w:val="20"/>
        </w:trPr>
        <w:tc>
          <w:tcPr>
            <w:tcW w:w="5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140" w:type="dxa"/>
            <w:vAlign w:val="bottom"/>
          </w:tcPr>
          <w:p>
            <w:pPr>
              <w:ind w:left="80"/>
              <w:spacing w:after="0" w:line="147" w:lineRule="exact"/>
              <w:rPr>
                <w:sz w:val="20"/>
                <w:szCs w:val="20"/>
                <w:color w:val="auto"/>
              </w:rPr>
            </w:pPr>
            <w:r>
              <w:rPr>
                <w:rFonts w:ascii="Arial" w:cs="Arial" w:eastAsia="Arial" w:hAnsi="Arial"/>
                <w:sz w:val="13"/>
                <w:szCs w:val="13"/>
                <w:color w:val="auto"/>
              </w:rPr>
              <w:t>Total</w:t>
            </w:r>
          </w:p>
        </w:tc>
        <w:tc>
          <w:tcPr>
            <w:tcW w:w="640" w:type="dxa"/>
            <w:vAlign w:val="bottom"/>
          </w:tcPr>
          <w:p>
            <w:pPr>
              <w:jc w:val="right"/>
              <w:spacing w:after="0" w:line="147" w:lineRule="exact"/>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9,843,000</w:t>
            </w:r>
          </w:p>
        </w:tc>
        <w:tc>
          <w:tcPr>
            <w:tcW w:w="6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Arial" w:cs="Arial" w:eastAsia="Arial" w:hAnsi="Arial"/>
                <w:sz w:val="13"/>
                <w:szCs w:val="13"/>
                <w:u w:val="single" w:color="auto"/>
                <w:color w:val="auto"/>
              </w:rPr>
              <w:t>$</w:t>
            </w: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w w:val="96"/>
              </w:rPr>
              <w:t>2,434,000</w:t>
            </w:r>
          </w:p>
        </w:tc>
        <w:tc>
          <w:tcPr>
            <w:tcW w:w="120" w:type="dxa"/>
            <w:vAlign w:val="bottom"/>
          </w:tcPr>
          <w:p>
            <w:pPr>
              <w:spacing w:after="0"/>
              <w:rPr>
                <w:sz w:val="12"/>
                <w:szCs w:val="12"/>
                <w:color w:val="auto"/>
              </w:rPr>
            </w:pPr>
          </w:p>
        </w:tc>
        <w:tc>
          <w:tcPr>
            <w:tcW w:w="80" w:type="dxa"/>
            <w:vAlign w:val="bottom"/>
          </w:tcPr>
          <w:p>
            <w:pPr>
              <w:jc w:val="right"/>
              <w:spacing w:after="0" w:line="147" w:lineRule="exact"/>
              <w:rPr>
                <w:sz w:val="20"/>
                <w:szCs w:val="20"/>
                <w:color w:val="auto"/>
              </w:rPr>
            </w:pPr>
            <w:r>
              <w:rPr>
                <w:rFonts w:ascii="Arial" w:cs="Arial" w:eastAsia="Arial" w:hAnsi="Arial"/>
                <w:sz w:val="13"/>
                <w:szCs w:val="13"/>
                <w:u w:val="single" w:color="auto"/>
                <w:color w:val="auto"/>
                <w:w w:val="82"/>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w w:val="93"/>
              </w:rPr>
              <w:t>7,395,000</w:t>
            </w:r>
          </w:p>
        </w:tc>
        <w:tc>
          <w:tcPr>
            <w:tcW w:w="140" w:type="dxa"/>
            <w:vAlign w:val="bottom"/>
            <w:gridSpan w:val="2"/>
          </w:tcPr>
          <w:p>
            <w:pPr>
              <w:jc w:val="right"/>
              <w:ind w:right="20"/>
              <w:spacing w:after="0" w:line="147" w:lineRule="exact"/>
              <w:rPr>
                <w:sz w:val="20"/>
                <w:szCs w:val="20"/>
                <w:color w:val="auto"/>
              </w:rPr>
            </w:pPr>
            <w:r>
              <w:rPr>
                <w:rFonts w:ascii="Arial" w:cs="Arial" w:eastAsia="Arial" w:hAnsi="Arial"/>
                <w:sz w:val="13"/>
                <w:szCs w:val="13"/>
                <w:u w:val="single" w:color="auto"/>
                <w:color w:val="auto"/>
              </w:rPr>
              <w:t>$</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w w:val="93"/>
              </w:rPr>
              <w:t>1,353,000</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w w:val="96"/>
              </w:rPr>
              <w:t>1,940,000</w:t>
            </w:r>
          </w:p>
        </w:tc>
        <w:tc>
          <w:tcPr>
            <w:tcW w:w="140" w:type="dxa"/>
            <w:vAlign w:val="bottom"/>
            <w:gridSpan w:val="2"/>
          </w:tcPr>
          <w:p>
            <w:pPr>
              <w:jc w:val="right"/>
              <w:spacing w:after="0" w:line="147" w:lineRule="exact"/>
              <w:rPr>
                <w:sz w:val="20"/>
                <w:szCs w:val="20"/>
                <w:color w:val="auto"/>
              </w:rPr>
            </w:pPr>
            <w:r>
              <w:rPr>
                <w:rFonts w:ascii="Arial" w:cs="Arial" w:eastAsia="Arial" w:hAnsi="Arial"/>
                <w:sz w:val="13"/>
                <w:szCs w:val="13"/>
                <w:u w:val="single" w:color="auto"/>
                <w:color w:val="auto"/>
              </w:rPr>
              <w:t>$</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w w:val="93"/>
              </w:rPr>
              <w:t>1,004,000</w:t>
            </w:r>
          </w:p>
        </w:tc>
        <w:tc>
          <w:tcPr>
            <w:tcW w:w="100" w:type="dxa"/>
            <w:vAlign w:val="bottom"/>
          </w:tcPr>
          <w:p>
            <w:pPr>
              <w:spacing w:after="0"/>
              <w:rPr>
                <w:sz w:val="12"/>
                <w:szCs w:val="12"/>
                <w:color w:val="auto"/>
              </w:rPr>
            </w:pPr>
          </w:p>
        </w:tc>
      </w:tr>
      <w:tr>
        <w:trPr>
          <w:trHeight w:val="20"/>
        </w:trPr>
        <w:tc>
          <w:tcPr>
            <w:tcW w:w="5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300" w:hanging="291"/>
        <w:spacing w:after="0" w:line="237" w:lineRule="auto"/>
        <w:tabs>
          <w:tab w:leader="none" w:pos="3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Under the terms of our short-term incentive plan, an individual who dies during the plan year is eligible for a pro rata plan distribution at the target level of achievement based on eligible earnings to date multiplied by his or her short-term incentive target.</w:t>
      </w:r>
    </w:p>
    <w:p>
      <w:pPr>
        <w:spacing w:after="0" w:line="49" w:lineRule="exact"/>
        <w:rPr>
          <w:rFonts w:ascii="Arial" w:cs="Arial" w:eastAsia="Arial" w:hAnsi="Arial"/>
          <w:sz w:val="13"/>
          <w:szCs w:val="13"/>
          <w:color w:val="auto"/>
        </w:rPr>
      </w:pPr>
    </w:p>
    <w:p>
      <w:pPr>
        <w:jc w:val="both"/>
        <w:ind w:left="300" w:hanging="291"/>
        <w:spacing w:after="0" w:line="234" w:lineRule="auto"/>
        <w:tabs>
          <w:tab w:leader="none" w:pos="3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For purposes of the calculations, amounts that would be payable in shares have been converted to dollars using the New York Stock Exchange closing price for CenterPoint Energy common stock on December 31, 2020 (which was $21.64). Under the terms of the long-term incentive awards, an individual who dies prior to vesting is eligible for a full distribution of the award, based on the target level of achievement for performance share units.</w:t>
      </w:r>
    </w:p>
    <w:p>
      <w:pPr>
        <w:spacing w:after="0" w:line="50" w:lineRule="exact"/>
        <w:rPr>
          <w:rFonts w:ascii="Arial" w:cs="Arial" w:eastAsia="Arial" w:hAnsi="Arial"/>
          <w:sz w:val="13"/>
          <w:szCs w:val="13"/>
          <w:color w:val="auto"/>
        </w:rPr>
      </w:pPr>
    </w:p>
    <w:p>
      <w:pPr>
        <w:ind w:left="300" w:hanging="291"/>
        <w:spacing w:after="0"/>
        <w:tabs>
          <w:tab w:leader="none" w:pos="3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Amounts payable by third party insurance providers.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Each named executive officer’s beneficiaries would also be entitled to receive payment for any fully vested benefits to which they are entitled under the terms of the applicable plan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 xml:space="preserve">Payments upon disability. </w:t>
      </w:r>
      <w:r>
        <w:rPr>
          <w:rFonts w:ascii="Arial" w:cs="Arial" w:eastAsia="Arial" w:hAnsi="Arial"/>
          <w:sz w:val="16"/>
          <w:szCs w:val="16"/>
          <w:color w:val="auto"/>
        </w:rPr>
        <w:t>If a named executive officer becomes disabled as defined under our long-term disability plan on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he or she would receive the payments stated in the table below. Mr. Carroll is not eligible for long-term disability benefits. The numbers in the table have been rounded to the nearest one thousand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Type of Payment</w:t>
            </w:r>
          </w:p>
        </w:tc>
        <w:tc>
          <w:tcPr>
            <w:tcW w:w="1640" w:type="dxa"/>
            <w:vAlign w:val="bottom"/>
            <w:shd w:val="clear" w:color="auto" w:fill="0061AF"/>
          </w:tcPr>
          <w:p>
            <w:pPr>
              <w:spacing w:after="0"/>
              <w:rPr>
                <w:sz w:val="13"/>
                <w:szCs w:val="13"/>
                <w:color w:val="auto"/>
              </w:rPr>
            </w:pPr>
          </w:p>
        </w:tc>
        <w:tc>
          <w:tcPr>
            <w:tcW w:w="780" w:type="dxa"/>
            <w:vAlign w:val="bottom"/>
            <w:gridSpan w:val="2"/>
            <w:shd w:val="clear" w:color="auto" w:fill="0061AF"/>
          </w:tcPr>
          <w:p>
            <w:pPr>
              <w:jc w:val="right"/>
              <w:ind w:right="280"/>
              <w:spacing w:after="0"/>
              <w:rPr>
                <w:sz w:val="20"/>
                <w:szCs w:val="20"/>
                <w:color w:val="auto"/>
              </w:rPr>
            </w:pPr>
            <w:r>
              <w:rPr>
                <w:rFonts w:ascii="Arial" w:cs="Arial" w:eastAsia="Arial" w:hAnsi="Arial"/>
                <w:sz w:val="13"/>
                <w:szCs w:val="13"/>
                <w:b w:val="1"/>
                <w:bCs w:val="1"/>
                <w:color w:val="FFFFFF"/>
              </w:rPr>
              <w:t>Lesar</w:t>
            </w:r>
          </w:p>
        </w:tc>
        <w:tc>
          <w:tcPr>
            <w:tcW w:w="80" w:type="dxa"/>
            <w:vAlign w:val="bottom"/>
            <w:shd w:val="clear" w:color="auto" w:fill="0061AF"/>
          </w:tcPr>
          <w:p>
            <w:pPr>
              <w:spacing w:after="0"/>
              <w:rPr>
                <w:sz w:val="13"/>
                <w:szCs w:val="13"/>
                <w:color w:val="auto"/>
              </w:rPr>
            </w:pPr>
          </w:p>
        </w:tc>
        <w:tc>
          <w:tcPr>
            <w:tcW w:w="620" w:type="dxa"/>
            <w:vAlign w:val="bottom"/>
            <w:gridSpan w:val="2"/>
            <w:shd w:val="clear" w:color="auto" w:fill="0061AF"/>
          </w:tcPr>
          <w:p>
            <w:pPr>
              <w:jc w:val="right"/>
              <w:ind w:right="220"/>
              <w:spacing w:after="0"/>
              <w:rPr>
                <w:sz w:val="20"/>
                <w:szCs w:val="20"/>
                <w:color w:val="auto"/>
              </w:rPr>
            </w:pPr>
            <w:r>
              <w:rPr>
                <w:rFonts w:ascii="Arial" w:cs="Arial" w:eastAsia="Arial" w:hAnsi="Arial"/>
                <w:sz w:val="13"/>
                <w:szCs w:val="13"/>
                <w:b w:val="1"/>
                <w:bCs w:val="1"/>
                <w:color w:val="FFFFFF"/>
              </w:rPr>
              <w:t>Wells</w:t>
            </w:r>
          </w:p>
        </w:tc>
        <w:tc>
          <w:tcPr>
            <w:tcW w:w="140" w:type="dxa"/>
            <w:vAlign w:val="bottom"/>
            <w:tcBorders>
              <w:right w:val="single" w:sz="8" w:color="0061AF"/>
            </w:tcBorders>
            <w:shd w:val="clear" w:color="auto" w:fill="0061AF"/>
          </w:tcPr>
          <w:p>
            <w:pPr>
              <w:spacing w:after="0"/>
              <w:rPr>
                <w:sz w:val="13"/>
                <w:szCs w:val="13"/>
                <w:color w:val="auto"/>
              </w:rPr>
            </w:pPr>
          </w:p>
        </w:tc>
        <w:tc>
          <w:tcPr>
            <w:tcW w:w="580" w:type="dxa"/>
            <w:vAlign w:val="bottom"/>
            <w:shd w:val="clear" w:color="auto" w:fill="0061AF"/>
          </w:tcPr>
          <w:p>
            <w:pPr>
              <w:jc w:val="right"/>
              <w:ind w:right="57"/>
              <w:spacing w:after="0"/>
              <w:rPr>
                <w:sz w:val="20"/>
                <w:szCs w:val="20"/>
                <w:color w:val="auto"/>
              </w:rPr>
            </w:pPr>
            <w:r>
              <w:rPr>
                <w:rFonts w:ascii="Arial" w:cs="Arial" w:eastAsia="Arial" w:hAnsi="Arial"/>
                <w:sz w:val="13"/>
                <w:szCs w:val="13"/>
                <w:b w:val="1"/>
                <w:bCs w:val="1"/>
                <w:color w:val="FFFFFF"/>
              </w:rPr>
              <w:t>Carroll</w:t>
            </w:r>
          </w:p>
        </w:tc>
        <w:tc>
          <w:tcPr>
            <w:tcW w:w="120" w:type="dxa"/>
            <w:vAlign w:val="bottom"/>
            <w:shd w:val="clear" w:color="auto" w:fill="0061AF"/>
          </w:tcPr>
          <w:p>
            <w:pPr>
              <w:spacing w:after="0"/>
              <w:rPr>
                <w:sz w:val="13"/>
                <w:szCs w:val="13"/>
                <w:color w:val="auto"/>
              </w:rPr>
            </w:pPr>
          </w:p>
        </w:tc>
        <w:tc>
          <w:tcPr>
            <w:tcW w:w="80" w:type="dxa"/>
            <w:vAlign w:val="bottom"/>
            <w:shd w:val="clear" w:color="auto" w:fill="0061AF"/>
          </w:tcPr>
          <w:p>
            <w:pPr>
              <w:spacing w:after="0"/>
              <w:rPr>
                <w:sz w:val="13"/>
                <w:szCs w:val="13"/>
                <w:color w:val="auto"/>
              </w:rPr>
            </w:pPr>
          </w:p>
        </w:tc>
        <w:tc>
          <w:tcPr>
            <w:tcW w:w="640" w:type="dxa"/>
            <w:vAlign w:val="bottom"/>
            <w:gridSpan w:val="2"/>
            <w:shd w:val="clear" w:color="auto" w:fill="0061AF"/>
          </w:tcPr>
          <w:p>
            <w:pPr>
              <w:jc w:val="right"/>
              <w:ind w:right="200"/>
              <w:spacing w:after="0"/>
              <w:rPr>
                <w:sz w:val="20"/>
                <w:szCs w:val="20"/>
                <w:color w:val="auto"/>
              </w:rPr>
            </w:pPr>
            <w:r>
              <w:rPr>
                <w:rFonts w:ascii="Arial" w:cs="Arial" w:eastAsia="Arial" w:hAnsi="Arial"/>
                <w:sz w:val="13"/>
                <w:szCs w:val="13"/>
                <w:b w:val="1"/>
                <w:bCs w:val="1"/>
                <w:color w:val="FFFFFF"/>
              </w:rPr>
              <w:t>Colvin</w:t>
            </w:r>
          </w:p>
        </w:tc>
        <w:tc>
          <w:tcPr>
            <w:tcW w:w="60" w:type="dxa"/>
            <w:vAlign w:val="bottom"/>
            <w:shd w:val="clear" w:color="auto" w:fill="0061AF"/>
          </w:tcPr>
          <w:p>
            <w:pPr>
              <w:spacing w:after="0"/>
              <w:rPr>
                <w:sz w:val="13"/>
                <w:szCs w:val="13"/>
                <w:color w:val="auto"/>
              </w:rPr>
            </w:pPr>
          </w:p>
        </w:tc>
        <w:tc>
          <w:tcPr>
            <w:tcW w:w="80" w:type="dxa"/>
            <w:vAlign w:val="bottom"/>
            <w:shd w:val="clear" w:color="auto" w:fill="0061AF"/>
          </w:tcPr>
          <w:p>
            <w:pPr>
              <w:spacing w:after="0"/>
              <w:rPr>
                <w:sz w:val="13"/>
                <w:szCs w:val="13"/>
                <w:color w:val="auto"/>
              </w:rPr>
            </w:pPr>
          </w:p>
        </w:tc>
        <w:tc>
          <w:tcPr>
            <w:tcW w:w="660" w:type="dxa"/>
            <w:vAlign w:val="bottom"/>
            <w:gridSpan w:val="2"/>
            <w:shd w:val="clear" w:color="auto" w:fill="0061AF"/>
          </w:tcPr>
          <w:p>
            <w:pPr>
              <w:jc w:val="right"/>
              <w:ind w:right="240"/>
              <w:spacing w:after="0"/>
              <w:rPr>
                <w:sz w:val="20"/>
                <w:szCs w:val="20"/>
                <w:color w:val="auto"/>
              </w:rPr>
            </w:pPr>
            <w:r>
              <w:rPr>
                <w:rFonts w:ascii="Arial" w:cs="Arial" w:eastAsia="Arial" w:hAnsi="Arial"/>
                <w:sz w:val="13"/>
                <w:szCs w:val="13"/>
                <w:b w:val="1"/>
                <w:bCs w:val="1"/>
                <w:color w:val="FFFFFF"/>
              </w:rPr>
              <w:t>Doyle</w:t>
            </w:r>
          </w:p>
        </w:tc>
        <w:tc>
          <w:tcPr>
            <w:tcW w:w="640" w:type="dxa"/>
            <w:vAlign w:val="bottom"/>
            <w:gridSpan w:val="2"/>
            <w:shd w:val="clear" w:color="auto" w:fill="0061AF"/>
          </w:tcPr>
          <w:p>
            <w:pPr>
              <w:jc w:val="right"/>
              <w:ind w:right="160"/>
              <w:spacing w:after="0"/>
              <w:rPr>
                <w:sz w:val="20"/>
                <w:szCs w:val="20"/>
                <w:color w:val="auto"/>
              </w:rPr>
            </w:pPr>
            <w:r>
              <w:rPr>
                <w:rFonts w:ascii="Arial" w:cs="Arial" w:eastAsia="Arial" w:hAnsi="Arial"/>
                <w:sz w:val="13"/>
                <w:szCs w:val="13"/>
                <w:b w:val="1"/>
                <w:bCs w:val="1"/>
                <w:color w:val="FFFFFF"/>
              </w:rPr>
              <w:t>Knight</w:t>
            </w:r>
          </w:p>
        </w:tc>
      </w:tr>
      <w:tr>
        <w:trPr>
          <w:trHeight w:val="143"/>
        </w:trPr>
        <w:tc>
          <w:tcPr>
            <w:tcW w:w="3600" w:type="dxa"/>
            <w:vAlign w:val="bottom"/>
          </w:tcPr>
          <w:p>
            <w:pPr>
              <w:ind w:left="80"/>
              <w:spacing w:after="0" w:line="143" w:lineRule="exact"/>
              <w:rPr>
                <w:sz w:val="20"/>
                <w:szCs w:val="20"/>
                <w:color w:val="auto"/>
              </w:rPr>
            </w:pPr>
            <w:r>
              <w:rPr>
                <w:rFonts w:ascii="Arial" w:cs="Arial" w:eastAsia="Arial" w:hAnsi="Arial"/>
                <w:sz w:val="10"/>
                <w:szCs w:val="10"/>
                <w:color w:val="auto"/>
              </w:rPr>
              <w:t>Short-term Incentive Plan</w:t>
            </w:r>
            <w:r>
              <w:rPr>
                <w:rFonts w:ascii="Arial" w:cs="Arial" w:eastAsia="Arial" w:hAnsi="Arial"/>
                <w:sz w:val="16"/>
                <w:szCs w:val="16"/>
                <w:color w:val="auto"/>
                <w:vertAlign w:val="superscript"/>
              </w:rPr>
              <w:t>(1)</w:t>
            </w:r>
          </w:p>
        </w:tc>
        <w:tc>
          <w:tcPr>
            <w:tcW w:w="22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$1,688,000</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488,000</w:t>
            </w:r>
          </w:p>
        </w:tc>
        <w:tc>
          <w:tcPr>
            <w:tcW w:w="1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209,000</w:t>
            </w:r>
          </w:p>
        </w:tc>
        <w:tc>
          <w:tcPr>
            <w:tcW w:w="14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317,000</w:t>
            </w:r>
          </w:p>
        </w:tc>
        <w:tc>
          <w:tcPr>
            <w:tcW w:w="6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w w:val="95"/>
              </w:rPr>
              <w:t>$118,000</w:t>
            </w:r>
          </w:p>
        </w:tc>
      </w:tr>
      <w:tr>
        <w:trPr>
          <w:trHeight w:val="143"/>
        </w:trPr>
        <w:tc>
          <w:tcPr>
            <w:tcW w:w="360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Long-term Incentive Plan:</w:t>
            </w:r>
            <w:r>
              <w:rPr>
                <w:rFonts w:ascii="Arial" w:cs="Arial" w:eastAsia="Arial" w:hAnsi="Arial"/>
                <w:sz w:val="16"/>
                <w:szCs w:val="16"/>
                <w:color w:val="auto"/>
                <w:vertAlign w:val="superscript"/>
              </w:rPr>
              <w:t>(2)</w:t>
            </w:r>
          </w:p>
        </w:tc>
        <w:tc>
          <w:tcPr>
            <w:tcW w:w="1640" w:type="dxa"/>
            <w:vAlign w:val="bottom"/>
            <w:shd w:val="clear" w:color="auto" w:fill="D8E7F3"/>
          </w:tcPr>
          <w:p>
            <w:pPr>
              <w:spacing w:after="0"/>
              <w:rPr>
                <w:sz w:val="12"/>
                <w:szCs w:val="12"/>
                <w:color w:val="auto"/>
              </w:rPr>
            </w:pPr>
          </w:p>
        </w:tc>
        <w:tc>
          <w:tcPr>
            <w:tcW w:w="640" w:type="dxa"/>
            <w:vAlign w:val="bottom"/>
            <w:shd w:val="clear" w:color="auto" w:fill="D8E7F3"/>
          </w:tcPr>
          <w:p>
            <w:pPr>
              <w:spacing w:after="0"/>
              <w:rPr>
                <w:sz w:val="12"/>
                <w:szCs w:val="12"/>
                <w:color w:val="auto"/>
              </w:rPr>
            </w:pPr>
          </w:p>
        </w:tc>
        <w:tc>
          <w:tcPr>
            <w:tcW w:w="14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56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140" w:type="dxa"/>
            <w:vAlign w:val="bottom"/>
            <w:tcBorders>
              <w:right w:val="single" w:sz="8" w:color="D8E7F3"/>
            </w:tcBorders>
            <w:shd w:val="clear" w:color="auto" w:fill="D8E7F3"/>
          </w:tcPr>
          <w:p>
            <w:pPr>
              <w:spacing w:after="0"/>
              <w:rPr>
                <w:sz w:val="12"/>
                <w:szCs w:val="12"/>
                <w:color w:val="auto"/>
              </w:rPr>
            </w:pPr>
          </w:p>
        </w:tc>
        <w:tc>
          <w:tcPr>
            <w:tcW w:w="580" w:type="dxa"/>
            <w:vAlign w:val="bottom"/>
            <w:shd w:val="clear" w:color="auto" w:fill="D8E7F3"/>
          </w:tcPr>
          <w:p>
            <w:pPr>
              <w:spacing w:after="0"/>
              <w:rPr>
                <w:sz w:val="12"/>
                <w:szCs w:val="12"/>
                <w:color w:val="auto"/>
              </w:rPr>
            </w:pPr>
          </w:p>
        </w:tc>
        <w:tc>
          <w:tcPr>
            <w:tcW w:w="12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5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56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c>
          <w:tcPr>
            <w:tcW w:w="540" w:type="dxa"/>
            <w:vAlign w:val="bottom"/>
            <w:shd w:val="clear" w:color="auto" w:fill="D8E7F3"/>
          </w:tcPr>
          <w:p>
            <w:pPr>
              <w:spacing w:after="0"/>
              <w:rPr>
                <w:sz w:val="12"/>
                <w:szCs w:val="12"/>
                <w:color w:val="auto"/>
              </w:rPr>
            </w:pPr>
          </w:p>
        </w:tc>
        <w:tc>
          <w:tcPr>
            <w:tcW w:w="100" w:type="dxa"/>
            <w:vAlign w:val="bottom"/>
            <w:shd w:val="clear" w:color="auto" w:fill="D8E7F3"/>
          </w:tcPr>
          <w:p>
            <w:pPr>
              <w:spacing w:after="0"/>
              <w:rPr>
                <w:sz w:val="12"/>
                <w:szCs w:val="12"/>
                <w:color w:val="auto"/>
              </w:rPr>
            </w:pPr>
          </w:p>
        </w:tc>
      </w:tr>
      <w:tr>
        <w:trPr>
          <w:trHeight w:val="143"/>
        </w:trPr>
        <w:tc>
          <w:tcPr>
            <w:tcW w:w="3600" w:type="dxa"/>
            <w:vAlign w:val="bottom"/>
          </w:tcPr>
          <w:p>
            <w:pPr>
              <w:ind w:left="340"/>
              <w:spacing w:after="0" w:line="143" w:lineRule="exact"/>
              <w:rPr>
                <w:sz w:val="20"/>
                <w:szCs w:val="20"/>
                <w:color w:val="auto"/>
              </w:rPr>
            </w:pPr>
            <w:r>
              <w:rPr>
                <w:rFonts w:ascii="Arial" w:cs="Arial" w:eastAsia="Arial" w:hAnsi="Arial"/>
                <w:sz w:val="13"/>
                <w:szCs w:val="13"/>
                <w:color w:val="auto"/>
              </w:rPr>
              <w:t>Performance Share Units</w:t>
            </w:r>
          </w:p>
        </w:tc>
        <w:tc>
          <w:tcPr>
            <w:tcW w:w="22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5,707,000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w w:val="93"/>
              </w:rPr>
              <w:t>1,338,000</w:t>
            </w:r>
          </w:p>
        </w:tc>
        <w:tc>
          <w:tcPr>
            <w:tcW w:w="14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w w:val="96"/>
              </w:rPr>
              <w:t>4,316,000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585,000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w w:val="93"/>
              </w:rPr>
              <w:t>1,117,000</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589,000</w:t>
            </w:r>
          </w:p>
        </w:tc>
      </w:tr>
      <w:tr>
        <w:trPr>
          <w:trHeight w:val="143"/>
        </w:trPr>
        <w:tc>
          <w:tcPr>
            <w:tcW w:w="3600" w:type="dxa"/>
            <w:vAlign w:val="bottom"/>
            <w:shd w:val="clear" w:color="auto" w:fill="D8E7F3"/>
          </w:tcPr>
          <w:p>
            <w:pPr>
              <w:ind w:left="340"/>
              <w:spacing w:after="0" w:line="143" w:lineRule="exact"/>
              <w:rPr>
                <w:sz w:val="20"/>
                <w:szCs w:val="20"/>
                <w:color w:val="auto"/>
              </w:rPr>
            </w:pPr>
            <w:r>
              <w:rPr>
                <w:rFonts w:ascii="Arial" w:cs="Arial" w:eastAsia="Arial" w:hAnsi="Arial"/>
                <w:sz w:val="13"/>
                <w:szCs w:val="13"/>
                <w:color w:val="auto"/>
              </w:rPr>
              <w:t>Stock Awards</w:t>
            </w:r>
          </w:p>
        </w:tc>
        <w:tc>
          <w:tcPr>
            <w:tcW w:w="2280" w:type="dxa"/>
            <w:vAlign w:val="bottom"/>
            <w:gridSpan w:val="2"/>
            <w:shd w:val="clear" w:color="auto" w:fill="D8E7F3"/>
          </w:tcPr>
          <w:p>
            <w:pPr>
              <w:jc w:val="right"/>
              <w:spacing w:after="0" w:line="143" w:lineRule="exact"/>
              <w:rPr>
                <w:sz w:val="20"/>
                <w:szCs w:val="20"/>
                <w:color w:val="auto"/>
              </w:rPr>
            </w:pPr>
            <w:r>
              <w:rPr>
                <w:rFonts w:ascii="Arial" w:cs="Arial" w:eastAsia="Arial" w:hAnsi="Arial"/>
                <w:sz w:val="13"/>
                <w:szCs w:val="13"/>
                <w:color w:val="auto"/>
              </w:rPr>
              <w:t>2,398,000</w:t>
            </w:r>
          </w:p>
        </w:tc>
        <w:tc>
          <w:tcPr>
            <w:tcW w:w="14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620" w:type="dxa"/>
            <w:vAlign w:val="bottom"/>
            <w:gridSpan w:val="2"/>
            <w:shd w:val="clear" w:color="auto" w:fill="D8E7F3"/>
          </w:tcPr>
          <w:p>
            <w:pPr>
              <w:jc w:val="right"/>
              <w:ind w:right="60"/>
              <w:spacing w:after="0" w:line="143" w:lineRule="exact"/>
              <w:rPr>
                <w:sz w:val="20"/>
                <w:szCs w:val="20"/>
                <w:color w:val="auto"/>
              </w:rPr>
            </w:pPr>
            <w:r>
              <w:rPr>
                <w:rFonts w:ascii="Arial" w:cs="Arial" w:eastAsia="Arial" w:hAnsi="Arial"/>
                <w:sz w:val="13"/>
                <w:szCs w:val="13"/>
                <w:color w:val="auto"/>
              </w:rPr>
              <w:t>558,000</w:t>
            </w:r>
          </w:p>
        </w:tc>
        <w:tc>
          <w:tcPr>
            <w:tcW w:w="140" w:type="dxa"/>
            <w:vAlign w:val="bottom"/>
            <w:tcBorders>
              <w:right w:val="single" w:sz="8" w:color="D8E7F3"/>
            </w:tcBorders>
            <w:shd w:val="clear" w:color="auto" w:fill="D8E7F3"/>
          </w:tcPr>
          <w:p>
            <w:pPr>
              <w:spacing w:after="0"/>
              <w:rPr>
                <w:sz w:val="12"/>
                <w:szCs w:val="12"/>
                <w:color w:val="auto"/>
              </w:rPr>
            </w:pPr>
          </w:p>
        </w:tc>
        <w:tc>
          <w:tcPr>
            <w:tcW w:w="5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w w:val="96"/>
              </w:rPr>
              <w:t>2,998,000</w:t>
            </w:r>
          </w:p>
        </w:tc>
        <w:tc>
          <w:tcPr>
            <w:tcW w:w="12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640" w:type="dxa"/>
            <w:vAlign w:val="bottom"/>
            <w:gridSpan w:val="2"/>
            <w:shd w:val="clear" w:color="auto" w:fill="D8E7F3"/>
          </w:tcPr>
          <w:p>
            <w:pPr>
              <w:jc w:val="right"/>
              <w:ind w:right="80"/>
              <w:spacing w:after="0" w:line="143" w:lineRule="exact"/>
              <w:rPr>
                <w:sz w:val="20"/>
                <w:szCs w:val="20"/>
                <w:color w:val="auto"/>
              </w:rPr>
            </w:pPr>
            <w:r>
              <w:rPr>
                <w:rFonts w:ascii="Arial" w:cs="Arial" w:eastAsia="Arial" w:hAnsi="Arial"/>
                <w:sz w:val="13"/>
                <w:szCs w:val="13"/>
                <w:color w:val="auto"/>
              </w:rPr>
              <w:t>525,000</w:t>
            </w:r>
          </w:p>
        </w:tc>
        <w:tc>
          <w:tcPr>
            <w:tcW w:w="60" w:type="dxa"/>
            <w:vAlign w:val="bottom"/>
            <w:shd w:val="clear" w:color="auto" w:fill="D8E7F3"/>
          </w:tcPr>
          <w:p>
            <w:pPr>
              <w:spacing w:after="0"/>
              <w:rPr>
                <w:sz w:val="12"/>
                <w:szCs w:val="12"/>
                <w:color w:val="auto"/>
              </w:rPr>
            </w:pPr>
          </w:p>
        </w:tc>
        <w:tc>
          <w:tcPr>
            <w:tcW w:w="80" w:type="dxa"/>
            <w:vAlign w:val="bottom"/>
            <w:shd w:val="clear" w:color="auto" w:fill="D8E7F3"/>
          </w:tcPr>
          <w:p>
            <w:pPr>
              <w:spacing w:after="0"/>
              <w:rPr>
                <w:sz w:val="12"/>
                <w:szCs w:val="12"/>
                <w:color w:val="auto"/>
              </w:rPr>
            </w:pPr>
          </w:p>
        </w:tc>
        <w:tc>
          <w:tcPr>
            <w:tcW w:w="66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478,000</w:t>
            </w:r>
          </w:p>
        </w:tc>
        <w:tc>
          <w:tcPr>
            <w:tcW w:w="6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247,000</w:t>
            </w:r>
          </w:p>
        </w:tc>
      </w:tr>
      <w:tr>
        <w:trPr>
          <w:trHeight w:val="143"/>
        </w:trPr>
        <w:tc>
          <w:tcPr>
            <w:tcW w:w="3600" w:type="dxa"/>
            <w:vAlign w:val="bottom"/>
          </w:tcPr>
          <w:p>
            <w:pPr>
              <w:ind w:left="80"/>
              <w:spacing w:after="0" w:line="143" w:lineRule="exact"/>
              <w:rPr>
                <w:sz w:val="20"/>
                <w:szCs w:val="20"/>
                <w:color w:val="auto"/>
              </w:rPr>
            </w:pPr>
            <w:r>
              <w:rPr>
                <w:rFonts w:ascii="Arial" w:cs="Arial" w:eastAsia="Arial" w:hAnsi="Arial"/>
                <w:sz w:val="10"/>
                <w:szCs w:val="10"/>
                <w:color w:val="auto"/>
              </w:rPr>
              <w:t>Long-term Disability Per Month</w:t>
            </w:r>
            <w:r>
              <w:rPr>
                <w:rFonts w:ascii="Arial" w:cs="Arial" w:eastAsia="Arial" w:hAnsi="Arial"/>
                <w:sz w:val="16"/>
                <w:szCs w:val="16"/>
                <w:color w:val="auto"/>
                <w:vertAlign w:val="superscript"/>
              </w:rPr>
              <w:t>(3)</w:t>
            </w:r>
          </w:p>
        </w:tc>
        <w:tc>
          <w:tcPr>
            <w:tcW w:w="1640" w:type="dxa"/>
            <w:vAlign w:val="bottom"/>
          </w:tcPr>
          <w:p>
            <w:pPr>
              <w:spacing w:after="0"/>
              <w:rPr>
                <w:sz w:val="12"/>
                <w:szCs w:val="12"/>
                <w:color w:val="auto"/>
              </w:rPr>
            </w:pPr>
          </w:p>
        </w:tc>
        <w:tc>
          <w:tcPr>
            <w:tcW w:w="7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20,000</w:t>
            </w:r>
          </w:p>
        </w:tc>
        <w:tc>
          <w:tcPr>
            <w:tcW w:w="14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16,000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20,000</w:t>
            </w:r>
          </w:p>
        </w:tc>
        <w:tc>
          <w:tcPr>
            <w:tcW w:w="64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20,000</w:t>
            </w:r>
          </w:p>
        </w:tc>
      </w:tr>
      <w:tr>
        <w:trPr>
          <w:trHeight w:val="24"/>
        </w:trPr>
        <w:tc>
          <w:tcPr>
            <w:tcW w:w="3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3"/>
        </w:trPr>
        <w:tc>
          <w:tcPr>
            <w:tcW w:w="360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Total</w:t>
            </w:r>
          </w:p>
        </w:tc>
        <w:tc>
          <w:tcPr>
            <w:tcW w:w="1640" w:type="dxa"/>
            <w:vAlign w:val="bottom"/>
            <w:shd w:val="clear" w:color="auto" w:fill="D8E7F3"/>
          </w:tcPr>
          <w:p>
            <w:pPr>
              <w:spacing w:after="0"/>
              <w:rPr>
                <w:sz w:val="12"/>
                <w:szCs w:val="12"/>
                <w:color w:val="auto"/>
              </w:rPr>
            </w:pPr>
          </w:p>
        </w:tc>
        <w:tc>
          <w:tcPr>
            <w:tcW w:w="64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9,813,000</w:t>
            </w:r>
          </w:p>
        </w:tc>
        <w:tc>
          <w:tcPr>
            <w:tcW w:w="140" w:type="dxa"/>
            <w:vAlign w:val="bottom"/>
            <w:shd w:val="clear" w:color="auto" w:fill="D8E7F3"/>
          </w:tcPr>
          <w:p>
            <w:pPr>
              <w:spacing w:after="0"/>
              <w:rPr>
                <w:sz w:val="12"/>
                <w:szCs w:val="12"/>
                <w:color w:val="auto"/>
              </w:rPr>
            </w:pPr>
          </w:p>
        </w:tc>
        <w:tc>
          <w:tcPr>
            <w:tcW w:w="80" w:type="dxa"/>
            <w:vAlign w:val="bottom"/>
            <w:shd w:val="clear" w:color="auto" w:fill="D8E7F3"/>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D8E7F3"/>
          </w:tcPr>
          <w:p>
            <w:pPr>
              <w:jc w:val="right"/>
              <w:ind w:right="60"/>
              <w:spacing w:after="0" w:line="143" w:lineRule="exact"/>
              <w:rPr>
                <w:sz w:val="20"/>
                <w:szCs w:val="20"/>
                <w:color w:val="auto"/>
              </w:rPr>
            </w:pPr>
            <w:r>
              <w:rPr>
                <w:rFonts w:ascii="Arial" w:cs="Arial" w:eastAsia="Arial" w:hAnsi="Arial"/>
                <w:sz w:val="13"/>
                <w:szCs w:val="13"/>
                <w:color w:val="auto"/>
                <w:w w:val="93"/>
              </w:rPr>
              <w:t>2,404,000</w:t>
            </w:r>
          </w:p>
        </w:tc>
        <w:tc>
          <w:tcPr>
            <w:tcW w:w="140" w:type="dxa"/>
            <w:vAlign w:val="bottom"/>
            <w:tcBorders>
              <w:right w:val="single" w:sz="8" w:color="D8E7F3"/>
            </w:tcBorders>
            <w:shd w:val="clear" w:color="auto" w:fill="D8E7F3"/>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58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w w:val="96"/>
              </w:rPr>
              <w:t>7,314,000</w:t>
            </w:r>
          </w:p>
        </w:tc>
        <w:tc>
          <w:tcPr>
            <w:tcW w:w="200" w:type="dxa"/>
            <w:vAlign w:val="bottom"/>
            <w:gridSpan w:val="2"/>
            <w:shd w:val="clear" w:color="auto" w:fill="D8E7F3"/>
          </w:tcPr>
          <w:p>
            <w:pPr>
              <w:jc w:val="right"/>
              <w:spacing w:after="0" w:line="143" w:lineRule="exact"/>
              <w:rPr>
                <w:sz w:val="20"/>
                <w:szCs w:val="20"/>
                <w:color w:val="auto"/>
              </w:rPr>
            </w:pPr>
            <w:r>
              <w:rPr>
                <w:rFonts w:ascii="Arial" w:cs="Arial" w:eastAsia="Arial" w:hAnsi="Arial"/>
                <w:sz w:val="13"/>
                <w:szCs w:val="13"/>
                <w:u w:val="single" w:color="auto"/>
                <w:color w:val="auto"/>
              </w:rPr>
              <w:t>$</w:t>
            </w:r>
          </w:p>
        </w:tc>
        <w:tc>
          <w:tcPr>
            <w:tcW w:w="640" w:type="dxa"/>
            <w:vAlign w:val="bottom"/>
            <w:gridSpan w:val="2"/>
            <w:shd w:val="clear" w:color="auto" w:fill="D8E7F3"/>
          </w:tcPr>
          <w:p>
            <w:pPr>
              <w:jc w:val="right"/>
              <w:ind w:right="80"/>
              <w:spacing w:after="0" w:line="143" w:lineRule="exact"/>
              <w:rPr>
                <w:sz w:val="20"/>
                <w:szCs w:val="20"/>
                <w:color w:val="auto"/>
              </w:rPr>
            </w:pPr>
            <w:r>
              <w:rPr>
                <w:rFonts w:ascii="Arial" w:cs="Arial" w:eastAsia="Arial" w:hAnsi="Arial"/>
                <w:sz w:val="13"/>
                <w:szCs w:val="13"/>
                <w:color w:val="auto"/>
                <w:w w:val="93"/>
              </w:rPr>
              <w:t>1,335,000</w:t>
            </w:r>
          </w:p>
        </w:tc>
        <w:tc>
          <w:tcPr>
            <w:tcW w:w="140" w:type="dxa"/>
            <w:vAlign w:val="bottom"/>
            <w:gridSpan w:val="2"/>
            <w:shd w:val="clear" w:color="auto" w:fill="D8E7F3"/>
          </w:tcPr>
          <w:p>
            <w:pPr>
              <w:jc w:val="right"/>
              <w:ind w:right="20"/>
              <w:spacing w:after="0" w:line="143" w:lineRule="exact"/>
              <w:rPr>
                <w:sz w:val="20"/>
                <w:szCs w:val="20"/>
                <w:color w:val="auto"/>
              </w:rPr>
            </w:pPr>
            <w:r>
              <w:rPr>
                <w:rFonts w:ascii="Arial" w:cs="Arial" w:eastAsia="Arial" w:hAnsi="Arial"/>
                <w:sz w:val="13"/>
                <w:szCs w:val="13"/>
                <w:u w:val="single" w:color="auto"/>
                <w:color w:val="auto"/>
              </w:rPr>
              <w:t>$</w:t>
            </w:r>
          </w:p>
        </w:tc>
        <w:tc>
          <w:tcPr>
            <w:tcW w:w="5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w w:val="93"/>
              </w:rPr>
              <w:t>1,932,000</w:t>
            </w:r>
          </w:p>
        </w:tc>
        <w:tc>
          <w:tcPr>
            <w:tcW w:w="100" w:type="dxa"/>
            <w:vAlign w:val="bottom"/>
            <w:shd w:val="clear" w:color="auto" w:fill="D8E7F3"/>
          </w:tcPr>
          <w:p>
            <w:pPr>
              <w:spacing w:after="0"/>
              <w:rPr>
                <w:sz w:val="12"/>
                <w:szCs w:val="12"/>
                <w:color w:val="auto"/>
              </w:rPr>
            </w:pPr>
          </w:p>
        </w:tc>
        <w:tc>
          <w:tcPr>
            <w:tcW w:w="64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974,000</w:t>
            </w:r>
          </w:p>
        </w:tc>
      </w:tr>
      <w:tr>
        <w:trPr>
          <w:trHeight w:val="20"/>
        </w:trPr>
        <w:tc>
          <w:tcPr>
            <w:tcW w:w="3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300" w:hanging="291"/>
        <w:spacing w:after="0" w:line="237" w:lineRule="auto"/>
        <w:tabs>
          <w:tab w:leader="none" w:pos="3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Under the terms of our short-term incentive plan, an individual who becomes disabled as defined under our long-term disability plan during the plan year is eligible for a pro rata plan distribution at the target level of achievement based on eligible earnings to date multiplied by his or her short-term incentive target.</w:t>
      </w:r>
    </w:p>
    <w:p>
      <w:pPr>
        <w:spacing w:after="0" w:line="49" w:lineRule="exact"/>
        <w:rPr>
          <w:rFonts w:ascii="Arial" w:cs="Arial" w:eastAsia="Arial" w:hAnsi="Arial"/>
          <w:sz w:val="13"/>
          <w:szCs w:val="13"/>
          <w:color w:val="auto"/>
        </w:rPr>
      </w:pPr>
    </w:p>
    <w:p>
      <w:pPr>
        <w:jc w:val="both"/>
        <w:ind w:left="300" w:hanging="291"/>
        <w:spacing w:after="0" w:line="233" w:lineRule="auto"/>
        <w:tabs>
          <w:tab w:leader="none" w:pos="3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For purposes of the calculations, amounts that would be payable in shares have been converted to dollars using the New York Stock Exchange closing price for CenterPoint Energy common stock on December 31, 2020 (which was $21.64). Under the terms of the long-term incentive awards, an individual who terminates employment due to disability as defined under our long-term disability plan prior to vesting is eligible for a full distribution of the award under the plan, based on the target level of achievement for performance share units.</w:t>
      </w:r>
    </w:p>
    <w:p>
      <w:pPr>
        <w:spacing w:after="0" w:line="50" w:lineRule="exact"/>
        <w:rPr>
          <w:rFonts w:ascii="Arial" w:cs="Arial" w:eastAsia="Arial" w:hAnsi="Arial"/>
          <w:sz w:val="13"/>
          <w:szCs w:val="13"/>
          <w:color w:val="auto"/>
        </w:rPr>
      </w:pPr>
    </w:p>
    <w:p>
      <w:pPr>
        <w:ind w:left="300" w:hanging="291"/>
        <w:spacing w:after="0"/>
        <w:tabs>
          <w:tab w:leader="none" w:pos="3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Amounts payable by third party insurance providers.</w:t>
      </w:r>
    </w:p>
    <w:p>
      <w:pPr>
        <w:spacing w:after="0" w:line="177" w:lineRule="exact"/>
        <w:rPr>
          <w:sz w:val="20"/>
          <w:szCs w:val="20"/>
          <w:color w:val="auto"/>
        </w:rPr>
      </w:pPr>
    </w:p>
    <w:p>
      <w:pPr>
        <w:ind w:left="400" w:hanging="391"/>
        <w:spacing w:after="0"/>
        <w:tabs>
          <w:tab w:leader="none" w:pos="400" w:val="left"/>
        </w:tabs>
        <w:numPr>
          <w:ilvl w:val="0"/>
          <w:numId w:val="106"/>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2" w:name="page83"/>
    <w:bookmarkEnd w:id="8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Upon becoming disabled as defined under our long-term disability plan, each named executive officer would also be entitled to receive payment for any fully vested benefits to which he is already entitled, if payable upon disability,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Rabbi Trust</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maintain a trust agreement with an independent trustee establishing a springing rabbi trust for the purpose of funding benefits payable to participants under our deferred compensation plans, benefit restoration plans, savings restoration plans, long-term incentive plan agreements, in some instances, and change in control plan, in which our named executive officers participate. The trust is a grantor trust, irrevocable except in the event of an unfavorable ruling by the Internal Revenue Service as to the tax status of the trust or certain changes in tax law. It is currently funded with a nominal amount of cash. Future contributions will be made to the grantor trust if and when required by the provisions of the covered plans or when required by our Benefits Committee, which consists of officers of the Company. If there is a change in control (defined in substantially the same manner as in the change in control plan described under “Potential Payments upon Change in Control or Termination”), the grantor trust must be fully funded, within 30 days following the change in control, with an amount equal to the entire benefit to which each participant would be entitled under the covered plans as of the date of the change in control (calculated on the basis of the present value of the projected future benefits payable under the covered plans). The assets of the grantor trust are required to be held separate and apart from the other funds of CenterPoint Energy and its subsidiaries but remain subject to the claims of general creditors under applicable state and federal law.</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Lesar, our Chief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2020, our last completed fiscal year:</w:t>
      </w:r>
    </w:p>
    <w:p>
      <w:pPr>
        <w:spacing w:after="0" w:line="102" w:lineRule="exact"/>
        <w:rPr>
          <w:sz w:val="20"/>
          <w:szCs w:val="20"/>
          <w:color w:val="auto"/>
        </w:rPr>
      </w:pPr>
    </w:p>
    <w:p>
      <w:pPr>
        <w:ind w:left="380" w:hanging="276"/>
        <w:spacing w:after="0"/>
        <w:tabs>
          <w:tab w:leader="none" w:pos="380" w:val="left"/>
        </w:tabs>
        <w:numPr>
          <w:ilvl w:val="0"/>
          <w:numId w:val="107"/>
        </w:numPr>
        <w:rPr>
          <w:rFonts w:ascii="Arial" w:cs="Arial" w:eastAsia="Arial" w:hAnsi="Arial"/>
          <w:sz w:val="16"/>
          <w:szCs w:val="16"/>
          <w:color w:val="0061AF"/>
        </w:rPr>
      </w:pPr>
      <w:r>
        <w:rPr>
          <w:rFonts w:ascii="Arial" w:cs="Arial" w:eastAsia="Arial" w:hAnsi="Arial"/>
          <w:sz w:val="16"/>
          <w:szCs w:val="16"/>
          <w:color w:val="auto"/>
        </w:rPr>
        <w:t>the median of the annual total compensation of all employees of CenterPoint Energy, excluding our Chief Executive Officer, was $103,993; and</w:t>
      </w:r>
    </w:p>
    <w:p>
      <w:pPr>
        <w:spacing w:after="0" w:line="96" w:lineRule="exact"/>
        <w:rPr>
          <w:rFonts w:ascii="Arial" w:cs="Arial" w:eastAsia="Arial" w:hAnsi="Arial"/>
          <w:sz w:val="16"/>
          <w:szCs w:val="16"/>
          <w:color w:val="0061AF"/>
        </w:rPr>
      </w:pPr>
    </w:p>
    <w:p>
      <w:pPr>
        <w:ind w:left="380" w:right="20" w:hanging="276"/>
        <w:spacing w:after="0"/>
        <w:tabs>
          <w:tab w:leader="none" w:pos="380" w:val="left"/>
        </w:tabs>
        <w:numPr>
          <w:ilvl w:val="0"/>
          <w:numId w:val="107"/>
        </w:numPr>
        <w:rPr>
          <w:rFonts w:ascii="Arial" w:cs="Arial" w:eastAsia="Arial" w:hAnsi="Arial"/>
          <w:sz w:val="16"/>
          <w:szCs w:val="16"/>
          <w:color w:val="0061AF"/>
        </w:rPr>
      </w:pPr>
      <w:r>
        <w:rPr>
          <w:rFonts w:ascii="Arial" w:cs="Arial" w:eastAsia="Arial" w:hAnsi="Arial"/>
          <w:sz w:val="16"/>
          <w:szCs w:val="16"/>
          <w:color w:val="auto"/>
        </w:rPr>
        <w:t>the annual total compensation of our Chief Executive Officer was $12,621,295, which reflects the Chief Executive Officer’s annualized base salary and includes the sign-on restricted stock unit grant valued at $1,000,000.</w:t>
      </w:r>
    </w:p>
    <w:p>
      <w:pPr>
        <w:spacing w:after="0" w:line="179" w:lineRule="exact"/>
        <w:rPr>
          <w:sz w:val="20"/>
          <w:szCs w:val="20"/>
          <w:color w:val="auto"/>
        </w:rPr>
      </w:pPr>
    </w:p>
    <w:p>
      <w:pPr>
        <w:ind w:right="20"/>
        <w:spacing w:after="0"/>
        <w:rPr>
          <w:sz w:val="20"/>
          <w:szCs w:val="20"/>
          <w:color w:val="auto"/>
        </w:rPr>
      </w:pPr>
      <w:r>
        <w:rPr>
          <w:rFonts w:ascii="Arial" w:cs="Arial" w:eastAsia="Arial" w:hAnsi="Arial"/>
          <w:sz w:val="16"/>
          <w:szCs w:val="16"/>
          <w:color w:val="auto"/>
        </w:rPr>
        <w:t>Based on this information, for 2020, the ratio of Mr. Lesar’s annual total compensation to that of our median employee was approximately 121 to one.</w:t>
      </w:r>
    </w:p>
    <w:p>
      <w:pPr>
        <w:spacing w:after="0" w:line="179"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To identify the median of the annual total compensation of all our employees, as well as to determine the annual total compensation of our median employee and our Chief Executive Officer, we took the following steps:</w:t>
      </w:r>
    </w:p>
    <w:p>
      <w:pPr>
        <w:spacing w:after="0" w:line="96" w:lineRule="exact"/>
        <w:rPr>
          <w:sz w:val="20"/>
          <w:szCs w:val="20"/>
          <w:color w:val="auto"/>
        </w:rPr>
      </w:pPr>
    </w:p>
    <w:p>
      <w:pPr>
        <w:jc w:val="both"/>
        <w:ind w:left="380" w:hanging="276"/>
        <w:spacing w:after="0" w:line="237" w:lineRule="auto"/>
        <w:tabs>
          <w:tab w:leader="none" w:pos="380" w:val="left"/>
        </w:tabs>
        <w:numPr>
          <w:ilvl w:val="0"/>
          <w:numId w:val="108"/>
        </w:numPr>
        <w:rPr>
          <w:rFonts w:ascii="Arial" w:cs="Arial" w:eastAsia="Arial" w:hAnsi="Arial"/>
          <w:sz w:val="16"/>
          <w:szCs w:val="16"/>
          <w:color w:val="0061AF"/>
        </w:rPr>
      </w:pPr>
      <w:r>
        <w:rPr>
          <w:rFonts w:ascii="Arial" w:cs="Arial" w:eastAsia="Arial" w:hAnsi="Arial"/>
          <w:sz w:val="16"/>
          <w:szCs w:val="16"/>
          <w:color w:val="auto"/>
        </w:rPr>
        <w:t>We selected November 1, 2020 as the date to identify our median employee, at which time our employee population consisted of approximately 9,500 individuals located in the United States. This population consisted of our full-time, part-time and temporary employees.</w:t>
      </w:r>
    </w:p>
    <w:p>
      <w:pPr>
        <w:spacing w:after="0" w:line="97" w:lineRule="exact"/>
        <w:rPr>
          <w:rFonts w:ascii="Arial" w:cs="Arial" w:eastAsia="Arial" w:hAnsi="Arial"/>
          <w:sz w:val="16"/>
          <w:szCs w:val="16"/>
          <w:color w:val="0061AF"/>
        </w:rPr>
      </w:pPr>
    </w:p>
    <w:p>
      <w:pPr>
        <w:jc w:val="both"/>
        <w:ind w:left="380" w:right="20" w:hanging="276"/>
        <w:spacing w:after="0" w:line="237" w:lineRule="auto"/>
        <w:tabs>
          <w:tab w:leader="none" w:pos="380" w:val="left"/>
        </w:tabs>
        <w:numPr>
          <w:ilvl w:val="0"/>
          <w:numId w:val="108"/>
        </w:numPr>
        <w:rPr>
          <w:rFonts w:ascii="Arial" w:cs="Arial" w:eastAsia="Arial" w:hAnsi="Arial"/>
          <w:sz w:val="16"/>
          <w:szCs w:val="16"/>
          <w:color w:val="0061AF"/>
        </w:rPr>
      </w:pPr>
      <w:r>
        <w:rPr>
          <w:rFonts w:ascii="Arial" w:cs="Arial" w:eastAsia="Arial" w:hAnsi="Arial"/>
          <w:sz w:val="16"/>
          <w:szCs w:val="16"/>
          <w:color w:val="auto"/>
        </w:rPr>
        <w:t>To identify the “median employee” from our employee population in 2020, we compared employees’ trailing twelve months total gross wages (consisting of base salary, short-term and long-term incentives, overtime and other compensation excluding imputed income) from our payroll records.</w:t>
      </w:r>
    </w:p>
    <w:p>
      <w:pPr>
        <w:spacing w:after="0" w:line="97" w:lineRule="exact"/>
        <w:rPr>
          <w:rFonts w:ascii="Arial" w:cs="Arial" w:eastAsia="Arial" w:hAnsi="Arial"/>
          <w:sz w:val="16"/>
          <w:szCs w:val="16"/>
          <w:color w:val="0061AF"/>
        </w:rPr>
      </w:pPr>
    </w:p>
    <w:p>
      <w:pPr>
        <w:ind w:left="380" w:right="20" w:hanging="276"/>
        <w:spacing w:after="0"/>
        <w:tabs>
          <w:tab w:leader="none" w:pos="380" w:val="left"/>
        </w:tabs>
        <w:numPr>
          <w:ilvl w:val="0"/>
          <w:numId w:val="108"/>
        </w:numPr>
        <w:rPr>
          <w:rFonts w:ascii="Arial" w:cs="Arial" w:eastAsia="Arial" w:hAnsi="Arial"/>
          <w:sz w:val="16"/>
          <w:szCs w:val="16"/>
          <w:color w:val="0061AF"/>
        </w:rPr>
      </w:pPr>
      <w:r>
        <w:rPr>
          <w:rFonts w:ascii="Arial" w:cs="Arial" w:eastAsia="Arial" w:hAnsi="Arial"/>
          <w:sz w:val="16"/>
          <w:szCs w:val="16"/>
          <w:color w:val="auto"/>
        </w:rPr>
        <w:t>We identified our median employee using this compensation measure, which was consistently applied to all our employees included in the calculation.</w:t>
      </w:r>
    </w:p>
    <w:p>
      <w:pPr>
        <w:spacing w:after="0" w:line="96" w:lineRule="exact"/>
        <w:rPr>
          <w:rFonts w:ascii="Arial" w:cs="Arial" w:eastAsia="Arial" w:hAnsi="Arial"/>
          <w:sz w:val="16"/>
          <w:szCs w:val="16"/>
          <w:color w:val="0061AF"/>
        </w:rPr>
      </w:pPr>
    </w:p>
    <w:p>
      <w:pPr>
        <w:ind w:left="380" w:right="20" w:hanging="276"/>
        <w:spacing w:after="0"/>
        <w:tabs>
          <w:tab w:leader="none" w:pos="380" w:val="left"/>
        </w:tabs>
        <w:numPr>
          <w:ilvl w:val="0"/>
          <w:numId w:val="108"/>
        </w:numPr>
        <w:rPr>
          <w:rFonts w:ascii="Arial" w:cs="Arial" w:eastAsia="Arial" w:hAnsi="Arial"/>
          <w:sz w:val="16"/>
          <w:szCs w:val="16"/>
          <w:color w:val="0061AF"/>
        </w:rPr>
      </w:pPr>
      <w:r>
        <w:rPr>
          <w:rFonts w:ascii="Arial" w:cs="Arial" w:eastAsia="Arial" w:hAnsi="Arial"/>
          <w:sz w:val="16"/>
          <w:szCs w:val="16"/>
          <w:color w:val="auto"/>
        </w:rPr>
        <w:t>Using the median employee identified in 2020, we combined all of the elements of this employee’s compensation for 2020 in accordance with Item 402(c)(2)(x) of Regulation S-K, resulting in total annual compensation of $103,993.</w:t>
      </w:r>
    </w:p>
    <w:p>
      <w:pPr>
        <w:spacing w:after="0" w:line="210"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3" w:name="page84"/>
    <w:bookmarkEnd w:id="8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Compensation Tables (continued)</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believe that the above pay ratio is a reasonable estimate calculated in a manner consistent with Item 402(u) of Regulation S-K. In addition, because the Securities and Exchange Commission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78" w:lineRule="exact"/>
        <w:rPr>
          <w:sz w:val="20"/>
          <w:szCs w:val="20"/>
          <w:color w:val="auto"/>
        </w:rPr>
      </w:pPr>
    </w:p>
    <w:p>
      <w:pPr>
        <w:ind w:left="400" w:hanging="391"/>
        <w:spacing w:after="0"/>
        <w:tabs>
          <w:tab w:leader="none" w:pos="400" w:val="left"/>
        </w:tabs>
        <w:numPr>
          <w:ilvl w:val="0"/>
          <w:numId w:val="109"/>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4" w:name="page85"/>
    <w:bookmarkEnd w:id="84"/>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EQUITY COMPENSATION PLAN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CenterPoint Energy’s common stock that may be issued under our existing equity compensation plans as of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shd w:val="clear" w:color="auto" w:fill="0061AF"/>
          </w:tcPr>
          <w:p>
            <w:pPr>
              <w:spacing w:after="0"/>
              <w:rPr>
                <w:sz w:val="13"/>
                <w:szCs w:val="13"/>
                <w:color w:val="auto"/>
              </w:rPr>
            </w:pPr>
          </w:p>
        </w:tc>
        <w:tc>
          <w:tcPr>
            <w:tcW w:w="2260" w:type="dxa"/>
            <w:vAlign w:val="bottom"/>
            <w:shd w:val="clear" w:color="auto" w:fill="0061AF"/>
          </w:tcPr>
          <w:p>
            <w:pPr>
              <w:spacing w:after="0"/>
              <w:rPr>
                <w:sz w:val="13"/>
                <w:szCs w:val="13"/>
                <w:color w:val="auto"/>
              </w:rPr>
            </w:pPr>
          </w:p>
        </w:tc>
        <w:tc>
          <w:tcPr>
            <w:tcW w:w="1640" w:type="dxa"/>
            <w:vAlign w:val="bottom"/>
            <w:shd w:val="clear" w:color="auto" w:fill="0061AF"/>
          </w:tcPr>
          <w:p>
            <w:pPr>
              <w:spacing w:after="0"/>
              <w:rPr>
                <w:sz w:val="13"/>
                <w:szCs w:val="13"/>
                <w:color w:val="auto"/>
              </w:rPr>
            </w:pPr>
          </w:p>
        </w:tc>
        <w:tc>
          <w:tcPr>
            <w:tcW w:w="1540" w:type="dxa"/>
            <w:vAlign w:val="bottom"/>
            <w:shd w:val="clear" w:color="auto" w:fill="0061AF"/>
          </w:tcPr>
          <w:p>
            <w:pPr>
              <w:jc w:val="center"/>
              <w:ind w:left="78"/>
              <w:spacing w:after="0"/>
              <w:rPr>
                <w:sz w:val="20"/>
                <w:szCs w:val="20"/>
                <w:color w:val="auto"/>
              </w:rPr>
            </w:pPr>
            <w:r>
              <w:rPr>
                <w:rFonts w:ascii="Arial" w:cs="Arial" w:eastAsia="Arial" w:hAnsi="Arial"/>
                <w:sz w:val="13"/>
                <w:szCs w:val="13"/>
                <w:b w:val="1"/>
                <w:bCs w:val="1"/>
                <w:color w:val="FFFFFF"/>
                <w:w w:val="98"/>
              </w:rPr>
              <w:t>Number of</w:t>
            </w:r>
          </w:p>
        </w:tc>
      </w:tr>
      <w:tr>
        <w:trPr>
          <w:trHeight w:val="143"/>
        </w:trPr>
        <w:tc>
          <w:tcPr>
            <w:tcW w:w="4280" w:type="dxa"/>
            <w:vAlign w:val="bottom"/>
            <w:shd w:val="clear" w:color="auto" w:fill="0061AF"/>
          </w:tcPr>
          <w:p>
            <w:pPr>
              <w:spacing w:after="0"/>
              <w:rPr>
                <w:sz w:val="12"/>
                <w:szCs w:val="12"/>
                <w:color w:val="auto"/>
              </w:rPr>
            </w:pPr>
          </w:p>
        </w:tc>
        <w:tc>
          <w:tcPr>
            <w:tcW w:w="2260" w:type="dxa"/>
            <w:vAlign w:val="bottom"/>
            <w:shd w:val="clear" w:color="auto" w:fill="0061AF"/>
          </w:tcPr>
          <w:p>
            <w:pPr>
              <w:jc w:val="center"/>
              <w:ind w:left="398"/>
              <w:spacing w:after="0" w:line="143" w:lineRule="exact"/>
              <w:rPr>
                <w:sz w:val="20"/>
                <w:szCs w:val="20"/>
                <w:color w:val="auto"/>
              </w:rPr>
            </w:pPr>
            <w:r>
              <w:rPr>
                <w:rFonts w:ascii="Arial" w:cs="Arial" w:eastAsia="Arial" w:hAnsi="Arial"/>
                <w:sz w:val="13"/>
                <w:szCs w:val="13"/>
                <w:b w:val="1"/>
                <w:bCs w:val="1"/>
                <w:color w:val="FFFFFF"/>
                <w:w w:val="98"/>
              </w:rPr>
              <w:t>Number of</w:t>
            </w:r>
          </w:p>
        </w:tc>
        <w:tc>
          <w:tcPr>
            <w:tcW w:w="16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5"/>
              </w:rPr>
              <w:t>Weighted</w:t>
            </w:r>
          </w:p>
        </w:tc>
        <w:tc>
          <w:tcPr>
            <w:tcW w:w="1540" w:type="dxa"/>
            <w:vAlign w:val="bottom"/>
            <w:shd w:val="clear" w:color="auto" w:fill="0061AF"/>
          </w:tcPr>
          <w:p>
            <w:pPr>
              <w:jc w:val="center"/>
              <w:ind w:left="78"/>
              <w:spacing w:after="0" w:line="143" w:lineRule="exact"/>
              <w:rPr>
                <w:sz w:val="20"/>
                <w:szCs w:val="20"/>
                <w:color w:val="auto"/>
              </w:rPr>
            </w:pPr>
            <w:r>
              <w:rPr>
                <w:rFonts w:ascii="Arial" w:cs="Arial" w:eastAsia="Arial" w:hAnsi="Arial"/>
                <w:sz w:val="13"/>
                <w:szCs w:val="13"/>
                <w:b w:val="1"/>
                <w:bCs w:val="1"/>
                <w:color w:val="FFFFFF"/>
                <w:w w:val="98"/>
              </w:rPr>
              <w:t>securities</w:t>
            </w:r>
          </w:p>
        </w:tc>
      </w:tr>
      <w:tr>
        <w:trPr>
          <w:trHeight w:val="143"/>
        </w:trPr>
        <w:tc>
          <w:tcPr>
            <w:tcW w:w="4280" w:type="dxa"/>
            <w:vAlign w:val="bottom"/>
            <w:shd w:val="clear" w:color="auto" w:fill="0061AF"/>
          </w:tcPr>
          <w:p>
            <w:pPr>
              <w:spacing w:after="0"/>
              <w:rPr>
                <w:sz w:val="12"/>
                <w:szCs w:val="12"/>
                <w:color w:val="auto"/>
              </w:rPr>
            </w:pPr>
          </w:p>
        </w:tc>
        <w:tc>
          <w:tcPr>
            <w:tcW w:w="2260" w:type="dxa"/>
            <w:vAlign w:val="bottom"/>
            <w:shd w:val="clear" w:color="auto" w:fill="0061AF"/>
          </w:tcPr>
          <w:p>
            <w:pPr>
              <w:jc w:val="center"/>
              <w:ind w:left="398"/>
              <w:spacing w:after="0" w:line="143" w:lineRule="exact"/>
              <w:rPr>
                <w:sz w:val="20"/>
                <w:szCs w:val="20"/>
                <w:color w:val="auto"/>
              </w:rPr>
            </w:pPr>
            <w:r>
              <w:rPr>
                <w:rFonts w:ascii="Arial" w:cs="Arial" w:eastAsia="Arial" w:hAnsi="Arial"/>
                <w:sz w:val="13"/>
                <w:szCs w:val="13"/>
                <w:b w:val="1"/>
                <w:bCs w:val="1"/>
                <w:color w:val="FFFFFF"/>
                <w:w w:val="96"/>
              </w:rPr>
              <w:t>securities to be</w:t>
            </w:r>
          </w:p>
        </w:tc>
        <w:tc>
          <w:tcPr>
            <w:tcW w:w="16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average</w:t>
            </w:r>
          </w:p>
        </w:tc>
        <w:tc>
          <w:tcPr>
            <w:tcW w:w="1540" w:type="dxa"/>
            <w:vAlign w:val="bottom"/>
            <w:shd w:val="clear" w:color="auto" w:fill="0061AF"/>
          </w:tcPr>
          <w:p>
            <w:pPr>
              <w:jc w:val="center"/>
              <w:ind w:left="78"/>
              <w:spacing w:after="0" w:line="143" w:lineRule="exact"/>
              <w:rPr>
                <w:sz w:val="20"/>
                <w:szCs w:val="20"/>
                <w:color w:val="auto"/>
              </w:rPr>
            </w:pPr>
            <w:r>
              <w:rPr>
                <w:rFonts w:ascii="Arial" w:cs="Arial" w:eastAsia="Arial" w:hAnsi="Arial"/>
                <w:sz w:val="13"/>
                <w:szCs w:val="13"/>
                <w:b w:val="1"/>
                <w:bCs w:val="1"/>
                <w:color w:val="FFFFFF"/>
                <w:w w:val="96"/>
              </w:rPr>
              <w:t>remaining</w:t>
            </w:r>
          </w:p>
        </w:tc>
      </w:tr>
      <w:tr>
        <w:trPr>
          <w:trHeight w:val="143"/>
        </w:trPr>
        <w:tc>
          <w:tcPr>
            <w:tcW w:w="4280" w:type="dxa"/>
            <w:vAlign w:val="bottom"/>
            <w:shd w:val="clear" w:color="auto" w:fill="0061AF"/>
          </w:tcPr>
          <w:p>
            <w:pPr>
              <w:spacing w:after="0"/>
              <w:rPr>
                <w:sz w:val="12"/>
                <w:szCs w:val="12"/>
                <w:color w:val="auto"/>
              </w:rPr>
            </w:pPr>
          </w:p>
        </w:tc>
        <w:tc>
          <w:tcPr>
            <w:tcW w:w="2260" w:type="dxa"/>
            <w:vAlign w:val="bottom"/>
            <w:shd w:val="clear" w:color="auto" w:fill="0061AF"/>
          </w:tcPr>
          <w:p>
            <w:pPr>
              <w:jc w:val="center"/>
              <w:ind w:left="418"/>
              <w:spacing w:after="0" w:line="143" w:lineRule="exact"/>
              <w:rPr>
                <w:sz w:val="20"/>
                <w:szCs w:val="20"/>
                <w:color w:val="auto"/>
              </w:rPr>
            </w:pPr>
            <w:r>
              <w:rPr>
                <w:rFonts w:ascii="Arial" w:cs="Arial" w:eastAsia="Arial" w:hAnsi="Arial"/>
                <w:sz w:val="13"/>
                <w:szCs w:val="13"/>
                <w:b w:val="1"/>
                <w:bCs w:val="1"/>
                <w:color w:val="FFFFFF"/>
                <w:w w:val="96"/>
              </w:rPr>
              <w:t>issued upon</w:t>
            </w:r>
          </w:p>
        </w:tc>
        <w:tc>
          <w:tcPr>
            <w:tcW w:w="16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6"/>
              </w:rPr>
              <w:t>exercise price</w:t>
            </w:r>
          </w:p>
        </w:tc>
        <w:tc>
          <w:tcPr>
            <w:tcW w:w="1540" w:type="dxa"/>
            <w:vAlign w:val="bottom"/>
            <w:shd w:val="clear" w:color="auto" w:fill="0061AF"/>
          </w:tcPr>
          <w:p>
            <w:pPr>
              <w:jc w:val="center"/>
              <w:ind w:left="98"/>
              <w:spacing w:after="0" w:line="143" w:lineRule="exact"/>
              <w:rPr>
                <w:sz w:val="20"/>
                <w:szCs w:val="20"/>
                <w:color w:val="auto"/>
              </w:rPr>
            </w:pPr>
            <w:r>
              <w:rPr>
                <w:rFonts w:ascii="Arial" w:cs="Arial" w:eastAsia="Arial" w:hAnsi="Arial"/>
                <w:sz w:val="13"/>
                <w:szCs w:val="13"/>
                <w:b w:val="1"/>
                <w:bCs w:val="1"/>
                <w:color w:val="FFFFFF"/>
                <w:w w:val="97"/>
              </w:rPr>
              <w:t>available for</w:t>
            </w:r>
          </w:p>
        </w:tc>
      </w:tr>
      <w:tr>
        <w:trPr>
          <w:trHeight w:val="143"/>
        </w:trPr>
        <w:tc>
          <w:tcPr>
            <w:tcW w:w="4280" w:type="dxa"/>
            <w:vAlign w:val="bottom"/>
            <w:shd w:val="clear" w:color="auto" w:fill="0061AF"/>
          </w:tcPr>
          <w:p>
            <w:pPr>
              <w:spacing w:after="0"/>
              <w:rPr>
                <w:sz w:val="12"/>
                <w:szCs w:val="12"/>
                <w:color w:val="auto"/>
              </w:rPr>
            </w:pPr>
          </w:p>
        </w:tc>
        <w:tc>
          <w:tcPr>
            <w:tcW w:w="2260" w:type="dxa"/>
            <w:vAlign w:val="bottom"/>
            <w:shd w:val="clear" w:color="auto" w:fill="0061AF"/>
          </w:tcPr>
          <w:p>
            <w:pPr>
              <w:jc w:val="center"/>
              <w:ind w:left="418"/>
              <w:spacing w:after="0" w:line="143" w:lineRule="exact"/>
              <w:rPr>
                <w:sz w:val="20"/>
                <w:szCs w:val="20"/>
                <w:color w:val="auto"/>
              </w:rPr>
            </w:pPr>
            <w:r>
              <w:rPr>
                <w:rFonts w:ascii="Arial" w:cs="Arial" w:eastAsia="Arial" w:hAnsi="Arial"/>
                <w:sz w:val="13"/>
                <w:szCs w:val="13"/>
                <w:b w:val="1"/>
                <w:bCs w:val="1"/>
                <w:color w:val="FFFFFF"/>
                <w:w w:val="97"/>
              </w:rPr>
              <w:t>exercise of</w:t>
            </w:r>
          </w:p>
        </w:tc>
        <w:tc>
          <w:tcPr>
            <w:tcW w:w="16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7"/>
              </w:rPr>
              <w:t>of outstanding</w:t>
            </w:r>
          </w:p>
        </w:tc>
        <w:tc>
          <w:tcPr>
            <w:tcW w:w="1540" w:type="dxa"/>
            <w:vAlign w:val="bottom"/>
            <w:shd w:val="clear" w:color="auto" w:fill="0061AF"/>
          </w:tcPr>
          <w:p>
            <w:pPr>
              <w:jc w:val="center"/>
              <w:ind w:left="98"/>
              <w:spacing w:after="0" w:line="143" w:lineRule="exact"/>
              <w:rPr>
                <w:sz w:val="20"/>
                <w:szCs w:val="20"/>
                <w:color w:val="auto"/>
              </w:rPr>
            </w:pPr>
            <w:r>
              <w:rPr>
                <w:rFonts w:ascii="Arial" w:cs="Arial" w:eastAsia="Arial" w:hAnsi="Arial"/>
                <w:sz w:val="13"/>
                <w:szCs w:val="13"/>
                <w:b w:val="1"/>
                <w:bCs w:val="1"/>
                <w:color w:val="FFFFFF"/>
                <w:w w:val="97"/>
              </w:rPr>
              <w:t>future issuance</w:t>
            </w:r>
          </w:p>
        </w:tc>
      </w:tr>
      <w:tr>
        <w:trPr>
          <w:trHeight w:val="143"/>
        </w:trPr>
        <w:tc>
          <w:tcPr>
            <w:tcW w:w="4280" w:type="dxa"/>
            <w:vAlign w:val="bottom"/>
            <w:shd w:val="clear" w:color="auto" w:fill="0061AF"/>
          </w:tcPr>
          <w:p>
            <w:pPr>
              <w:spacing w:after="0"/>
              <w:rPr>
                <w:sz w:val="12"/>
                <w:szCs w:val="12"/>
                <w:color w:val="auto"/>
              </w:rPr>
            </w:pPr>
          </w:p>
        </w:tc>
        <w:tc>
          <w:tcPr>
            <w:tcW w:w="2260" w:type="dxa"/>
            <w:vAlign w:val="bottom"/>
            <w:shd w:val="clear" w:color="auto" w:fill="0061AF"/>
          </w:tcPr>
          <w:p>
            <w:pPr>
              <w:jc w:val="center"/>
              <w:ind w:left="398"/>
              <w:spacing w:after="0" w:line="143" w:lineRule="exact"/>
              <w:rPr>
                <w:sz w:val="20"/>
                <w:szCs w:val="20"/>
                <w:color w:val="auto"/>
              </w:rPr>
            </w:pPr>
            <w:r>
              <w:rPr>
                <w:rFonts w:ascii="Arial" w:cs="Arial" w:eastAsia="Arial" w:hAnsi="Arial"/>
                <w:sz w:val="13"/>
                <w:szCs w:val="13"/>
                <w:b w:val="1"/>
                <w:bCs w:val="1"/>
                <w:color w:val="FFFFFF"/>
                <w:w w:val="96"/>
              </w:rPr>
              <w:t>outstanding</w:t>
            </w:r>
          </w:p>
        </w:tc>
        <w:tc>
          <w:tcPr>
            <w:tcW w:w="16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4"/>
              </w:rPr>
              <w:t>options,</w:t>
            </w:r>
          </w:p>
        </w:tc>
        <w:tc>
          <w:tcPr>
            <w:tcW w:w="1540" w:type="dxa"/>
            <w:vAlign w:val="bottom"/>
            <w:shd w:val="clear" w:color="auto" w:fill="0061AF"/>
          </w:tcPr>
          <w:p>
            <w:pPr>
              <w:jc w:val="center"/>
              <w:ind w:left="78"/>
              <w:spacing w:after="0" w:line="143" w:lineRule="exact"/>
              <w:rPr>
                <w:sz w:val="20"/>
                <w:szCs w:val="20"/>
                <w:color w:val="auto"/>
              </w:rPr>
            </w:pPr>
            <w:r>
              <w:rPr>
                <w:rFonts w:ascii="Arial" w:cs="Arial" w:eastAsia="Arial" w:hAnsi="Arial"/>
                <w:sz w:val="13"/>
                <w:szCs w:val="13"/>
                <w:b w:val="1"/>
                <w:bCs w:val="1"/>
                <w:color w:val="FFFFFF"/>
                <w:w w:val="97"/>
              </w:rPr>
              <w:t>under equity</w:t>
            </w:r>
          </w:p>
        </w:tc>
      </w:tr>
      <w:tr>
        <w:trPr>
          <w:trHeight w:val="143"/>
        </w:trPr>
        <w:tc>
          <w:tcPr>
            <w:tcW w:w="4280" w:type="dxa"/>
            <w:vAlign w:val="bottom"/>
            <w:shd w:val="clear" w:color="auto" w:fill="0061AF"/>
          </w:tcPr>
          <w:p>
            <w:pPr>
              <w:spacing w:after="0"/>
              <w:rPr>
                <w:sz w:val="12"/>
                <w:szCs w:val="12"/>
                <w:color w:val="auto"/>
              </w:rPr>
            </w:pPr>
          </w:p>
        </w:tc>
        <w:tc>
          <w:tcPr>
            <w:tcW w:w="2260" w:type="dxa"/>
            <w:vAlign w:val="bottom"/>
            <w:shd w:val="clear" w:color="auto" w:fill="0061AF"/>
          </w:tcPr>
          <w:p>
            <w:pPr>
              <w:jc w:val="center"/>
              <w:ind w:left="418"/>
              <w:spacing w:after="0" w:line="143" w:lineRule="exact"/>
              <w:rPr>
                <w:sz w:val="20"/>
                <w:szCs w:val="20"/>
                <w:color w:val="auto"/>
              </w:rPr>
            </w:pPr>
            <w:r>
              <w:rPr>
                <w:rFonts w:ascii="Arial" w:cs="Arial" w:eastAsia="Arial" w:hAnsi="Arial"/>
                <w:sz w:val="13"/>
                <w:szCs w:val="13"/>
                <w:b w:val="1"/>
                <w:bCs w:val="1"/>
                <w:color w:val="FFFFFF"/>
                <w:w w:val="97"/>
              </w:rPr>
              <w:t>options, warrants</w:t>
            </w:r>
          </w:p>
        </w:tc>
        <w:tc>
          <w:tcPr>
            <w:tcW w:w="1640" w:type="dxa"/>
            <w:vAlign w:val="bottom"/>
            <w:shd w:val="clear" w:color="auto" w:fill="0061AF"/>
          </w:tcPr>
          <w:p>
            <w:pPr>
              <w:jc w:val="center"/>
              <w:spacing w:after="0" w:line="143" w:lineRule="exact"/>
              <w:rPr>
                <w:sz w:val="20"/>
                <w:szCs w:val="20"/>
                <w:color w:val="auto"/>
              </w:rPr>
            </w:pPr>
            <w:r>
              <w:rPr>
                <w:rFonts w:ascii="Arial" w:cs="Arial" w:eastAsia="Arial" w:hAnsi="Arial"/>
                <w:sz w:val="13"/>
                <w:szCs w:val="13"/>
                <w:b w:val="1"/>
                <w:bCs w:val="1"/>
                <w:color w:val="FFFFFF"/>
                <w:w w:val="98"/>
              </w:rPr>
              <w:t>warrants and</w:t>
            </w:r>
          </w:p>
        </w:tc>
        <w:tc>
          <w:tcPr>
            <w:tcW w:w="1540" w:type="dxa"/>
            <w:vAlign w:val="bottom"/>
            <w:shd w:val="clear" w:color="auto" w:fill="0061AF"/>
          </w:tcPr>
          <w:p>
            <w:pPr>
              <w:jc w:val="center"/>
              <w:ind w:left="98"/>
              <w:spacing w:after="0" w:line="143" w:lineRule="exact"/>
              <w:rPr>
                <w:sz w:val="20"/>
                <w:szCs w:val="20"/>
                <w:color w:val="auto"/>
              </w:rPr>
            </w:pPr>
            <w:r>
              <w:rPr>
                <w:rFonts w:ascii="Arial" w:cs="Arial" w:eastAsia="Arial" w:hAnsi="Arial"/>
                <w:sz w:val="13"/>
                <w:szCs w:val="13"/>
                <w:b w:val="1"/>
                <w:bCs w:val="1"/>
                <w:color w:val="FFFFFF"/>
                <w:w w:val="97"/>
              </w:rPr>
              <w:t>compensation</w:t>
            </w:r>
          </w:p>
        </w:tc>
      </w:tr>
      <w:tr>
        <w:trPr>
          <w:trHeight w:val="167"/>
        </w:trPr>
        <w:tc>
          <w:tcPr>
            <w:tcW w:w="4280" w:type="dxa"/>
            <w:vAlign w:val="bottom"/>
            <w:shd w:val="clear" w:color="auto" w:fill="0061AF"/>
          </w:tcPr>
          <w:p>
            <w:pPr>
              <w:spacing w:after="0"/>
              <w:rPr>
                <w:sz w:val="14"/>
                <w:szCs w:val="14"/>
                <w:color w:val="auto"/>
              </w:rPr>
            </w:pPr>
          </w:p>
        </w:tc>
        <w:tc>
          <w:tcPr>
            <w:tcW w:w="2260" w:type="dxa"/>
            <w:vAlign w:val="bottom"/>
            <w:shd w:val="clear" w:color="auto" w:fill="0061AF"/>
          </w:tcPr>
          <w:p>
            <w:pPr>
              <w:jc w:val="center"/>
              <w:ind w:left="418"/>
              <w:spacing w:after="0"/>
              <w:rPr>
                <w:sz w:val="20"/>
                <w:szCs w:val="20"/>
                <w:color w:val="auto"/>
              </w:rPr>
            </w:pPr>
            <w:r>
              <w:rPr>
                <w:rFonts w:ascii="Arial" w:cs="Arial" w:eastAsia="Arial" w:hAnsi="Arial"/>
                <w:sz w:val="13"/>
                <w:szCs w:val="13"/>
                <w:b w:val="1"/>
                <w:bCs w:val="1"/>
                <w:color w:val="FFFFFF"/>
                <w:w w:val="98"/>
              </w:rPr>
              <w:t>and rights</w:t>
            </w:r>
          </w:p>
        </w:tc>
        <w:tc>
          <w:tcPr>
            <w:tcW w:w="164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w w:val="99"/>
              </w:rPr>
              <w:t>rights</w:t>
            </w:r>
          </w:p>
        </w:tc>
        <w:tc>
          <w:tcPr>
            <w:tcW w:w="1540" w:type="dxa"/>
            <w:vAlign w:val="bottom"/>
            <w:shd w:val="clear" w:color="auto" w:fill="0061AF"/>
          </w:tcPr>
          <w:p>
            <w:pPr>
              <w:jc w:val="center"/>
              <w:ind w:left="78"/>
              <w:spacing w:after="0"/>
              <w:rPr>
                <w:sz w:val="20"/>
                <w:szCs w:val="20"/>
                <w:color w:val="auto"/>
              </w:rPr>
            </w:pPr>
            <w:r>
              <w:rPr>
                <w:rFonts w:ascii="Arial" w:cs="Arial" w:eastAsia="Arial" w:hAnsi="Arial"/>
                <w:sz w:val="13"/>
                <w:szCs w:val="13"/>
                <w:b w:val="1"/>
                <w:bCs w:val="1"/>
                <w:color w:val="FFFFFF"/>
                <w:w w:val="94"/>
              </w:rPr>
              <w:t>plans</w:t>
            </w:r>
          </w:p>
        </w:tc>
      </w:tr>
      <w:tr>
        <w:trPr>
          <w:trHeight w:val="143"/>
        </w:trPr>
        <w:tc>
          <w:tcPr>
            <w:tcW w:w="4280" w:type="dxa"/>
            <w:vAlign w:val="bottom"/>
          </w:tcPr>
          <w:p>
            <w:pPr>
              <w:ind w:left="80"/>
              <w:spacing w:after="0" w:line="143" w:lineRule="exact"/>
              <w:rPr>
                <w:sz w:val="20"/>
                <w:szCs w:val="20"/>
                <w:color w:val="auto"/>
              </w:rPr>
            </w:pPr>
            <w:r>
              <w:rPr>
                <w:rFonts w:ascii="Arial" w:cs="Arial" w:eastAsia="Arial" w:hAnsi="Arial"/>
                <w:sz w:val="10"/>
                <w:szCs w:val="10"/>
                <w:color w:val="auto"/>
              </w:rPr>
              <w:t>Equity compensation plans approved by security holders</w:t>
            </w:r>
            <w:r>
              <w:rPr>
                <w:rFonts w:ascii="Arial" w:cs="Arial" w:eastAsia="Arial" w:hAnsi="Arial"/>
                <w:sz w:val="16"/>
                <w:szCs w:val="16"/>
                <w:color w:val="auto"/>
                <w:vertAlign w:val="superscript"/>
              </w:rPr>
              <w:t>(1)</w:t>
            </w:r>
          </w:p>
        </w:tc>
        <w:tc>
          <w:tcPr>
            <w:tcW w:w="2260" w:type="dxa"/>
            <w:vAlign w:val="bottom"/>
          </w:tcPr>
          <w:p>
            <w:pPr>
              <w:jc w:val="right"/>
              <w:ind w:right="398"/>
              <w:spacing w:after="0" w:line="143" w:lineRule="exact"/>
              <w:rPr>
                <w:sz w:val="20"/>
                <w:szCs w:val="20"/>
                <w:color w:val="auto"/>
              </w:rPr>
            </w:pPr>
            <w:r>
              <w:rPr>
                <w:rFonts w:ascii="Arial" w:cs="Arial" w:eastAsia="Arial" w:hAnsi="Arial"/>
                <w:sz w:val="10"/>
                <w:szCs w:val="10"/>
                <w:color w:val="auto"/>
              </w:rPr>
              <w:t>4,430,249</w:t>
            </w:r>
            <w:r>
              <w:rPr>
                <w:rFonts w:ascii="Arial" w:cs="Arial" w:eastAsia="Arial" w:hAnsi="Arial"/>
                <w:sz w:val="16"/>
                <w:szCs w:val="16"/>
                <w:color w:val="auto"/>
                <w:vertAlign w:val="superscript"/>
              </w:rPr>
              <w:t>(2)</w:t>
            </w:r>
          </w:p>
        </w:tc>
        <w:tc>
          <w:tcPr>
            <w:tcW w:w="1640" w:type="dxa"/>
            <w:vAlign w:val="bottom"/>
          </w:tcPr>
          <w:p>
            <w:pPr>
              <w:jc w:val="right"/>
              <w:ind w:right="657"/>
              <w:spacing w:after="0" w:line="143" w:lineRule="exact"/>
              <w:rPr>
                <w:sz w:val="20"/>
                <w:szCs w:val="20"/>
                <w:color w:val="auto"/>
              </w:rPr>
            </w:pPr>
            <w:r>
              <w:rPr>
                <w:rFonts w:ascii="Arial" w:cs="Arial" w:eastAsia="Arial" w:hAnsi="Arial"/>
                <w:sz w:val="13"/>
                <w:szCs w:val="13"/>
                <w:color w:val="auto"/>
              </w:rPr>
              <w:t>$—</w:t>
            </w:r>
          </w:p>
        </w:tc>
        <w:tc>
          <w:tcPr>
            <w:tcW w:w="1540" w:type="dxa"/>
            <w:vAlign w:val="bottom"/>
          </w:tcPr>
          <w:p>
            <w:pPr>
              <w:jc w:val="right"/>
              <w:ind w:right="198"/>
              <w:spacing w:after="0" w:line="143" w:lineRule="exact"/>
              <w:rPr>
                <w:sz w:val="20"/>
                <w:szCs w:val="20"/>
                <w:color w:val="auto"/>
              </w:rPr>
            </w:pPr>
            <w:r>
              <w:rPr>
                <w:rFonts w:ascii="Arial" w:cs="Arial" w:eastAsia="Arial" w:hAnsi="Arial"/>
                <w:sz w:val="10"/>
                <w:szCs w:val="10"/>
                <w:color w:val="auto"/>
              </w:rPr>
              <w:t>4,182,239</w:t>
            </w:r>
            <w:r>
              <w:rPr>
                <w:rFonts w:ascii="Arial" w:cs="Arial" w:eastAsia="Arial" w:hAnsi="Arial"/>
                <w:sz w:val="16"/>
                <w:szCs w:val="16"/>
                <w:color w:val="auto"/>
                <w:vertAlign w:val="superscript"/>
              </w:rPr>
              <w:t>(3)</w:t>
            </w:r>
          </w:p>
        </w:tc>
      </w:tr>
      <w:tr>
        <w:trPr>
          <w:trHeight w:val="143"/>
        </w:trPr>
        <w:tc>
          <w:tcPr>
            <w:tcW w:w="4280" w:type="dxa"/>
            <w:vAlign w:val="bottom"/>
            <w:shd w:val="clear" w:color="auto" w:fill="D8E7F3"/>
          </w:tcPr>
          <w:p>
            <w:pPr>
              <w:ind w:left="80"/>
              <w:spacing w:after="0" w:line="143" w:lineRule="exact"/>
              <w:rPr>
                <w:sz w:val="20"/>
                <w:szCs w:val="20"/>
                <w:color w:val="auto"/>
              </w:rPr>
            </w:pPr>
            <w:r>
              <w:rPr>
                <w:rFonts w:ascii="Arial" w:cs="Arial" w:eastAsia="Arial" w:hAnsi="Arial"/>
                <w:sz w:val="13"/>
                <w:szCs w:val="13"/>
                <w:color w:val="auto"/>
              </w:rPr>
              <w:t>Equity compensation plans not approved by security holders</w:t>
            </w:r>
          </w:p>
        </w:tc>
        <w:tc>
          <w:tcPr>
            <w:tcW w:w="2260" w:type="dxa"/>
            <w:vAlign w:val="bottom"/>
            <w:shd w:val="clear" w:color="auto" w:fill="D8E7F3"/>
          </w:tcPr>
          <w:p>
            <w:pPr>
              <w:jc w:val="right"/>
              <w:ind w:right="538"/>
              <w:spacing w:after="0" w:line="143" w:lineRule="exact"/>
              <w:rPr>
                <w:sz w:val="20"/>
                <w:szCs w:val="20"/>
                <w:color w:val="auto"/>
              </w:rPr>
            </w:pPr>
            <w:r>
              <w:rPr>
                <w:rFonts w:ascii="Arial" w:cs="Arial" w:eastAsia="Arial" w:hAnsi="Arial"/>
                <w:sz w:val="13"/>
                <w:szCs w:val="13"/>
                <w:color w:val="auto"/>
              </w:rPr>
              <w:t>—</w:t>
            </w:r>
          </w:p>
        </w:tc>
        <w:tc>
          <w:tcPr>
            <w:tcW w:w="1640" w:type="dxa"/>
            <w:vAlign w:val="bottom"/>
            <w:shd w:val="clear" w:color="auto" w:fill="D8E7F3"/>
          </w:tcPr>
          <w:p>
            <w:pPr>
              <w:jc w:val="right"/>
              <w:ind w:right="657"/>
              <w:spacing w:after="0" w:line="143" w:lineRule="exact"/>
              <w:rPr>
                <w:sz w:val="20"/>
                <w:szCs w:val="20"/>
                <w:color w:val="auto"/>
              </w:rPr>
            </w:pPr>
            <w:r>
              <w:rPr>
                <w:rFonts w:ascii="Arial" w:cs="Arial" w:eastAsia="Arial" w:hAnsi="Arial"/>
                <w:sz w:val="13"/>
                <w:szCs w:val="13"/>
                <w:color w:val="auto"/>
              </w:rPr>
              <w:t>—</w:t>
            </w:r>
          </w:p>
        </w:tc>
        <w:tc>
          <w:tcPr>
            <w:tcW w:w="1540" w:type="dxa"/>
            <w:vAlign w:val="bottom"/>
            <w:shd w:val="clear" w:color="auto" w:fill="D8E7F3"/>
          </w:tcPr>
          <w:p>
            <w:pPr>
              <w:jc w:val="right"/>
              <w:ind w:right="338"/>
              <w:spacing w:after="0" w:line="143" w:lineRule="exact"/>
              <w:rPr>
                <w:sz w:val="20"/>
                <w:szCs w:val="20"/>
                <w:color w:val="auto"/>
              </w:rPr>
            </w:pPr>
            <w:r>
              <w:rPr>
                <w:rFonts w:ascii="Arial" w:cs="Arial" w:eastAsia="Arial" w:hAnsi="Arial"/>
                <w:sz w:val="13"/>
                <w:szCs w:val="13"/>
                <w:color w:val="auto"/>
              </w:rPr>
              <w:t>—</w:t>
            </w:r>
          </w:p>
        </w:tc>
      </w:tr>
      <w:tr>
        <w:trPr>
          <w:trHeight w:val="157"/>
        </w:trPr>
        <w:tc>
          <w:tcPr>
            <w:tcW w:w="4280" w:type="dxa"/>
            <w:vAlign w:val="bottom"/>
          </w:tcPr>
          <w:p>
            <w:pPr>
              <w:ind w:left="80"/>
              <w:spacing w:after="0"/>
              <w:rPr>
                <w:sz w:val="20"/>
                <w:szCs w:val="20"/>
                <w:color w:val="auto"/>
              </w:rPr>
            </w:pPr>
            <w:r>
              <w:rPr>
                <w:rFonts w:ascii="Arial" w:cs="Arial" w:eastAsia="Arial" w:hAnsi="Arial"/>
                <w:sz w:val="13"/>
                <w:szCs w:val="13"/>
                <w:color w:val="auto"/>
              </w:rPr>
              <w:t>Totals</w:t>
            </w:r>
          </w:p>
        </w:tc>
        <w:tc>
          <w:tcPr>
            <w:tcW w:w="2260" w:type="dxa"/>
            <w:vAlign w:val="bottom"/>
          </w:tcPr>
          <w:p>
            <w:pPr>
              <w:jc w:val="right"/>
              <w:ind w:right="538"/>
              <w:spacing w:after="0"/>
              <w:rPr>
                <w:sz w:val="20"/>
                <w:szCs w:val="20"/>
                <w:color w:val="auto"/>
              </w:rPr>
            </w:pPr>
            <w:r>
              <w:rPr>
                <w:rFonts w:ascii="Arial" w:cs="Arial" w:eastAsia="Arial" w:hAnsi="Arial"/>
                <w:sz w:val="13"/>
                <w:szCs w:val="13"/>
                <w:color w:val="auto"/>
              </w:rPr>
              <w:t>4,430,249</w:t>
            </w:r>
          </w:p>
        </w:tc>
        <w:tc>
          <w:tcPr>
            <w:tcW w:w="1640" w:type="dxa"/>
            <w:vAlign w:val="bottom"/>
          </w:tcPr>
          <w:p>
            <w:pPr>
              <w:jc w:val="right"/>
              <w:ind w:right="657"/>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338"/>
              <w:spacing w:after="0"/>
              <w:rPr>
                <w:sz w:val="20"/>
                <w:szCs w:val="20"/>
                <w:color w:val="auto"/>
              </w:rPr>
            </w:pPr>
            <w:r>
              <w:rPr>
                <w:rFonts w:ascii="Arial" w:cs="Arial" w:eastAsia="Arial" w:hAnsi="Arial"/>
                <w:sz w:val="13"/>
                <w:szCs w:val="13"/>
                <w:color w:val="auto"/>
              </w:rPr>
              <w:t>4,182,239</w:t>
            </w:r>
          </w:p>
        </w:tc>
      </w:tr>
    </w:tbl>
    <w:p>
      <w:pPr>
        <w:spacing w:after="0" w:line="97" w:lineRule="exact"/>
        <w:rPr>
          <w:sz w:val="20"/>
          <w:szCs w:val="20"/>
          <w:color w:val="auto"/>
        </w:rPr>
      </w:pPr>
    </w:p>
    <w:p>
      <w:pPr>
        <w:ind w:left="300" w:hanging="291"/>
        <w:spacing w:after="0"/>
        <w:tabs>
          <w:tab w:leader="none" w:pos="3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Plans approved by shareholders consist of the 2009 Long-term Incentive Plan and the CenterPoint Energy, Inc. Stock Plan for Outside Directors.</w:t>
      </w:r>
    </w:p>
    <w:p>
      <w:pPr>
        <w:spacing w:after="0" w:line="52" w:lineRule="exact"/>
        <w:rPr>
          <w:rFonts w:ascii="Arial" w:cs="Arial" w:eastAsia="Arial" w:hAnsi="Arial"/>
          <w:sz w:val="13"/>
          <w:szCs w:val="13"/>
          <w:color w:val="auto"/>
        </w:rPr>
      </w:pPr>
    </w:p>
    <w:p>
      <w:pPr>
        <w:jc w:val="both"/>
        <w:ind w:left="300" w:hanging="291"/>
        <w:spacing w:after="0" w:line="234" w:lineRule="auto"/>
        <w:tabs>
          <w:tab w:leader="none" w:pos="3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Includes outstanding grants of 3,140,878 performance share units (which includes 308,980 shares at actual achievement for the 2018 performance cycle and assumes maximum performance is achieved for performance cycles commencing 2019 and later) and 1,289,371 shares issuable upon settlement of outstanding grants of stock awards.</w:t>
      </w:r>
    </w:p>
    <w:p>
      <w:pPr>
        <w:spacing w:after="0" w:line="50" w:lineRule="exact"/>
        <w:rPr>
          <w:rFonts w:ascii="Arial" w:cs="Arial" w:eastAsia="Arial" w:hAnsi="Arial"/>
          <w:sz w:val="13"/>
          <w:szCs w:val="13"/>
          <w:color w:val="auto"/>
        </w:rPr>
      </w:pPr>
    </w:p>
    <w:p>
      <w:pPr>
        <w:jc w:val="both"/>
        <w:ind w:left="300" w:hanging="291"/>
        <w:spacing w:after="0" w:line="234" w:lineRule="auto"/>
        <w:tabs>
          <w:tab w:leader="none" w:pos="3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securities remaining available for issuance may be issued in the form of stock options, stock appreciation rights, restricted stock, restricted stock units, stock awards, performance share units and performance stock. The shares remaining available for issuance generally may be used for any of these types of awards, except that the CenterPoint Energy, Inc. Stock Plan for Outside Directors provides only for awards of common stock.</w:t>
      </w:r>
    </w:p>
    <w:p>
      <w:pPr>
        <w:spacing w:after="0" w:line="207"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5" w:name="page86"/>
    <w:bookmarkEnd w:id="85"/>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REPORT OF THE COMPENSATION COMMITTEE</w:t>
      </w:r>
    </w:p>
    <w:p>
      <w:pPr>
        <w:spacing w:after="0" w:line="22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Compensation Committee reviewed and discussed the Compensation Discussion and Analysis with management. Based upon this review and discussion, the Compensation Committee recommended to the Board of Directors that the Compensation Discussion and Analysis be included in CenterPoint Energy’s proxy statement on Schedule 14A for its 2021 annual meeting, which is incorporated by reference in CenterPoint Energy’s Annual Report on Form 10-K for the fiscal year ended December 31, 2020, each as filed with the Securities and Exchange Commission.</w:t>
      </w:r>
    </w:p>
    <w:p>
      <w:pPr>
        <w:spacing w:after="0" w:line="17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Theodore F. Pound, Chairman</w:t>
      </w:r>
    </w:p>
    <w:p>
      <w:pPr>
        <w:ind w:left="5260"/>
        <w:spacing w:after="0" w:line="232" w:lineRule="auto"/>
        <w:rPr>
          <w:sz w:val="20"/>
          <w:szCs w:val="20"/>
          <w:color w:val="auto"/>
        </w:rPr>
      </w:pPr>
      <w:r>
        <w:rPr>
          <w:rFonts w:ascii="Arial" w:cs="Arial" w:eastAsia="Arial" w:hAnsi="Arial"/>
          <w:sz w:val="16"/>
          <w:szCs w:val="16"/>
          <w:color w:val="auto"/>
        </w:rPr>
        <w:t>Earl M. Cummings</w:t>
      </w:r>
    </w:p>
    <w:p>
      <w:pPr>
        <w:ind w:left="5260"/>
        <w:spacing w:after="0" w:line="233" w:lineRule="auto"/>
        <w:rPr>
          <w:sz w:val="20"/>
          <w:szCs w:val="20"/>
          <w:color w:val="auto"/>
        </w:rPr>
      </w:pPr>
      <w:r>
        <w:rPr>
          <w:rFonts w:ascii="Arial" w:cs="Arial" w:eastAsia="Arial" w:hAnsi="Arial"/>
          <w:sz w:val="16"/>
          <w:szCs w:val="16"/>
          <w:color w:val="auto"/>
        </w:rPr>
        <w:t>Martin H. Nesbitt</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Susan O. Rheney</w:t>
      </w:r>
    </w:p>
    <w:p>
      <w:pPr>
        <w:spacing w:after="0" w:line="183" w:lineRule="exact"/>
        <w:rPr>
          <w:sz w:val="20"/>
          <w:szCs w:val="20"/>
          <w:color w:val="auto"/>
        </w:rPr>
      </w:pPr>
    </w:p>
    <w:p>
      <w:pPr>
        <w:ind w:left="400" w:hanging="391"/>
        <w:spacing w:after="0"/>
        <w:tabs>
          <w:tab w:leader="none" w:pos="400" w:val="left"/>
        </w:tabs>
        <w:numPr>
          <w:ilvl w:val="0"/>
          <w:numId w:val="111"/>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6" w:name="page87"/>
    <w:bookmarkEnd w:id="86"/>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REPORT OF THE AUDIT COMMITTEE</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The Audit Committee assists the Board in fulfilling its responsibility for independent oversight of the quality and integrity of the accounting, auditing and financial reporting practices of CenterPoint Energy and is directly responsible for the appointment, compensation, retention and oversight of the independent registered public accounting firm retained to audit CenterPoint Energy’s financial statements. The Audit Committee is composed of four directors, each of whom is independent as defined by the New York Stock Exchange listing standards. The Audit Committee Charter further describes the committee’s responsibilities and is available at </w:t>
      </w:r>
      <w:r>
        <w:rPr>
          <w:rFonts w:ascii="Arial" w:cs="Arial" w:eastAsia="Arial" w:hAnsi="Arial"/>
          <w:sz w:val="16"/>
          <w:szCs w:val="16"/>
          <w:i w:val="1"/>
          <w:iCs w:val="1"/>
          <w:color w:val="auto"/>
        </w:rPr>
        <w:t xml:space="preserve">https://investors.centerpointenergy.com/governance. </w:t>
      </w:r>
      <w:r>
        <w:rPr>
          <w:rFonts w:ascii="Arial" w:cs="Arial" w:eastAsia="Arial" w:hAnsi="Arial"/>
          <w:sz w:val="16"/>
          <w:szCs w:val="16"/>
          <w:color w:val="auto"/>
        </w:rPr>
        <w:t>During 2020, the Audit Committee met five times, including meetings to discuss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financial information contained in each quarterly earnings announcement with management and Deloitte &amp; Touche LLP, CenterPoint Energy’s independent registered public accounting firm (independent auditors), prior to public release.</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discharging its oversight responsibility as to the audit process, the Audit Committee (a) obtained from the independent auditors a formal written statement describing all relationships between the independent auditors and CenterPoint Energy that might reasonably be thought to bear on the auditors’ independence consistent with applicable Public Company Accounting Oversight Board (PCAOB) requirements and</w:t>
      </w:r>
    </w:p>
    <w:p>
      <w:pPr>
        <w:spacing w:after="0" w:line="1" w:lineRule="exact"/>
        <w:rPr>
          <w:sz w:val="20"/>
          <w:szCs w:val="20"/>
          <w:color w:val="auto"/>
        </w:rPr>
      </w:pPr>
    </w:p>
    <w:p>
      <w:pPr>
        <w:jc w:val="both"/>
        <w:ind w:firstLine="9"/>
        <w:spacing w:after="0" w:line="237" w:lineRule="auto"/>
        <w:tabs>
          <w:tab w:leader="none" w:pos="25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discussed with the independent auditors any relationships that may impact their objectivity and independence. The Audit Committee also discussed with management and the independent auditors the quality and adequacy of CenterPoint Energy’s internal controls. The Audit Committee reviewed with the independent auditors their audit plans, audit scope and identification of audit risks.</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Audit Committee discussed and reviewed with the independent auditors all communications and other matters required to be discussed by generally accepted auditing standards, including those described in PCAOB Auditing Standard No. 16, as amended (Communication with Audit Committees), and discussed and reviewed the results of the independent auditors’ examination of the financial statements. The Audit Committee also discussed the results of the internal audit examinations.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Management has the responsibility for the preparation of CenterPoint Energy’s financial statements and for its internal controls and the independent auditors have the responsibility for the examination of those statements and the related audit of internal control over financial reporting. The Audit Committee reviewed and discussed the audited financial statements of CenterPoint Energy as of and for the fiscal year ended December 31, 2020, with management and the independent auditors. The Audit Committee also reviewed and discussed with management and the independent auditors management’s report and the report and attestation of the independent auditors on internal control over financial reporting, based on the framework in Internal Control—Integrated Framework (2013) issued by the Committee of Sponsoring Organizations of the Treadway Commission, in accordance with Section 404 of the Sarbanes-Oxley Act.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Based on the above-mentioned review and discussions with management and the independent auditors, the Audit Committee recommended to the Board that CenterPoint Energy’s audited financial statements be included in its Annual Report on Form 10-K for the fiscal year ended December 31, 2020, for filing with the Securities and Exchange Commission. The Audit Committee also reappointed, subject to ratification, Deloitte &amp; Touche LLP as CenterPoint Energy’s independent auditors for the fiscal year ending December 31, 2021.</w:t>
      </w:r>
    </w:p>
    <w:p>
      <w:pPr>
        <w:spacing w:after="0" w:line="16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Phillip R. Smith, Chairman</w:t>
      </w:r>
    </w:p>
    <w:p>
      <w:pPr>
        <w:ind w:left="5260"/>
        <w:spacing w:after="0" w:line="232" w:lineRule="auto"/>
        <w:rPr>
          <w:sz w:val="20"/>
          <w:szCs w:val="20"/>
          <w:color w:val="auto"/>
        </w:rPr>
      </w:pPr>
      <w:r>
        <w:rPr>
          <w:rFonts w:ascii="Arial" w:cs="Arial" w:eastAsia="Arial" w:hAnsi="Arial"/>
          <w:sz w:val="16"/>
          <w:szCs w:val="16"/>
          <w:color w:val="auto"/>
        </w:rPr>
        <w:t>Leslie D. Biddle</w:t>
      </w:r>
    </w:p>
    <w:p>
      <w:pPr>
        <w:ind w:left="5260"/>
        <w:spacing w:after="0" w:line="233" w:lineRule="auto"/>
        <w:rPr>
          <w:sz w:val="20"/>
          <w:szCs w:val="20"/>
          <w:color w:val="auto"/>
        </w:rPr>
      </w:pPr>
      <w:r>
        <w:rPr>
          <w:rFonts w:ascii="Arial" w:cs="Arial" w:eastAsia="Arial" w:hAnsi="Arial"/>
          <w:sz w:val="16"/>
          <w:szCs w:val="16"/>
          <w:color w:val="auto"/>
        </w:rPr>
        <w:t>Earl M. Cummings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Theodore F. Pound</w:t>
      </w:r>
    </w:p>
    <w:p>
      <w:pPr>
        <w:spacing w:after="0" w:line="21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7" w:name="page88"/>
    <w:bookmarkEnd w:id="87"/>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PRINCIPAL ACCOUNTING FIRM FEES</w:t>
      </w:r>
    </w:p>
    <w:p>
      <w:pPr>
        <w:spacing w:after="0" w:line="22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Aggregate fees related to services provided to CenterPoint Energy as a consolidated entity for the fiscal years ending December 31, 2020 and 2019 by CenterPoint Energy’s principal independent registered public accounting firm, Deloitte &amp; Touche LLP, the member firms of Deloitte Touche Tohmatsu, and their respective affiliates,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60" w:type="dxa"/>
            <w:vAlign w:val="bottom"/>
            <w:shd w:val="clear" w:color="auto" w:fill="0061AF"/>
          </w:tcPr>
          <w:p>
            <w:pPr>
              <w:spacing w:after="0"/>
              <w:rPr>
                <w:sz w:val="13"/>
                <w:szCs w:val="13"/>
                <w:color w:val="auto"/>
              </w:rPr>
            </w:pPr>
          </w:p>
        </w:tc>
        <w:tc>
          <w:tcPr>
            <w:tcW w:w="200" w:type="dxa"/>
            <w:vAlign w:val="bottom"/>
            <w:shd w:val="clear" w:color="auto" w:fill="0061AF"/>
          </w:tcPr>
          <w:p>
            <w:pPr>
              <w:spacing w:after="0"/>
              <w:rPr>
                <w:sz w:val="13"/>
                <w:szCs w:val="13"/>
                <w:color w:val="auto"/>
              </w:rPr>
            </w:pPr>
          </w:p>
        </w:tc>
        <w:tc>
          <w:tcPr>
            <w:tcW w:w="1560" w:type="dxa"/>
            <w:vAlign w:val="bottom"/>
            <w:gridSpan w:val="4"/>
            <w:shd w:val="clear" w:color="auto" w:fill="0061AF"/>
          </w:tcPr>
          <w:p>
            <w:pPr>
              <w:jc w:val="right"/>
              <w:ind w:right="480"/>
              <w:spacing w:after="0"/>
              <w:rPr>
                <w:sz w:val="20"/>
                <w:szCs w:val="20"/>
                <w:color w:val="auto"/>
              </w:rPr>
            </w:pPr>
            <w:r>
              <w:rPr>
                <w:rFonts w:ascii="Arial" w:cs="Arial" w:eastAsia="Arial" w:hAnsi="Arial"/>
                <w:sz w:val="13"/>
                <w:szCs w:val="13"/>
                <w:b w:val="1"/>
                <w:bCs w:val="1"/>
                <w:color w:val="FFFFFF"/>
              </w:rPr>
              <w:t>Year Ended</w:t>
            </w:r>
          </w:p>
        </w:tc>
      </w:tr>
      <w:tr>
        <w:trPr>
          <w:trHeight w:val="155"/>
        </w:trPr>
        <w:tc>
          <w:tcPr>
            <w:tcW w:w="7960" w:type="dxa"/>
            <w:vAlign w:val="bottom"/>
            <w:shd w:val="clear" w:color="auto" w:fill="0061AF"/>
          </w:tcPr>
          <w:p>
            <w:pPr>
              <w:spacing w:after="0"/>
              <w:rPr>
                <w:sz w:val="13"/>
                <w:szCs w:val="13"/>
                <w:color w:val="auto"/>
              </w:rPr>
            </w:pPr>
          </w:p>
        </w:tc>
        <w:tc>
          <w:tcPr>
            <w:tcW w:w="200" w:type="dxa"/>
            <w:vAlign w:val="bottom"/>
            <w:shd w:val="clear" w:color="auto" w:fill="0061AF"/>
          </w:tcPr>
          <w:p>
            <w:pPr>
              <w:spacing w:after="0"/>
              <w:rPr>
                <w:sz w:val="13"/>
                <w:szCs w:val="13"/>
                <w:color w:val="auto"/>
              </w:rPr>
            </w:pPr>
          </w:p>
        </w:tc>
        <w:tc>
          <w:tcPr>
            <w:tcW w:w="1560" w:type="dxa"/>
            <w:vAlign w:val="bottom"/>
            <w:gridSpan w:val="4"/>
            <w:shd w:val="clear" w:color="auto" w:fill="0061AF"/>
          </w:tcPr>
          <w:p>
            <w:pPr>
              <w:jc w:val="right"/>
              <w:ind w:right="420"/>
              <w:spacing w:after="0"/>
              <w:rPr>
                <w:sz w:val="20"/>
                <w:szCs w:val="20"/>
                <w:color w:val="auto"/>
              </w:rPr>
            </w:pPr>
            <w:r>
              <w:rPr>
                <w:rFonts w:ascii="Arial" w:cs="Arial" w:eastAsia="Arial" w:hAnsi="Arial"/>
                <w:sz w:val="13"/>
                <w:szCs w:val="13"/>
                <w:b w:val="1"/>
                <w:bCs w:val="1"/>
                <w:color w:val="FFFFFF"/>
              </w:rPr>
              <w:t>December 31,</w:t>
            </w:r>
          </w:p>
        </w:tc>
      </w:tr>
      <w:tr>
        <w:trPr>
          <w:trHeight w:val="143"/>
        </w:trPr>
        <w:tc>
          <w:tcPr>
            <w:tcW w:w="7960" w:type="dxa"/>
            <w:vAlign w:val="bottom"/>
            <w:shd w:val="clear" w:color="auto" w:fill="0061AF"/>
          </w:tcPr>
          <w:p>
            <w:pPr>
              <w:spacing w:after="0"/>
              <w:rPr>
                <w:sz w:val="12"/>
                <w:szCs w:val="12"/>
                <w:color w:val="auto"/>
              </w:rPr>
            </w:pPr>
          </w:p>
        </w:tc>
        <w:tc>
          <w:tcPr>
            <w:tcW w:w="200" w:type="dxa"/>
            <w:vAlign w:val="bottom"/>
            <w:shd w:val="clear" w:color="auto" w:fill="0061AF"/>
          </w:tcPr>
          <w:p>
            <w:pPr>
              <w:spacing w:after="0"/>
              <w:rPr>
                <w:sz w:val="12"/>
                <w:szCs w:val="12"/>
                <w:color w:val="auto"/>
              </w:rPr>
            </w:pPr>
          </w:p>
        </w:tc>
        <w:tc>
          <w:tcPr>
            <w:tcW w:w="660" w:type="dxa"/>
            <w:vAlign w:val="bottom"/>
            <w:shd w:val="clear" w:color="auto" w:fill="0061AF"/>
          </w:tcPr>
          <w:p>
            <w:pPr>
              <w:jc w:val="right"/>
              <w:ind w:right="137"/>
              <w:spacing w:after="0" w:line="143" w:lineRule="exact"/>
              <w:rPr>
                <w:sz w:val="20"/>
                <w:szCs w:val="20"/>
                <w:color w:val="auto"/>
              </w:rPr>
            </w:pPr>
            <w:r>
              <w:rPr>
                <w:rFonts w:ascii="Arial" w:cs="Arial" w:eastAsia="Arial" w:hAnsi="Arial"/>
                <w:sz w:val="13"/>
                <w:szCs w:val="13"/>
                <w:b w:val="1"/>
                <w:bCs w:val="1"/>
                <w:color w:val="FFFFFF"/>
              </w:rPr>
              <w:t>2020</w:t>
            </w:r>
          </w:p>
        </w:tc>
        <w:tc>
          <w:tcPr>
            <w:tcW w:w="120" w:type="dxa"/>
            <w:vAlign w:val="bottom"/>
            <w:shd w:val="clear" w:color="auto" w:fill="0061AF"/>
          </w:tcPr>
          <w:p>
            <w:pPr>
              <w:spacing w:after="0"/>
              <w:rPr>
                <w:sz w:val="12"/>
                <w:szCs w:val="12"/>
                <w:color w:val="auto"/>
              </w:rPr>
            </w:pPr>
          </w:p>
        </w:tc>
        <w:tc>
          <w:tcPr>
            <w:tcW w:w="680" w:type="dxa"/>
            <w:vAlign w:val="bottom"/>
            <w:shd w:val="clear" w:color="auto" w:fill="0061AF"/>
          </w:tcPr>
          <w:p>
            <w:pPr>
              <w:jc w:val="right"/>
              <w:ind w:right="137"/>
              <w:spacing w:after="0" w:line="143" w:lineRule="exact"/>
              <w:rPr>
                <w:sz w:val="20"/>
                <w:szCs w:val="20"/>
                <w:color w:val="auto"/>
              </w:rPr>
            </w:pPr>
            <w:r>
              <w:rPr>
                <w:rFonts w:ascii="Arial" w:cs="Arial" w:eastAsia="Arial" w:hAnsi="Arial"/>
                <w:sz w:val="13"/>
                <w:szCs w:val="13"/>
                <w:b w:val="1"/>
                <w:bCs w:val="1"/>
                <w:color w:val="FFFFFF"/>
              </w:rPr>
              <w:t>2019</w:t>
            </w:r>
          </w:p>
        </w:tc>
        <w:tc>
          <w:tcPr>
            <w:tcW w:w="100" w:type="dxa"/>
            <w:vAlign w:val="bottom"/>
            <w:shd w:val="clear" w:color="auto" w:fill="0061AF"/>
          </w:tcPr>
          <w:p>
            <w:pPr>
              <w:spacing w:after="0"/>
              <w:rPr>
                <w:sz w:val="12"/>
                <w:szCs w:val="12"/>
                <w:color w:val="auto"/>
              </w:rPr>
            </w:pPr>
          </w:p>
        </w:tc>
      </w:tr>
      <w:tr>
        <w:trPr>
          <w:trHeight w:val="143"/>
        </w:trPr>
        <w:tc>
          <w:tcPr>
            <w:tcW w:w="7960" w:type="dxa"/>
            <w:vAlign w:val="bottom"/>
          </w:tcPr>
          <w:p>
            <w:pPr>
              <w:ind w:left="80"/>
              <w:spacing w:after="0" w:line="143" w:lineRule="exact"/>
              <w:rPr>
                <w:sz w:val="20"/>
                <w:szCs w:val="20"/>
                <w:color w:val="auto"/>
              </w:rPr>
            </w:pPr>
            <w:r>
              <w:rPr>
                <w:rFonts w:ascii="Arial" w:cs="Arial" w:eastAsia="Arial" w:hAnsi="Arial"/>
                <w:sz w:val="10"/>
                <w:szCs w:val="10"/>
                <w:color w:val="auto"/>
              </w:rPr>
              <w:t>Integrated audit of financial statements and internal control over financial reporting</w:t>
            </w:r>
            <w:r>
              <w:rPr>
                <w:rFonts w:ascii="Arial" w:cs="Arial" w:eastAsia="Arial" w:hAnsi="Arial"/>
                <w:sz w:val="16"/>
                <w:szCs w:val="16"/>
                <w:color w:val="auto"/>
                <w:vertAlign w:val="superscript"/>
              </w:rPr>
              <w:t>(1)</w:t>
            </w:r>
          </w:p>
        </w:tc>
        <w:tc>
          <w:tcPr>
            <w:tcW w:w="8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$ 5,282,000</w:t>
            </w: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w w:val="96"/>
              </w:rPr>
              <w:t>$ 6,980,000</w:t>
            </w:r>
          </w:p>
        </w:tc>
        <w:tc>
          <w:tcPr>
            <w:tcW w:w="100" w:type="dxa"/>
            <w:vAlign w:val="bottom"/>
          </w:tcPr>
          <w:p>
            <w:pPr>
              <w:spacing w:after="0"/>
              <w:rPr>
                <w:sz w:val="12"/>
                <w:szCs w:val="12"/>
                <w:color w:val="auto"/>
              </w:rPr>
            </w:pPr>
          </w:p>
        </w:tc>
      </w:tr>
      <w:tr>
        <w:trPr>
          <w:trHeight w:val="143"/>
        </w:trPr>
        <w:tc>
          <w:tcPr>
            <w:tcW w:w="796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Audit-related fees</w:t>
            </w:r>
            <w:r>
              <w:rPr>
                <w:rFonts w:ascii="Arial" w:cs="Arial" w:eastAsia="Arial" w:hAnsi="Arial"/>
                <w:sz w:val="16"/>
                <w:szCs w:val="16"/>
                <w:color w:val="auto"/>
                <w:vertAlign w:val="superscript"/>
              </w:rPr>
              <w:t>(2)</w:t>
            </w:r>
          </w:p>
        </w:tc>
        <w:tc>
          <w:tcPr>
            <w:tcW w:w="200" w:type="dxa"/>
            <w:vAlign w:val="bottom"/>
            <w:shd w:val="clear" w:color="auto" w:fill="D8E7F3"/>
          </w:tcPr>
          <w:p>
            <w:pPr>
              <w:spacing w:after="0"/>
              <w:rPr>
                <w:sz w:val="12"/>
                <w:szCs w:val="12"/>
                <w:color w:val="auto"/>
              </w:rPr>
            </w:pPr>
          </w:p>
        </w:tc>
        <w:tc>
          <w:tcPr>
            <w:tcW w:w="660" w:type="dxa"/>
            <w:vAlign w:val="bottom"/>
            <w:shd w:val="clear" w:color="auto" w:fill="D8E7F3"/>
          </w:tcPr>
          <w:p>
            <w:pPr>
              <w:jc w:val="right"/>
              <w:spacing w:after="0" w:line="143" w:lineRule="exact"/>
              <w:rPr>
                <w:sz w:val="20"/>
                <w:szCs w:val="20"/>
                <w:color w:val="auto"/>
              </w:rPr>
            </w:pPr>
            <w:r>
              <w:rPr>
                <w:rFonts w:ascii="Arial" w:cs="Arial" w:eastAsia="Arial" w:hAnsi="Arial"/>
                <w:sz w:val="13"/>
                <w:szCs w:val="13"/>
                <w:color w:val="auto"/>
              </w:rPr>
              <w:t>702,051</w:t>
            </w:r>
          </w:p>
        </w:tc>
        <w:tc>
          <w:tcPr>
            <w:tcW w:w="120" w:type="dxa"/>
            <w:vAlign w:val="bottom"/>
            <w:shd w:val="clear" w:color="auto" w:fill="D8E7F3"/>
          </w:tcPr>
          <w:p>
            <w:pPr>
              <w:spacing w:after="0"/>
              <w:rPr>
                <w:sz w:val="12"/>
                <w:szCs w:val="12"/>
                <w:color w:val="auto"/>
              </w:rPr>
            </w:pPr>
          </w:p>
        </w:tc>
        <w:tc>
          <w:tcPr>
            <w:tcW w:w="78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911,100</w:t>
            </w:r>
          </w:p>
        </w:tc>
      </w:tr>
      <w:tr>
        <w:trPr>
          <w:trHeight w:val="147"/>
        </w:trPr>
        <w:tc>
          <w:tcPr>
            <w:tcW w:w="7960" w:type="dxa"/>
            <w:vAlign w:val="bottom"/>
          </w:tcPr>
          <w:p>
            <w:pPr>
              <w:ind w:left="80"/>
              <w:spacing w:after="0" w:line="147" w:lineRule="exact"/>
              <w:rPr>
                <w:sz w:val="20"/>
                <w:szCs w:val="20"/>
                <w:color w:val="auto"/>
              </w:rPr>
            </w:pPr>
            <w:r>
              <w:rPr>
                <w:rFonts w:ascii="Arial" w:cs="Arial" w:eastAsia="Arial" w:hAnsi="Arial"/>
                <w:sz w:val="13"/>
                <w:szCs w:val="13"/>
                <w:color w:val="auto"/>
              </w:rPr>
              <w:t>Total audit and audit-related fees</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5,984,051</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7,891,100</w:t>
            </w:r>
          </w:p>
        </w:tc>
        <w:tc>
          <w:tcPr>
            <w:tcW w:w="100" w:type="dxa"/>
            <w:vAlign w:val="bottom"/>
          </w:tcPr>
          <w:p>
            <w:pPr>
              <w:spacing w:after="0"/>
              <w:rPr>
                <w:sz w:val="12"/>
                <w:szCs w:val="12"/>
                <w:color w:val="auto"/>
              </w:rPr>
            </w:pPr>
          </w:p>
        </w:tc>
      </w:tr>
      <w:tr>
        <w:trPr>
          <w:trHeight w:val="143"/>
        </w:trPr>
        <w:tc>
          <w:tcPr>
            <w:tcW w:w="7960" w:type="dxa"/>
            <w:vAlign w:val="bottom"/>
            <w:shd w:val="clear" w:color="auto" w:fill="D8E7F3"/>
          </w:tcPr>
          <w:p>
            <w:pPr>
              <w:ind w:left="80"/>
              <w:spacing w:after="0" w:line="143" w:lineRule="exact"/>
              <w:rPr>
                <w:sz w:val="20"/>
                <w:szCs w:val="20"/>
                <w:color w:val="auto"/>
              </w:rPr>
            </w:pPr>
            <w:r>
              <w:rPr>
                <w:rFonts w:ascii="Arial" w:cs="Arial" w:eastAsia="Arial" w:hAnsi="Arial"/>
                <w:sz w:val="10"/>
                <w:szCs w:val="10"/>
                <w:color w:val="auto"/>
              </w:rPr>
              <w:t>Tax fees</w:t>
            </w:r>
            <w:r>
              <w:rPr>
                <w:rFonts w:ascii="Arial" w:cs="Arial" w:eastAsia="Arial" w:hAnsi="Arial"/>
                <w:sz w:val="16"/>
                <w:szCs w:val="16"/>
                <w:color w:val="auto"/>
                <w:vertAlign w:val="superscript"/>
              </w:rPr>
              <w:t>(3)</w:t>
            </w:r>
          </w:p>
        </w:tc>
        <w:tc>
          <w:tcPr>
            <w:tcW w:w="980" w:type="dxa"/>
            <w:vAlign w:val="bottom"/>
            <w:gridSpan w:val="3"/>
            <w:shd w:val="clear" w:color="auto" w:fill="D8E7F3"/>
          </w:tcPr>
          <w:p>
            <w:pPr>
              <w:jc w:val="right"/>
              <w:ind w:right="120"/>
              <w:spacing w:after="0" w:line="143" w:lineRule="exact"/>
              <w:rPr>
                <w:sz w:val="20"/>
                <w:szCs w:val="20"/>
                <w:color w:val="auto"/>
              </w:rPr>
            </w:pPr>
            <w:r>
              <w:rPr>
                <w:rFonts w:ascii="Arial" w:cs="Arial" w:eastAsia="Arial" w:hAnsi="Arial"/>
                <w:sz w:val="13"/>
                <w:szCs w:val="13"/>
                <w:color w:val="auto"/>
              </w:rPr>
              <w:t>20,504</w:t>
            </w:r>
          </w:p>
        </w:tc>
        <w:tc>
          <w:tcPr>
            <w:tcW w:w="780" w:type="dxa"/>
            <w:vAlign w:val="bottom"/>
            <w:gridSpan w:val="2"/>
            <w:shd w:val="clear" w:color="auto" w:fill="D8E7F3"/>
          </w:tcPr>
          <w:p>
            <w:pPr>
              <w:jc w:val="right"/>
              <w:ind w:right="100"/>
              <w:spacing w:after="0" w:line="143" w:lineRule="exact"/>
              <w:rPr>
                <w:sz w:val="20"/>
                <w:szCs w:val="20"/>
                <w:color w:val="auto"/>
              </w:rPr>
            </w:pPr>
            <w:r>
              <w:rPr>
                <w:rFonts w:ascii="Arial" w:cs="Arial" w:eastAsia="Arial" w:hAnsi="Arial"/>
                <w:sz w:val="13"/>
                <w:szCs w:val="13"/>
                <w:color w:val="auto"/>
              </w:rPr>
              <w:t>162,500</w:t>
            </w:r>
          </w:p>
        </w:tc>
      </w:tr>
      <w:tr>
        <w:trPr>
          <w:trHeight w:val="147"/>
        </w:trPr>
        <w:tc>
          <w:tcPr>
            <w:tcW w:w="7960" w:type="dxa"/>
            <w:vAlign w:val="bottom"/>
          </w:tcPr>
          <w:p>
            <w:pPr>
              <w:ind w:left="80"/>
              <w:spacing w:after="0" w:line="143" w:lineRule="exact"/>
              <w:rPr>
                <w:sz w:val="20"/>
                <w:szCs w:val="20"/>
                <w:color w:val="auto"/>
              </w:rPr>
            </w:pPr>
            <w:r>
              <w:rPr>
                <w:rFonts w:ascii="Arial" w:cs="Arial" w:eastAsia="Arial" w:hAnsi="Arial"/>
                <w:sz w:val="10"/>
                <w:szCs w:val="10"/>
                <w:color w:val="auto"/>
              </w:rPr>
              <w:t>All other fees</w:t>
            </w:r>
            <w:r>
              <w:rPr>
                <w:rFonts w:ascii="Arial" w:cs="Arial" w:eastAsia="Arial" w:hAnsi="Arial"/>
                <w:sz w:val="16"/>
                <w:szCs w:val="16"/>
                <w:color w:val="auto"/>
                <w:vertAlign w:val="superscript"/>
              </w:rPr>
              <w:t>(4)</w:t>
            </w:r>
          </w:p>
        </w:tc>
        <w:tc>
          <w:tcPr>
            <w:tcW w:w="2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60,000</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55,000</w:t>
            </w:r>
          </w:p>
        </w:tc>
      </w:tr>
      <w:tr>
        <w:trPr>
          <w:trHeight w:val="143"/>
        </w:trPr>
        <w:tc>
          <w:tcPr>
            <w:tcW w:w="7960" w:type="dxa"/>
            <w:vAlign w:val="bottom"/>
            <w:shd w:val="clear" w:color="auto" w:fill="D8E7F3"/>
          </w:tcPr>
          <w:p>
            <w:pPr>
              <w:ind w:left="200"/>
              <w:spacing w:after="0" w:line="143" w:lineRule="exact"/>
              <w:rPr>
                <w:sz w:val="20"/>
                <w:szCs w:val="20"/>
                <w:color w:val="auto"/>
              </w:rPr>
            </w:pPr>
            <w:r>
              <w:rPr>
                <w:rFonts w:ascii="Arial" w:cs="Arial" w:eastAsia="Arial" w:hAnsi="Arial"/>
                <w:sz w:val="13"/>
                <w:szCs w:val="13"/>
                <w:color w:val="auto"/>
              </w:rPr>
              <w:t>Total fees</w:t>
            </w:r>
          </w:p>
        </w:tc>
        <w:tc>
          <w:tcPr>
            <w:tcW w:w="200" w:type="dxa"/>
            <w:vAlign w:val="bottom"/>
            <w:shd w:val="clear" w:color="auto" w:fill="D8E7F3"/>
          </w:tcPr>
          <w:p>
            <w:pPr>
              <w:spacing w:after="0"/>
              <w:rPr>
                <w:sz w:val="12"/>
                <w:szCs w:val="12"/>
                <w:color w:val="auto"/>
              </w:rPr>
            </w:pPr>
          </w:p>
        </w:tc>
        <w:tc>
          <w:tcPr>
            <w:tcW w:w="660" w:type="dxa"/>
            <w:vAlign w:val="bottom"/>
            <w:tcBorders>
              <w:top w:val="single" w:sz="8" w:color="auto"/>
              <w:bottom w:val="single" w:sz="8" w:color="auto"/>
            </w:tcBorders>
            <w:shd w:val="clear" w:color="auto" w:fill="D8E7F3"/>
          </w:tcPr>
          <w:p>
            <w:pPr>
              <w:jc w:val="right"/>
              <w:spacing w:after="0" w:line="143" w:lineRule="exact"/>
              <w:rPr>
                <w:sz w:val="20"/>
                <w:szCs w:val="20"/>
                <w:color w:val="auto"/>
              </w:rPr>
            </w:pPr>
            <w:r>
              <w:rPr>
                <w:rFonts w:ascii="Arial" w:cs="Arial" w:eastAsia="Arial" w:hAnsi="Arial"/>
                <w:sz w:val="13"/>
                <w:szCs w:val="13"/>
                <w:color w:val="auto"/>
                <w:w w:val="93"/>
              </w:rPr>
              <w:t>$ 6,064,555</w:t>
            </w:r>
          </w:p>
        </w:tc>
        <w:tc>
          <w:tcPr>
            <w:tcW w:w="120" w:type="dxa"/>
            <w:vAlign w:val="bottom"/>
            <w:shd w:val="clear" w:color="auto" w:fill="D8E7F3"/>
          </w:tcPr>
          <w:p>
            <w:pPr>
              <w:spacing w:after="0"/>
              <w:rPr>
                <w:sz w:val="12"/>
                <w:szCs w:val="12"/>
                <w:color w:val="auto"/>
              </w:rPr>
            </w:pPr>
          </w:p>
        </w:tc>
        <w:tc>
          <w:tcPr>
            <w:tcW w:w="680" w:type="dxa"/>
            <w:vAlign w:val="bottom"/>
            <w:tcBorders>
              <w:top w:val="single" w:sz="8" w:color="auto"/>
              <w:bottom w:val="single" w:sz="8" w:color="auto"/>
            </w:tcBorders>
            <w:shd w:val="clear" w:color="auto" w:fill="D8E7F3"/>
          </w:tcPr>
          <w:p>
            <w:pPr>
              <w:jc w:val="right"/>
              <w:spacing w:after="0" w:line="143" w:lineRule="exact"/>
              <w:rPr>
                <w:sz w:val="20"/>
                <w:szCs w:val="20"/>
                <w:color w:val="auto"/>
              </w:rPr>
            </w:pPr>
            <w:r>
              <w:rPr>
                <w:rFonts w:ascii="Arial" w:cs="Arial" w:eastAsia="Arial" w:hAnsi="Arial"/>
                <w:sz w:val="13"/>
                <w:szCs w:val="13"/>
                <w:color w:val="auto"/>
                <w:w w:val="96"/>
              </w:rPr>
              <w:t>$ 8,108,600</w:t>
            </w:r>
          </w:p>
        </w:tc>
        <w:tc>
          <w:tcPr>
            <w:tcW w:w="100" w:type="dxa"/>
            <w:vAlign w:val="bottom"/>
            <w:shd w:val="clear" w:color="auto" w:fill="D8E7F3"/>
          </w:tcPr>
          <w:p>
            <w:pPr>
              <w:spacing w:after="0"/>
              <w:rPr>
                <w:sz w:val="12"/>
                <w:szCs w:val="12"/>
                <w:color w:val="auto"/>
              </w:rPr>
            </w:pPr>
          </w:p>
        </w:tc>
      </w:tr>
      <w:tr>
        <w:trPr>
          <w:trHeight w:val="20"/>
        </w:trPr>
        <w:tc>
          <w:tcPr>
            <w:tcW w:w="7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300" w:hanging="291"/>
        <w:spacing w:after="0" w:line="237" w:lineRule="auto"/>
        <w:tabs>
          <w:tab w:leader="none" w:pos="3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For 2020 and 2019, amounts include fees for services provided by the principal accounting firm relating to the integrated audit for financial statements and internal control over financial reporting, statutory audits, attest services and regulatory filings.</w:t>
      </w:r>
    </w:p>
    <w:p>
      <w:pPr>
        <w:spacing w:after="0" w:line="49" w:lineRule="exact"/>
        <w:rPr>
          <w:rFonts w:ascii="Arial" w:cs="Arial" w:eastAsia="Arial" w:hAnsi="Arial"/>
          <w:sz w:val="13"/>
          <w:szCs w:val="13"/>
          <w:color w:val="auto"/>
        </w:rPr>
      </w:pPr>
    </w:p>
    <w:p>
      <w:pPr>
        <w:ind w:left="300" w:hanging="291"/>
        <w:spacing w:after="0" w:line="237" w:lineRule="auto"/>
        <w:tabs>
          <w:tab w:leader="none" w:pos="3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For 2020 and 2019, amounts include fees for consultations concerning financial accounting and reporting standards and various agreed-upon or expanded procedures related to accounting and/or billing records to comply with financial accounting or regulatory reporting matters.</w:t>
      </w:r>
    </w:p>
    <w:p>
      <w:pPr>
        <w:spacing w:after="0" w:line="49" w:lineRule="exact"/>
        <w:rPr>
          <w:rFonts w:ascii="Arial" w:cs="Arial" w:eastAsia="Arial" w:hAnsi="Arial"/>
          <w:sz w:val="13"/>
          <w:szCs w:val="13"/>
          <w:color w:val="auto"/>
        </w:rPr>
      </w:pPr>
    </w:p>
    <w:p>
      <w:pPr>
        <w:ind w:left="300" w:hanging="291"/>
        <w:spacing w:after="0" w:line="237" w:lineRule="auto"/>
        <w:tabs>
          <w:tab w:leader="none" w:pos="3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For 2020 and 2019, amounts include fees paid for reviews of Vectren Corporation standalone tax returns for the twelve months ended December 31, 2018 and for the period ended February 1, 2019.</w:t>
      </w:r>
    </w:p>
    <w:p>
      <w:pPr>
        <w:spacing w:after="0" w:line="49" w:lineRule="exact"/>
        <w:rPr>
          <w:rFonts w:ascii="Arial" w:cs="Arial" w:eastAsia="Arial" w:hAnsi="Arial"/>
          <w:sz w:val="13"/>
          <w:szCs w:val="13"/>
          <w:color w:val="auto"/>
        </w:rPr>
      </w:pPr>
    </w:p>
    <w:p>
      <w:pPr>
        <w:ind w:left="300" w:hanging="291"/>
        <w:spacing w:after="0"/>
        <w:tabs>
          <w:tab w:leader="none" w:pos="3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Fees relate to a subscription-based service which provides the Company with access to benchmarking information and tools.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Audit Committee Policies and Procedures for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Consistent with Securities and Exchange Commission policies regarding auditor independence, the Audit Committee is responsible for pre-approving audit and non-audit services performed by the independent auditor. In addition to its approval of the audit engagement, the Audit Committee takes action at least annually to authorize the independent auditor’s performance of several specific types of services within the categories of audit-related services and tax services. Audit-related services include assurance and related services that are reasonably related to the performance of the audit or review of the financial statements or that are traditionally performed by the independent auditor. Authorized tax services include compliance-related services such as services involving tax filings, as well as consulting services such as tax planning, transaction analysis and opinions. Services are subject to preapproval of the specific engagement if they are outside the specific types of services included in the periodic approvals covering service categories or if they are in excess of specified fee limitations. The Audit Committee may delegate preapproval authority to subcommittees.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During 2020, no preapproval requirements were waived for services included in the Audit-related fees caption of the fee table above pursuant to the limited waiver provisions in applicable rules of the Securities and Exchange Commission.</w:t>
      </w:r>
    </w:p>
    <w:p>
      <w:pPr>
        <w:spacing w:after="0" w:line="177" w:lineRule="exact"/>
        <w:rPr>
          <w:sz w:val="20"/>
          <w:szCs w:val="20"/>
          <w:color w:val="auto"/>
        </w:rPr>
      </w:pPr>
    </w:p>
    <w:p>
      <w:pPr>
        <w:ind w:left="400" w:hanging="391"/>
        <w:spacing w:after="0"/>
        <w:tabs>
          <w:tab w:leader="none" w:pos="400" w:val="left"/>
        </w:tabs>
        <w:numPr>
          <w:ilvl w:val="0"/>
          <w:numId w:val="114"/>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8" w:name="page89"/>
    <w:bookmarkEnd w:id="88"/>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252" w:lineRule="exact"/>
        <w:rPr>
          <w:sz w:val="20"/>
          <w:szCs w:val="20"/>
          <w:color w:val="auto"/>
        </w:rPr>
      </w:pPr>
    </w:p>
    <w:p>
      <w:pPr>
        <w:ind w:right="760"/>
        <w:spacing w:after="0" w:line="273" w:lineRule="auto"/>
        <w:rPr>
          <w:sz w:val="20"/>
          <w:szCs w:val="20"/>
          <w:color w:val="auto"/>
        </w:rPr>
      </w:pPr>
      <w:r>
        <w:rPr>
          <w:rFonts w:ascii="Arial" w:cs="Arial" w:eastAsia="Arial" w:hAnsi="Arial"/>
          <w:sz w:val="29"/>
          <w:szCs w:val="29"/>
          <w:b w:val="1"/>
          <w:bCs w:val="1"/>
          <w:color w:val="0061AF"/>
        </w:rPr>
        <w:t>ITEM 2: RATIFICATION OF APPOINTMENT OF THE INDEPENDENT REGISTERED PUBLIC ACCOUNTING FIRM</w:t>
      </w:r>
    </w:p>
    <w:p>
      <w:pPr>
        <w:spacing w:after="0" w:line="13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Audit Committee has appointed Deloitte &amp; Touche LLP as the independent registered public accounting firm to conduct the annual audit of CenterPoint Energy’s accounts for the fiscal year ending December 31, 2021. Deloitte &amp; Touche LLP (and their predecessors) have served as the independent registered public accounting firm (independent auditor) for CenterPoint Energy and its predecessors since 1932. Ratification requires the affirmative vote of a majority of the shares of our common stock entitled to vote and voted for or against the matter. Abstentions will not affect the outcome of the vote on this item. We do not expect any broker non-votes. If the appointment is not ratified by the shareholders, the Audit Committee will reconsider the appointment.</w:t>
      </w:r>
    </w:p>
    <w:p>
      <w:pPr>
        <w:spacing w:after="0" w:line="181"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Representatives of Deloitte &amp; Touche LLP will be present at the annual meeting and will have an opportunity to make a statement if they wish. They will be available to respond to appropriate questions from shareholders at the meeting.</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To assure continuing auditor independence, the Audit Committee periodically considers whether there should be a regular rotation of the independent registered public accounting firm. The members of the Audit Committee and the Board believe that the continued retention of Deloitte &amp; Touche LLP to serve as the Company’s independent registered public accounting firm is in the best interests of the Company and its investors.</w:t>
      </w:r>
    </w:p>
    <w:p>
      <w:pPr>
        <w:spacing w:after="0" w:line="25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0061AF"/>
        </w:rPr>
        <w:t>The Board of Directors recommends a vote FOR the ratification of the appointment of Deloitte &amp; Touche LLP as our independent registered public accounting firm for the fiscal year ending December 31, 2021.</w:t>
      </w:r>
    </w:p>
    <w:p>
      <w:pPr>
        <w:spacing w:after="0" w:line="19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89" w:name="page90"/>
    <w:bookmarkEnd w:id="89"/>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ITEM 3: ADVISORY VOTE ON EXECUTIVE COMPENSATION</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accordance with Section 14A of the Exchange Act and the related rules of the Securities and Exchange Commission, we are providing our shareholders with the opportunity to cast an advisory vote on the compensation of our named executive officers at the meeting. This item, commonly referred to as a “say-on-pay” vote, provides you, as a CenterPoint Energy shareholder, the opportunity to express your views regarding the compensation of our named executive officers as disclosed in this proxy statement.</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Feedback from our shareholders is a critical part of our Company’s and our Compensation Committee’s approach to designing our executive compensation program. Each year, we engage in shareholder outreach to proactively solicit feedback about our business strategy, our executive compensation programs and practices, corporate governance practices, human capital management and environmental and sustainability matters. Following the 2020 Annual Meeting, we engaged with our shareholders to discuss any issues or concerns they had, particularly with respect to our executive compensation program and practices. After receiving feedback from our shareholders on our executive compensation program during this engagement effort and evaluating such feedback, the Compensation Committee, with input from its independent compensation consultant and management, conducted a comprehensive review of our programs, including performance metrics and targets, with particular emphasis on our short-term and long-term incentive plans. The table below summarizes several of the executive compensation topics our shareholders asked us to consider.</w:t>
      </w:r>
    </w:p>
    <w:p>
      <w:pPr>
        <w:spacing w:after="0" w:line="180" w:lineRule="exact"/>
        <w:rPr>
          <w:sz w:val="20"/>
          <w:szCs w:val="20"/>
          <w:color w:val="auto"/>
        </w:rPr>
      </w:pPr>
    </w:p>
    <w:p>
      <w:pPr>
        <w:ind w:left="400" w:hanging="391"/>
        <w:spacing w:after="0"/>
        <w:tabs>
          <w:tab w:leader="none" w:pos="400" w:val="left"/>
        </w:tabs>
        <w:numPr>
          <w:ilvl w:val="0"/>
          <w:numId w:val="115"/>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90" w:name="page91"/>
    <w:bookmarkEnd w:id="90"/>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3560" w:type="dxa"/>
            <w:vAlign w:val="bottom"/>
            <w:tcBorders>
              <w:left w:val="single" w:sz="8" w:color="0061AF"/>
              <w:right w:val="single" w:sz="8" w:color="0061AF"/>
            </w:tcBorders>
            <w:shd w:val="clear" w:color="auto" w:fill="0061AF"/>
          </w:tcPr>
          <w:p>
            <w:pPr>
              <w:spacing w:after="0" w:line="20" w:lineRule="exact"/>
              <w:rPr>
                <w:sz w:val="1"/>
                <w:szCs w:val="1"/>
                <w:color w:val="auto"/>
              </w:rPr>
            </w:pPr>
          </w:p>
        </w:tc>
        <w:tc>
          <w:tcPr>
            <w:tcW w:w="260" w:type="dxa"/>
            <w:vAlign w:val="bottom"/>
            <w:shd w:val="clear" w:color="auto" w:fill="0061AF"/>
          </w:tcPr>
          <w:p>
            <w:pPr>
              <w:spacing w:after="0" w:line="20" w:lineRule="exact"/>
              <w:rPr>
                <w:sz w:val="1"/>
                <w:szCs w:val="1"/>
                <w:color w:val="auto"/>
              </w:rPr>
            </w:pPr>
          </w:p>
        </w:tc>
        <w:tc>
          <w:tcPr>
            <w:tcW w:w="1480" w:type="dxa"/>
            <w:vAlign w:val="bottom"/>
            <w:shd w:val="clear" w:color="auto" w:fill="0061AF"/>
          </w:tcPr>
          <w:p>
            <w:pPr>
              <w:spacing w:after="0" w:line="20" w:lineRule="exact"/>
              <w:rPr>
                <w:sz w:val="1"/>
                <w:szCs w:val="1"/>
                <w:color w:val="auto"/>
              </w:rPr>
            </w:pPr>
          </w:p>
        </w:tc>
        <w:tc>
          <w:tcPr>
            <w:tcW w:w="260" w:type="dxa"/>
            <w:vAlign w:val="bottom"/>
            <w:shd w:val="clear" w:color="auto" w:fill="0061AF"/>
          </w:tcPr>
          <w:p>
            <w:pPr>
              <w:spacing w:after="0" w:line="20" w:lineRule="exact"/>
              <w:rPr>
                <w:sz w:val="1"/>
                <w:szCs w:val="1"/>
                <w:color w:val="auto"/>
              </w:rPr>
            </w:pPr>
          </w:p>
        </w:tc>
        <w:tc>
          <w:tcPr>
            <w:tcW w:w="180" w:type="dxa"/>
            <w:vAlign w:val="bottom"/>
            <w:tcBorders>
              <w:right w:val="single" w:sz="8" w:color="0061AF"/>
            </w:tcBorders>
            <w:shd w:val="clear" w:color="auto" w:fill="0061AF"/>
          </w:tcPr>
          <w:p>
            <w:pPr>
              <w:spacing w:after="0" w:line="20" w:lineRule="exact"/>
              <w:rPr>
                <w:sz w:val="1"/>
                <w:szCs w:val="1"/>
                <w:color w:val="auto"/>
              </w:rPr>
            </w:pPr>
          </w:p>
        </w:tc>
        <w:tc>
          <w:tcPr>
            <w:tcW w:w="1840" w:type="dxa"/>
            <w:vAlign w:val="bottom"/>
            <w:shd w:val="clear" w:color="auto" w:fill="0061A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61AF"/>
          </w:tcPr>
          <w:p>
            <w:pPr>
              <w:spacing w:after="0" w:line="20" w:lineRule="exact"/>
              <w:rPr>
                <w:sz w:val="1"/>
                <w:szCs w:val="1"/>
                <w:color w:val="auto"/>
              </w:rPr>
            </w:pPr>
          </w:p>
        </w:tc>
        <w:tc>
          <w:tcPr>
            <w:tcW w:w="900" w:type="dxa"/>
            <w:vAlign w:val="bottom"/>
            <w:shd w:val="clear" w:color="auto" w:fill="0061AF"/>
          </w:tcPr>
          <w:p>
            <w:pPr>
              <w:spacing w:after="0" w:line="20" w:lineRule="exact"/>
              <w:rPr>
                <w:sz w:val="1"/>
                <w:szCs w:val="1"/>
                <w:color w:val="auto"/>
              </w:rPr>
            </w:pPr>
          </w:p>
        </w:tc>
        <w:tc>
          <w:tcPr>
            <w:tcW w:w="40" w:type="dxa"/>
            <w:vAlign w:val="bottom"/>
            <w:tcBorders>
              <w:right w:val="single" w:sz="8" w:color="0061AF"/>
            </w:tcBorders>
            <w:shd w:val="clear" w:color="auto" w:fill="0061A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gridSpan w:val="5"/>
          </w:tcPr>
          <w:p>
            <w:pPr>
              <w:jc w:val="right"/>
              <w:ind w:right="40"/>
              <w:spacing w:after="0"/>
              <w:rPr>
                <w:sz w:val="20"/>
                <w:szCs w:val="20"/>
                <w:color w:val="auto"/>
              </w:rPr>
            </w:pPr>
            <w:r>
              <w:rPr>
                <w:rFonts w:ascii="Arial" w:cs="Arial" w:eastAsia="Arial" w:hAnsi="Arial"/>
                <w:sz w:val="13"/>
                <w:szCs w:val="13"/>
                <w:i w:val="1"/>
                <w:iCs w:val="1"/>
                <w:color w:val="auto"/>
              </w:rPr>
              <w:t>Item 3: Advisory Vote on Executive Compensation (continued)</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3"/>
          </w:tcPr>
          <w:p>
            <w:pPr>
              <w:spacing w:after="0"/>
              <w:rPr>
                <w:sz w:val="16"/>
                <w:szCs w:val="16"/>
                <w:color w:val="auto"/>
              </w:rPr>
            </w:pPr>
          </w:p>
        </w:tc>
        <w:tc>
          <w:tcPr>
            <w:tcW w:w="9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560" w:type="dxa"/>
            <w:vAlign w:val="bottom"/>
            <w:tcBorders>
              <w:left w:val="single" w:sz="8" w:color="0061AF"/>
              <w:right w:val="single" w:sz="8" w:color="0061AF"/>
            </w:tcBorders>
            <w:shd w:val="clear" w:color="auto" w:fill="0061AF"/>
          </w:tcPr>
          <w:p>
            <w:pPr>
              <w:ind w:left="380"/>
              <w:spacing w:after="0"/>
              <w:rPr>
                <w:sz w:val="20"/>
                <w:szCs w:val="20"/>
                <w:color w:val="auto"/>
              </w:rPr>
            </w:pPr>
            <w:r>
              <w:rPr>
                <w:rFonts w:ascii="Arial" w:cs="Arial" w:eastAsia="Arial" w:hAnsi="Arial"/>
                <w:sz w:val="13"/>
                <w:szCs w:val="13"/>
                <w:b w:val="1"/>
                <w:bCs w:val="1"/>
                <w:color w:val="FFFFFF"/>
              </w:rPr>
              <w:t>WHAT WE HEARD FROM OUR SHAREHOLDERS</w:t>
            </w:r>
          </w:p>
        </w:tc>
        <w:tc>
          <w:tcPr>
            <w:tcW w:w="260" w:type="dxa"/>
            <w:vAlign w:val="bottom"/>
            <w:shd w:val="clear" w:color="auto" w:fill="0061AF"/>
          </w:tcPr>
          <w:p>
            <w:pPr>
              <w:spacing w:after="0"/>
              <w:rPr>
                <w:sz w:val="13"/>
                <w:szCs w:val="13"/>
                <w:color w:val="auto"/>
              </w:rPr>
            </w:pPr>
          </w:p>
        </w:tc>
        <w:tc>
          <w:tcPr>
            <w:tcW w:w="1480" w:type="dxa"/>
            <w:vAlign w:val="bottom"/>
            <w:shd w:val="clear" w:color="auto" w:fill="0061AF"/>
          </w:tcPr>
          <w:p>
            <w:pPr>
              <w:spacing w:after="0"/>
              <w:rPr>
                <w:sz w:val="13"/>
                <w:szCs w:val="13"/>
                <w:color w:val="auto"/>
              </w:rPr>
            </w:pPr>
          </w:p>
        </w:tc>
        <w:tc>
          <w:tcPr>
            <w:tcW w:w="260" w:type="dxa"/>
            <w:vAlign w:val="bottom"/>
            <w:shd w:val="clear" w:color="auto" w:fill="0061AF"/>
          </w:tcPr>
          <w:p>
            <w:pPr>
              <w:spacing w:after="0"/>
              <w:rPr>
                <w:sz w:val="13"/>
                <w:szCs w:val="13"/>
                <w:color w:val="auto"/>
              </w:rPr>
            </w:pPr>
          </w:p>
        </w:tc>
        <w:tc>
          <w:tcPr>
            <w:tcW w:w="180" w:type="dxa"/>
            <w:vAlign w:val="bottom"/>
            <w:tcBorders>
              <w:right w:val="single" w:sz="8" w:color="0061AF"/>
            </w:tcBorders>
            <w:shd w:val="clear" w:color="auto" w:fill="0061AF"/>
          </w:tcPr>
          <w:p>
            <w:pPr>
              <w:spacing w:after="0"/>
              <w:rPr>
                <w:sz w:val="13"/>
                <w:szCs w:val="13"/>
                <w:color w:val="auto"/>
              </w:rPr>
            </w:pPr>
          </w:p>
        </w:tc>
        <w:tc>
          <w:tcPr>
            <w:tcW w:w="4020" w:type="dxa"/>
            <w:vAlign w:val="bottom"/>
            <w:tcBorders>
              <w:right w:val="single" w:sz="8" w:color="0061AF"/>
            </w:tcBorders>
            <w:gridSpan w:val="5"/>
            <w:shd w:val="clear" w:color="auto" w:fill="0061AF"/>
          </w:tcPr>
          <w:p>
            <w:pPr>
              <w:ind w:left="320"/>
              <w:spacing w:after="0"/>
              <w:rPr>
                <w:sz w:val="20"/>
                <w:szCs w:val="20"/>
                <w:color w:val="auto"/>
              </w:rPr>
            </w:pPr>
            <w:r>
              <w:rPr>
                <w:rFonts w:ascii="Arial" w:cs="Arial" w:eastAsia="Arial" w:hAnsi="Arial"/>
                <w:sz w:val="13"/>
                <w:szCs w:val="13"/>
                <w:b w:val="1"/>
                <w:bCs w:val="1"/>
                <w:color w:val="FFFFFF"/>
              </w:rPr>
              <w:t>HOW WE RESPONDED</w:t>
            </w:r>
          </w:p>
        </w:tc>
        <w:tc>
          <w:tcPr>
            <w:tcW w:w="0" w:type="dxa"/>
            <w:vAlign w:val="bottom"/>
          </w:tcPr>
          <w:p>
            <w:pPr>
              <w:spacing w:after="0"/>
              <w:rPr>
                <w:sz w:val="1"/>
                <w:szCs w:val="1"/>
                <w:color w:val="auto"/>
              </w:rPr>
            </w:pPr>
          </w:p>
        </w:tc>
      </w:tr>
      <w:tr>
        <w:trPr>
          <w:trHeight w:val="155"/>
        </w:trPr>
        <w:tc>
          <w:tcPr>
            <w:tcW w:w="3560" w:type="dxa"/>
            <w:vAlign w:val="bottom"/>
            <w:tcBorders>
              <w:left w:val="single" w:sz="8" w:color="0061AF"/>
              <w:right w:val="single" w:sz="8" w:color="0061AF"/>
            </w:tcBorders>
            <w:shd w:val="clear" w:color="auto" w:fill="D8E7F3"/>
          </w:tcPr>
          <w:p>
            <w:pPr>
              <w:spacing w:after="0"/>
              <w:rPr>
                <w:sz w:val="13"/>
                <w:szCs w:val="13"/>
                <w:color w:val="auto"/>
              </w:rPr>
            </w:pPr>
          </w:p>
        </w:tc>
        <w:tc>
          <w:tcPr>
            <w:tcW w:w="260" w:type="dxa"/>
            <w:vAlign w:val="bottom"/>
            <w:shd w:val="clear" w:color="auto" w:fill="D8E7F3"/>
          </w:tcPr>
          <w:p>
            <w:pPr>
              <w:spacing w:after="0"/>
              <w:rPr>
                <w:sz w:val="13"/>
                <w:szCs w:val="13"/>
                <w:color w:val="auto"/>
              </w:rPr>
            </w:pPr>
          </w:p>
        </w:tc>
        <w:tc>
          <w:tcPr>
            <w:tcW w:w="5900" w:type="dxa"/>
            <w:vAlign w:val="bottom"/>
            <w:gridSpan w:val="7"/>
            <w:shd w:val="clear" w:color="auto" w:fill="D8E7F3"/>
          </w:tcPr>
          <w:p>
            <w:pPr>
              <w:spacing w:after="0" w:line="155" w:lineRule="exact"/>
              <w:rPr>
                <w:sz w:val="20"/>
                <w:szCs w:val="20"/>
                <w:color w:val="auto"/>
              </w:rPr>
            </w:pPr>
            <w:r>
              <w:rPr>
                <w:rFonts w:ascii="Arial" w:cs="Arial" w:eastAsia="Arial" w:hAnsi="Arial"/>
                <w:sz w:val="16"/>
                <w:szCs w:val="16"/>
                <w:b w:val="1"/>
                <w:bCs w:val="1"/>
                <w:color w:val="auto"/>
              </w:rPr>
              <w:t>Short-term Incentive Plan</w:t>
            </w:r>
            <w:r>
              <w:rPr>
                <w:rFonts w:ascii="Arial" w:cs="Arial" w:eastAsia="Arial" w:hAnsi="Arial"/>
                <w:sz w:val="16"/>
                <w:szCs w:val="16"/>
                <w:color w:val="auto"/>
              </w:rPr>
              <w:t>: Effective in 2021, the funding of awards for our named</w:t>
            </w:r>
          </w:p>
        </w:tc>
        <w:tc>
          <w:tcPr>
            <w:tcW w:w="40" w:type="dxa"/>
            <w:vAlign w:val="bottom"/>
            <w:tcBorders>
              <w:right w:val="single" w:sz="8" w:color="0061A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left w:val="single" w:sz="8" w:color="0061AF"/>
              <w:right w:val="single" w:sz="8" w:color="0061AF"/>
            </w:tcBorders>
            <w:shd w:val="clear" w:color="auto" w:fill="D8E7F3"/>
          </w:tcPr>
          <w:p>
            <w:pPr>
              <w:spacing w:after="0" w:line="20" w:lineRule="exact"/>
              <w:rPr>
                <w:sz w:val="1"/>
                <w:szCs w:val="1"/>
                <w:color w:val="auto"/>
              </w:rPr>
            </w:pPr>
          </w:p>
        </w:tc>
        <w:tc>
          <w:tcPr>
            <w:tcW w:w="260" w:type="dxa"/>
            <w:vAlign w:val="bottom"/>
            <w:shd w:val="clear" w:color="auto" w:fill="D8E7F3"/>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gridSpan w:val="3"/>
            <w:shd w:val="clear" w:color="auto" w:fill="D8E7F3"/>
          </w:tcPr>
          <w:p>
            <w:pPr>
              <w:spacing w:after="0" w:line="20" w:lineRule="exact"/>
              <w:rPr>
                <w:sz w:val="1"/>
                <w:szCs w:val="1"/>
                <w:color w:val="auto"/>
              </w:rPr>
            </w:pPr>
          </w:p>
        </w:tc>
        <w:tc>
          <w:tcPr>
            <w:tcW w:w="900" w:type="dxa"/>
            <w:vAlign w:val="bottom"/>
            <w:shd w:val="clear" w:color="auto" w:fill="D8E7F3"/>
          </w:tcPr>
          <w:p>
            <w:pPr>
              <w:spacing w:after="0" w:line="20" w:lineRule="exact"/>
              <w:rPr>
                <w:sz w:val="1"/>
                <w:szCs w:val="1"/>
                <w:color w:val="auto"/>
              </w:rPr>
            </w:pPr>
          </w:p>
        </w:tc>
        <w:tc>
          <w:tcPr>
            <w:tcW w:w="40" w:type="dxa"/>
            <w:vAlign w:val="bottom"/>
            <w:tcBorders>
              <w:right w:val="single" w:sz="8" w:color="0061A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tcBorders>
              <w:left w:val="single" w:sz="8" w:color="0061AF"/>
              <w:right w:val="single" w:sz="8" w:color="0061AF"/>
            </w:tcBorders>
            <w:vMerge w:val="restart"/>
            <w:shd w:val="clear" w:color="auto" w:fill="D8E7F3"/>
          </w:tcPr>
          <w:p>
            <w:pPr>
              <w:ind w:left="140"/>
              <w:spacing w:after="0"/>
              <w:rPr>
                <w:sz w:val="20"/>
                <w:szCs w:val="20"/>
                <w:color w:val="auto"/>
              </w:rPr>
            </w:pPr>
            <w:r>
              <w:rPr>
                <w:rFonts w:ascii="Arial" w:cs="Arial" w:eastAsia="Arial" w:hAnsi="Arial"/>
                <w:sz w:val="16"/>
                <w:szCs w:val="16"/>
                <w:b w:val="1"/>
                <w:bCs w:val="1"/>
                <w:i w:val="1"/>
                <w:iCs w:val="1"/>
                <w:color w:val="auto"/>
              </w:rPr>
              <w:t>Increase focus on Earnings Per Share (EPS)</w:t>
            </w:r>
          </w:p>
        </w:tc>
        <w:tc>
          <w:tcPr>
            <w:tcW w:w="260" w:type="dxa"/>
            <w:vAlign w:val="bottom"/>
            <w:shd w:val="clear" w:color="auto" w:fill="D8E7F3"/>
          </w:tcPr>
          <w:p>
            <w:pPr>
              <w:spacing w:after="0"/>
              <w:rPr>
                <w:sz w:val="15"/>
                <w:szCs w:val="15"/>
                <w:color w:val="auto"/>
              </w:rPr>
            </w:pPr>
          </w:p>
        </w:tc>
        <w:tc>
          <w:tcPr>
            <w:tcW w:w="5900" w:type="dxa"/>
            <w:vAlign w:val="bottom"/>
            <w:gridSpan w:val="7"/>
            <w:shd w:val="clear" w:color="auto" w:fill="D8E7F3"/>
          </w:tcPr>
          <w:p>
            <w:pPr>
              <w:spacing w:after="0" w:line="181" w:lineRule="exact"/>
              <w:rPr>
                <w:sz w:val="20"/>
                <w:szCs w:val="20"/>
                <w:color w:val="auto"/>
              </w:rPr>
            </w:pPr>
            <w:r>
              <w:rPr>
                <w:rFonts w:ascii="Arial" w:cs="Arial" w:eastAsia="Arial" w:hAnsi="Arial"/>
                <w:sz w:val="16"/>
                <w:szCs w:val="16"/>
                <w:color w:val="auto"/>
                <w:w w:val="99"/>
              </w:rPr>
              <w:t>executive officers under the short-term incentive plan is solely based on achieving a</w:t>
            </w:r>
          </w:p>
        </w:tc>
        <w:tc>
          <w:tcPr>
            <w:tcW w:w="40" w:type="dxa"/>
            <w:vAlign w:val="bottom"/>
            <w:tcBorders>
              <w:right w:val="single" w:sz="8" w:color="0061AF"/>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560" w:type="dxa"/>
            <w:vAlign w:val="bottom"/>
            <w:tcBorders>
              <w:left w:val="single" w:sz="8" w:color="0061AF"/>
              <w:right w:val="single" w:sz="8" w:color="0061AF"/>
            </w:tcBorders>
            <w:vMerge w:val="continue"/>
            <w:shd w:val="clear" w:color="auto" w:fill="D8E7F3"/>
          </w:tcPr>
          <w:p>
            <w:pPr>
              <w:spacing w:after="0"/>
              <w:rPr>
                <w:sz w:val="12"/>
                <w:szCs w:val="12"/>
                <w:color w:val="auto"/>
              </w:rPr>
            </w:pPr>
          </w:p>
        </w:tc>
        <w:tc>
          <w:tcPr>
            <w:tcW w:w="260" w:type="dxa"/>
            <w:vAlign w:val="bottom"/>
            <w:shd w:val="clear" w:color="auto" w:fill="D8E7F3"/>
          </w:tcPr>
          <w:p>
            <w:pPr>
              <w:spacing w:after="0"/>
              <w:rPr>
                <w:sz w:val="12"/>
                <w:szCs w:val="12"/>
                <w:color w:val="auto"/>
              </w:rPr>
            </w:pPr>
          </w:p>
        </w:tc>
        <w:tc>
          <w:tcPr>
            <w:tcW w:w="5900" w:type="dxa"/>
            <w:vAlign w:val="bottom"/>
            <w:gridSpan w:val="7"/>
            <w:shd w:val="clear" w:color="auto" w:fill="D8E7F3"/>
          </w:tcPr>
          <w:p>
            <w:pPr>
              <w:spacing w:after="0" w:line="144" w:lineRule="exact"/>
              <w:rPr>
                <w:sz w:val="20"/>
                <w:szCs w:val="20"/>
                <w:color w:val="auto"/>
              </w:rPr>
            </w:pPr>
            <w:r>
              <w:rPr>
                <w:rFonts w:ascii="Arial" w:cs="Arial" w:eastAsia="Arial" w:hAnsi="Arial"/>
                <w:sz w:val="16"/>
                <w:szCs w:val="16"/>
                <w:color w:val="auto"/>
              </w:rPr>
              <w:t>utility EPS goal.</w:t>
            </w:r>
          </w:p>
        </w:tc>
        <w:tc>
          <w:tcPr>
            <w:tcW w:w="40" w:type="dxa"/>
            <w:vAlign w:val="bottom"/>
            <w:tcBorders>
              <w:right w:val="single" w:sz="8" w:color="0061A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60" w:type="dxa"/>
            <w:vAlign w:val="bottom"/>
            <w:tcBorders>
              <w:left w:val="single" w:sz="8" w:color="0061AF"/>
              <w:right w:val="single" w:sz="8" w:color="0061AF"/>
            </w:tcBorders>
            <w:shd w:val="clear" w:color="auto" w:fill="D8E7F3"/>
          </w:tcPr>
          <w:p>
            <w:pPr>
              <w:ind w:left="140"/>
              <w:spacing w:after="0" w:line="160" w:lineRule="exact"/>
              <w:rPr>
                <w:sz w:val="20"/>
                <w:szCs w:val="20"/>
                <w:color w:val="auto"/>
              </w:rPr>
            </w:pPr>
            <w:r>
              <w:rPr>
                <w:rFonts w:ascii="Arial" w:cs="Arial" w:eastAsia="Arial" w:hAnsi="Arial"/>
                <w:sz w:val="16"/>
                <w:szCs w:val="16"/>
                <w:b w:val="1"/>
                <w:bCs w:val="1"/>
                <w:i w:val="1"/>
                <w:iCs w:val="1"/>
                <w:color w:val="auto"/>
              </w:rPr>
              <w:t>in incentive plans to more directly align with</w:t>
            </w:r>
          </w:p>
        </w:tc>
        <w:tc>
          <w:tcPr>
            <w:tcW w:w="260" w:type="dxa"/>
            <w:vAlign w:val="bottom"/>
            <w:shd w:val="clear" w:color="auto" w:fill="D8E7F3"/>
          </w:tcPr>
          <w:p>
            <w:pPr>
              <w:spacing w:after="0"/>
              <w:rPr>
                <w:sz w:val="13"/>
                <w:szCs w:val="13"/>
                <w:color w:val="auto"/>
              </w:rPr>
            </w:pPr>
          </w:p>
        </w:tc>
        <w:tc>
          <w:tcPr>
            <w:tcW w:w="1920" w:type="dxa"/>
            <w:vAlign w:val="bottom"/>
            <w:tcBorders>
              <w:right w:val="single" w:sz="8" w:color="D8E7F3"/>
            </w:tcBorders>
            <w:gridSpan w:val="3"/>
            <w:vMerge w:val="restart"/>
            <w:shd w:val="clear" w:color="auto" w:fill="D8E7F3"/>
          </w:tcPr>
          <w:p>
            <w:pPr>
              <w:spacing w:after="0"/>
              <w:rPr>
                <w:sz w:val="20"/>
                <w:szCs w:val="20"/>
                <w:color w:val="auto"/>
              </w:rPr>
            </w:pPr>
            <w:r>
              <w:rPr>
                <w:rFonts w:ascii="Arial" w:cs="Arial" w:eastAsia="Arial" w:hAnsi="Arial"/>
                <w:sz w:val="16"/>
                <w:szCs w:val="16"/>
                <w:b w:val="1"/>
                <w:bCs w:val="1"/>
                <w:color w:val="auto"/>
                <w:w w:val="98"/>
              </w:rPr>
              <w:t>Long-term Incentive Plan</w:t>
            </w:r>
          </w:p>
        </w:tc>
        <w:tc>
          <w:tcPr>
            <w:tcW w:w="3980" w:type="dxa"/>
            <w:vAlign w:val="bottom"/>
            <w:gridSpan w:val="4"/>
            <w:vMerge w:val="restart"/>
            <w:shd w:val="clear" w:color="auto" w:fill="D8E7F3"/>
          </w:tcPr>
          <w:p>
            <w:pPr>
              <w:jc w:val="right"/>
              <w:ind w:right="40"/>
              <w:spacing w:after="0"/>
              <w:rPr>
                <w:sz w:val="20"/>
                <w:szCs w:val="20"/>
                <w:color w:val="auto"/>
              </w:rPr>
            </w:pPr>
            <w:r>
              <w:rPr>
                <w:rFonts w:ascii="Arial" w:cs="Arial" w:eastAsia="Arial" w:hAnsi="Arial"/>
                <w:sz w:val="16"/>
                <w:szCs w:val="16"/>
                <w:color w:val="auto"/>
                <w:w w:val="99"/>
              </w:rPr>
              <w:t>: Effective with the 2021 performance share unit awards</w:t>
            </w:r>
          </w:p>
        </w:tc>
        <w:tc>
          <w:tcPr>
            <w:tcW w:w="40" w:type="dxa"/>
            <w:vAlign w:val="bottom"/>
            <w:tcBorders>
              <w:right w:val="single" w:sz="8" w:color="0061A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60" w:type="dxa"/>
            <w:vAlign w:val="bottom"/>
            <w:tcBorders>
              <w:left w:val="single" w:sz="8" w:color="0061AF"/>
              <w:bottom w:val="single" w:sz="8" w:color="D8E7F3"/>
              <w:right w:val="single" w:sz="8" w:color="0061AF"/>
            </w:tcBorders>
            <w:shd w:val="clear" w:color="auto" w:fill="D8E7F3"/>
          </w:tcPr>
          <w:p>
            <w:pPr>
              <w:ind w:left="140"/>
              <w:spacing w:after="0" w:line="142" w:lineRule="exact"/>
              <w:rPr>
                <w:sz w:val="20"/>
                <w:szCs w:val="20"/>
                <w:color w:val="auto"/>
              </w:rPr>
            </w:pPr>
            <w:r>
              <w:rPr>
                <w:rFonts w:ascii="Arial" w:cs="Arial" w:eastAsia="Arial" w:hAnsi="Arial"/>
                <w:sz w:val="16"/>
                <w:szCs w:val="16"/>
                <w:b w:val="1"/>
                <w:bCs w:val="1"/>
                <w:i w:val="1"/>
                <w:iCs w:val="1"/>
                <w:color w:val="auto"/>
              </w:rPr>
              <w:t>shareholders</w:t>
            </w:r>
          </w:p>
        </w:tc>
        <w:tc>
          <w:tcPr>
            <w:tcW w:w="260" w:type="dxa"/>
            <w:vAlign w:val="bottom"/>
            <w:tcBorders>
              <w:bottom w:val="single" w:sz="8" w:color="D8E7F3"/>
            </w:tcBorders>
            <w:shd w:val="clear" w:color="auto" w:fill="D8E7F3"/>
          </w:tcPr>
          <w:p>
            <w:pPr>
              <w:spacing w:after="0"/>
              <w:rPr>
                <w:sz w:val="12"/>
                <w:szCs w:val="12"/>
                <w:color w:val="auto"/>
              </w:rPr>
            </w:pPr>
          </w:p>
        </w:tc>
        <w:tc>
          <w:tcPr>
            <w:tcW w:w="1920" w:type="dxa"/>
            <w:vAlign w:val="bottom"/>
            <w:tcBorders>
              <w:bottom w:val="single" w:sz="8" w:color="auto"/>
              <w:right w:val="single" w:sz="8" w:color="D8E7F3"/>
            </w:tcBorders>
            <w:gridSpan w:val="3"/>
            <w:vMerge w:val="continue"/>
            <w:shd w:val="clear" w:color="auto" w:fill="D8E7F3"/>
          </w:tcPr>
          <w:p>
            <w:pPr>
              <w:spacing w:after="0"/>
              <w:rPr>
                <w:sz w:val="12"/>
                <w:szCs w:val="12"/>
                <w:color w:val="auto"/>
              </w:rPr>
            </w:pPr>
          </w:p>
        </w:tc>
        <w:tc>
          <w:tcPr>
            <w:tcW w:w="3980" w:type="dxa"/>
            <w:vAlign w:val="bottom"/>
            <w:tcBorders>
              <w:bottom w:val="single" w:sz="8" w:color="D8E7F3"/>
            </w:tcBorders>
            <w:gridSpan w:val="4"/>
            <w:vMerge w:val="continue"/>
            <w:shd w:val="clear" w:color="auto" w:fill="D8E7F3"/>
          </w:tcPr>
          <w:p>
            <w:pPr>
              <w:spacing w:after="0"/>
              <w:rPr>
                <w:sz w:val="12"/>
                <w:szCs w:val="12"/>
                <w:color w:val="auto"/>
              </w:rPr>
            </w:pPr>
          </w:p>
        </w:tc>
        <w:tc>
          <w:tcPr>
            <w:tcW w:w="40" w:type="dxa"/>
            <w:vAlign w:val="bottom"/>
            <w:tcBorders>
              <w:right w:val="single" w:sz="8" w:color="0061A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Borders>
              <w:left w:val="single" w:sz="8" w:color="0061AF"/>
              <w:right w:val="single" w:sz="8" w:color="0061AF"/>
            </w:tcBorders>
            <w:shd w:val="clear" w:color="auto" w:fill="D8E7F3"/>
          </w:tcPr>
          <w:p>
            <w:pPr>
              <w:spacing w:after="0"/>
              <w:rPr>
                <w:sz w:val="15"/>
                <w:szCs w:val="15"/>
                <w:color w:val="auto"/>
              </w:rPr>
            </w:pPr>
          </w:p>
        </w:tc>
        <w:tc>
          <w:tcPr>
            <w:tcW w:w="260" w:type="dxa"/>
            <w:vAlign w:val="bottom"/>
            <w:shd w:val="clear" w:color="auto" w:fill="D8E7F3"/>
          </w:tcPr>
          <w:p>
            <w:pPr>
              <w:spacing w:after="0"/>
              <w:rPr>
                <w:sz w:val="15"/>
                <w:szCs w:val="15"/>
                <w:color w:val="auto"/>
              </w:rPr>
            </w:pPr>
          </w:p>
        </w:tc>
        <w:tc>
          <w:tcPr>
            <w:tcW w:w="5900" w:type="dxa"/>
            <w:vAlign w:val="bottom"/>
            <w:gridSpan w:val="7"/>
            <w:shd w:val="clear" w:color="auto" w:fill="D8E7F3"/>
          </w:tcPr>
          <w:p>
            <w:pPr>
              <w:spacing w:after="0" w:line="178" w:lineRule="exact"/>
              <w:rPr>
                <w:sz w:val="20"/>
                <w:szCs w:val="20"/>
                <w:color w:val="auto"/>
              </w:rPr>
            </w:pPr>
            <w:r>
              <w:rPr>
                <w:rFonts w:ascii="Arial" w:cs="Arial" w:eastAsia="Arial" w:hAnsi="Arial"/>
                <w:sz w:val="16"/>
                <w:szCs w:val="16"/>
                <w:color w:val="auto"/>
              </w:rPr>
              <w:t>under the long-term incentive plan, we replaced cumulative net income with</w:t>
            </w:r>
          </w:p>
        </w:tc>
        <w:tc>
          <w:tcPr>
            <w:tcW w:w="40" w:type="dxa"/>
            <w:vAlign w:val="bottom"/>
            <w:tcBorders>
              <w:right w:val="single" w:sz="8" w:color="0061A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tcBorders>
              <w:left w:val="single" w:sz="8" w:color="0061AF"/>
              <w:bottom w:val="single" w:sz="8" w:color="0061AF"/>
              <w:right w:val="single" w:sz="8" w:color="0061AF"/>
            </w:tcBorders>
            <w:shd w:val="clear" w:color="auto" w:fill="D8E7F3"/>
          </w:tcPr>
          <w:p>
            <w:pPr>
              <w:spacing w:after="0"/>
              <w:rPr>
                <w:sz w:val="16"/>
                <w:szCs w:val="16"/>
                <w:color w:val="auto"/>
              </w:rPr>
            </w:pPr>
          </w:p>
        </w:tc>
        <w:tc>
          <w:tcPr>
            <w:tcW w:w="260" w:type="dxa"/>
            <w:vAlign w:val="bottom"/>
            <w:tcBorders>
              <w:bottom w:val="single" w:sz="8" w:color="0061AF"/>
            </w:tcBorders>
            <w:shd w:val="clear" w:color="auto" w:fill="D8E7F3"/>
          </w:tcPr>
          <w:p>
            <w:pPr>
              <w:spacing w:after="0"/>
              <w:rPr>
                <w:sz w:val="16"/>
                <w:szCs w:val="16"/>
                <w:color w:val="auto"/>
              </w:rPr>
            </w:pPr>
          </w:p>
        </w:tc>
        <w:tc>
          <w:tcPr>
            <w:tcW w:w="5900" w:type="dxa"/>
            <w:vAlign w:val="bottom"/>
            <w:tcBorders>
              <w:bottom w:val="single" w:sz="8" w:color="0061AF"/>
            </w:tcBorders>
            <w:gridSpan w:val="7"/>
            <w:shd w:val="clear" w:color="auto" w:fill="D8E7F3"/>
          </w:tcPr>
          <w:p>
            <w:pPr>
              <w:spacing w:after="0"/>
              <w:rPr>
                <w:sz w:val="20"/>
                <w:szCs w:val="20"/>
                <w:color w:val="auto"/>
              </w:rPr>
            </w:pPr>
            <w:r>
              <w:rPr>
                <w:rFonts w:ascii="Arial" w:cs="Arial" w:eastAsia="Arial" w:hAnsi="Arial"/>
                <w:sz w:val="16"/>
                <w:szCs w:val="16"/>
                <w:color w:val="auto"/>
              </w:rPr>
              <w:t>cumulative utility EPS as a performance condition.</w:t>
            </w:r>
          </w:p>
        </w:tc>
        <w:tc>
          <w:tcPr>
            <w:tcW w:w="40" w:type="dxa"/>
            <w:vAlign w:val="bottom"/>
            <w:tcBorders>
              <w:bottom w:val="single" w:sz="8" w:color="0061AF"/>
              <w:right w:val="single" w:sz="8" w:color="0061A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rPr>
                <w:sz w:val="20"/>
                <w:szCs w:val="20"/>
                <w:color w:val="auto"/>
              </w:rPr>
            </w:pPr>
            <w:r>
              <w:rPr>
                <w:rFonts w:ascii="Arial" w:cs="Arial" w:eastAsia="Arial" w:hAnsi="Arial"/>
                <w:sz w:val="16"/>
                <w:szCs w:val="16"/>
                <w:b w:val="1"/>
                <w:bCs w:val="1"/>
                <w:color w:val="auto"/>
              </w:rPr>
              <w:t xml:space="preserve">Financial Performance: </w:t>
            </w:r>
            <w:r>
              <w:rPr>
                <w:rFonts w:ascii="Arial" w:cs="Arial" w:eastAsia="Arial" w:hAnsi="Arial"/>
                <w:sz w:val="16"/>
                <w:szCs w:val="16"/>
                <w:color w:val="auto"/>
              </w:rPr>
              <w:t>Effective in 2021, we incorporated a funding trigger</w:t>
            </w:r>
          </w:p>
        </w:tc>
        <w:tc>
          <w:tcPr>
            <w:tcW w:w="0" w:type="dxa"/>
            <w:vAlign w:val="bottom"/>
          </w:tcPr>
          <w:p>
            <w:pPr>
              <w:spacing w:after="0"/>
              <w:rPr>
                <w:sz w:val="1"/>
                <w:szCs w:val="1"/>
                <w:color w:val="auto"/>
              </w:rPr>
            </w:pPr>
          </w:p>
        </w:tc>
      </w:tr>
      <w:tr>
        <w:trPr>
          <w:trHeight w:val="20"/>
        </w:trPr>
        <w:tc>
          <w:tcPr>
            <w:tcW w:w="3560" w:type="dxa"/>
            <w:vAlign w:val="bottom"/>
            <w:tcBorders>
              <w:left w:val="single" w:sz="8" w:color="0061AF"/>
              <w:right w:val="single" w:sz="8" w:color="0061A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940" w:type="dxa"/>
            <w:vAlign w:val="bottom"/>
            <w:tcBorders>
              <w:right w:val="single" w:sz="8" w:color="0061A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81" w:lineRule="exact"/>
              <w:rPr>
                <w:sz w:val="20"/>
                <w:szCs w:val="20"/>
                <w:color w:val="auto"/>
              </w:rPr>
            </w:pPr>
            <w:r>
              <w:rPr>
                <w:rFonts w:ascii="Arial" w:cs="Arial" w:eastAsia="Arial" w:hAnsi="Arial"/>
                <w:sz w:val="16"/>
                <w:szCs w:val="16"/>
                <w:color w:val="auto"/>
              </w:rPr>
              <w:t>whereby a threshold EPS must be achieved to fund the short-term incentive plan</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pool and, as described above, the funding of awards for our named executive</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officers under the short-term incentive plan is solely based on achieving a utility</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EPS goal. We also reduced the maximum payout opportunity under the short-term</w:t>
            </w:r>
          </w:p>
        </w:tc>
        <w:tc>
          <w:tcPr>
            <w:tcW w:w="0" w:type="dxa"/>
            <w:vAlign w:val="bottom"/>
          </w:tcPr>
          <w:p>
            <w:pPr>
              <w:spacing w:after="0"/>
              <w:rPr>
                <w:sz w:val="1"/>
                <w:szCs w:val="1"/>
                <w:color w:val="auto"/>
              </w:rPr>
            </w:pPr>
          </w:p>
        </w:tc>
      </w:tr>
      <w:tr>
        <w:trPr>
          <w:trHeight w:val="190"/>
        </w:trPr>
        <w:tc>
          <w:tcPr>
            <w:tcW w:w="3560" w:type="dxa"/>
            <w:vAlign w:val="bottom"/>
            <w:tcBorders>
              <w:left w:val="single" w:sz="8" w:color="0061AF"/>
              <w:right w:val="single" w:sz="8" w:color="0061AF"/>
            </w:tcBorders>
          </w:tcPr>
          <w:p>
            <w:pPr>
              <w:spacing w:after="0"/>
              <w:rPr>
                <w:sz w:val="16"/>
                <w:szCs w:val="16"/>
                <w:color w:val="auto"/>
              </w:rPr>
            </w:pPr>
          </w:p>
        </w:tc>
        <w:tc>
          <w:tcPr>
            <w:tcW w:w="260" w:type="dxa"/>
            <w:vAlign w:val="bottom"/>
          </w:tcPr>
          <w:p>
            <w:pPr>
              <w:spacing w:after="0"/>
              <w:rPr>
                <w:sz w:val="16"/>
                <w:szCs w:val="16"/>
                <w:color w:val="auto"/>
              </w:rPr>
            </w:pPr>
          </w:p>
        </w:tc>
        <w:tc>
          <w:tcPr>
            <w:tcW w:w="5940" w:type="dxa"/>
            <w:vAlign w:val="bottom"/>
            <w:tcBorders>
              <w:right w:val="single" w:sz="8" w:color="0061AF"/>
            </w:tcBorders>
            <w:gridSpan w:val="8"/>
          </w:tcPr>
          <w:p>
            <w:pPr>
              <w:spacing w:after="0"/>
              <w:rPr>
                <w:sz w:val="20"/>
                <w:szCs w:val="20"/>
                <w:color w:val="auto"/>
              </w:rPr>
            </w:pPr>
            <w:r>
              <w:rPr>
                <w:rFonts w:ascii="Arial" w:cs="Arial" w:eastAsia="Arial" w:hAnsi="Arial"/>
                <w:sz w:val="16"/>
                <w:szCs w:val="16"/>
                <w:color w:val="auto"/>
              </w:rPr>
              <w:t>incentive plan to 150%.</w:t>
            </w:r>
          </w:p>
        </w:tc>
        <w:tc>
          <w:tcPr>
            <w:tcW w:w="0" w:type="dxa"/>
            <w:vAlign w:val="bottom"/>
          </w:tcPr>
          <w:p>
            <w:pPr>
              <w:spacing w:after="0"/>
              <w:rPr>
                <w:sz w:val="1"/>
                <w:szCs w:val="1"/>
                <w:color w:val="auto"/>
              </w:rPr>
            </w:pPr>
          </w:p>
        </w:tc>
      </w:tr>
      <w:tr>
        <w:trPr>
          <w:trHeight w:val="275"/>
        </w:trPr>
        <w:tc>
          <w:tcPr>
            <w:tcW w:w="3560" w:type="dxa"/>
            <w:vAlign w:val="bottom"/>
            <w:tcBorders>
              <w:left w:val="single" w:sz="8" w:color="0061AF"/>
              <w:right w:val="single" w:sz="8" w:color="0061AF"/>
            </w:tcBorders>
          </w:tcPr>
          <w:p>
            <w:pPr>
              <w:spacing w:after="0"/>
              <w:rPr>
                <w:sz w:val="23"/>
                <w:szCs w:val="23"/>
                <w:color w:val="auto"/>
              </w:rPr>
            </w:pPr>
          </w:p>
        </w:tc>
        <w:tc>
          <w:tcPr>
            <w:tcW w:w="260" w:type="dxa"/>
            <w:vAlign w:val="bottom"/>
          </w:tcPr>
          <w:p>
            <w:pPr>
              <w:spacing w:after="0"/>
              <w:rPr>
                <w:sz w:val="23"/>
                <w:szCs w:val="23"/>
                <w:color w:val="auto"/>
              </w:rPr>
            </w:pPr>
          </w:p>
        </w:tc>
        <w:tc>
          <w:tcPr>
            <w:tcW w:w="5940" w:type="dxa"/>
            <w:vAlign w:val="bottom"/>
            <w:tcBorders>
              <w:right w:val="single" w:sz="8" w:color="0061AF"/>
            </w:tcBorders>
            <w:gridSpan w:val="8"/>
          </w:tcPr>
          <w:p>
            <w:pPr>
              <w:spacing w:after="0"/>
              <w:rPr>
                <w:sz w:val="20"/>
                <w:szCs w:val="20"/>
                <w:color w:val="auto"/>
              </w:rPr>
            </w:pPr>
            <w:r>
              <w:rPr>
                <w:rFonts w:ascii="Arial" w:cs="Arial" w:eastAsia="Arial" w:hAnsi="Arial"/>
                <w:sz w:val="16"/>
                <w:szCs w:val="16"/>
                <w:color w:val="auto"/>
              </w:rPr>
              <w:t>The 2021 performance share unit awards will represent 75% (previously 70%) of</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the total award under the long-term incentive plan and, as described above, we</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replaced cumulative net income with cumulative utility EPS as a performance</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condition. We decreased the weighting on 2021 restricted stock unit awards to 25%</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(previously 30%) of the total award under the long-term incentive plan and</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ind w:left="140"/>
              <w:spacing w:after="0" w:line="178" w:lineRule="exact"/>
              <w:rPr>
                <w:sz w:val="20"/>
                <w:szCs w:val="20"/>
                <w:color w:val="auto"/>
              </w:rPr>
            </w:pPr>
            <w:r>
              <w:rPr>
                <w:rFonts w:ascii="Arial" w:cs="Arial" w:eastAsia="Arial" w:hAnsi="Arial"/>
                <w:sz w:val="16"/>
                <w:szCs w:val="16"/>
                <w:b w:val="1"/>
                <w:bCs w:val="1"/>
                <w:i w:val="1"/>
                <w:iCs w:val="1"/>
                <w:color w:val="auto"/>
              </w:rPr>
              <w:t>Enhance performance-based compensation</w:t>
            </w: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incorporated a positive operating income trigger into our restricted stock unit</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ind w:left="140"/>
              <w:spacing w:after="0" w:line="178" w:lineRule="exact"/>
              <w:rPr>
                <w:sz w:val="20"/>
                <w:szCs w:val="20"/>
                <w:color w:val="auto"/>
              </w:rPr>
            </w:pPr>
            <w:r>
              <w:rPr>
                <w:rFonts w:ascii="Arial" w:cs="Arial" w:eastAsia="Arial" w:hAnsi="Arial"/>
                <w:sz w:val="16"/>
                <w:szCs w:val="16"/>
                <w:b w:val="1"/>
                <w:bCs w:val="1"/>
                <w:i w:val="1"/>
                <w:iCs w:val="1"/>
                <w:color w:val="auto"/>
              </w:rPr>
              <w:t>and ensure rigorous metrics</w:t>
            </w: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awards, which will require positive operating income in the last full calendar year of</w:t>
            </w:r>
          </w:p>
        </w:tc>
        <w:tc>
          <w:tcPr>
            <w:tcW w:w="0" w:type="dxa"/>
            <w:vAlign w:val="bottom"/>
          </w:tcPr>
          <w:p>
            <w:pPr>
              <w:spacing w:after="0"/>
              <w:rPr>
                <w:sz w:val="1"/>
                <w:szCs w:val="1"/>
                <w:color w:val="auto"/>
              </w:rPr>
            </w:pPr>
          </w:p>
        </w:tc>
      </w:tr>
      <w:tr>
        <w:trPr>
          <w:trHeight w:val="190"/>
        </w:trPr>
        <w:tc>
          <w:tcPr>
            <w:tcW w:w="3560" w:type="dxa"/>
            <w:vAlign w:val="bottom"/>
            <w:tcBorders>
              <w:left w:val="single" w:sz="8" w:color="0061AF"/>
              <w:right w:val="single" w:sz="8" w:color="0061AF"/>
            </w:tcBorders>
          </w:tcPr>
          <w:p>
            <w:pPr>
              <w:spacing w:after="0"/>
              <w:rPr>
                <w:sz w:val="16"/>
                <w:szCs w:val="16"/>
                <w:color w:val="auto"/>
              </w:rPr>
            </w:pPr>
          </w:p>
        </w:tc>
        <w:tc>
          <w:tcPr>
            <w:tcW w:w="260" w:type="dxa"/>
            <w:vAlign w:val="bottom"/>
          </w:tcPr>
          <w:p>
            <w:pPr>
              <w:spacing w:after="0"/>
              <w:rPr>
                <w:sz w:val="16"/>
                <w:szCs w:val="16"/>
                <w:color w:val="auto"/>
              </w:rPr>
            </w:pPr>
          </w:p>
        </w:tc>
        <w:tc>
          <w:tcPr>
            <w:tcW w:w="5940" w:type="dxa"/>
            <w:vAlign w:val="bottom"/>
            <w:tcBorders>
              <w:right w:val="single" w:sz="8" w:color="0061AF"/>
            </w:tcBorders>
            <w:gridSpan w:val="8"/>
          </w:tcPr>
          <w:p>
            <w:pPr>
              <w:spacing w:after="0"/>
              <w:rPr>
                <w:sz w:val="20"/>
                <w:szCs w:val="20"/>
                <w:color w:val="auto"/>
              </w:rPr>
            </w:pPr>
            <w:r>
              <w:rPr>
                <w:rFonts w:ascii="Arial" w:cs="Arial" w:eastAsia="Arial" w:hAnsi="Arial"/>
                <w:sz w:val="16"/>
                <w:szCs w:val="16"/>
                <w:color w:val="auto"/>
              </w:rPr>
              <w:t>the restricted period for the awards to vest.</w:t>
            </w:r>
          </w:p>
        </w:tc>
        <w:tc>
          <w:tcPr>
            <w:tcW w:w="0" w:type="dxa"/>
            <w:vAlign w:val="bottom"/>
          </w:tcPr>
          <w:p>
            <w:pPr>
              <w:spacing w:after="0"/>
              <w:rPr>
                <w:sz w:val="1"/>
                <w:szCs w:val="1"/>
                <w:color w:val="auto"/>
              </w:rPr>
            </w:pPr>
          </w:p>
        </w:tc>
      </w:tr>
      <w:tr>
        <w:trPr>
          <w:trHeight w:val="252"/>
        </w:trPr>
        <w:tc>
          <w:tcPr>
            <w:tcW w:w="3560" w:type="dxa"/>
            <w:vAlign w:val="bottom"/>
            <w:tcBorders>
              <w:left w:val="single" w:sz="8" w:color="0061AF"/>
              <w:right w:val="single" w:sz="8" w:color="0061AF"/>
            </w:tcBorders>
          </w:tcPr>
          <w:p>
            <w:pPr>
              <w:spacing w:after="0"/>
              <w:rPr>
                <w:sz w:val="21"/>
                <w:szCs w:val="21"/>
                <w:color w:val="auto"/>
              </w:rPr>
            </w:pPr>
          </w:p>
        </w:tc>
        <w:tc>
          <w:tcPr>
            <w:tcW w:w="260" w:type="dxa"/>
            <w:vAlign w:val="bottom"/>
          </w:tcPr>
          <w:p>
            <w:pPr>
              <w:spacing w:after="0"/>
              <w:rPr>
                <w:sz w:val="21"/>
                <w:szCs w:val="21"/>
                <w:color w:val="auto"/>
              </w:rPr>
            </w:pPr>
          </w:p>
        </w:tc>
        <w:tc>
          <w:tcPr>
            <w:tcW w:w="5940" w:type="dxa"/>
            <w:vAlign w:val="bottom"/>
            <w:tcBorders>
              <w:right w:val="single" w:sz="8" w:color="0061AF"/>
            </w:tcBorders>
            <w:gridSpan w:val="8"/>
          </w:tcPr>
          <w:p>
            <w:pPr>
              <w:spacing w:after="0"/>
              <w:rPr>
                <w:sz w:val="20"/>
                <w:szCs w:val="20"/>
                <w:color w:val="auto"/>
              </w:rPr>
            </w:pPr>
            <w:r>
              <w:rPr>
                <w:rFonts w:ascii="Arial" w:cs="Arial" w:eastAsia="Arial" w:hAnsi="Arial"/>
                <w:sz w:val="16"/>
                <w:szCs w:val="16"/>
                <w:b w:val="1"/>
                <w:bCs w:val="1"/>
                <w:color w:val="auto"/>
              </w:rPr>
              <w:t>Shareholder Return</w:t>
            </w:r>
            <w:r>
              <w:rPr>
                <w:rFonts w:ascii="Arial" w:cs="Arial" w:eastAsia="Arial" w:hAnsi="Arial"/>
                <w:sz w:val="16"/>
                <w:szCs w:val="16"/>
                <w:color w:val="auto"/>
              </w:rPr>
              <w:t>: Effective with the 2021 performance share unit awards, we</w:t>
            </w:r>
          </w:p>
        </w:tc>
        <w:tc>
          <w:tcPr>
            <w:tcW w:w="0" w:type="dxa"/>
            <w:vAlign w:val="bottom"/>
          </w:tcPr>
          <w:p>
            <w:pPr>
              <w:spacing w:after="0"/>
              <w:rPr>
                <w:sz w:val="1"/>
                <w:szCs w:val="1"/>
                <w:color w:val="auto"/>
              </w:rPr>
            </w:pPr>
          </w:p>
        </w:tc>
      </w:tr>
      <w:tr>
        <w:trPr>
          <w:trHeight w:val="20"/>
        </w:trPr>
        <w:tc>
          <w:tcPr>
            <w:tcW w:w="3560" w:type="dxa"/>
            <w:vAlign w:val="bottom"/>
            <w:tcBorders>
              <w:left w:val="single" w:sz="8" w:color="0061AF"/>
              <w:right w:val="single" w:sz="8" w:color="0061A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940" w:type="dxa"/>
            <w:vAlign w:val="bottom"/>
            <w:tcBorders>
              <w:right w:val="single" w:sz="8" w:color="0061A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81" w:lineRule="exact"/>
              <w:rPr>
                <w:sz w:val="20"/>
                <w:szCs w:val="20"/>
                <w:color w:val="auto"/>
              </w:rPr>
            </w:pPr>
            <w:r>
              <w:rPr>
                <w:rFonts w:ascii="Arial" w:cs="Arial" w:eastAsia="Arial" w:hAnsi="Arial"/>
                <w:sz w:val="16"/>
                <w:szCs w:val="16"/>
                <w:color w:val="auto"/>
              </w:rPr>
              <w:t>increased the weighting on relative TSR from 40% to 45% of the total award under</w:t>
            </w:r>
          </w:p>
        </w:tc>
        <w:tc>
          <w:tcPr>
            <w:tcW w:w="0" w:type="dxa"/>
            <w:vAlign w:val="bottom"/>
          </w:tcPr>
          <w:p>
            <w:pPr>
              <w:spacing w:after="0"/>
              <w:rPr>
                <w:sz w:val="1"/>
                <w:szCs w:val="1"/>
                <w:color w:val="auto"/>
              </w:rPr>
            </w:pPr>
          </w:p>
        </w:tc>
      </w:tr>
      <w:tr>
        <w:trPr>
          <w:trHeight w:val="190"/>
        </w:trPr>
        <w:tc>
          <w:tcPr>
            <w:tcW w:w="3560" w:type="dxa"/>
            <w:vAlign w:val="bottom"/>
            <w:tcBorders>
              <w:left w:val="single" w:sz="8" w:color="0061AF"/>
              <w:right w:val="single" w:sz="8" w:color="0061AF"/>
            </w:tcBorders>
          </w:tcPr>
          <w:p>
            <w:pPr>
              <w:spacing w:after="0"/>
              <w:rPr>
                <w:sz w:val="16"/>
                <w:szCs w:val="16"/>
                <w:color w:val="auto"/>
              </w:rPr>
            </w:pPr>
          </w:p>
        </w:tc>
        <w:tc>
          <w:tcPr>
            <w:tcW w:w="260" w:type="dxa"/>
            <w:vAlign w:val="bottom"/>
          </w:tcPr>
          <w:p>
            <w:pPr>
              <w:spacing w:after="0"/>
              <w:rPr>
                <w:sz w:val="16"/>
                <w:szCs w:val="16"/>
                <w:color w:val="auto"/>
              </w:rPr>
            </w:pPr>
          </w:p>
        </w:tc>
        <w:tc>
          <w:tcPr>
            <w:tcW w:w="5940" w:type="dxa"/>
            <w:vAlign w:val="bottom"/>
            <w:tcBorders>
              <w:right w:val="single" w:sz="8" w:color="0061AF"/>
            </w:tcBorders>
            <w:gridSpan w:val="8"/>
          </w:tcPr>
          <w:p>
            <w:pPr>
              <w:spacing w:after="0"/>
              <w:rPr>
                <w:sz w:val="20"/>
                <w:szCs w:val="20"/>
                <w:color w:val="auto"/>
              </w:rPr>
            </w:pPr>
            <w:r>
              <w:rPr>
                <w:rFonts w:ascii="Arial" w:cs="Arial" w:eastAsia="Arial" w:hAnsi="Arial"/>
                <w:sz w:val="16"/>
                <w:szCs w:val="16"/>
                <w:color w:val="auto"/>
              </w:rPr>
              <w:t>the long-term incentive plan.</w:t>
            </w:r>
          </w:p>
        </w:tc>
        <w:tc>
          <w:tcPr>
            <w:tcW w:w="0" w:type="dxa"/>
            <w:vAlign w:val="bottom"/>
          </w:tcPr>
          <w:p>
            <w:pPr>
              <w:spacing w:after="0"/>
              <w:rPr>
                <w:sz w:val="1"/>
                <w:szCs w:val="1"/>
                <w:color w:val="auto"/>
              </w:rPr>
            </w:pPr>
          </w:p>
        </w:tc>
      </w:tr>
      <w:tr>
        <w:trPr>
          <w:trHeight w:val="252"/>
        </w:trPr>
        <w:tc>
          <w:tcPr>
            <w:tcW w:w="3560" w:type="dxa"/>
            <w:vAlign w:val="bottom"/>
            <w:tcBorders>
              <w:left w:val="single" w:sz="8" w:color="0061AF"/>
              <w:right w:val="single" w:sz="8" w:color="0061AF"/>
            </w:tcBorders>
          </w:tcPr>
          <w:p>
            <w:pPr>
              <w:spacing w:after="0"/>
              <w:rPr>
                <w:sz w:val="21"/>
                <w:szCs w:val="21"/>
                <w:color w:val="auto"/>
              </w:rPr>
            </w:pPr>
          </w:p>
        </w:tc>
        <w:tc>
          <w:tcPr>
            <w:tcW w:w="260" w:type="dxa"/>
            <w:vAlign w:val="bottom"/>
          </w:tcPr>
          <w:p>
            <w:pPr>
              <w:spacing w:after="0"/>
              <w:rPr>
                <w:sz w:val="21"/>
                <w:szCs w:val="21"/>
                <w:color w:val="auto"/>
              </w:rPr>
            </w:pPr>
          </w:p>
        </w:tc>
        <w:tc>
          <w:tcPr>
            <w:tcW w:w="5940" w:type="dxa"/>
            <w:vAlign w:val="bottom"/>
            <w:tcBorders>
              <w:right w:val="single" w:sz="8" w:color="0061AF"/>
            </w:tcBorders>
            <w:gridSpan w:val="8"/>
          </w:tcPr>
          <w:p>
            <w:pPr>
              <w:spacing w:after="0"/>
              <w:rPr>
                <w:sz w:val="20"/>
                <w:szCs w:val="20"/>
                <w:color w:val="auto"/>
              </w:rPr>
            </w:pPr>
            <w:r>
              <w:rPr>
                <w:rFonts w:ascii="Arial" w:cs="Arial" w:eastAsia="Arial" w:hAnsi="Arial"/>
                <w:sz w:val="16"/>
                <w:szCs w:val="16"/>
                <w:b w:val="1"/>
                <w:bCs w:val="1"/>
                <w:color w:val="auto"/>
              </w:rPr>
              <w:t>Safety and Customer Service Performance and Accountability</w:t>
            </w:r>
            <w:r>
              <w:rPr>
                <w:rFonts w:ascii="Arial" w:cs="Arial" w:eastAsia="Arial" w:hAnsi="Arial"/>
                <w:sz w:val="16"/>
                <w:szCs w:val="16"/>
                <w:color w:val="auto"/>
              </w:rPr>
              <w:t>: While the</w:t>
            </w:r>
          </w:p>
        </w:tc>
        <w:tc>
          <w:tcPr>
            <w:tcW w:w="0" w:type="dxa"/>
            <w:vAlign w:val="bottom"/>
          </w:tcPr>
          <w:p>
            <w:pPr>
              <w:spacing w:after="0"/>
              <w:rPr>
                <w:sz w:val="1"/>
                <w:szCs w:val="1"/>
                <w:color w:val="auto"/>
              </w:rPr>
            </w:pPr>
          </w:p>
        </w:tc>
      </w:tr>
      <w:tr>
        <w:trPr>
          <w:trHeight w:val="20"/>
        </w:trPr>
        <w:tc>
          <w:tcPr>
            <w:tcW w:w="3560" w:type="dxa"/>
            <w:vAlign w:val="bottom"/>
            <w:tcBorders>
              <w:left w:val="single" w:sz="8" w:color="0061AF"/>
              <w:right w:val="single" w:sz="8" w:color="0061A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6"/>
            <w:shd w:val="clear" w:color="auto" w:fill="000000"/>
          </w:tcPr>
          <w:p>
            <w:pPr>
              <w:spacing w:after="0" w:line="20" w:lineRule="exact"/>
              <w:rPr>
                <w:sz w:val="1"/>
                <w:szCs w:val="1"/>
                <w:color w:val="auto"/>
              </w:rPr>
            </w:pPr>
          </w:p>
        </w:tc>
        <w:tc>
          <w:tcPr>
            <w:tcW w:w="940" w:type="dxa"/>
            <w:vAlign w:val="bottom"/>
            <w:tcBorders>
              <w:right w:val="single" w:sz="8" w:color="0061A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81" w:lineRule="exact"/>
              <w:rPr>
                <w:sz w:val="20"/>
                <w:szCs w:val="20"/>
                <w:color w:val="auto"/>
              </w:rPr>
            </w:pPr>
            <w:r>
              <w:rPr>
                <w:rFonts w:ascii="Arial" w:cs="Arial" w:eastAsia="Arial" w:hAnsi="Arial"/>
                <w:sz w:val="16"/>
                <w:szCs w:val="16"/>
                <w:color w:val="auto"/>
              </w:rPr>
              <w:t>funding of awards for our named executive officers under the short-term incentive</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plan beginning in 2021 is based on achieving a utility EPS goal as described</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above, the Compensation Committee has authority to adjust downward named</w:t>
            </w: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tcPr>
          <w:p>
            <w:pPr>
              <w:spacing w:after="0"/>
              <w:rPr>
                <w:sz w:val="15"/>
                <w:szCs w:val="15"/>
                <w:color w:val="auto"/>
              </w:rPr>
            </w:pPr>
          </w:p>
        </w:tc>
        <w:tc>
          <w:tcPr>
            <w:tcW w:w="260" w:type="dxa"/>
            <w:vAlign w:val="bottom"/>
          </w:tcPr>
          <w:p>
            <w:pPr>
              <w:spacing w:after="0"/>
              <w:rPr>
                <w:sz w:val="15"/>
                <w:szCs w:val="15"/>
                <w:color w:val="auto"/>
              </w:rPr>
            </w:pPr>
          </w:p>
        </w:tc>
        <w:tc>
          <w:tcPr>
            <w:tcW w:w="5940" w:type="dxa"/>
            <w:vAlign w:val="bottom"/>
            <w:tcBorders>
              <w:right w:val="single" w:sz="8" w:color="0061AF"/>
            </w:tcBorders>
            <w:gridSpan w:val="8"/>
          </w:tcPr>
          <w:p>
            <w:pPr>
              <w:spacing w:after="0" w:line="178" w:lineRule="exact"/>
              <w:rPr>
                <w:sz w:val="20"/>
                <w:szCs w:val="20"/>
                <w:color w:val="auto"/>
              </w:rPr>
            </w:pPr>
            <w:r>
              <w:rPr>
                <w:rFonts w:ascii="Arial" w:cs="Arial" w:eastAsia="Arial" w:hAnsi="Arial"/>
                <w:sz w:val="16"/>
                <w:szCs w:val="16"/>
                <w:color w:val="auto"/>
              </w:rPr>
              <w:t>executive officer awards under the plan if certain operational goals, such as safety</w:t>
            </w:r>
          </w:p>
        </w:tc>
        <w:tc>
          <w:tcPr>
            <w:tcW w:w="0" w:type="dxa"/>
            <w:vAlign w:val="bottom"/>
          </w:tcPr>
          <w:p>
            <w:pPr>
              <w:spacing w:after="0"/>
              <w:rPr>
                <w:sz w:val="1"/>
                <w:szCs w:val="1"/>
                <w:color w:val="auto"/>
              </w:rPr>
            </w:pPr>
          </w:p>
        </w:tc>
      </w:tr>
      <w:tr>
        <w:trPr>
          <w:trHeight w:val="190"/>
        </w:trPr>
        <w:tc>
          <w:tcPr>
            <w:tcW w:w="3560" w:type="dxa"/>
            <w:vAlign w:val="bottom"/>
            <w:tcBorders>
              <w:left w:val="single" w:sz="8" w:color="0061AF"/>
              <w:right w:val="single" w:sz="8" w:color="0061AF"/>
            </w:tcBorders>
          </w:tcPr>
          <w:p>
            <w:pPr>
              <w:spacing w:after="0"/>
              <w:rPr>
                <w:sz w:val="16"/>
                <w:szCs w:val="16"/>
                <w:color w:val="auto"/>
              </w:rPr>
            </w:pPr>
          </w:p>
        </w:tc>
        <w:tc>
          <w:tcPr>
            <w:tcW w:w="260" w:type="dxa"/>
            <w:vAlign w:val="bottom"/>
          </w:tcPr>
          <w:p>
            <w:pPr>
              <w:spacing w:after="0"/>
              <w:rPr>
                <w:sz w:val="16"/>
                <w:szCs w:val="16"/>
                <w:color w:val="auto"/>
              </w:rPr>
            </w:pPr>
          </w:p>
        </w:tc>
        <w:tc>
          <w:tcPr>
            <w:tcW w:w="5940" w:type="dxa"/>
            <w:vAlign w:val="bottom"/>
            <w:tcBorders>
              <w:right w:val="single" w:sz="8" w:color="0061AF"/>
            </w:tcBorders>
            <w:gridSpan w:val="8"/>
          </w:tcPr>
          <w:p>
            <w:pPr>
              <w:spacing w:after="0"/>
              <w:rPr>
                <w:sz w:val="20"/>
                <w:szCs w:val="20"/>
                <w:color w:val="auto"/>
              </w:rPr>
            </w:pPr>
            <w:r>
              <w:rPr>
                <w:rFonts w:ascii="Arial" w:cs="Arial" w:eastAsia="Arial" w:hAnsi="Arial"/>
                <w:sz w:val="16"/>
                <w:szCs w:val="16"/>
                <w:color w:val="auto"/>
              </w:rPr>
              <w:t>and customer service, are not met.</w:t>
            </w:r>
          </w:p>
        </w:tc>
        <w:tc>
          <w:tcPr>
            <w:tcW w:w="0" w:type="dxa"/>
            <w:vAlign w:val="bottom"/>
          </w:tcPr>
          <w:p>
            <w:pPr>
              <w:spacing w:after="0"/>
              <w:rPr>
                <w:sz w:val="1"/>
                <w:szCs w:val="1"/>
                <w:color w:val="auto"/>
              </w:rPr>
            </w:pPr>
          </w:p>
        </w:tc>
      </w:tr>
      <w:tr>
        <w:trPr>
          <w:trHeight w:val="109"/>
        </w:trPr>
        <w:tc>
          <w:tcPr>
            <w:tcW w:w="3560" w:type="dxa"/>
            <w:vAlign w:val="bottom"/>
            <w:tcBorders>
              <w:left w:val="single" w:sz="8" w:color="0061AF"/>
              <w:bottom w:val="single" w:sz="8" w:color="0061AF"/>
              <w:right w:val="single" w:sz="8" w:color="0061AF"/>
            </w:tcBorders>
          </w:tcPr>
          <w:p>
            <w:pPr>
              <w:spacing w:after="0"/>
              <w:rPr>
                <w:sz w:val="9"/>
                <w:szCs w:val="9"/>
                <w:color w:val="auto"/>
              </w:rPr>
            </w:pPr>
          </w:p>
        </w:tc>
        <w:tc>
          <w:tcPr>
            <w:tcW w:w="260" w:type="dxa"/>
            <w:vAlign w:val="bottom"/>
            <w:tcBorders>
              <w:bottom w:val="single" w:sz="8" w:color="0061AF"/>
            </w:tcBorders>
          </w:tcPr>
          <w:p>
            <w:pPr>
              <w:spacing w:after="0"/>
              <w:rPr>
                <w:sz w:val="9"/>
                <w:szCs w:val="9"/>
                <w:color w:val="auto"/>
              </w:rPr>
            </w:pPr>
          </w:p>
        </w:tc>
        <w:tc>
          <w:tcPr>
            <w:tcW w:w="1480" w:type="dxa"/>
            <w:vAlign w:val="bottom"/>
            <w:tcBorders>
              <w:bottom w:val="single" w:sz="8" w:color="0061AF"/>
            </w:tcBorders>
          </w:tcPr>
          <w:p>
            <w:pPr>
              <w:spacing w:after="0"/>
              <w:rPr>
                <w:sz w:val="9"/>
                <w:szCs w:val="9"/>
                <w:color w:val="auto"/>
              </w:rPr>
            </w:pPr>
          </w:p>
        </w:tc>
        <w:tc>
          <w:tcPr>
            <w:tcW w:w="260" w:type="dxa"/>
            <w:vAlign w:val="bottom"/>
            <w:tcBorders>
              <w:bottom w:val="single" w:sz="8" w:color="0061AF"/>
            </w:tcBorders>
          </w:tcPr>
          <w:p>
            <w:pPr>
              <w:spacing w:after="0"/>
              <w:rPr>
                <w:sz w:val="9"/>
                <w:szCs w:val="9"/>
                <w:color w:val="auto"/>
              </w:rPr>
            </w:pPr>
          </w:p>
        </w:tc>
        <w:tc>
          <w:tcPr>
            <w:tcW w:w="180" w:type="dxa"/>
            <w:vAlign w:val="bottom"/>
            <w:tcBorders>
              <w:bottom w:val="single" w:sz="8" w:color="0061AF"/>
            </w:tcBorders>
          </w:tcPr>
          <w:p>
            <w:pPr>
              <w:spacing w:after="0"/>
              <w:rPr>
                <w:sz w:val="9"/>
                <w:szCs w:val="9"/>
                <w:color w:val="auto"/>
              </w:rPr>
            </w:pPr>
          </w:p>
        </w:tc>
        <w:tc>
          <w:tcPr>
            <w:tcW w:w="3080" w:type="dxa"/>
            <w:vAlign w:val="bottom"/>
            <w:tcBorders>
              <w:bottom w:val="single" w:sz="8" w:color="0061AF"/>
            </w:tcBorders>
            <w:gridSpan w:val="3"/>
          </w:tcPr>
          <w:p>
            <w:pPr>
              <w:spacing w:after="0"/>
              <w:rPr>
                <w:sz w:val="9"/>
                <w:szCs w:val="9"/>
                <w:color w:val="auto"/>
              </w:rPr>
            </w:pPr>
          </w:p>
        </w:tc>
        <w:tc>
          <w:tcPr>
            <w:tcW w:w="940" w:type="dxa"/>
            <w:vAlign w:val="bottom"/>
            <w:tcBorders>
              <w:bottom w:val="single" w:sz="8" w:color="0061AF"/>
              <w:right w:val="single" w:sz="8" w:color="0061AF"/>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560" w:type="dxa"/>
            <w:vAlign w:val="bottom"/>
            <w:tcBorders>
              <w:left w:val="single" w:sz="8" w:color="0061AF"/>
              <w:right w:val="single" w:sz="8" w:color="0061AF"/>
            </w:tcBorders>
            <w:shd w:val="clear" w:color="auto" w:fill="D8E7F3"/>
          </w:tcPr>
          <w:p>
            <w:pPr>
              <w:spacing w:after="0"/>
              <w:rPr>
                <w:sz w:val="19"/>
                <w:szCs w:val="19"/>
                <w:color w:val="auto"/>
              </w:rPr>
            </w:pPr>
          </w:p>
        </w:tc>
        <w:tc>
          <w:tcPr>
            <w:tcW w:w="260" w:type="dxa"/>
            <w:vAlign w:val="bottom"/>
            <w:shd w:val="clear" w:color="auto" w:fill="D8E7F3"/>
          </w:tcPr>
          <w:p>
            <w:pPr>
              <w:spacing w:after="0"/>
              <w:rPr>
                <w:sz w:val="19"/>
                <w:szCs w:val="19"/>
                <w:color w:val="auto"/>
              </w:rPr>
            </w:pPr>
          </w:p>
        </w:tc>
        <w:tc>
          <w:tcPr>
            <w:tcW w:w="5900" w:type="dxa"/>
            <w:vAlign w:val="bottom"/>
            <w:gridSpan w:val="7"/>
            <w:shd w:val="clear" w:color="auto" w:fill="D8E7F3"/>
          </w:tcPr>
          <w:p>
            <w:pPr>
              <w:spacing w:after="0"/>
              <w:rPr>
                <w:sz w:val="20"/>
                <w:szCs w:val="20"/>
                <w:color w:val="auto"/>
              </w:rPr>
            </w:pPr>
            <w:r>
              <w:rPr>
                <w:rFonts w:ascii="Arial" w:cs="Arial" w:eastAsia="Arial" w:hAnsi="Arial"/>
                <w:sz w:val="16"/>
                <w:szCs w:val="16"/>
                <w:color w:val="auto"/>
                <w:w w:val="99"/>
              </w:rPr>
              <w:t>Effective in 2021, we introduced an ESG modifier focused on diversity and inclusion</w:t>
            </w:r>
          </w:p>
        </w:tc>
        <w:tc>
          <w:tcPr>
            <w:tcW w:w="40" w:type="dxa"/>
            <w:vAlign w:val="bottom"/>
            <w:tcBorders>
              <w:right w:val="single" w:sz="8" w:color="0061AF"/>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560" w:type="dxa"/>
            <w:vAlign w:val="bottom"/>
            <w:tcBorders>
              <w:left w:val="single" w:sz="8" w:color="0061AF"/>
              <w:right w:val="single" w:sz="8" w:color="0061AF"/>
            </w:tcBorders>
            <w:shd w:val="clear" w:color="auto" w:fill="D8E7F3"/>
          </w:tcPr>
          <w:p>
            <w:pPr>
              <w:ind w:left="140"/>
              <w:spacing w:after="0" w:line="179" w:lineRule="exact"/>
              <w:rPr>
                <w:sz w:val="20"/>
                <w:szCs w:val="20"/>
                <w:color w:val="auto"/>
              </w:rPr>
            </w:pPr>
            <w:r>
              <w:rPr>
                <w:rFonts w:ascii="Arial" w:cs="Arial" w:eastAsia="Arial" w:hAnsi="Arial"/>
                <w:sz w:val="16"/>
                <w:szCs w:val="16"/>
                <w:b w:val="1"/>
                <w:bCs w:val="1"/>
                <w:i w:val="1"/>
                <w:iCs w:val="1"/>
                <w:color w:val="auto"/>
              </w:rPr>
              <w:t>Incorporate  ESG  metrics  into  incentive</w:t>
            </w:r>
          </w:p>
        </w:tc>
        <w:tc>
          <w:tcPr>
            <w:tcW w:w="260" w:type="dxa"/>
            <w:vAlign w:val="bottom"/>
            <w:shd w:val="clear" w:color="auto" w:fill="D8E7F3"/>
          </w:tcPr>
          <w:p>
            <w:pPr>
              <w:spacing w:after="0"/>
              <w:rPr>
                <w:sz w:val="15"/>
                <w:szCs w:val="15"/>
                <w:color w:val="auto"/>
              </w:rPr>
            </w:pPr>
          </w:p>
        </w:tc>
        <w:tc>
          <w:tcPr>
            <w:tcW w:w="5900" w:type="dxa"/>
            <w:vAlign w:val="bottom"/>
            <w:gridSpan w:val="7"/>
            <w:shd w:val="clear" w:color="auto" w:fill="D8E7F3"/>
          </w:tcPr>
          <w:p>
            <w:pPr>
              <w:spacing w:after="0" w:line="179" w:lineRule="exact"/>
              <w:rPr>
                <w:sz w:val="20"/>
                <w:szCs w:val="20"/>
                <w:color w:val="auto"/>
              </w:rPr>
            </w:pPr>
            <w:r>
              <w:rPr>
                <w:rFonts w:ascii="Arial" w:cs="Arial" w:eastAsia="Arial" w:hAnsi="Arial"/>
                <w:sz w:val="16"/>
                <w:szCs w:val="16"/>
                <w:color w:val="auto"/>
              </w:rPr>
              <w:t>into the short-term incentive plan design. The ESG modifier is a downward-only</w:t>
            </w:r>
          </w:p>
        </w:tc>
        <w:tc>
          <w:tcPr>
            <w:tcW w:w="40" w:type="dxa"/>
            <w:vAlign w:val="bottom"/>
            <w:tcBorders>
              <w:right w:val="single" w:sz="8" w:color="0061A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60" w:type="dxa"/>
            <w:vAlign w:val="bottom"/>
            <w:tcBorders>
              <w:left w:val="single" w:sz="8" w:color="0061AF"/>
              <w:right w:val="single" w:sz="8" w:color="0061AF"/>
            </w:tcBorders>
            <w:shd w:val="clear" w:color="auto" w:fill="D8E7F3"/>
          </w:tcPr>
          <w:p>
            <w:pPr>
              <w:ind w:left="140"/>
              <w:spacing w:after="0" w:line="178" w:lineRule="exact"/>
              <w:rPr>
                <w:sz w:val="20"/>
                <w:szCs w:val="20"/>
                <w:color w:val="auto"/>
              </w:rPr>
            </w:pPr>
            <w:r>
              <w:rPr>
                <w:rFonts w:ascii="Arial" w:cs="Arial" w:eastAsia="Arial" w:hAnsi="Arial"/>
                <w:sz w:val="16"/>
                <w:szCs w:val="16"/>
                <w:b w:val="1"/>
                <w:bCs w:val="1"/>
                <w:i w:val="1"/>
                <w:iCs w:val="1"/>
                <w:color w:val="auto"/>
              </w:rPr>
              <w:t>plans</w:t>
            </w:r>
          </w:p>
        </w:tc>
        <w:tc>
          <w:tcPr>
            <w:tcW w:w="260" w:type="dxa"/>
            <w:vAlign w:val="bottom"/>
            <w:shd w:val="clear" w:color="auto" w:fill="D8E7F3"/>
          </w:tcPr>
          <w:p>
            <w:pPr>
              <w:spacing w:after="0"/>
              <w:rPr>
                <w:sz w:val="15"/>
                <w:szCs w:val="15"/>
                <w:color w:val="auto"/>
              </w:rPr>
            </w:pPr>
          </w:p>
        </w:tc>
        <w:tc>
          <w:tcPr>
            <w:tcW w:w="5900" w:type="dxa"/>
            <w:vAlign w:val="bottom"/>
            <w:gridSpan w:val="7"/>
            <w:shd w:val="clear" w:color="auto" w:fill="D8E7F3"/>
          </w:tcPr>
          <w:p>
            <w:pPr>
              <w:spacing w:after="0" w:line="178" w:lineRule="exact"/>
              <w:rPr>
                <w:sz w:val="20"/>
                <w:szCs w:val="20"/>
                <w:color w:val="auto"/>
              </w:rPr>
            </w:pPr>
            <w:r>
              <w:rPr>
                <w:rFonts w:ascii="Arial" w:cs="Arial" w:eastAsia="Arial" w:hAnsi="Arial"/>
                <w:sz w:val="16"/>
                <w:szCs w:val="16"/>
                <w:color w:val="auto"/>
              </w:rPr>
              <w:t>modifier and can only reduce the potential payout; it cannot increase the short-term</w:t>
            </w:r>
          </w:p>
        </w:tc>
        <w:tc>
          <w:tcPr>
            <w:tcW w:w="40" w:type="dxa"/>
            <w:vAlign w:val="bottom"/>
            <w:tcBorders>
              <w:right w:val="single" w:sz="8" w:color="0061A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tcBorders>
              <w:left w:val="single" w:sz="8" w:color="0061AF"/>
              <w:right w:val="single" w:sz="8" w:color="0061AF"/>
            </w:tcBorders>
            <w:shd w:val="clear" w:color="auto" w:fill="D8E7F3"/>
          </w:tcPr>
          <w:p>
            <w:pPr>
              <w:spacing w:after="0"/>
              <w:rPr>
                <w:sz w:val="16"/>
                <w:szCs w:val="16"/>
                <w:color w:val="auto"/>
              </w:rPr>
            </w:pPr>
          </w:p>
        </w:tc>
        <w:tc>
          <w:tcPr>
            <w:tcW w:w="260" w:type="dxa"/>
            <w:vAlign w:val="bottom"/>
            <w:shd w:val="clear" w:color="auto" w:fill="D8E7F3"/>
          </w:tcPr>
          <w:p>
            <w:pPr>
              <w:spacing w:after="0"/>
              <w:rPr>
                <w:sz w:val="16"/>
                <w:szCs w:val="16"/>
                <w:color w:val="auto"/>
              </w:rPr>
            </w:pPr>
          </w:p>
        </w:tc>
        <w:tc>
          <w:tcPr>
            <w:tcW w:w="5900" w:type="dxa"/>
            <w:vAlign w:val="bottom"/>
            <w:gridSpan w:val="7"/>
            <w:shd w:val="clear" w:color="auto" w:fill="D8E7F3"/>
          </w:tcPr>
          <w:p>
            <w:pPr>
              <w:spacing w:after="0"/>
              <w:rPr>
                <w:sz w:val="20"/>
                <w:szCs w:val="20"/>
                <w:color w:val="auto"/>
              </w:rPr>
            </w:pPr>
            <w:r>
              <w:rPr>
                <w:rFonts w:ascii="Arial" w:cs="Arial" w:eastAsia="Arial" w:hAnsi="Arial"/>
                <w:sz w:val="16"/>
                <w:szCs w:val="16"/>
                <w:color w:val="auto"/>
              </w:rPr>
              <w:t>incentive plan awards.</w:t>
            </w:r>
          </w:p>
        </w:tc>
        <w:tc>
          <w:tcPr>
            <w:tcW w:w="40" w:type="dxa"/>
            <w:vAlign w:val="bottom"/>
            <w:tcBorders>
              <w:right w:val="single" w:sz="8" w:color="0061AF"/>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560" w:type="dxa"/>
            <w:vAlign w:val="bottom"/>
            <w:tcBorders>
              <w:left w:val="single" w:sz="8" w:color="0061AF"/>
              <w:bottom w:val="single" w:sz="8" w:color="0061AF"/>
              <w:right w:val="single" w:sz="8" w:color="0061AF"/>
            </w:tcBorders>
            <w:shd w:val="clear" w:color="auto" w:fill="D8E7F3"/>
          </w:tcPr>
          <w:p>
            <w:pPr>
              <w:spacing w:after="0"/>
              <w:rPr>
                <w:sz w:val="6"/>
                <w:szCs w:val="6"/>
                <w:color w:val="auto"/>
              </w:rPr>
            </w:pPr>
          </w:p>
        </w:tc>
        <w:tc>
          <w:tcPr>
            <w:tcW w:w="260" w:type="dxa"/>
            <w:vAlign w:val="bottom"/>
            <w:tcBorders>
              <w:bottom w:val="single" w:sz="8" w:color="0061AF"/>
            </w:tcBorders>
            <w:shd w:val="clear" w:color="auto" w:fill="D8E7F3"/>
          </w:tcPr>
          <w:p>
            <w:pPr>
              <w:spacing w:after="0"/>
              <w:rPr>
                <w:sz w:val="6"/>
                <w:szCs w:val="6"/>
                <w:color w:val="auto"/>
              </w:rPr>
            </w:pPr>
          </w:p>
        </w:tc>
        <w:tc>
          <w:tcPr>
            <w:tcW w:w="1480" w:type="dxa"/>
            <w:vAlign w:val="bottom"/>
            <w:tcBorders>
              <w:bottom w:val="single" w:sz="8" w:color="0061AF"/>
            </w:tcBorders>
            <w:shd w:val="clear" w:color="auto" w:fill="D8E7F3"/>
          </w:tcPr>
          <w:p>
            <w:pPr>
              <w:spacing w:after="0"/>
              <w:rPr>
                <w:sz w:val="6"/>
                <w:szCs w:val="6"/>
                <w:color w:val="auto"/>
              </w:rPr>
            </w:pPr>
          </w:p>
        </w:tc>
        <w:tc>
          <w:tcPr>
            <w:tcW w:w="260" w:type="dxa"/>
            <w:vAlign w:val="bottom"/>
            <w:tcBorders>
              <w:bottom w:val="single" w:sz="8" w:color="0061AF"/>
            </w:tcBorders>
            <w:shd w:val="clear" w:color="auto" w:fill="D8E7F3"/>
          </w:tcPr>
          <w:p>
            <w:pPr>
              <w:spacing w:after="0"/>
              <w:rPr>
                <w:sz w:val="6"/>
                <w:szCs w:val="6"/>
                <w:color w:val="auto"/>
              </w:rPr>
            </w:pPr>
          </w:p>
        </w:tc>
        <w:tc>
          <w:tcPr>
            <w:tcW w:w="180" w:type="dxa"/>
            <w:vAlign w:val="bottom"/>
            <w:tcBorders>
              <w:bottom w:val="single" w:sz="8" w:color="0061AF"/>
              <w:right w:val="single" w:sz="8" w:color="D8E7F3"/>
            </w:tcBorders>
            <w:shd w:val="clear" w:color="auto" w:fill="D8E7F3"/>
          </w:tcPr>
          <w:p>
            <w:pPr>
              <w:spacing w:after="0"/>
              <w:rPr>
                <w:sz w:val="6"/>
                <w:szCs w:val="6"/>
                <w:color w:val="auto"/>
              </w:rPr>
            </w:pPr>
          </w:p>
        </w:tc>
        <w:tc>
          <w:tcPr>
            <w:tcW w:w="1840" w:type="dxa"/>
            <w:vAlign w:val="bottom"/>
            <w:tcBorders>
              <w:bottom w:val="single" w:sz="8" w:color="0061AF"/>
            </w:tcBorders>
            <w:shd w:val="clear" w:color="auto" w:fill="D8E7F3"/>
          </w:tcPr>
          <w:p>
            <w:pPr>
              <w:spacing w:after="0"/>
              <w:rPr>
                <w:sz w:val="6"/>
                <w:szCs w:val="6"/>
                <w:color w:val="auto"/>
              </w:rPr>
            </w:pPr>
          </w:p>
        </w:tc>
        <w:tc>
          <w:tcPr>
            <w:tcW w:w="100" w:type="dxa"/>
            <w:vAlign w:val="bottom"/>
            <w:tcBorders>
              <w:bottom w:val="single" w:sz="8" w:color="0061AF"/>
            </w:tcBorders>
            <w:shd w:val="clear" w:color="auto" w:fill="D8E7F3"/>
          </w:tcPr>
          <w:p>
            <w:pPr>
              <w:spacing w:after="0"/>
              <w:rPr>
                <w:sz w:val="6"/>
                <w:szCs w:val="6"/>
                <w:color w:val="auto"/>
              </w:rPr>
            </w:pPr>
          </w:p>
        </w:tc>
        <w:tc>
          <w:tcPr>
            <w:tcW w:w="1140" w:type="dxa"/>
            <w:vAlign w:val="bottom"/>
            <w:tcBorders>
              <w:bottom w:val="single" w:sz="8" w:color="0061AF"/>
            </w:tcBorders>
            <w:shd w:val="clear" w:color="auto" w:fill="D8E7F3"/>
          </w:tcPr>
          <w:p>
            <w:pPr>
              <w:spacing w:after="0"/>
              <w:rPr>
                <w:sz w:val="6"/>
                <w:szCs w:val="6"/>
                <w:color w:val="auto"/>
              </w:rPr>
            </w:pPr>
          </w:p>
        </w:tc>
        <w:tc>
          <w:tcPr>
            <w:tcW w:w="900" w:type="dxa"/>
            <w:vAlign w:val="bottom"/>
            <w:tcBorders>
              <w:bottom w:val="single" w:sz="8" w:color="0061AF"/>
            </w:tcBorders>
            <w:shd w:val="clear" w:color="auto" w:fill="D8E7F3"/>
          </w:tcPr>
          <w:p>
            <w:pPr>
              <w:spacing w:after="0"/>
              <w:rPr>
                <w:sz w:val="6"/>
                <w:szCs w:val="6"/>
                <w:color w:val="auto"/>
              </w:rPr>
            </w:pPr>
          </w:p>
        </w:tc>
        <w:tc>
          <w:tcPr>
            <w:tcW w:w="40" w:type="dxa"/>
            <w:vAlign w:val="bottom"/>
            <w:tcBorders>
              <w:bottom w:val="single" w:sz="8" w:color="0061AF"/>
              <w:right w:val="single" w:sz="8" w:color="0061AF"/>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0061AF"/>
            </w:tcBorders>
          </w:tcPr>
          <w:p>
            <w:pPr>
              <w:spacing w:after="0"/>
              <w:rPr>
                <w:sz w:val="19"/>
                <w:szCs w:val="19"/>
                <w:color w:val="auto"/>
              </w:rPr>
            </w:pPr>
          </w:p>
        </w:tc>
        <w:tc>
          <w:tcPr>
            <w:tcW w:w="260" w:type="dxa"/>
            <w:vAlign w:val="bottom"/>
            <w:tcBorders>
              <w:bottom w:val="single" w:sz="8" w:color="0061AF"/>
            </w:tcBorders>
          </w:tcPr>
          <w:p>
            <w:pPr>
              <w:spacing w:after="0"/>
              <w:rPr>
                <w:sz w:val="19"/>
                <w:szCs w:val="19"/>
                <w:color w:val="auto"/>
              </w:rPr>
            </w:pPr>
          </w:p>
        </w:tc>
        <w:tc>
          <w:tcPr>
            <w:tcW w:w="1480" w:type="dxa"/>
            <w:vAlign w:val="bottom"/>
            <w:tcBorders>
              <w:bottom w:val="single" w:sz="8" w:color="0061AF"/>
            </w:tcBorders>
          </w:tcPr>
          <w:p>
            <w:pPr>
              <w:spacing w:after="0"/>
              <w:rPr>
                <w:sz w:val="19"/>
                <w:szCs w:val="19"/>
                <w:color w:val="auto"/>
              </w:rPr>
            </w:pPr>
          </w:p>
        </w:tc>
        <w:tc>
          <w:tcPr>
            <w:tcW w:w="260" w:type="dxa"/>
            <w:vAlign w:val="bottom"/>
            <w:tcBorders>
              <w:bottom w:val="single" w:sz="8" w:color="0061AF"/>
            </w:tcBorders>
          </w:tcPr>
          <w:p>
            <w:pPr>
              <w:spacing w:after="0"/>
              <w:rPr>
                <w:sz w:val="19"/>
                <w:szCs w:val="19"/>
                <w:color w:val="auto"/>
              </w:rPr>
            </w:pPr>
          </w:p>
        </w:tc>
        <w:tc>
          <w:tcPr>
            <w:tcW w:w="180" w:type="dxa"/>
            <w:vAlign w:val="bottom"/>
            <w:tcBorders>
              <w:bottom w:val="single" w:sz="8" w:color="0061AF"/>
            </w:tcBorders>
          </w:tcPr>
          <w:p>
            <w:pPr>
              <w:spacing w:after="0"/>
              <w:rPr>
                <w:sz w:val="19"/>
                <w:szCs w:val="19"/>
                <w:color w:val="auto"/>
              </w:rPr>
            </w:pPr>
          </w:p>
        </w:tc>
        <w:tc>
          <w:tcPr>
            <w:tcW w:w="1840" w:type="dxa"/>
            <w:vAlign w:val="bottom"/>
            <w:tcBorders>
              <w:bottom w:val="single" w:sz="8" w:color="0061AF"/>
            </w:tcBorders>
          </w:tcPr>
          <w:p>
            <w:pPr>
              <w:spacing w:after="0"/>
              <w:rPr>
                <w:sz w:val="19"/>
                <w:szCs w:val="19"/>
                <w:color w:val="auto"/>
              </w:rPr>
            </w:pPr>
          </w:p>
        </w:tc>
        <w:tc>
          <w:tcPr>
            <w:tcW w:w="100" w:type="dxa"/>
            <w:vAlign w:val="bottom"/>
            <w:tcBorders>
              <w:bottom w:val="single" w:sz="8" w:color="0061AF"/>
            </w:tcBorders>
          </w:tcPr>
          <w:p>
            <w:pPr>
              <w:spacing w:after="0"/>
              <w:rPr>
                <w:sz w:val="19"/>
                <w:szCs w:val="19"/>
                <w:color w:val="auto"/>
              </w:rPr>
            </w:pPr>
          </w:p>
        </w:tc>
        <w:tc>
          <w:tcPr>
            <w:tcW w:w="1140" w:type="dxa"/>
            <w:vAlign w:val="bottom"/>
            <w:tcBorders>
              <w:bottom w:val="single" w:sz="8" w:color="0061AF"/>
            </w:tcBorders>
          </w:tcPr>
          <w:p>
            <w:pPr>
              <w:spacing w:after="0"/>
              <w:rPr>
                <w:sz w:val="19"/>
                <w:szCs w:val="19"/>
                <w:color w:val="auto"/>
              </w:rPr>
            </w:pPr>
          </w:p>
        </w:tc>
        <w:tc>
          <w:tcPr>
            <w:tcW w:w="900" w:type="dxa"/>
            <w:vAlign w:val="bottom"/>
            <w:tcBorders>
              <w:bottom w:val="single" w:sz="8" w:color="0061AF"/>
            </w:tcBorders>
          </w:tcPr>
          <w:p>
            <w:pPr>
              <w:spacing w:after="0"/>
              <w:rPr>
                <w:sz w:val="19"/>
                <w:szCs w:val="19"/>
                <w:color w:val="auto"/>
              </w:rPr>
            </w:pP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9"/>
                <w:szCs w:val="19"/>
                <w:b w:val="1"/>
                <w:bCs w:val="1"/>
                <w:color w:val="0061AF"/>
              </w:rPr>
              <w:t>85</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740"/>
          </w:cols>
          <w:pgMar w:left="1080" w:top="305" w:right="1079" w:bottom="1440" w:gutter="0" w:footer="0" w:header="0"/>
        </w:sectPr>
      </w:pPr>
    </w:p>
    <w:bookmarkStart w:id="91" w:name="page92"/>
    <w:bookmarkEnd w:id="91"/>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Item 3: Advisory Vote on Executive Compensation (continued)</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objective of our executive compensation program is to enable us to recruit and retain highly qualified executive talent by providing market-based levels of compensation and align the interests of our executives and shareholders. We have structured our compensation program to motivate our executives to achieve individual and business performance objectives by varying their compensation in accordance with the success of our businesses. Highlights of our executive compensation program include the following:</w:t>
      </w:r>
    </w:p>
    <w:p>
      <w:pPr>
        <w:spacing w:after="0" w:line="81" w:lineRule="exact"/>
        <w:rPr>
          <w:sz w:val="20"/>
          <w:szCs w:val="20"/>
          <w:color w:val="auto"/>
        </w:rPr>
      </w:pPr>
    </w:p>
    <w:p>
      <w:pPr>
        <w:jc w:val="both"/>
        <w:ind w:left="380" w:hanging="276"/>
        <w:spacing w:after="0" w:line="256" w:lineRule="auto"/>
        <w:tabs>
          <w:tab w:leader="none" w:pos="380" w:val="left"/>
        </w:tabs>
        <w:numPr>
          <w:ilvl w:val="0"/>
          <w:numId w:val="116"/>
        </w:numPr>
        <w:rPr>
          <w:rFonts w:ascii="Arial" w:cs="Arial" w:eastAsia="Arial" w:hAnsi="Arial"/>
          <w:sz w:val="15"/>
          <w:szCs w:val="15"/>
          <w:color w:val="0061AF"/>
        </w:rPr>
      </w:pPr>
      <w:r>
        <w:rPr>
          <w:rFonts w:ascii="Arial" w:cs="Arial" w:eastAsia="Arial" w:hAnsi="Arial"/>
          <w:sz w:val="15"/>
          <w:szCs w:val="15"/>
          <w:i w:val="1"/>
          <w:iCs w:val="1"/>
          <w:color w:val="auto"/>
        </w:rPr>
        <w:t xml:space="preserve">Pay for Performance. </w:t>
      </w:r>
      <w:r>
        <w:rPr>
          <w:rFonts w:ascii="Arial" w:cs="Arial" w:eastAsia="Arial" w:hAnsi="Arial"/>
          <w:sz w:val="15"/>
          <w:szCs w:val="15"/>
          <w:color w:val="auto"/>
        </w:rPr>
        <w:t>The guiding principle of our compensation philosophy is that the interests of executives and shareholders</w:t>
      </w:r>
      <w:r>
        <w:rPr>
          <w:rFonts w:ascii="Arial" w:cs="Arial" w:eastAsia="Arial" w:hAnsi="Arial"/>
          <w:sz w:val="15"/>
          <w:szCs w:val="15"/>
          <w:i w:val="1"/>
          <w:iCs w:val="1"/>
          <w:color w:val="auto"/>
        </w:rPr>
        <w:t xml:space="preserve"> </w:t>
      </w:r>
      <w:r>
        <w:rPr>
          <w:rFonts w:ascii="Arial" w:cs="Arial" w:eastAsia="Arial" w:hAnsi="Arial"/>
          <w:sz w:val="15"/>
          <w:szCs w:val="15"/>
          <w:color w:val="auto"/>
        </w:rPr>
        <w:t>should be aligned and that pay should be based on performance. We believe that a substantial portion of the compensation for our named executive officers should be “at risk,” meaning that the executives will receive a certain percentage of their total compensation only to the extent CenterPoint Energy and the particular executive accomplish goals established by the Compensation Committee. While compensation targets will to a large extent reflect the market, actual compensation in a given year will vary based on CenterPoint Energy’s performance, and to a lesser extent, on qualitative appraisals of individual performance. The following graphics reflect the components of the target total direct compensation opportunities provided to our named executive officers.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TARGET COMPENSATION MIX AS OF DECEMBER 31, 2020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132715</wp:posOffset>
            </wp:positionV>
            <wp:extent cx="4496435" cy="20853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496435"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graphic represents the average size of each component as a percentage of each named executive officer’s (other than the Chief Executive Officer’s and former senior executive officers’) target total direct compensation opportunities (approved by the Compensation Committee in 2020).</w:t>
      </w:r>
    </w:p>
    <w:p>
      <w:pPr>
        <w:spacing w:after="0" w:line="82" w:lineRule="exact"/>
        <w:rPr>
          <w:sz w:val="20"/>
          <w:szCs w:val="20"/>
          <w:color w:val="auto"/>
        </w:rPr>
      </w:pPr>
    </w:p>
    <w:p>
      <w:pPr>
        <w:jc w:val="both"/>
        <w:ind w:left="380" w:hanging="276"/>
        <w:spacing w:after="0" w:line="238" w:lineRule="auto"/>
        <w:tabs>
          <w:tab w:leader="none" w:pos="380" w:val="left"/>
        </w:tabs>
        <w:numPr>
          <w:ilvl w:val="0"/>
          <w:numId w:val="117"/>
        </w:numPr>
        <w:rPr>
          <w:rFonts w:ascii="Arial" w:cs="Arial" w:eastAsia="Arial" w:hAnsi="Arial"/>
          <w:sz w:val="16"/>
          <w:szCs w:val="16"/>
          <w:color w:val="0061AF"/>
        </w:rPr>
      </w:pPr>
      <w:r>
        <w:rPr>
          <w:rFonts w:ascii="Arial" w:cs="Arial" w:eastAsia="Arial" w:hAnsi="Arial"/>
          <w:sz w:val="16"/>
          <w:szCs w:val="16"/>
          <w:i w:val="1"/>
          <w:iCs w:val="1"/>
          <w:color w:val="auto"/>
        </w:rPr>
        <w:t>Market-Based Compensation Targets</w:t>
      </w:r>
      <w:r>
        <w:rPr>
          <w:rFonts w:ascii="Arial" w:cs="Arial" w:eastAsia="Arial" w:hAnsi="Arial"/>
          <w:sz w:val="16"/>
          <w:szCs w:val="16"/>
          <w:color w:val="auto"/>
        </w:rPr>
        <w:t>. We generally target the market median (50th percentile) for each major element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our named executive officers. To help ensure market-based levels of compensation, we measure the major elements of compensation annually for a job against available data for similar positions in our peer companies. In establishing individual incentive targets and awards, the Compensation Committee considers the data provided by its consultant, the level and nature of the executive’s responsibility, the executive’s experience and the Committee’s own qualitative assessment of the executive’s performance.</w:t>
      </w:r>
    </w:p>
    <w:p>
      <w:pPr>
        <w:spacing w:after="0" w:line="181" w:lineRule="exact"/>
        <w:rPr>
          <w:sz w:val="20"/>
          <w:szCs w:val="20"/>
          <w:color w:val="auto"/>
        </w:rPr>
      </w:pPr>
    </w:p>
    <w:p>
      <w:pPr>
        <w:ind w:left="400" w:hanging="391"/>
        <w:spacing w:after="0"/>
        <w:tabs>
          <w:tab w:leader="none" w:pos="400" w:val="left"/>
        </w:tabs>
        <w:numPr>
          <w:ilvl w:val="0"/>
          <w:numId w:val="118"/>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92" w:name="page93"/>
    <w:bookmarkEnd w:id="92"/>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Item 3: Advisory Vote on Executive Compensation (continued)</w:t>
      </w:r>
    </w:p>
    <w:p>
      <w:pPr>
        <w:spacing w:after="0" w:line="199" w:lineRule="exact"/>
        <w:rPr>
          <w:sz w:val="20"/>
          <w:szCs w:val="20"/>
          <w:color w:val="auto"/>
        </w:rPr>
      </w:pPr>
    </w:p>
    <w:p>
      <w:pPr>
        <w:jc w:val="both"/>
        <w:ind w:left="380" w:hanging="276"/>
        <w:spacing w:after="0" w:line="242" w:lineRule="auto"/>
        <w:tabs>
          <w:tab w:leader="none" w:pos="380" w:val="left"/>
        </w:tabs>
        <w:numPr>
          <w:ilvl w:val="0"/>
          <w:numId w:val="119"/>
        </w:numPr>
        <w:rPr>
          <w:rFonts w:ascii="Arial" w:cs="Arial" w:eastAsia="Arial" w:hAnsi="Arial"/>
          <w:sz w:val="16"/>
          <w:szCs w:val="16"/>
          <w:color w:val="0061AF"/>
        </w:rPr>
      </w:pPr>
      <w:r>
        <w:rPr>
          <w:rFonts w:ascii="Arial" w:cs="Arial" w:eastAsia="Arial" w:hAnsi="Arial"/>
          <w:sz w:val="16"/>
          <w:szCs w:val="16"/>
          <w:i w:val="1"/>
          <w:iCs w:val="1"/>
          <w:color w:val="auto"/>
        </w:rPr>
        <w:t xml:space="preserve">Change in Control Plan. </w:t>
      </w:r>
      <w:r>
        <w:rPr>
          <w:rFonts w:ascii="Arial" w:cs="Arial" w:eastAsia="Arial" w:hAnsi="Arial"/>
          <w:sz w:val="16"/>
          <w:szCs w:val="16"/>
          <w:color w:val="auto"/>
        </w:rPr>
        <w:t>Our Board of Directors approved a change in control plan, which was effective January 1, 2015 and was</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amended and restated, effective May 1, 2017, that applies to all of our named executive officers. The plan contains a “double trigger” term and does not provide for any excise tax gross-up payments. Mr. Somerhalder, in his capacity as the Company’s former Interim President and Chief Executive Officer, did not participate in the plan.</w:t>
      </w:r>
    </w:p>
    <w:p>
      <w:pPr>
        <w:spacing w:after="0" w:line="79" w:lineRule="exact"/>
        <w:rPr>
          <w:rFonts w:ascii="Arial" w:cs="Arial" w:eastAsia="Arial" w:hAnsi="Arial"/>
          <w:sz w:val="16"/>
          <w:szCs w:val="16"/>
          <w:color w:val="0061AF"/>
        </w:rPr>
      </w:pPr>
    </w:p>
    <w:p>
      <w:pPr>
        <w:jc w:val="both"/>
        <w:ind w:left="380" w:hanging="276"/>
        <w:spacing w:after="0" w:line="238" w:lineRule="auto"/>
        <w:tabs>
          <w:tab w:leader="none" w:pos="380" w:val="left"/>
        </w:tabs>
        <w:numPr>
          <w:ilvl w:val="0"/>
          <w:numId w:val="119"/>
        </w:numPr>
        <w:rPr>
          <w:rFonts w:ascii="Arial" w:cs="Arial" w:eastAsia="Arial" w:hAnsi="Arial"/>
          <w:sz w:val="16"/>
          <w:szCs w:val="16"/>
          <w:color w:val="0061AF"/>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We maintain executive stock ownership guidelines applicable to certain of our officers,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to appropriately align the interests of our officers with our shareholders’ interests for CenterPoint Energy common stock. Our guidelines provide that our Chief Executive Officer should own CenterPoint Energy common stock having a market value of five times base salary, our Executive Chairman and executive vice presidents should own CenterPoint Energy common stock having a market value of three times their respective base salaries and our senior vice presidents should own CenterPoint Energy common stock having a market value of two times their respective base salaries.</w:t>
      </w:r>
    </w:p>
    <w:p>
      <w:pPr>
        <w:spacing w:after="0" w:line="83" w:lineRule="exact"/>
        <w:rPr>
          <w:rFonts w:ascii="Arial" w:cs="Arial" w:eastAsia="Arial" w:hAnsi="Arial"/>
          <w:sz w:val="16"/>
          <w:szCs w:val="16"/>
          <w:color w:val="0061AF"/>
        </w:rPr>
      </w:pPr>
    </w:p>
    <w:p>
      <w:pPr>
        <w:jc w:val="both"/>
        <w:ind w:left="380" w:hanging="276"/>
        <w:spacing w:after="0" w:line="239" w:lineRule="auto"/>
        <w:tabs>
          <w:tab w:leader="none" w:pos="380" w:val="left"/>
        </w:tabs>
        <w:numPr>
          <w:ilvl w:val="0"/>
          <w:numId w:val="119"/>
        </w:numPr>
        <w:rPr>
          <w:rFonts w:ascii="Arial" w:cs="Arial" w:eastAsia="Arial" w:hAnsi="Arial"/>
          <w:sz w:val="16"/>
          <w:szCs w:val="16"/>
          <w:color w:val="0061AF"/>
        </w:rPr>
      </w:pPr>
      <w:r>
        <w:rPr>
          <w:rFonts w:ascii="Arial" w:cs="Arial" w:eastAsia="Arial" w:hAnsi="Arial"/>
          <w:sz w:val="16"/>
          <w:szCs w:val="16"/>
          <w:i w:val="1"/>
          <w:iCs w:val="1"/>
          <w:color w:val="auto"/>
        </w:rPr>
        <w:t xml:space="preserve">Hedging Policy. </w:t>
      </w:r>
      <w:r>
        <w:rPr>
          <w:rFonts w:ascii="Arial" w:cs="Arial" w:eastAsia="Arial" w:hAnsi="Arial"/>
          <w:sz w:val="16"/>
          <w:szCs w:val="16"/>
          <w:color w:val="auto"/>
        </w:rPr>
        <w:t>As part of our Insider Trading Policy, our directors and officers are prohibited, and our non-officer employees are</w:t>
      </w:r>
      <w:r>
        <w:rPr>
          <w:rFonts w:ascii="Arial" w:cs="Arial" w:eastAsia="Arial" w:hAnsi="Arial"/>
          <w:sz w:val="16"/>
          <w:szCs w:val="16"/>
          <w:i w:val="1"/>
          <w:iCs w:val="1"/>
          <w:color w:val="auto"/>
        </w:rPr>
        <w:t xml:space="preserve"> </w:t>
      </w:r>
      <w:r>
        <w:rPr>
          <w:rFonts w:ascii="Arial" w:cs="Arial" w:eastAsia="Arial" w:hAnsi="Arial"/>
          <w:sz w:val="16"/>
          <w:szCs w:val="16"/>
          <w:color w:val="auto"/>
        </w:rPr>
        <w:t>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p>
    <w:p>
      <w:pPr>
        <w:spacing w:after="0" w:line="83" w:lineRule="exact"/>
        <w:rPr>
          <w:rFonts w:ascii="Arial" w:cs="Arial" w:eastAsia="Arial" w:hAnsi="Arial"/>
          <w:sz w:val="16"/>
          <w:szCs w:val="16"/>
          <w:color w:val="0061AF"/>
        </w:rPr>
      </w:pPr>
    </w:p>
    <w:p>
      <w:pPr>
        <w:jc w:val="both"/>
        <w:ind w:left="380" w:hanging="276"/>
        <w:spacing w:after="0" w:line="242" w:lineRule="auto"/>
        <w:tabs>
          <w:tab w:leader="none" w:pos="380" w:val="left"/>
        </w:tabs>
        <w:numPr>
          <w:ilvl w:val="0"/>
          <w:numId w:val="119"/>
        </w:numPr>
        <w:rPr>
          <w:rFonts w:ascii="Arial" w:cs="Arial" w:eastAsia="Arial" w:hAnsi="Arial"/>
          <w:sz w:val="16"/>
          <w:szCs w:val="16"/>
          <w:color w:val="0061AF"/>
        </w:rPr>
      </w:pPr>
      <w:r>
        <w:rPr>
          <w:rFonts w:ascii="Arial" w:cs="Arial" w:eastAsia="Arial" w:hAnsi="Arial"/>
          <w:sz w:val="16"/>
          <w:szCs w:val="16"/>
          <w:i w:val="1"/>
          <w:iCs w:val="1"/>
          <w:color w:val="auto"/>
        </w:rPr>
        <w:t xml:space="preserve">Recoupment Policy. </w:t>
      </w:r>
      <w:r>
        <w:rPr>
          <w:rFonts w:ascii="Arial" w:cs="Arial" w:eastAsia="Arial" w:hAnsi="Arial"/>
          <w:sz w:val="16"/>
          <w:szCs w:val="16"/>
          <w:color w:val="auto"/>
        </w:rPr>
        <w:t>We have implemented a policy for the recoupment of short-term and long-term incentive payments 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discussion under “Compensation Discussion and Analysis” describes our executive compensation program and the related decisions made by the Compensation Committee in more detail. We encourage you to read this discussion, as well as the Summary Compensation Table and other related compensation tables and narrative discussion under “Executive Compensation Tables,” which provides detailed information regarding the compensation of our named executive officers.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accordance with Section 14A of the Exchange Act and the related rules of the Securities and Exchange Commission, we are asking our shareholders entitled to vote at the meeting to approve the following resolution regarding the compensation of our named executive officers:</w:t>
      </w:r>
    </w:p>
    <w:p>
      <w:pPr>
        <w:spacing w:after="0" w:line="161" w:lineRule="exact"/>
        <w:rPr>
          <w:sz w:val="20"/>
          <w:szCs w:val="20"/>
          <w:color w:val="auto"/>
        </w:rPr>
      </w:pPr>
    </w:p>
    <w:p>
      <w:pPr>
        <w:jc w:val="both"/>
        <w:ind w:left="400"/>
        <w:spacing w:after="0" w:line="243" w:lineRule="auto"/>
        <w:rPr>
          <w:sz w:val="20"/>
          <w:szCs w:val="20"/>
          <w:color w:val="auto"/>
        </w:rPr>
      </w:pPr>
      <w:r>
        <w:rPr>
          <w:rFonts w:ascii="Arial" w:cs="Arial" w:eastAsia="Arial" w:hAnsi="Arial"/>
          <w:sz w:val="16"/>
          <w:szCs w:val="16"/>
          <w:b w:val="1"/>
          <w:bCs w:val="1"/>
          <w:color w:val="auto"/>
        </w:rPr>
        <w:t>RESOLVED, that the shareholders of CenterPoint Energy, Inc. (the “Company”) hereby approve, on an advisory basis, the compensation paid to the Company’s named executive officers, as disclosed in the proxy statement for the Company’s 2021 Annual Meeting of Shareholders pursuant to the compensation disclosure rules of the Securities and Exchange Commission, including the Compensation Discussion and Analysis, compensation tables and narrative discussion.</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Approval of the foregoing resolution requires the affirmative vote of a majority of the shares of common stock entitled to vote and voted for or against this item. Abstentions and broker non-votes will not affect the outcome of the vote on this item.</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an advisory vote, this proposal is not binding upon CenterPoint Energy or the Board of Directors. The final decision on the compensation and benefits of our named executive officers and on whether and how to address the results of the vote remains with the Board of Directors and the Compensation Committee. However, the Board of Directors values the opinions expressed by our shareholders, and the Compensation Committee will consider the outcome of the vote when making future compensation decisions for our named executive officers.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0061AF"/>
        </w:rPr>
        <w:t>The Board of Directors recommends a vote FOR the approval, on an advisory basis, of the compensation paid to our named executive officers as disclosed in this proxy statement.</w:t>
      </w:r>
    </w:p>
    <w:p>
      <w:pPr>
        <w:spacing w:after="0" w:line="190"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93" w:name="page94"/>
    <w:bookmarkEnd w:id="93"/>
    <w:p>
      <w:pPr>
        <w:ind w:left="1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691515</wp:posOffset>
            </wp:positionH>
            <wp:positionV relativeFrom="page">
              <wp:posOffset>172085</wp:posOffset>
            </wp:positionV>
            <wp:extent cx="1299845" cy="1962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99845"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50165</wp:posOffset>
            </wp:positionV>
            <wp:extent cx="486664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86664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061AF"/>
        </w:rPr>
        <w:t>GENERAL INFORMATION</w:t>
      </w:r>
    </w:p>
    <w:p>
      <w:pPr>
        <w:spacing w:after="0" w:line="22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began mailing this proxy statement and the accompanying proxy card to shareholders on or about March 12, 2021. The proxy statement and proxy card are being furnished at the direction of the Board of Directors. We will pay all solicitation costs, including the fee of Morrow Sodali LLC, 470 West Ave, Stamford, CT 06902, who will help us solicit proxies, of $13,000 plus expenses. We will reimburse brokerage firms, nominees, fiduciaries, custodians and other agents for their expenses in distributing proxy material to the beneficial owners of our common stock. In addition, certain of our directors, officers and employees may solicit proxies by telephone and personal contact.</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Board of Directors does not intend to bring any other matters before the meeting and has not been informed that any other matters are to be properly presented to the meeting by others. If other business is properly raised, your proxy card authorizes the people named as proxies to vote as they think best.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Shareholder Proposals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Any shareholder who intends to present a proposal at the 2022 annual meeting of shareholders and who requests inclusion of the proposal in CenterPoint Energy’s proxy statement and form of proxy in accordance with applicable rules of the Securities and Exchange Commission must file such proposal with us by November 12, 2021.</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Our bylaws also require advance notice of other proposals by shareholders to be presented for action at an annual meeting. In the case of the 2022 annual meeting of shareholders, the required notice must be received by our Corporate Secretary between October 25, 2021 and January 23, 2022. The bylaws require, among other things, that the proposal must constitute a proper subject to be brought before the meeting and that the notice must contain prescribed information, including a description of the proposal and the reasons for bringing it before the meeting, proof of the proponent’s status as a shareholder and the number of shares held, the name and address of the proponent, a description of all arrangements and understandings between the proponent and anyone else in connection with the proposal and any material interest of the proponent in the proposal, as well as comply with other procedural requirements. If any of the foregoing information changes or requires supplementation, the proponent must update the information at the times provided in our bylaws. If the proposal is for an amendment of the bylaws, the notice must also include the text of the proposal and be accompanied by an opinion of counsel to the effect the proposal would not conflict with our Restated Articles of Incorporation or Texas law. A copy of the bylaws describing the requirements for notice of shareholder proposals may be obtained on our website at </w:t>
      </w:r>
      <w:r>
        <w:rPr>
          <w:rFonts w:ascii="Arial" w:cs="Arial" w:eastAsia="Arial" w:hAnsi="Arial"/>
          <w:sz w:val="16"/>
          <w:szCs w:val="16"/>
          <w:i w:val="1"/>
          <w:iCs w:val="1"/>
          <w:color w:val="auto"/>
        </w:rPr>
        <w:t>https://investors.centerpointenergy.com/governance</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Director Nominations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6166485"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For director nominations by eligible shareholders to be included in our proxy materials, see “Item 1—Election of Directors—Proxy Access Requirements” for further information. Additionally, for any shareholders seeking to make director nominations, but not seeking to include such matters in our proxy materials for the 2022 annual meeting, see “Item 1—Election of Directors—Director Nomination Process” for further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Householding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accordance with notices previously sent to many shareholders who hold their shares through a bank, broker or other holder of record (street-name shareholders) and share a single address, only one annual report to shareholders and proxy statement is being delivered to that address unless contrary instructions from any shareholder at that address were received. This practice, known as “householding,” is intended to reduce our printing and postage costs. However, any such street-name shareholder residing at the same address who wishes to receive a separate copy of this proxy statement or the accompanying annual report to shareholders may request a copy by contacting the bank, broker or other holder of record or by contacting us by telephone at (713) 207-3060 or (800) 231-6406. Street-name shareholders who are currently receiving householded materials may revoke their consent, and street-name</w:t>
      </w:r>
    </w:p>
    <w:p>
      <w:pPr>
        <w:spacing w:after="0" w:line="182" w:lineRule="exact"/>
        <w:rPr>
          <w:sz w:val="20"/>
          <w:szCs w:val="20"/>
          <w:color w:val="auto"/>
        </w:rPr>
      </w:pPr>
    </w:p>
    <w:p>
      <w:pPr>
        <w:ind w:left="400" w:hanging="391"/>
        <w:spacing w:after="0"/>
        <w:tabs>
          <w:tab w:leader="none" w:pos="400" w:val="left"/>
        </w:tabs>
        <w:numPr>
          <w:ilvl w:val="0"/>
          <w:numId w:val="120"/>
        </w:numPr>
        <w:rPr>
          <w:rFonts w:ascii="Arial" w:cs="Arial" w:eastAsia="Arial" w:hAnsi="Arial"/>
          <w:sz w:val="19"/>
          <w:szCs w:val="19"/>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16648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bookmarkStart w:id="94" w:name="page95"/>
    <w:bookmarkEnd w:id="94"/>
    <w:p>
      <w:pPr>
        <w:ind w:left="800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63435" cy="22860"/>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172085</wp:posOffset>
            </wp:positionV>
            <wp:extent cx="1360170" cy="1962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60170" cy="196215"/>
                    </a:xfrm>
                    <a:prstGeom prst="rect">
                      <a:avLst/>
                    </a:prstGeom>
                    <a:noFill/>
                  </pic:spPr>
                </pic:pic>
              </a:graphicData>
            </a:graphic>
          </wp:anchor>
        </w:drawing>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480631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806315" cy="7620"/>
                    </a:xfrm>
                    <a:prstGeom prst="rect">
                      <a:avLst/>
                    </a:prstGeom>
                    <a:noFill/>
                  </pic:spPr>
                </pic:pic>
              </a:graphicData>
            </a:graphic>
          </wp:anchor>
        </w:drawing>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General Information (continued)</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shareholders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shareholder at your address will receive individual copies of our future materials.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16648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Annual Report to Shareholders, which includes a copy of our annual report on Form 10-K containing our consolidated financial statements for the fiscal year ended December 31, 2020, accompanies the proxy material being mailed to all shareholders. The Annual Report is not part of the proxy solicitation material.</w:t>
      </w:r>
    </w:p>
    <w:p>
      <w:pPr>
        <w:spacing w:after="0" w:line="18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291465</wp:posOffset>
            </wp:positionV>
            <wp:extent cx="1375410" cy="3702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5410" cy="37020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254000</wp:posOffset>
            </wp:positionV>
            <wp:extent cx="1383030" cy="408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83030" cy="408305"/>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Milton Carroll</w:t>
      </w:r>
    </w:p>
    <w:p>
      <w:pPr>
        <w:jc w:val="center"/>
        <w:ind w:right="680"/>
        <w:spacing w:after="0"/>
        <w:rPr>
          <w:sz w:val="20"/>
          <w:szCs w:val="20"/>
          <w:color w:val="auto"/>
        </w:rPr>
      </w:pPr>
      <w:r>
        <w:rPr>
          <w:rFonts w:ascii="Arial" w:cs="Arial" w:eastAsia="Arial" w:hAnsi="Arial"/>
          <w:sz w:val="15"/>
          <w:szCs w:val="15"/>
          <w:color w:val="auto"/>
        </w:rPr>
        <w:t>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David J. Lesar</w:t>
      </w:r>
    </w:p>
    <w:p>
      <w:pPr>
        <w:jc w:val="center"/>
        <w:ind w:right="920"/>
        <w:spacing w:after="0"/>
        <w:rPr>
          <w:sz w:val="20"/>
          <w:szCs w:val="20"/>
          <w:color w:val="auto"/>
        </w:rPr>
      </w:pPr>
      <w:r>
        <w:rPr>
          <w:rFonts w:ascii="Arial" w:cs="Arial" w:eastAsia="Arial" w:hAnsi="Arial"/>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5460" w:space="720"/>
            <w:col w:w="3540"/>
          </w:cols>
          <w:pgMar w:left="1080" w:top="305" w:right="10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March 12, 2021</w:t>
      </w:r>
    </w:p>
    <w:p>
      <w:pPr>
        <w:spacing w:after="0" w:line="215" w:lineRule="exact"/>
        <w:rPr>
          <w:sz w:val="20"/>
          <w:szCs w:val="20"/>
          <w:color w:val="auto"/>
        </w:rPr>
      </w:pPr>
    </w:p>
    <w:p>
      <w:pPr>
        <w:ind w:left="8240"/>
        <w:spacing w:after="0"/>
        <w:tabs>
          <w:tab w:leader="none" w:pos="9480" w:val="left"/>
        </w:tabs>
        <w:rPr>
          <w:sz w:val="20"/>
          <w:szCs w:val="20"/>
          <w:color w:val="auto"/>
        </w:rPr>
      </w:pPr>
      <w:r>
        <w:rPr>
          <w:rFonts w:ascii="Arial" w:cs="Arial" w:eastAsia="Arial" w:hAnsi="Arial"/>
          <w:sz w:val="17"/>
          <w:szCs w:val="17"/>
          <w:color w:val="auto"/>
        </w:rPr>
        <w:t>Always There</w:t>
      </w:r>
      <w:r>
        <w:rPr>
          <w:rFonts w:ascii="Arial" w:cs="Arial" w:eastAsia="Arial" w:hAnsi="Arial"/>
          <w:sz w:val="14"/>
          <w:szCs w:val="14"/>
          <w:color w:val="auto"/>
        </w:rPr>
        <w:t>®</w:t>
      </w:r>
      <w:r>
        <w:rPr>
          <w:sz w:val="20"/>
          <w:szCs w:val="20"/>
          <w:color w:val="auto"/>
        </w:rPr>
        <w:tab/>
      </w:r>
      <w:r>
        <w:rPr>
          <w:rFonts w:ascii="Arial" w:cs="Arial" w:eastAsia="Arial" w:hAnsi="Arial"/>
          <w:sz w:val="19"/>
          <w:szCs w:val="19"/>
          <w:b w:val="1"/>
          <w:bCs w:val="1"/>
          <w:color w:val="0061A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6166485"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305" w:right="1099" w:bottom="144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BROADRIDGE CORPORATE ISSUER SOLUTIONS</w:t>
      </w:r>
    </w:p>
    <w:p>
      <w:pPr>
        <w:ind w:left="400"/>
        <w:spacing w:after="0" w:line="210" w:lineRule="auto"/>
        <w:rPr>
          <w:sz w:val="20"/>
          <w:szCs w:val="20"/>
          <w:color w:val="auto"/>
        </w:rPr>
      </w:pPr>
      <w:r>
        <w:rPr>
          <w:rFonts w:ascii="Arial" w:cs="Arial" w:eastAsia="Arial" w:hAnsi="Arial"/>
          <w:sz w:val="13"/>
          <w:szCs w:val="13"/>
          <w:i w:val="1"/>
          <w:iCs w:val="1"/>
          <w:color w:val="auto"/>
        </w:rPr>
        <w:t>P.O. BOX 1342</w:t>
      </w:r>
    </w:p>
    <w:p>
      <w:pPr>
        <w:ind w:left="400"/>
        <w:spacing w:after="0"/>
        <w:rPr>
          <w:sz w:val="20"/>
          <w:szCs w:val="20"/>
          <w:color w:val="auto"/>
        </w:rPr>
      </w:pPr>
      <w:r>
        <w:rPr>
          <w:rFonts w:ascii="Arial" w:cs="Arial" w:eastAsia="Arial" w:hAnsi="Arial"/>
          <w:sz w:val="13"/>
          <w:szCs w:val="13"/>
          <w:i w:val="1"/>
          <w:iCs w:val="1"/>
          <w:color w:val="auto"/>
        </w:rPr>
        <w:t>BRENTWOOD,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-161925</wp:posOffset>
            </wp:positionV>
            <wp:extent cx="7163435" cy="228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63435" cy="22860"/>
                    </a:xfrm>
                    <a:prstGeom prst="rect">
                      <a:avLst/>
                    </a:prstGeom>
                    <a:noFill/>
                  </pic:spPr>
                </pic:pic>
              </a:graphicData>
            </a:graphic>
          </wp:anchor>
        </w:drawing>
      </w:r>
    </w:p>
    <w:p>
      <w:pPr>
        <w:ind w:right="460"/>
        <w:spacing w:after="0" w:line="233" w:lineRule="auto"/>
        <w:rPr>
          <w:sz w:val="20"/>
          <w:szCs w:val="20"/>
          <w:color w:val="auto"/>
        </w:rPr>
      </w:pPr>
      <w:r>
        <w:rPr>
          <w:rFonts w:ascii="Arial" w:cs="Arial" w:eastAsia="Arial" w:hAnsi="Arial"/>
          <w:sz w:val="12"/>
          <w:szCs w:val="12"/>
          <w:color w:val="auto"/>
        </w:rPr>
        <w:t>Use the Internet to transmit your voting instructions and for electronic delivery of information. Vote by 11:59 p.m. Eastern Time on April 22, 2021 for shares of common stock held directly and by 11:59 p.m. Eastern Time on April 20, 2021 for shares of common stock held in a Plan. Have your proxy card in hand when you access the website and follow the instructions to obtain your records and to create an electronic voting instruction form.</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ind w:right="500"/>
        <w:spacing w:after="0" w:line="215"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400"/>
        <w:spacing w:after="0" w:line="218" w:lineRule="auto"/>
        <w:rPr>
          <w:sz w:val="20"/>
          <w:szCs w:val="20"/>
          <w:color w:val="auto"/>
        </w:rPr>
      </w:pPr>
      <w:r>
        <w:rPr>
          <w:rFonts w:ascii="Arial" w:cs="Arial" w:eastAsia="Arial" w:hAnsi="Arial"/>
          <w:sz w:val="13"/>
          <w:szCs w:val="13"/>
          <w:color w:val="auto"/>
        </w:rPr>
        <w:t>Use any touch-tone telephone to transmit your voting instructions. Vote by 11:59 p.m. Eastern Time on April 22, 2021 for shares held directly and by 11:59 p.m. Eastern Time on April 20, 2021 for shares held in a Plan. Have your proxy card in hand when you call and then follow the instructions.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ind w:right="600"/>
        <w:spacing w:after="0" w:line="220"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2480" w:val="left"/>
        </w:tabs>
        <w:rPr>
          <w:sz w:val="20"/>
          <w:szCs w:val="20"/>
          <w:color w:val="auto"/>
        </w:rPr>
      </w:pPr>
      <w:r>
        <w:rPr>
          <w:rFonts w:ascii="Arial" w:cs="Arial" w:eastAsia="Arial" w:hAnsi="Arial"/>
          <w:sz w:val="13"/>
          <w:szCs w:val="13"/>
          <w:color w:val="auto"/>
        </w:rPr>
        <w:t>D36026-P49427</w:t>
      </w:r>
      <w:r>
        <w:rPr>
          <w:sz w:val="20"/>
          <w:szCs w:val="20"/>
          <w:color w:val="auto"/>
        </w:rPr>
        <w:tab/>
      </w:r>
      <w:r>
        <w:rPr>
          <w:rFonts w:ascii="Arial" w:cs="Arial" w:eastAsia="Arial" w:hAnsi="Arial"/>
          <w:sz w:val="11"/>
          <w:szCs w:val="11"/>
          <w:color w:val="auto"/>
        </w:rPr>
        <w:t>KEEP THIS PORTION FOR YOUR RECORDS</w:t>
      </w:r>
    </w:p>
    <w:p>
      <w:pPr>
        <w:spacing w:after="0" w:line="1" w:lineRule="exact"/>
        <w:rPr>
          <w:sz w:val="20"/>
          <w:szCs w:val="20"/>
          <w:color w:val="auto"/>
        </w:rPr>
      </w:pPr>
    </w:p>
    <w:p>
      <w:pPr>
        <w:sectPr>
          <w:pgSz w:w="11900" w:h="16838" w:orient="portrait"/>
          <w:cols w:equalWidth="0" w:num="2">
            <w:col w:w="4320" w:space="640"/>
            <w:col w:w="4760"/>
          </w:cols>
          <w:pgMar w:left="1080" w:top="246" w:right="1099" w:bottom="1440" w:gutter="0" w:footer="0" w:header="0"/>
        </w:sectPr>
      </w:pPr>
    </w:p>
    <w:p>
      <w:pPr>
        <w:jc w:val="right"/>
        <w:ind w:right="40"/>
        <w:spacing w:after="0"/>
        <w:rPr>
          <w:sz w:val="20"/>
          <w:szCs w:val="20"/>
          <w:color w:val="auto"/>
        </w:rPr>
      </w:pPr>
      <w:r>
        <w:rPr>
          <w:rFonts w:ascii="Arial" w:cs="Arial" w:eastAsia="Arial" w:hAnsi="Arial"/>
          <w:sz w:val="16"/>
          <w:szCs w:val="16"/>
          <w:color w:val="auto"/>
        </w:rPr>
        <w:t>—————————————————————————————————————————————————</w:t>
      </w:r>
    </w:p>
    <w:p>
      <w:pPr>
        <w:jc w:val="right"/>
        <w:spacing w:after="0"/>
        <w:tabs>
          <w:tab w:leader="none" w:pos="2580" w:val="left"/>
        </w:tabs>
        <w:rPr>
          <w:sz w:val="20"/>
          <w:szCs w:val="20"/>
          <w:color w:val="auto"/>
        </w:rPr>
      </w:pPr>
      <w:r>
        <w:rPr>
          <w:rFonts w:ascii="Arial" w:cs="Arial" w:eastAsia="Arial" w:hAnsi="Arial"/>
          <w:sz w:val="13"/>
          <w:szCs w:val="13"/>
          <w:b w:val="1"/>
          <w:bCs w:val="1"/>
          <w:color w:val="auto"/>
        </w:rPr>
        <w:t>THIS PROXY CARD IS VALID ONLY WHEN SIGNED AND DATED.</w:t>
      </w:r>
      <w:r>
        <w:rPr>
          <w:sz w:val="20"/>
          <w:szCs w:val="20"/>
          <w:color w:val="auto"/>
        </w:rPr>
        <w:tab/>
      </w:r>
      <w:r>
        <w:rPr>
          <w:rFonts w:ascii="Arial" w:cs="Arial" w:eastAsia="Arial" w:hAnsi="Arial"/>
          <w:sz w:val="18"/>
          <w:szCs w:val="18"/>
          <w:color w:val="auto"/>
          <w:vertAlign w:val="superscript"/>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6176645" cy="34258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176645" cy="3425825"/>
                    </a:xfrm>
                    <a:prstGeom prst="rect">
                      <a:avLst/>
                    </a:prstGeom>
                    <a:noFill/>
                  </pic:spPr>
                </pic:pic>
              </a:graphicData>
            </a:graphic>
          </wp:anchor>
        </w:drawing>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CENTERPOINT ENERGY, INC.</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00" w:type="dxa"/>
            <w:vAlign w:val="bottom"/>
            <w:gridSpan w:val="2"/>
          </w:tcPr>
          <w:p>
            <w:pPr>
              <w:ind w:left="200"/>
              <w:spacing w:after="0"/>
              <w:rPr>
                <w:sz w:val="20"/>
                <w:szCs w:val="20"/>
                <w:color w:val="auto"/>
              </w:rPr>
            </w:pPr>
            <w:r>
              <w:rPr>
                <w:rFonts w:ascii="Arial" w:cs="Arial" w:eastAsia="Arial" w:hAnsi="Arial"/>
                <w:sz w:val="13"/>
                <w:szCs w:val="13"/>
                <w:b w:val="1"/>
                <w:bCs w:val="1"/>
                <w:color w:val="auto"/>
              </w:rPr>
              <w:t>The Board of Directors recommends you vote</w:t>
            </w: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100" w:type="dxa"/>
            <w:vAlign w:val="bottom"/>
            <w:gridSpan w:val="2"/>
          </w:tcPr>
          <w:p>
            <w:pPr>
              <w:ind w:left="200"/>
              <w:spacing w:after="0"/>
              <w:rPr>
                <w:sz w:val="20"/>
                <w:szCs w:val="20"/>
                <w:color w:val="auto"/>
              </w:rPr>
            </w:pPr>
            <w:r>
              <w:rPr>
                <w:rFonts w:ascii="Arial" w:cs="Arial" w:eastAsia="Arial" w:hAnsi="Arial"/>
                <w:sz w:val="13"/>
                <w:szCs w:val="13"/>
                <w:b w:val="1"/>
                <w:bCs w:val="1"/>
                <w:color w:val="auto"/>
              </w:rPr>
              <w:t>FOR the following:</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100" w:type="dxa"/>
            <w:vAlign w:val="bottom"/>
            <w:gridSpan w:val="2"/>
          </w:tcPr>
          <w:p>
            <w:pPr>
              <w:ind w:left="200"/>
              <w:spacing w:after="0"/>
              <w:rPr>
                <w:sz w:val="20"/>
                <w:szCs w:val="20"/>
                <w:color w:val="auto"/>
              </w:rPr>
            </w:pPr>
            <w:r>
              <w:rPr>
                <w:rFonts w:ascii="Arial" w:cs="Arial" w:eastAsia="Arial" w:hAnsi="Arial"/>
                <w:sz w:val="13"/>
                <w:szCs w:val="13"/>
                <w:color w:val="auto"/>
              </w:rPr>
              <w:t>1.   Election of Directors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00" w:type="dxa"/>
            <w:vAlign w:val="bottom"/>
            <w:gridSpan w:val="2"/>
          </w:tcPr>
          <w:p>
            <w:pPr>
              <w:ind w:left="440"/>
              <w:spacing w:after="0"/>
              <w:rPr>
                <w:sz w:val="20"/>
                <w:szCs w:val="20"/>
                <w:color w:val="auto"/>
              </w:rPr>
            </w:pPr>
            <w:r>
              <w:rPr>
                <w:rFonts w:ascii="Arial" w:cs="Arial" w:eastAsia="Arial" w:hAnsi="Arial"/>
                <w:sz w:val="13"/>
                <w:szCs w:val="13"/>
                <w:b w:val="1"/>
                <w:bCs w:val="1"/>
                <w:color w:val="auto"/>
              </w:rPr>
              <w:t>Nominees:</w:t>
            </w:r>
          </w:p>
        </w:tc>
        <w:tc>
          <w:tcPr>
            <w:tcW w:w="720" w:type="dxa"/>
            <w:vAlign w:val="bottom"/>
          </w:tcPr>
          <w:p>
            <w:pPr>
              <w:jc w:val="center"/>
              <w:ind w:left="337"/>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Abstain</w:t>
            </w:r>
          </w:p>
        </w:tc>
        <w:tc>
          <w:tcPr>
            <w:tcW w:w="2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80" w:type="dxa"/>
            <w:vAlign w:val="bottom"/>
          </w:tcPr>
          <w:p>
            <w:pPr>
              <w:ind w:left="440"/>
              <w:spacing w:after="0"/>
              <w:rPr>
                <w:sz w:val="20"/>
                <w:szCs w:val="20"/>
                <w:color w:val="auto"/>
              </w:rPr>
            </w:pPr>
            <w:r>
              <w:rPr>
                <w:rFonts w:ascii="Arial" w:cs="Arial" w:eastAsia="Arial" w:hAnsi="Arial"/>
                <w:sz w:val="13"/>
                <w:szCs w:val="13"/>
                <w:color w:val="auto"/>
              </w:rPr>
              <w:t>1a.</w:t>
            </w:r>
          </w:p>
        </w:tc>
        <w:tc>
          <w:tcPr>
            <w:tcW w:w="2420" w:type="dxa"/>
            <w:vAlign w:val="bottom"/>
          </w:tcPr>
          <w:p>
            <w:pPr>
              <w:ind w:left="80"/>
              <w:spacing w:after="0"/>
              <w:rPr>
                <w:sz w:val="20"/>
                <w:szCs w:val="20"/>
                <w:color w:val="auto"/>
              </w:rPr>
            </w:pPr>
            <w:r>
              <w:rPr>
                <w:rFonts w:ascii="Arial" w:cs="Arial" w:eastAsia="Arial" w:hAnsi="Arial"/>
                <w:sz w:val="13"/>
                <w:szCs w:val="13"/>
                <w:color w:val="auto"/>
              </w:rPr>
              <w:t>Leslie D. Biddle</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vMerge w:val="restart"/>
          </w:tcPr>
          <w:p>
            <w:pPr>
              <w:ind w:left="160"/>
              <w:spacing w:after="0"/>
              <w:rPr>
                <w:sz w:val="20"/>
                <w:szCs w:val="20"/>
                <w:color w:val="auto"/>
              </w:rPr>
            </w:pPr>
            <w:r>
              <w:rPr>
                <w:rFonts w:ascii="Arial" w:cs="Arial" w:eastAsia="Arial" w:hAnsi="Arial"/>
                <w:sz w:val="13"/>
                <w:szCs w:val="13"/>
                <w:b w:val="1"/>
                <w:bCs w:val="1"/>
                <w:color w:val="auto"/>
                <w:w w:val="92"/>
              </w:rPr>
              <w:t>The Board of Directors recommends you vote</w:t>
            </w: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w:t>
            </w:r>
          </w:p>
        </w:tc>
        <w:tc>
          <w:tcPr>
            <w:tcW w:w="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56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07"/>
        </w:trPr>
        <w:tc>
          <w:tcPr>
            <w:tcW w:w="680" w:type="dxa"/>
            <w:vAlign w:val="bottom"/>
            <w:vMerge w:val="restart"/>
          </w:tcPr>
          <w:p>
            <w:pPr>
              <w:ind w:left="440"/>
              <w:spacing w:after="0"/>
              <w:rPr>
                <w:sz w:val="20"/>
                <w:szCs w:val="20"/>
                <w:color w:val="auto"/>
              </w:rPr>
            </w:pPr>
            <w:r>
              <w:rPr>
                <w:rFonts w:ascii="Arial" w:cs="Arial" w:eastAsia="Arial" w:hAnsi="Arial"/>
                <w:sz w:val="13"/>
                <w:szCs w:val="13"/>
                <w:color w:val="auto"/>
              </w:rPr>
              <w:t>1b.</w:t>
            </w:r>
          </w:p>
        </w:tc>
        <w:tc>
          <w:tcPr>
            <w:tcW w:w="2420" w:type="dxa"/>
            <w:vAlign w:val="bottom"/>
            <w:vMerge w:val="restart"/>
          </w:tcPr>
          <w:p>
            <w:pPr>
              <w:ind w:left="80"/>
              <w:spacing w:after="0"/>
              <w:rPr>
                <w:sz w:val="20"/>
                <w:szCs w:val="20"/>
                <w:color w:val="auto"/>
              </w:rPr>
            </w:pPr>
            <w:r>
              <w:rPr>
                <w:rFonts w:ascii="Arial" w:cs="Arial" w:eastAsia="Arial" w:hAnsi="Arial"/>
                <w:sz w:val="13"/>
                <w:szCs w:val="13"/>
                <w:color w:val="auto"/>
              </w:rPr>
              <w:t>Milton Carroll</w:t>
            </w:r>
          </w:p>
        </w:tc>
        <w:tc>
          <w:tcPr>
            <w:tcW w:w="720" w:type="dxa"/>
            <w:vAlign w:val="bottom"/>
            <w:vMerge w:val="restart"/>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8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780" w:type="dxa"/>
            <w:vAlign w:val="bottom"/>
          </w:tcPr>
          <w:p>
            <w:pPr>
              <w:ind w:left="160"/>
              <w:spacing w:after="0"/>
              <w:rPr>
                <w:sz w:val="20"/>
                <w:szCs w:val="20"/>
                <w:color w:val="auto"/>
              </w:rPr>
            </w:pPr>
            <w:r>
              <w:rPr>
                <w:rFonts w:ascii="Arial" w:cs="Arial" w:eastAsia="Arial" w:hAnsi="Arial"/>
                <w:sz w:val="13"/>
                <w:szCs w:val="13"/>
                <w:b w:val="1"/>
                <w:bCs w:val="1"/>
                <w:color w:val="auto"/>
              </w:rPr>
              <w:t>FOR the following proposals:</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80" w:type="dxa"/>
            <w:vAlign w:val="bottom"/>
          </w:tcPr>
          <w:p>
            <w:pPr>
              <w:ind w:left="440"/>
              <w:spacing w:after="0"/>
              <w:rPr>
                <w:sz w:val="20"/>
                <w:szCs w:val="20"/>
                <w:color w:val="auto"/>
              </w:rPr>
            </w:pPr>
            <w:r>
              <w:rPr>
                <w:rFonts w:ascii="Arial" w:cs="Arial" w:eastAsia="Arial" w:hAnsi="Arial"/>
                <w:sz w:val="13"/>
                <w:szCs w:val="13"/>
                <w:color w:val="auto"/>
              </w:rPr>
              <w:t>1c.</w:t>
            </w:r>
          </w:p>
        </w:tc>
        <w:tc>
          <w:tcPr>
            <w:tcW w:w="2420" w:type="dxa"/>
            <w:vAlign w:val="bottom"/>
          </w:tcPr>
          <w:p>
            <w:pPr>
              <w:ind w:left="80"/>
              <w:spacing w:after="0"/>
              <w:rPr>
                <w:sz w:val="20"/>
                <w:szCs w:val="20"/>
                <w:color w:val="auto"/>
              </w:rPr>
            </w:pPr>
            <w:r>
              <w:rPr>
                <w:rFonts w:ascii="Arial" w:cs="Arial" w:eastAsia="Arial" w:hAnsi="Arial"/>
                <w:sz w:val="13"/>
                <w:szCs w:val="13"/>
                <w:color w:val="auto"/>
              </w:rPr>
              <w:t>Wendy Montoya Cloonan</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tcPr>
          <w:p>
            <w:pPr>
              <w:ind w:left="160"/>
              <w:spacing w:after="0"/>
              <w:rPr>
                <w:sz w:val="20"/>
                <w:szCs w:val="20"/>
                <w:color w:val="auto"/>
              </w:rPr>
            </w:pPr>
            <w:r>
              <w:rPr>
                <w:rFonts w:ascii="Arial" w:cs="Arial" w:eastAsia="Arial" w:hAnsi="Arial"/>
                <w:sz w:val="13"/>
                <w:szCs w:val="13"/>
                <w:color w:val="auto"/>
              </w:rPr>
              <w:t>2.  Ratify the appointment of Deloitte &amp;</w:t>
            </w:r>
          </w:p>
        </w:tc>
        <w:tc>
          <w:tcPr>
            <w:tcW w:w="3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20" w:type="dxa"/>
            <w:vAlign w:val="bottom"/>
            <w:vMerge w:val="restart"/>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tcPr>
          <w:p>
            <w:pPr>
              <w:ind w:left="380"/>
              <w:spacing w:after="0" w:line="127" w:lineRule="exact"/>
              <w:rPr>
                <w:sz w:val="20"/>
                <w:szCs w:val="20"/>
                <w:color w:val="auto"/>
              </w:rPr>
            </w:pPr>
            <w:r>
              <w:rPr>
                <w:rFonts w:ascii="Arial" w:cs="Arial" w:eastAsia="Arial" w:hAnsi="Arial"/>
                <w:sz w:val="13"/>
                <w:szCs w:val="13"/>
                <w:color w:val="auto"/>
                <w:w w:val="96"/>
              </w:rPr>
              <w:t>Touche LLP as the independent registered</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80" w:type="dxa"/>
            <w:vAlign w:val="bottom"/>
          </w:tcPr>
          <w:p>
            <w:pPr>
              <w:ind w:left="440"/>
              <w:spacing w:after="0"/>
              <w:rPr>
                <w:sz w:val="20"/>
                <w:szCs w:val="20"/>
                <w:color w:val="auto"/>
              </w:rPr>
            </w:pPr>
            <w:r>
              <w:rPr>
                <w:rFonts w:ascii="Arial" w:cs="Arial" w:eastAsia="Arial" w:hAnsi="Arial"/>
                <w:sz w:val="13"/>
                <w:szCs w:val="13"/>
                <w:color w:val="auto"/>
              </w:rPr>
              <w:t>1d.</w:t>
            </w:r>
          </w:p>
        </w:tc>
        <w:tc>
          <w:tcPr>
            <w:tcW w:w="2420" w:type="dxa"/>
            <w:vAlign w:val="bottom"/>
          </w:tcPr>
          <w:p>
            <w:pPr>
              <w:ind w:left="80"/>
              <w:spacing w:after="0"/>
              <w:rPr>
                <w:sz w:val="20"/>
                <w:szCs w:val="20"/>
                <w:color w:val="auto"/>
              </w:rPr>
            </w:pPr>
            <w:r>
              <w:rPr>
                <w:rFonts w:ascii="Arial" w:cs="Arial" w:eastAsia="Arial" w:hAnsi="Arial"/>
                <w:sz w:val="13"/>
                <w:szCs w:val="13"/>
                <w:color w:val="auto"/>
              </w:rPr>
              <w:t>Earl M. Cummings</w:t>
            </w:r>
          </w:p>
        </w:tc>
        <w:tc>
          <w:tcPr>
            <w:tcW w:w="7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780" w:type="dxa"/>
            <w:vAlign w:val="bottom"/>
          </w:tcPr>
          <w:p>
            <w:pPr>
              <w:ind w:left="380"/>
              <w:spacing w:after="0"/>
              <w:rPr>
                <w:sz w:val="20"/>
                <w:szCs w:val="20"/>
                <w:color w:val="auto"/>
              </w:rPr>
            </w:pPr>
            <w:r>
              <w:rPr>
                <w:rFonts w:ascii="Arial" w:cs="Arial" w:eastAsia="Arial" w:hAnsi="Arial"/>
                <w:sz w:val="13"/>
                <w:szCs w:val="13"/>
                <w:color w:val="auto"/>
              </w:rPr>
              <w:t>public accounting firm for 2021.</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440"/>
              <w:spacing w:after="0"/>
              <w:rPr>
                <w:sz w:val="20"/>
                <w:szCs w:val="20"/>
                <w:color w:val="auto"/>
              </w:rPr>
            </w:pPr>
            <w:r>
              <w:rPr>
                <w:rFonts w:ascii="Arial" w:cs="Arial" w:eastAsia="Arial" w:hAnsi="Arial"/>
                <w:sz w:val="13"/>
                <w:szCs w:val="13"/>
                <w:color w:val="auto"/>
              </w:rPr>
              <w:t>1e.</w:t>
            </w:r>
          </w:p>
        </w:tc>
        <w:tc>
          <w:tcPr>
            <w:tcW w:w="2420" w:type="dxa"/>
            <w:vAlign w:val="bottom"/>
          </w:tcPr>
          <w:p>
            <w:pPr>
              <w:ind w:left="80"/>
              <w:spacing w:after="0"/>
              <w:rPr>
                <w:sz w:val="20"/>
                <w:szCs w:val="20"/>
                <w:color w:val="auto"/>
              </w:rPr>
            </w:pPr>
            <w:r>
              <w:rPr>
                <w:rFonts w:ascii="Arial" w:cs="Arial" w:eastAsia="Arial" w:hAnsi="Arial"/>
                <w:sz w:val="13"/>
                <w:szCs w:val="13"/>
                <w:color w:val="auto"/>
              </w:rPr>
              <w:t>David J. Lesar</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vMerge w:val="restart"/>
          </w:tcPr>
          <w:p>
            <w:pPr>
              <w:ind w:left="160"/>
              <w:spacing w:after="0"/>
              <w:rPr>
                <w:sz w:val="20"/>
                <w:szCs w:val="20"/>
                <w:color w:val="auto"/>
              </w:rPr>
            </w:pPr>
            <w:r>
              <w:rPr>
                <w:rFonts w:ascii="Arial" w:cs="Arial" w:eastAsia="Arial" w:hAnsi="Arial"/>
                <w:sz w:val="13"/>
                <w:szCs w:val="13"/>
                <w:color w:val="auto"/>
              </w:rPr>
              <w:t>3.  Approve the advisory resolution on</w:t>
            </w:r>
          </w:p>
        </w:tc>
        <w:tc>
          <w:tcPr>
            <w:tcW w:w="3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11"/>
        </w:trPr>
        <w:tc>
          <w:tcPr>
            <w:tcW w:w="680" w:type="dxa"/>
            <w:vAlign w:val="bottom"/>
            <w:vMerge w:val="restart"/>
          </w:tcPr>
          <w:p>
            <w:pPr>
              <w:ind w:left="440"/>
              <w:spacing w:after="0"/>
              <w:rPr>
                <w:sz w:val="20"/>
                <w:szCs w:val="20"/>
                <w:color w:val="auto"/>
              </w:rPr>
            </w:pPr>
            <w:r>
              <w:rPr>
                <w:rFonts w:ascii="Arial" w:cs="Arial" w:eastAsia="Arial" w:hAnsi="Arial"/>
                <w:sz w:val="13"/>
                <w:szCs w:val="13"/>
                <w:color w:val="auto"/>
              </w:rPr>
              <w:t>1f.</w:t>
            </w: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Martin H. Nesbitt</w:t>
            </w:r>
          </w:p>
        </w:tc>
        <w:tc>
          <w:tcPr>
            <w:tcW w:w="720" w:type="dxa"/>
            <w:vAlign w:val="bottom"/>
            <w:vMerge w:val="restart"/>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68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780" w:type="dxa"/>
            <w:vAlign w:val="bottom"/>
          </w:tcPr>
          <w:p>
            <w:pPr>
              <w:ind w:left="380"/>
              <w:spacing w:after="0"/>
              <w:rPr>
                <w:sz w:val="20"/>
                <w:szCs w:val="20"/>
                <w:color w:val="auto"/>
              </w:rPr>
            </w:pPr>
            <w:r>
              <w:rPr>
                <w:rFonts w:ascii="Arial" w:cs="Arial" w:eastAsia="Arial" w:hAnsi="Arial"/>
                <w:sz w:val="13"/>
                <w:szCs w:val="13"/>
                <w:color w:val="auto"/>
              </w:rPr>
              <w:t>executive compensation.</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440"/>
              <w:spacing w:after="0"/>
              <w:rPr>
                <w:sz w:val="20"/>
                <w:szCs w:val="20"/>
                <w:color w:val="auto"/>
              </w:rPr>
            </w:pPr>
            <w:r>
              <w:rPr>
                <w:rFonts w:ascii="Arial" w:cs="Arial" w:eastAsia="Arial" w:hAnsi="Arial"/>
                <w:sz w:val="13"/>
                <w:szCs w:val="13"/>
                <w:color w:val="auto"/>
              </w:rPr>
              <w:t>1g.</w:t>
            </w:r>
          </w:p>
        </w:tc>
        <w:tc>
          <w:tcPr>
            <w:tcW w:w="2420" w:type="dxa"/>
            <w:vAlign w:val="bottom"/>
          </w:tcPr>
          <w:p>
            <w:pPr>
              <w:ind w:left="80"/>
              <w:spacing w:after="0"/>
              <w:rPr>
                <w:sz w:val="20"/>
                <w:szCs w:val="20"/>
                <w:color w:val="auto"/>
              </w:rPr>
            </w:pPr>
            <w:r>
              <w:rPr>
                <w:rFonts w:ascii="Arial" w:cs="Arial" w:eastAsia="Arial" w:hAnsi="Arial"/>
                <w:sz w:val="13"/>
                <w:szCs w:val="13"/>
                <w:color w:val="auto"/>
              </w:rPr>
              <w:t>Theodore F. Pound</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440"/>
              <w:spacing w:after="0"/>
              <w:rPr>
                <w:sz w:val="20"/>
                <w:szCs w:val="20"/>
                <w:color w:val="auto"/>
              </w:rPr>
            </w:pPr>
            <w:r>
              <w:rPr>
                <w:rFonts w:ascii="Arial" w:cs="Arial" w:eastAsia="Arial" w:hAnsi="Arial"/>
                <w:sz w:val="13"/>
                <w:szCs w:val="13"/>
                <w:color w:val="auto"/>
              </w:rPr>
              <w:t>1h.</w:t>
            </w:r>
          </w:p>
        </w:tc>
        <w:tc>
          <w:tcPr>
            <w:tcW w:w="2420" w:type="dxa"/>
            <w:vAlign w:val="bottom"/>
          </w:tcPr>
          <w:p>
            <w:pPr>
              <w:ind w:left="80"/>
              <w:spacing w:after="0"/>
              <w:rPr>
                <w:sz w:val="20"/>
                <w:szCs w:val="20"/>
                <w:color w:val="auto"/>
              </w:rPr>
            </w:pPr>
            <w:r>
              <w:rPr>
                <w:rFonts w:ascii="Arial" w:cs="Arial" w:eastAsia="Arial" w:hAnsi="Arial"/>
                <w:sz w:val="13"/>
                <w:szCs w:val="13"/>
                <w:color w:val="auto"/>
              </w:rPr>
              <w:t>Phillip R. Smith</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440"/>
              <w:spacing w:after="0"/>
              <w:rPr>
                <w:sz w:val="20"/>
                <w:szCs w:val="20"/>
                <w:color w:val="auto"/>
              </w:rPr>
            </w:pPr>
            <w:r>
              <w:rPr>
                <w:rFonts w:ascii="Arial" w:cs="Arial" w:eastAsia="Arial" w:hAnsi="Arial"/>
                <w:sz w:val="13"/>
                <w:szCs w:val="13"/>
                <w:color w:val="auto"/>
              </w:rPr>
              <w:t>1i.</w:t>
            </w:r>
          </w:p>
        </w:tc>
        <w:tc>
          <w:tcPr>
            <w:tcW w:w="2420" w:type="dxa"/>
            <w:vAlign w:val="bottom"/>
          </w:tcPr>
          <w:p>
            <w:pPr>
              <w:ind w:left="80"/>
              <w:spacing w:after="0"/>
              <w:rPr>
                <w:sz w:val="20"/>
                <w:szCs w:val="20"/>
                <w:color w:val="auto"/>
              </w:rPr>
            </w:pPr>
            <w:r>
              <w:rPr>
                <w:rFonts w:ascii="Arial" w:cs="Arial" w:eastAsia="Arial" w:hAnsi="Arial"/>
                <w:sz w:val="13"/>
                <w:szCs w:val="13"/>
                <w:color w:val="auto"/>
              </w:rPr>
              <w:t>Barry T. Smitherman</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6"/>
              </w:rPr>
              <w:t>Yes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No</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80" w:type="dxa"/>
            <w:vAlign w:val="bottom"/>
          </w:tcPr>
          <w:p>
            <w:pPr>
              <w:ind w:left="160"/>
              <w:spacing w:after="0"/>
              <w:rPr>
                <w:sz w:val="20"/>
                <w:szCs w:val="20"/>
                <w:color w:val="auto"/>
              </w:rPr>
            </w:pPr>
            <w:r>
              <w:rPr>
                <w:rFonts w:ascii="Arial" w:cs="Arial" w:eastAsia="Arial" w:hAnsi="Arial"/>
                <w:sz w:val="13"/>
                <w:szCs w:val="13"/>
                <w:color w:val="auto"/>
                <w:w w:val="92"/>
              </w:rPr>
              <w:t>Please indicate if you plan to attend this meeting.</w:t>
            </w:r>
          </w:p>
        </w:tc>
        <w:tc>
          <w:tcPr>
            <w:tcW w:w="3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00" w:right="1920"/>
        <w:spacing w:after="0" w:line="226" w:lineRule="auto"/>
        <w:rPr>
          <w:sz w:val="20"/>
          <w:szCs w:val="20"/>
          <w:color w:val="auto"/>
        </w:rPr>
      </w:pPr>
      <w:r>
        <w:rPr>
          <w:rFonts w:ascii="Arial" w:cs="Arial" w:eastAsia="Arial" w:hAnsi="Arial"/>
          <w:sz w:val="13"/>
          <w:szCs w:val="13"/>
          <w:color w:val="auto"/>
        </w:rPr>
        <w:t>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9720"/>
          </w:cols>
          <w:pgMar w:left="1080" w:top="246" w:right="109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Signature [PLEASE SIGN WITHIN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Signature (Joint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Date</w:t>
      </w:r>
    </w:p>
    <w:p>
      <w:pPr>
        <w:sectPr>
          <w:pgSz w:w="11900" w:h="16838" w:orient="portrait"/>
          <w:cols w:equalWidth="0" w:num="4">
            <w:col w:w="2600" w:space="600"/>
            <w:col w:w="1500" w:space="720"/>
            <w:col w:w="1380" w:space="720"/>
            <w:col w:w="2200"/>
          </w:cols>
          <w:pgMar w:left="1080" w:top="246" w:right="1099" w:bottom="1440" w:gutter="0" w:footer="0" w:header="0"/>
          <w:type w:val="continuous"/>
        </w:sectPr>
      </w:pPr>
    </w:p>
    <w:bookmarkStart w:id="96" w:name="page97"/>
    <w:bookmarkEnd w:id="96"/>
    <w:p>
      <w:pPr>
        <w:jc w:val="center"/>
        <w:ind w:right="4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63435" cy="22860"/>
                    </a:xfrm>
                    <a:prstGeom prst="rect">
                      <a:avLst/>
                    </a:prstGeom>
                    <a:noFill/>
                  </pic:spPr>
                </pic:pic>
              </a:graphicData>
            </a:graphic>
          </wp:anchor>
        </w:drawing>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-105410</wp:posOffset>
            </wp:positionV>
            <wp:extent cx="1964690" cy="19799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964690" cy="1979930"/>
                    </a:xfrm>
                    <a:prstGeom prst="rect">
                      <a:avLst/>
                    </a:prstGeom>
                    <a:noFill/>
                  </pic:spPr>
                </pic:pic>
              </a:graphicData>
            </a:graphic>
          </wp:anchor>
        </w:drawing>
      </w:r>
    </w:p>
    <w:p>
      <w:pPr>
        <w:spacing w:after="0" w:line="205"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CENTERPOINT ENERGY, INC.</w:t>
      </w:r>
    </w:p>
    <w:p>
      <w:pPr>
        <w:spacing w:after="0" w:line="17"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2021 ANNUAL MEETING OF SHAREHOLDERS</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Friday, April 23, 2021</w:t>
      </w:r>
    </w:p>
    <w:p>
      <w:pPr>
        <w:spacing w:after="0" w:line="6"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9:00 a.m. Central Time</w:t>
      </w:r>
    </w:p>
    <w:p>
      <w:pPr>
        <w:spacing w:after="0" w:line="210"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Auditorium</w:t>
      </w:r>
    </w:p>
    <w:p>
      <w:pPr>
        <w:spacing w:after="0" w:line="17"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1111 Louisiana Street</w:t>
      </w:r>
    </w:p>
    <w:p>
      <w:pPr>
        <w:spacing w:after="0" w:line="6"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Houston, Texas 77002</w:t>
      </w:r>
    </w:p>
    <w:p>
      <w:pPr>
        <w:spacing w:after="0" w:line="206" w:lineRule="exact"/>
        <w:rPr>
          <w:sz w:val="20"/>
          <w:szCs w:val="20"/>
          <w:color w:val="auto"/>
        </w:rPr>
      </w:pPr>
    </w:p>
    <w:p>
      <w:pPr>
        <w:jc w:val="center"/>
        <w:ind w:right="4700"/>
        <w:spacing w:after="0"/>
        <w:rPr>
          <w:sz w:val="20"/>
          <w:szCs w:val="20"/>
          <w:color w:val="auto"/>
        </w:rPr>
      </w:pPr>
      <w:r>
        <w:rPr>
          <w:rFonts w:ascii="Arial" w:cs="Arial" w:eastAsia="Arial" w:hAnsi="Arial"/>
          <w:sz w:val="16"/>
          <w:szCs w:val="16"/>
          <w:b w:val="1"/>
          <w:bCs w:val="1"/>
          <w:color w:val="auto"/>
        </w:rPr>
        <w:t>This admission ticket admits only the named shareholder.</w:t>
      </w:r>
    </w:p>
    <w:p>
      <w:pPr>
        <w:spacing w:after="0" w:line="221" w:lineRule="exact"/>
        <w:rPr>
          <w:sz w:val="20"/>
          <w:szCs w:val="20"/>
          <w:color w:val="auto"/>
        </w:rPr>
      </w:pPr>
    </w:p>
    <w:p>
      <w:pPr>
        <w:ind w:right="4760"/>
        <w:spacing w:after="0" w:line="255" w:lineRule="auto"/>
        <w:rPr>
          <w:sz w:val="20"/>
          <w:szCs w:val="20"/>
          <w:color w:val="auto"/>
        </w:rPr>
      </w:pPr>
      <w:r>
        <w:rPr>
          <w:rFonts w:ascii="Arial" w:cs="Arial" w:eastAsia="Arial" w:hAnsi="Arial"/>
          <w:sz w:val="16"/>
          <w:szCs w:val="16"/>
          <w:b w:val="1"/>
          <w:bCs w:val="1"/>
          <w:u w:val="single" w:color="auto"/>
          <w:color w:val="auto"/>
        </w:rPr>
        <w:t>Note:</w:t>
      </w:r>
      <w:r>
        <w:rPr>
          <w:rFonts w:ascii="Arial" w:cs="Arial" w:eastAsia="Arial" w:hAnsi="Arial"/>
          <w:sz w:val="16"/>
          <w:szCs w:val="16"/>
          <w:b w:val="1"/>
          <w:bCs w:val="1"/>
          <w:color w:val="auto"/>
        </w:rPr>
        <w:t xml:space="preserve"> </w:t>
      </w:r>
      <w:r>
        <w:rPr>
          <w:rFonts w:ascii="Arial" w:cs="Arial" w:eastAsia="Arial" w:hAnsi="Arial"/>
          <w:sz w:val="16"/>
          <w:szCs w:val="16"/>
          <w:color w:val="auto"/>
        </w:rPr>
        <w:t>If you plan on attending the Annual Meeting in person, please bring,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this Admission Ticket, valid picture identification. The use of video or still photography at the Annual Meeting is not permitted. For the safety of attendees, all bags, packages and briefcases are subject to inspection. Your compliance is appreciated.</w:t>
      </w:r>
    </w:p>
    <w:p>
      <w:pPr>
        <w:spacing w:after="0" w:line="201"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for the Annual Shareholder Meeting to be Held April 23, 2021.</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Notice &amp; Proxy Statement and Annual Report are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available at: http://materials.proxyvote.com/15189T</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Notice and Proxy Statement and Annual Report are available at www.proxyvote.com.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98" w:lineRule="exact"/>
        <w:rPr>
          <w:sz w:val="20"/>
          <w:szCs w:val="20"/>
          <w:color w:val="auto"/>
        </w:rPr>
      </w:pPr>
    </w:p>
    <w:p>
      <w:pPr>
        <w:ind w:left="8820"/>
        <w:spacing w:after="0"/>
        <w:rPr>
          <w:sz w:val="20"/>
          <w:szCs w:val="20"/>
          <w:color w:val="auto"/>
        </w:rPr>
      </w:pPr>
      <w:r>
        <w:rPr>
          <w:rFonts w:ascii="Arial" w:cs="Arial" w:eastAsia="Arial" w:hAnsi="Arial"/>
          <w:sz w:val="11"/>
          <w:szCs w:val="11"/>
          <w:color w:val="auto"/>
        </w:rPr>
        <w:t>D36027-P49427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176645" cy="27762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176645" cy="27762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CENTERPOINT ENERGY,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2021 Annual Meeting of Shareholders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Proxy-Common Stock</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186" w:lineRule="exact"/>
        <w:rPr>
          <w:sz w:val="20"/>
          <w:szCs w:val="20"/>
          <w:color w:val="auto"/>
        </w:rPr>
      </w:pPr>
    </w:p>
    <w:p>
      <w:pPr>
        <w:ind w:left="120" w:right="220"/>
        <w:spacing w:after="0" w:line="303" w:lineRule="auto"/>
        <w:rPr>
          <w:sz w:val="20"/>
          <w:szCs w:val="20"/>
          <w:color w:val="auto"/>
        </w:rPr>
      </w:pPr>
      <w:r>
        <w:rPr>
          <w:rFonts w:ascii="Arial" w:cs="Arial" w:eastAsia="Arial" w:hAnsi="Arial"/>
          <w:sz w:val="14"/>
          <w:szCs w:val="14"/>
          <w:color w:val="auto"/>
        </w:rPr>
        <w:t>The undersigned hereby appoints Monica Karuturi and Vincent A. Mercaldi, or either of them as proxies, with full power of substitution, to vote as designated on the reverse side, all shares of common stock held by the undersigned at the Annual Meeting of Shareholders of CenterPoint Energy, Inc. to be held on Friday, April 23, 2021 at 9:00 a.m. in the Auditorium of 1111 Louisiana Street, Houston, Texas and any adjournments thereof, revoking any proxy heretofore given and with discretionary authority to vote on all other matters that may properly come before the meeting.</w:t>
      </w:r>
    </w:p>
    <w:p>
      <w:pPr>
        <w:spacing w:after="0" w:line="139" w:lineRule="exact"/>
        <w:rPr>
          <w:sz w:val="20"/>
          <w:szCs w:val="20"/>
          <w:color w:val="auto"/>
        </w:rPr>
      </w:pPr>
    </w:p>
    <w:p>
      <w:pPr>
        <w:ind w:left="120" w:right="80"/>
        <w:spacing w:after="0" w:line="255" w:lineRule="auto"/>
        <w:rPr>
          <w:sz w:val="20"/>
          <w:szCs w:val="20"/>
          <w:color w:val="auto"/>
        </w:rPr>
      </w:pPr>
      <w:r>
        <w:rPr>
          <w:rFonts w:ascii="Arial" w:cs="Arial" w:eastAsia="Arial" w:hAnsi="Arial"/>
          <w:sz w:val="16"/>
          <w:szCs w:val="16"/>
          <w:color w:val="auto"/>
        </w:rPr>
        <w:t xml:space="preserve">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w:t>
      </w:r>
      <w:r>
        <w:rPr>
          <w:rFonts w:ascii="Arial" w:cs="Arial" w:eastAsia="Arial" w:hAnsi="Arial"/>
          <w:sz w:val="16"/>
          <w:szCs w:val="16"/>
          <w:b w:val="1"/>
          <w:bCs w:val="1"/>
          <w:color w:val="auto"/>
        </w:rPr>
        <w:t>In absence of instructions to the contrary on a signed or executed proxy, the shares represented will be voted in accordance with</w:t>
      </w:r>
      <w:r>
        <w:rPr>
          <w:rFonts w:ascii="Arial" w:cs="Arial" w:eastAsia="Arial" w:hAnsi="Arial"/>
          <w:sz w:val="16"/>
          <w:szCs w:val="16"/>
          <w:color w:val="auto"/>
        </w:rPr>
        <w:t xml:space="preserve"> </w:t>
      </w:r>
      <w:r>
        <w:rPr>
          <w:rFonts w:ascii="Arial" w:cs="Arial" w:eastAsia="Arial" w:hAnsi="Arial"/>
          <w:sz w:val="16"/>
          <w:szCs w:val="16"/>
          <w:b w:val="1"/>
          <w:bCs w:val="1"/>
          <w:color w:val="auto"/>
        </w:rPr>
        <w:t>the Board’s recommendation.</w:t>
      </w:r>
    </w:p>
    <w:p>
      <w:pPr>
        <w:spacing w:after="0" w:line="170" w:lineRule="exact"/>
        <w:rPr>
          <w:sz w:val="20"/>
          <w:szCs w:val="20"/>
          <w:color w:val="auto"/>
        </w:rPr>
      </w:pPr>
    </w:p>
    <w:p>
      <w:pPr>
        <w:ind w:left="120" w:right="180"/>
        <w:spacing w:after="0" w:line="343" w:lineRule="auto"/>
        <w:rPr>
          <w:sz w:val="20"/>
          <w:szCs w:val="20"/>
          <w:color w:val="auto"/>
        </w:rPr>
      </w:pPr>
      <w:r>
        <w:rPr>
          <w:rFonts w:ascii="Arial" w:cs="Arial" w:eastAsia="Arial" w:hAnsi="Arial"/>
          <w:sz w:val="14"/>
          <w:szCs w:val="14"/>
          <w:color w:val="auto"/>
        </w:rPr>
        <w:t>The terms for Directors will expire in 2022. The Board of Directors recommends a vote FOR the nominees for Directors, FOR the appointment of Deloitte &amp; Touche LLP as the independent registered public accounting firm for 2021 and FOR the advisory resolution on executive compensation.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Continued and to be signed on reverse side</w:t>
      </w:r>
    </w:p>
    <w:p>
      <w:pPr>
        <w:sectPr>
          <w:pgSz w:w="11900" w:h="16838" w:orient="portrait"/>
          <w:cols w:equalWidth="0" w:num="1">
            <w:col w:w="9680"/>
          </w:cols>
          <w:pgMar w:left="1080" w:top="254" w:right="11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BROADRIDGE CORPORATE ISSUER SOLUTIONS</w:t>
      </w:r>
    </w:p>
    <w:p>
      <w:pPr>
        <w:ind w:left="400"/>
        <w:spacing w:after="0" w:line="210" w:lineRule="auto"/>
        <w:rPr>
          <w:sz w:val="20"/>
          <w:szCs w:val="20"/>
          <w:color w:val="auto"/>
        </w:rPr>
      </w:pPr>
      <w:r>
        <w:rPr>
          <w:rFonts w:ascii="Arial" w:cs="Arial" w:eastAsia="Arial" w:hAnsi="Arial"/>
          <w:sz w:val="13"/>
          <w:szCs w:val="13"/>
          <w:i w:val="1"/>
          <w:iCs w:val="1"/>
          <w:color w:val="auto"/>
        </w:rPr>
        <w:t>P.O. BOX 1342</w:t>
      </w:r>
    </w:p>
    <w:p>
      <w:pPr>
        <w:ind w:left="400"/>
        <w:spacing w:after="0"/>
        <w:rPr>
          <w:sz w:val="20"/>
          <w:szCs w:val="20"/>
          <w:color w:val="auto"/>
        </w:rPr>
      </w:pPr>
      <w:r>
        <w:rPr>
          <w:rFonts w:ascii="Arial" w:cs="Arial" w:eastAsia="Arial" w:hAnsi="Arial"/>
          <w:sz w:val="13"/>
          <w:szCs w:val="13"/>
          <w:i w:val="1"/>
          <w:iCs w:val="1"/>
          <w:color w:val="auto"/>
        </w:rPr>
        <w:t>BRENTWOOD,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-161925</wp:posOffset>
            </wp:positionV>
            <wp:extent cx="7163435" cy="228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63435" cy="22860"/>
                    </a:xfrm>
                    <a:prstGeom prst="rect">
                      <a:avLst/>
                    </a:prstGeom>
                    <a:noFill/>
                  </pic:spPr>
                </pic:pic>
              </a:graphicData>
            </a:graphic>
          </wp:anchor>
        </w:drawing>
      </w:r>
    </w:p>
    <w:p>
      <w:pPr>
        <w:ind w:right="460"/>
        <w:spacing w:after="0" w:line="233" w:lineRule="auto"/>
        <w:rPr>
          <w:sz w:val="20"/>
          <w:szCs w:val="20"/>
          <w:color w:val="auto"/>
        </w:rPr>
      </w:pPr>
      <w:r>
        <w:rPr>
          <w:rFonts w:ascii="Arial" w:cs="Arial" w:eastAsia="Arial" w:hAnsi="Arial"/>
          <w:sz w:val="12"/>
          <w:szCs w:val="12"/>
          <w:color w:val="auto"/>
        </w:rPr>
        <w:t>Use the Internet to transmit your voting instructions and for electronic delivery of information. Vote by 11:59 p.m. Eastern Time on April 22, 2021 for shares of common stock held directly and by 11:59 p.m. Eastern Time on April 20, 2021 for shares of common stock held in a Plan. Have your proxy card in hand when you access the website and follow the instructions to obtain your records and to create an electronic voting instruction form.</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ind w:right="500"/>
        <w:spacing w:after="0" w:line="215"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400"/>
        <w:spacing w:after="0" w:line="218" w:lineRule="auto"/>
        <w:rPr>
          <w:sz w:val="20"/>
          <w:szCs w:val="20"/>
          <w:color w:val="auto"/>
        </w:rPr>
      </w:pPr>
      <w:r>
        <w:rPr>
          <w:rFonts w:ascii="Arial" w:cs="Arial" w:eastAsia="Arial" w:hAnsi="Arial"/>
          <w:sz w:val="13"/>
          <w:szCs w:val="13"/>
          <w:color w:val="auto"/>
        </w:rPr>
        <w:t>Use any touch-tone telephone to transmit your voting instructions. Vote by 11:59 p.m. Eastern Time on April 22, 2021 for shares held directly and by 11:59 p.m. Eastern Time on April 20, 2021 for shares held in a Plan. Have your proxy card in hand when you call and then follow the instructions.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ind w:right="600"/>
        <w:spacing w:after="0" w:line="220"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2480" w:val="left"/>
        </w:tabs>
        <w:rPr>
          <w:sz w:val="20"/>
          <w:szCs w:val="20"/>
          <w:color w:val="auto"/>
        </w:rPr>
      </w:pPr>
      <w:r>
        <w:rPr>
          <w:rFonts w:ascii="Arial" w:cs="Arial" w:eastAsia="Arial" w:hAnsi="Arial"/>
          <w:sz w:val="13"/>
          <w:szCs w:val="13"/>
          <w:color w:val="auto"/>
        </w:rPr>
        <w:t>D36028-P49427</w:t>
      </w:r>
      <w:r>
        <w:rPr>
          <w:sz w:val="20"/>
          <w:szCs w:val="20"/>
          <w:color w:val="auto"/>
        </w:rPr>
        <w:tab/>
      </w:r>
      <w:r>
        <w:rPr>
          <w:rFonts w:ascii="Arial" w:cs="Arial" w:eastAsia="Arial" w:hAnsi="Arial"/>
          <w:sz w:val="11"/>
          <w:szCs w:val="11"/>
          <w:color w:val="auto"/>
        </w:rPr>
        <w:t>KEEP THIS PORTION FOR YOUR RECORDS</w:t>
      </w:r>
    </w:p>
    <w:p>
      <w:pPr>
        <w:spacing w:after="0" w:line="1" w:lineRule="exact"/>
        <w:rPr>
          <w:sz w:val="20"/>
          <w:szCs w:val="20"/>
          <w:color w:val="auto"/>
        </w:rPr>
      </w:pPr>
    </w:p>
    <w:p>
      <w:pPr>
        <w:sectPr>
          <w:pgSz w:w="11900" w:h="16838" w:orient="portrait"/>
          <w:cols w:equalWidth="0" w:num="2">
            <w:col w:w="4320" w:space="640"/>
            <w:col w:w="4760"/>
          </w:cols>
          <w:pgMar w:left="1080" w:top="246" w:right="1099" w:bottom="1440" w:gutter="0" w:footer="0" w:header="0"/>
        </w:sectPr>
      </w:pPr>
    </w:p>
    <w:p>
      <w:pPr>
        <w:jc w:val="right"/>
        <w:ind w:right="40"/>
        <w:spacing w:after="0"/>
        <w:rPr>
          <w:sz w:val="20"/>
          <w:szCs w:val="20"/>
          <w:color w:val="auto"/>
        </w:rPr>
      </w:pPr>
      <w:r>
        <w:rPr>
          <w:rFonts w:ascii="Arial" w:cs="Arial" w:eastAsia="Arial" w:hAnsi="Arial"/>
          <w:sz w:val="16"/>
          <w:szCs w:val="16"/>
          <w:color w:val="auto"/>
        </w:rPr>
        <w:t>—————————————————————————————————————————————————</w:t>
      </w:r>
    </w:p>
    <w:p>
      <w:pPr>
        <w:jc w:val="right"/>
        <w:spacing w:after="0"/>
        <w:tabs>
          <w:tab w:leader="none" w:pos="2580" w:val="left"/>
        </w:tabs>
        <w:rPr>
          <w:sz w:val="20"/>
          <w:szCs w:val="20"/>
          <w:color w:val="auto"/>
        </w:rPr>
      </w:pPr>
      <w:r>
        <w:rPr>
          <w:rFonts w:ascii="Arial" w:cs="Arial" w:eastAsia="Arial" w:hAnsi="Arial"/>
          <w:sz w:val="13"/>
          <w:szCs w:val="13"/>
          <w:b w:val="1"/>
          <w:bCs w:val="1"/>
          <w:color w:val="auto"/>
        </w:rPr>
        <w:t>THIS PROXY CARD IS VALID ONLY WHEN SIGNED AND DATED.</w:t>
      </w:r>
      <w:r>
        <w:rPr>
          <w:sz w:val="20"/>
          <w:szCs w:val="20"/>
          <w:color w:val="auto"/>
        </w:rPr>
        <w:tab/>
      </w:r>
      <w:r>
        <w:rPr>
          <w:rFonts w:ascii="Arial" w:cs="Arial" w:eastAsia="Arial" w:hAnsi="Arial"/>
          <w:sz w:val="18"/>
          <w:szCs w:val="18"/>
          <w:color w:val="auto"/>
          <w:vertAlign w:val="superscript"/>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6176645" cy="32442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176645" cy="3244215"/>
                    </a:xfrm>
                    <a:prstGeom prst="rect">
                      <a:avLst/>
                    </a:prstGeom>
                    <a:noFill/>
                  </pic:spPr>
                </pic:pic>
              </a:graphicData>
            </a:graphic>
          </wp:anchor>
        </w:drawing>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CENTERPOINT ENERGY, INC.</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00" w:type="dxa"/>
            <w:vAlign w:val="bottom"/>
            <w:gridSpan w:val="2"/>
          </w:tcPr>
          <w:p>
            <w:pPr>
              <w:ind w:left="200"/>
              <w:spacing w:after="0"/>
              <w:rPr>
                <w:sz w:val="20"/>
                <w:szCs w:val="20"/>
                <w:color w:val="auto"/>
              </w:rPr>
            </w:pPr>
            <w:r>
              <w:rPr>
                <w:rFonts w:ascii="Arial" w:cs="Arial" w:eastAsia="Arial" w:hAnsi="Arial"/>
                <w:sz w:val="13"/>
                <w:szCs w:val="13"/>
                <w:b w:val="1"/>
                <w:bCs w:val="1"/>
                <w:color w:val="auto"/>
              </w:rPr>
              <w:t>The Board of Directors recommends you vote</w:t>
            </w: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100" w:type="dxa"/>
            <w:vAlign w:val="bottom"/>
            <w:gridSpan w:val="2"/>
          </w:tcPr>
          <w:p>
            <w:pPr>
              <w:ind w:left="200"/>
              <w:spacing w:after="0"/>
              <w:rPr>
                <w:sz w:val="20"/>
                <w:szCs w:val="20"/>
                <w:color w:val="auto"/>
              </w:rPr>
            </w:pPr>
            <w:r>
              <w:rPr>
                <w:rFonts w:ascii="Arial" w:cs="Arial" w:eastAsia="Arial" w:hAnsi="Arial"/>
                <w:sz w:val="13"/>
                <w:szCs w:val="13"/>
                <w:b w:val="1"/>
                <w:bCs w:val="1"/>
                <w:color w:val="auto"/>
              </w:rPr>
              <w:t>FOR the following:</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100" w:type="dxa"/>
            <w:vAlign w:val="bottom"/>
            <w:gridSpan w:val="2"/>
          </w:tcPr>
          <w:p>
            <w:pPr>
              <w:ind w:left="200"/>
              <w:spacing w:after="0"/>
              <w:rPr>
                <w:sz w:val="20"/>
                <w:szCs w:val="20"/>
                <w:color w:val="auto"/>
              </w:rPr>
            </w:pPr>
            <w:r>
              <w:rPr>
                <w:rFonts w:ascii="Arial" w:cs="Arial" w:eastAsia="Arial" w:hAnsi="Arial"/>
                <w:sz w:val="13"/>
                <w:szCs w:val="13"/>
                <w:color w:val="auto"/>
              </w:rPr>
              <w:t>1.   Election of Directors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00" w:type="dxa"/>
            <w:vAlign w:val="bottom"/>
            <w:gridSpan w:val="2"/>
          </w:tcPr>
          <w:p>
            <w:pPr>
              <w:ind w:left="440"/>
              <w:spacing w:after="0"/>
              <w:rPr>
                <w:sz w:val="20"/>
                <w:szCs w:val="20"/>
                <w:color w:val="auto"/>
              </w:rPr>
            </w:pPr>
            <w:r>
              <w:rPr>
                <w:rFonts w:ascii="Arial" w:cs="Arial" w:eastAsia="Arial" w:hAnsi="Arial"/>
                <w:sz w:val="13"/>
                <w:szCs w:val="13"/>
                <w:b w:val="1"/>
                <w:bCs w:val="1"/>
                <w:color w:val="auto"/>
              </w:rPr>
              <w:t>Nominees:</w:t>
            </w:r>
          </w:p>
        </w:tc>
        <w:tc>
          <w:tcPr>
            <w:tcW w:w="720" w:type="dxa"/>
            <w:vAlign w:val="bottom"/>
          </w:tcPr>
          <w:p>
            <w:pPr>
              <w:jc w:val="center"/>
              <w:ind w:left="337"/>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Abstain</w:t>
            </w:r>
          </w:p>
        </w:tc>
        <w:tc>
          <w:tcPr>
            <w:tcW w:w="2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80" w:type="dxa"/>
            <w:vAlign w:val="bottom"/>
          </w:tcPr>
          <w:p>
            <w:pPr>
              <w:ind w:left="440"/>
              <w:spacing w:after="0"/>
              <w:rPr>
                <w:sz w:val="20"/>
                <w:szCs w:val="20"/>
                <w:color w:val="auto"/>
              </w:rPr>
            </w:pPr>
            <w:r>
              <w:rPr>
                <w:rFonts w:ascii="Arial" w:cs="Arial" w:eastAsia="Arial" w:hAnsi="Arial"/>
                <w:sz w:val="13"/>
                <w:szCs w:val="13"/>
                <w:color w:val="auto"/>
              </w:rPr>
              <w:t>1a.</w:t>
            </w:r>
          </w:p>
        </w:tc>
        <w:tc>
          <w:tcPr>
            <w:tcW w:w="2420" w:type="dxa"/>
            <w:vAlign w:val="bottom"/>
          </w:tcPr>
          <w:p>
            <w:pPr>
              <w:ind w:left="80"/>
              <w:spacing w:after="0"/>
              <w:rPr>
                <w:sz w:val="20"/>
                <w:szCs w:val="20"/>
                <w:color w:val="auto"/>
              </w:rPr>
            </w:pPr>
            <w:r>
              <w:rPr>
                <w:rFonts w:ascii="Arial" w:cs="Arial" w:eastAsia="Arial" w:hAnsi="Arial"/>
                <w:sz w:val="13"/>
                <w:szCs w:val="13"/>
                <w:color w:val="auto"/>
              </w:rPr>
              <w:t>Leslie D. Biddle</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vMerge w:val="restart"/>
          </w:tcPr>
          <w:p>
            <w:pPr>
              <w:ind w:left="160"/>
              <w:spacing w:after="0"/>
              <w:rPr>
                <w:sz w:val="20"/>
                <w:szCs w:val="20"/>
                <w:color w:val="auto"/>
              </w:rPr>
            </w:pPr>
            <w:r>
              <w:rPr>
                <w:rFonts w:ascii="Arial" w:cs="Arial" w:eastAsia="Arial" w:hAnsi="Arial"/>
                <w:sz w:val="13"/>
                <w:szCs w:val="13"/>
                <w:b w:val="1"/>
                <w:bCs w:val="1"/>
                <w:color w:val="auto"/>
                <w:w w:val="91"/>
              </w:rPr>
              <w:t>The Board of Directors recommends you vote</w:t>
            </w:r>
          </w:p>
        </w:tc>
        <w:tc>
          <w:tcPr>
            <w:tcW w:w="40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5"/>
              </w:rPr>
              <w:t>For</w:t>
            </w:r>
          </w:p>
        </w:tc>
        <w:tc>
          <w:tcPr>
            <w:tcW w:w="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56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07"/>
        </w:trPr>
        <w:tc>
          <w:tcPr>
            <w:tcW w:w="680" w:type="dxa"/>
            <w:vAlign w:val="bottom"/>
            <w:vMerge w:val="restart"/>
          </w:tcPr>
          <w:p>
            <w:pPr>
              <w:ind w:left="440"/>
              <w:spacing w:after="0"/>
              <w:rPr>
                <w:sz w:val="20"/>
                <w:szCs w:val="20"/>
                <w:color w:val="auto"/>
              </w:rPr>
            </w:pPr>
            <w:r>
              <w:rPr>
                <w:rFonts w:ascii="Arial" w:cs="Arial" w:eastAsia="Arial" w:hAnsi="Arial"/>
                <w:sz w:val="13"/>
                <w:szCs w:val="13"/>
                <w:color w:val="auto"/>
              </w:rPr>
              <w:t>1b.</w:t>
            </w:r>
          </w:p>
        </w:tc>
        <w:tc>
          <w:tcPr>
            <w:tcW w:w="2420" w:type="dxa"/>
            <w:vAlign w:val="bottom"/>
            <w:vMerge w:val="restart"/>
          </w:tcPr>
          <w:p>
            <w:pPr>
              <w:ind w:left="80"/>
              <w:spacing w:after="0"/>
              <w:rPr>
                <w:sz w:val="20"/>
                <w:szCs w:val="20"/>
                <w:color w:val="auto"/>
              </w:rPr>
            </w:pPr>
            <w:r>
              <w:rPr>
                <w:rFonts w:ascii="Arial" w:cs="Arial" w:eastAsia="Arial" w:hAnsi="Arial"/>
                <w:sz w:val="13"/>
                <w:szCs w:val="13"/>
                <w:color w:val="auto"/>
              </w:rPr>
              <w:t>Milton Carroll</w:t>
            </w:r>
          </w:p>
        </w:tc>
        <w:tc>
          <w:tcPr>
            <w:tcW w:w="720" w:type="dxa"/>
            <w:vAlign w:val="bottom"/>
            <w:vMerge w:val="restart"/>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8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3"/>
                <w:szCs w:val="13"/>
                <w:b w:val="1"/>
                <w:bCs w:val="1"/>
                <w:color w:val="auto"/>
              </w:rPr>
              <w:t>FOR the following proposals:</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80" w:type="dxa"/>
            <w:vAlign w:val="bottom"/>
          </w:tcPr>
          <w:p>
            <w:pPr>
              <w:ind w:left="440"/>
              <w:spacing w:after="0"/>
              <w:rPr>
                <w:sz w:val="20"/>
                <w:szCs w:val="20"/>
                <w:color w:val="auto"/>
              </w:rPr>
            </w:pPr>
            <w:r>
              <w:rPr>
                <w:rFonts w:ascii="Arial" w:cs="Arial" w:eastAsia="Arial" w:hAnsi="Arial"/>
                <w:sz w:val="13"/>
                <w:szCs w:val="13"/>
                <w:color w:val="auto"/>
              </w:rPr>
              <w:t>1c.</w:t>
            </w:r>
          </w:p>
        </w:tc>
        <w:tc>
          <w:tcPr>
            <w:tcW w:w="2420" w:type="dxa"/>
            <w:vAlign w:val="bottom"/>
          </w:tcPr>
          <w:p>
            <w:pPr>
              <w:ind w:left="80"/>
              <w:spacing w:after="0"/>
              <w:rPr>
                <w:sz w:val="20"/>
                <w:szCs w:val="20"/>
                <w:color w:val="auto"/>
              </w:rPr>
            </w:pPr>
            <w:r>
              <w:rPr>
                <w:rFonts w:ascii="Arial" w:cs="Arial" w:eastAsia="Arial" w:hAnsi="Arial"/>
                <w:sz w:val="13"/>
                <w:szCs w:val="13"/>
                <w:color w:val="auto"/>
              </w:rPr>
              <w:t>Wendy Montoya Cloonan</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tcPr>
          <w:p>
            <w:pPr>
              <w:ind w:left="160"/>
              <w:spacing w:after="0"/>
              <w:rPr>
                <w:sz w:val="20"/>
                <w:szCs w:val="20"/>
                <w:color w:val="auto"/>
              </w:rPr>
            </w:pPr>
            <w:r>
              <w:rPr>
                <w:rFonts w:ascii="Arial" w:cs="Arial" w:eastAsia="Arial" w:hAnsi="Arial"/>
                <w:sz w:val="13"/>
                <w:szCs w:val="13"/>
                <w:color w:val="auto"/>
              </w:rPr>
              <w:t>2.  Ratify the appointment of Deloitte &amp;</w:t>
            </w:r>
          </w:p>
        </w:tc>
        <w:tc>
          <w:tcPr>
            <w:tcW w:w="40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20" w:type="dxa"/>
            <w:vAlign w:val="bottom"/>
            <w:vMerge w:val="restart"/>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tcPr>
          <w:p>
            <w:pPr>
              <w:ind w:left="380"/>
              <w:spacing w:after="0" w:line="127" w:lineRule="exact"/>
              <w:rPr>
                <w:sz w:val="20"/>
                <w:szCs w:val="20"/>
                <w:color w:val="auto"/>
              </w:rPr>
            </w:pPr>
            <w:r>
              <w:rPr>
                <w:rFonts w:ascii="Arial" w:cs="Arial" w:eastAsia="Arial" w:hAnsi="Arial"/>
                <w:sz w:val="13"/>
                <w:szCs w:val="13"/>
                <w:color w:val="auto"/>
                <w:w w:val="96"/>
              </w:rPr>
              <w:t>Touche LLP as the independent registered</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80" w:type="dxa"/>
            <w:vAlign w:val="bottom"/>
          </w:tcPr>
          <w:p>
            <w:pPr>
              <w:ind w:left="440"/>
              <w:spacing w:after="0"/>
              <w:rPr>
                <w:sz w:val="20"/>
                <w:szCs w:val="20"/>
                <w:color w:val="auto"/>
              </w:rPr>
            </w:pPr>
            <w:r>
              <w:rPr>
                <w:rFonts w:ascii="Arial" w:cs="Arial" w:eastAsia="Arial" w:hAnsi="Arial"/>
                <w:sz w:val="13"/>
                <w:szCs w:val="13"/>
                <w:color w:val="auto"/>
              </w:rPr>
              <w:t>1d.</w:t>
            </w:r>
          </w:p>
        </w:tc>
        <w:tc>
          <w:tcPr>
            <w:tcW w:w="2420" w:type="dxa"/>
            <w:vAlign w:val="bottom"/>
          </w:tcPr>
          <w:p>
            <w:pPr>
              <w:ind w:left="80"/>
              <w:spacing w:after="0"/>
              <w:rPr>
                <w:sz w:val="20"/>
                <w:szCs w:val="20"/>
                <w:color w:val="auto"/>
              </w:rPr>
            </w:pPr>
            <w:r>
              <w:rPr>
                <w:rFonts w:ascii="Arial" w:cs="Arial" w:eastAsia="Arial" w:hAnsi="Arial"/>
                <w:sz w:val="13"/>
                <w:szCs w:val="13"/>
                <w:color w:val="auto"/>
              </w:rPr>
              <w:t>Earl M. Cummings</w:t>
            </w:r>
          </w:p>
        </w:tc>
        <w:tc>
          <w:tcPr>
            <w:tcW w:w="7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760" w:type="dxa"/>
            <w:vAlign w:val="bottom"/>
          </w:tcPr>
          <w:p>
            <w:pPr>
              <w:ind w:left="380"/>
              <w:spacing w:after="0"/>
              <w:rPr>
                <w:sz w:val="20"/>
                <w:szCs w:val="20"/>
                <w:color w:val="auto"/>
              </w:rPr>
            </w:pPr>
            <w:r>
              <w:rPr>
                <w:rFonts w:ascii="Arial" w:cs="Arial" w:eastAsia="Arial" w:hAnsi="Arial"/>
                <w:sz w:val="13"/>
                <w:szCs w:val="13"/>
                <w:color w:val="auto"/>
              </w:rPr>
              <w:t>public accounting firm for 2021.</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440"/>
              <w:spacing w:after="0"/>
              <w:rPr>
                <w:sz w:val="20"/>
                <w:szCs w:val="20"/>
                <w:color w:val="auto"/>
              </w:rPr>
            </w:pPr>
            <w:r>
              <w:rPr>
                <w:rFonts w:ascii="Arial" w:cs="Arial" w:eastAsia="Arial" w:hAnsi="Arial"/>
                <w:sz w:val="13"/>
                <w:szCs w:val="13"/>
                <w:color w:val="auto"/>
              </w:rPr>
              <w:t>1e.</w:t>
            </w:r>
          </w:p>
        </w:tc>
        <w:tc>
          <w:tcPr>
            <w:tcW w:w="2420" w:type="dxa"/>
            <w:vAlign w:val="bottom"/>
          </w:tcPr>
          <w:p>
            <w:pPr>
              <w:ind w:left="80"/>
              <w:spacing w:after="0"/>
              <w:rPr>
                <w:sz w:val="20"/>
                <w:szCs w:val="20"/>
                <w:color w:val="auto"/>
              </w:rPr>
            </w:pPr>
            <w:r>
              <w:rPr>
                <w:rFonts w:ascii="Arial" w:cs="Arial" w:eastAsia="Arial" w:hAnsi="Arial"/>
                <w:sz w:val="13"/>
                <w:szCs w:val="13"/>
                <w:color w:val="auto"/>
              </w:rPr>
              <w:t>David J. Lesar</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vMerge w:val="restart"/>
          </w:tcPr>
          <w:p>
            <w:pPr>
              <w:ind w:left="160"/>
              <w:spacing w:after="0"/>
              <w:rPr>
                <w:sz w:val="20"/>
                <w:szCs w:val="20"/>
                <w:color w:val="auto"/>
              </w:rPr>
            </w:pPr>
            <w:r>
              <w:rPr>
                <w:rFonts w:ascii="Arial" w:cs="Arial" w:eastAsia="Arial" w:hAnsi="Arial"/>
                <w:sz w:val="13"/>
                <w:szCs w:val="13"/>
                <w:color w:val="auto"/>
              </w:rPr>
              <w:t>3.  Approve the advisory resolution on</w:t>
            </w:r>
          </w:p>
        </w:tc>
        <w:tc>
          <w:tcPr>
            <w:tcW w:w="400" w:type="dxa"/>
            <w:vAlign w:val="bottom"/>
            <w:vMerge w:val="restart"/>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11"/>
        </w:trPr>
        <w:tc>
          <w:tcPr>
            <w:tcW w:w="680" w:type="dxa"/>
            <w:vAlign w:val="bottom"/>
            <w:vMerge w:val="restart"/>
          </w:tcPr>
          <w:p>
            <w:pPr>
              <w:ind w:left="440"/>
              <w:spacing w:after="0"/>
              <w:rPr>
                <w:sz w:val="20"/>
                <w:szCs w:val="20"/>
                <w:color w:val="auto"/>
              </w:rPr>
            </w:pPr>
            <w:r>
              <w:rPr>
                <w:rFonts w:ascii="Arial" w:cs="Arial" w:eastAsia="Arial" w:hAnsi="Arial"/>
                <w:sz w:val="13"/>
                <w:szCs w:val="13"/>
                <w:color w:val="auto"/>
              </w:rPr>
              <w:t>1f.</w:t>
            </w: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Martin H. Nesbitt</w:t>
            </w:r>
          </w:p>
        </w:tc>
        <w:tc>
          <w:tcPr>
            <w:tcW w:w="720" w:type="dxa"/>
            <w:vAlign w:val="bottom"/>
            <w:vMerge w:val="restart"/>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680" w:type="dxa"/>
            <w:vAlign w:val="bottom"/>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760" w:type="dxa"/>
            <w:vAlign w:val="bottom"/>
          </w:tcPr>
          <w:p>
            <w:pPr>
              <w:ind w:left="380"/>
              <w:spacing w:after="0"/>
              <w:rPr>
                <w:sz w:val="20"/>
                <w:szCs w:val="20"/>
                <w:color w:val="auto"/>
              </w:rPr>
            </w:pPr>
            <w:r>
              <w:rPr>
                <w:rFonts w:ascii="Arial" w:cs="Arial" w:eastAsia="Arial" w:hAnsi="Arial"/>
                <w:sz w:val="13"/>
                <w:szCs w:val="13"/>
                <w:color w:val="auto"/>
              </w:rPr>
              <w:t>executive compensation.</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440"/>
              <w:spacing w:after="0"/>
              <w:rPr>
                <w:sz w:val="20"/>
                <w:szCs w:val="20"/>
                <w:color w:val="auto"/>
              </w:rPr>
            </w:pPr>
            <w:r>
              <w:rPr>
                <w:rFonts w:ascii="Arial" w:cs="Arial" w:eastAsia="Arial" w:hAnsi="Arial"/>
                <w:sz w:val="13"/>
                <w:szCs w:val="13"/>
                <w:color w:val="auto"/>
              </w:rPr>
              <w:t>1g.</w:t>
            </w:r>
          </w:p>
        </w:tc>
        <w:tc>
          <w:tcPr>
            <w:tcW w:w="2420" w:type="dxa"/>
            <w:vAlign w:val="bottom"/>
          </w:tcPr>
          <w:p>
            <w:pPr>
              <w:ind w:left="80"/>
              <w:spacing w:after="0"/>
              <w:rPr>
                <w:sz w:val="20"/>
                <w:szCs w:val="20"/>
                <w:color w:val="auto"/>
              </w:rPr>
            </w:pPr>
            <w:r>
              <w:rPr>
                <w:rFonts w:ascii="Arial" w:cs="Arial" w:eastAsia="Arial" w:hAnsi="Arial"/>
                <w:sz w:val="13"/>
                <w:szCs w:val="13"/>
                <w:color w:val="auto"/>
              </w:rPr>
              <w:t>Theodore F. Pound</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440"/>
              <w:spacing w:after="0"/>
              <w:rPr>
                <w:sz w:val="20"/>
                <w:szCs w:val="20"/>
                <w:color w:val="auto"/>
              </w:rPr>
            </w:pPr>
            <w:r>
              <w:rPr>
                <w:rFonts w:ascii="Arial" w:cs="Arial" w:eastAsia="Arial" w:hAnsi="Arial"/>
                <w:sz w:val="13"/>
                <w:szCs w:val="13"/>
                <w:color w:val="auto"/>
              </w:rPr>
              <w:t>1h.</w:t>
            </w:r>
          </w:p>
        </w:tc>
        <w:tc>
          <w:tcPr>
            <w:tcW w:w="2420" w:type="dxa"/>
            <w:vAlign w:val="bottom"/>
          </w:tcPr>
          <w:p>
            <w:pPr>
              <w:ind w:left="80"/>
              <w:spacing w:after="0"/>
              <w:rPr>
                <w:sz w:val="20"/>
                <w:szCs w:val="20"/>
                <w:color w:val="auto"/>
              </w:rPr>
            </w:pPr>
            <w:r>
              <w:rPr>
                <w:rFonts w:ascii="Arial" w:cs="Arial" w:eastAsia="Arial" w:hAnsi="Arial"/>
                <w:sz w:val="13"/>
                <w:szCs w:val="13"/>
                <w:color w:val="auto"/>
              </w:rPr>
              <w:t>Phillip R. Smith</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80" w:type="dxa"/>
            <w:vAlign w:val="bottom"/>
          </w:tcPr>
          <w:p>
            <w:pPr>
              <w:ind w:left="440"/>
              <w:spacing w:after="0"/>
              <w:rPr>
                <w:sz w:val="20"/>
                <w:szCs w:val="20"/>
                <w:color w:val="auto"/>
              </w:rPr>
            </w:pPr>
            <w:r>
              <w:rPr>
                <w:rFonts w:ascii="Arial" w:cs="Arial" w:eastAsia="Arial" w:hAnsi="Arial"/>
                <w:sz w:val="13"/>
                <w:szCs w:val="13"/>
                <w:color w:val="auto"/>
              </w:rPr>
              <w:t>1i.</w:t>
            </w:r>
          </w:p>
        </w:tc>
        <w:tc>
          <w:tcPr>
            <w:tcW w:w="2420" w:type="dxa"/>
            <w:vAlign w:val="bottom"/>
          </w:tcPr>
          <w:p>
            <w:pPr>
              <w:ind w:left="80"/>
              <w:spacing w:after="0"/>
              <w:rPr>
                <w:sz w:val="20"/>
                <w:szCs w:val="20"/>
                <w:color w:val="auto"/>
              </w:rPr>
            </w:pPr>
            <w:r>
              <w:rPr>
                <w:rFonts w:ascii="Arial" w:cs="Arial" w:eastAsia="Arial" w:hAnsi="Arial"/>
                <w:sz w:val="13"/>
                <w:szCs w:val="13"/>
                <w:color w:val="auto"/>
              </w:rPr>
              <w:t>Barry T. Smitherman</w:t>
            </w:r>
          </w:p>
        </w:tc>
        <w:tc>
          <w:tcPr>
            <w:tcW w:w="720" w:type="dxa"/>
            <w:vAlign w:val="bottom"/>
          </w:tcPr>
          <w:p>
            <w:pPr>
              <w:jc w:val="center"/>
              <w:ind w:left="33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right="37"/>
              <w:spacing w:after="0" w:line="131" w:lineRule="exact"/>
              <w:rPr>
                <w:sz w:val="20"/>
                <w:szCs w:val="20"/>
                <w:color w:val="auto"/>
              </w:rPr>
            </w:pPr>
            <w:r>
              <w:rPr>
                <w:rFonts w:ascii="MS PGothic" w:cs="MS PGothic" w:eastAsia="MS PGothic" w:hAnsi="MS PGothic"/>
                <w:sz w:val="13"/>
                <w:szCs w:val="13"/>
                <w:color w:val="auto"/>
                <w:w w:val="91"/>
              </w:rPr>
              <w:t>☐</w:t>
            </w:r>
          </w:p>
        </w:tc>
        <w:tc>
          <w:tcPr>
            <w:tcW w:w="2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Sign exactly as your name(s) appear(s) hereon. When signing as attorney, executor, administrator, or other fiduciary, please give full title as such.</w:t>
      </w:r>
    </w:p>
    <w:p>
      <w:pPr>
        <w:sectPr>
          <w:pgSz w:w="11900" w:h="16838" w:orient="portrait"/>
          <w:cols w:equalWidth="0" w:num="1">
            <w:col w:w="9720"/>
          </w:cols>
          <w:pgMar w:left="1080" w:top="246" w:right="10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Signature [PLEASE SIGN WITHIN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Date</w:t>
      </w:r>
    </w:p>
    <w:p>
      <w:pPr>
        <w:sectPr>
          <w:pgSz w:w="11900" w:h="16838" w:orient="portrait"/>
          <w:cols w:equalWidth="0" w:num="2">
            <w:col w:w="2600" w:space="600"/>
            <w:col w:w="6520"/>
          </w:cols>
          <w:pgMar w:left="1080" w:top="246" w:right="1099" w:bottom="1440" w:gutter="0" w:footer="0" w:header="0"/>
          <w:type w:val="continuous"/>
        </w:sectPr>
      </w:pPr>
    </w:p>
    <w:bookmarkStart w:id="98" w:name="page99"/>
    <w:bookmarkEnd w:id="98"/>
    <w:p>
      <w:pPr>
        <w:ind w:left="27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3435" cy="228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63435" cy="22860"/>
                    </a:xfrm>
                    <a:prstGeom prst="rect">
                      <a:avLst/>
                    </a:prstGeom>
                    <a:noFill/>
                  </pic:spPr>
                </pic:pic>
              </a:graphicData>
            </a:graphic>
          </wp:anchor>
        </w:drawing>
        <w:t>Important Notice Regarding the Availability of Proxy Materials</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for the Annual Shareholder Meeting to be Held April 23, 2021.</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Notice &amp; Proxy Statement and Annual Report are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available at: http://materials.proxyvote.com/15189T</w:t>
      </w:r>
    </w:p>
    <w:p>
      <w:pPr>
        <w:spacing w:after="0" w:line="186"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This proxy covers all shares of common stock in the CenterPoint Energy, Inc. stock fund under the CenterPoint Energy Savings Plan (Plan) for which the undersigned has the right to give confidential voting instructions to The Northern Trust Company, Trustee of the Plan. Under the Plan, participants are “named fiduciaries” as defined under ERISA to the extent of their authority to direct the voting of shares held in their accounts and their proportionate share of allocated shares for which no direction is received and unallocated shares, if any (together, “Undirected Shares”). This proxy, when properly executed, will be voted by the Trustee as directed by the undersigned. If no direction is given to the Trustee by 11:59 p.m. Eastern Time on April 20, 2021, The Northern Trust Company, as Trustee, will vote the Undirected Shares in the same proportion as the shares for which directions are received, except as otherwise provided in accordance with ERISA.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98" w:lineRule="exact"/>
        <w:rPr>
          <w:sz w:val="20"/>
          <w:szCs w:val="20"/>
          <w:color w:val="auto"/>
        </w:rPr>
      </w:pPr>
    </w:p>
    <w:p>
      <w:pPr>
        <w:ind w:left="8820"/>
        <w:spacing w:after="0"/>
        <w:rPr>
          <w:sz w:val="20"/>
          <w:szCs w:val="20"/>
          <w:color w:val="auto"/>
        </w:rPr>
      </w:pPr>
      <w:r>
        <w:rPr>
          <w:rFonts w:ascii="Arial" w:cs="Arial" w:eastAsia="Arial" w:hAnsi="Arial"/>
          <w:sz w:val="11"/>
          <w:szCs w:val="11"/>
          <w:color w:val="auto"/>
        </w:rPr>
        <w:t>D36029-P49427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176645" cy="27762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176645" cy="27762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CENTERPOINT ENERGY,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2021 Annual Meeting of Shareholders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Proxy-Common Stock</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186" w:lineRule="exact"/>
        <w:rPr>
          <w:sz w:val="20"/>
          <w:szCs w:val="20"/>
          <w:color w:val="auto"/>
        </w:rPr>
      </w:pPr>
    </w:p>
    <w:p>
      <w:pPr>
        <w:ind w:left="120" w:right="220"/>
        <w:spacing w:after="0" w:line="255" w:lineRule="auto"/>
        <w:rPr>
          <w:sz w:val="20"/>
          <w:szCs w:val="20"/>
          <w:color w:val="auto"/>
        </w:rPr>
      </w:pPr>
      <w:r>
        <w:rPr>
          <w:rFonts w:ascii="Arial" w:cs="Arial" w:eastAsia="Arial" w:hAnsi="Arial"/>
          <w:sz w:val="16"/>
          <w:szCs w:val="16"/>
          <w:color w:val="auto"/>
        </w:rPr>
        <w:t>The undersigned hereby appoints The Northern Trust Company to vote as designated on the reverse side, all shares of common stock held by the undersigned at the Annual Meeting of Shareholders of CenterPoint Energy, Inc. to be held on Friday, April 23, 2021 at 9:00 a.m. in the Auditorium of 1111 Louisiana Street, Houston, Texas and any adjournments thereof, revoking any proxy heretofore given and with discretionary authority to vote on all other matters that may properly come before the meeting.</w:t>
      </w:r>
    </w:p>
    <w:p>
      <w:pPr>
        <w:spacing w:after="0" w:line="170" w:lineRule="exact"/>
        <w:rPr>
          <w:sz w:val="20"/>
          <w:szCs w:val="20"/>
          <w:color w:val="auto"/>
        </w:rPr>
      </w:pPr>
    </w:p>
    <w:p>
      <w:pPr>
        <w:ind w:left="120" w:right="80"/>
        <w:spacing w:after="0" w:line="255" w:lineRule="auto"/>
        <w:rPr>
          <w:sz w:val="20"/>
          <w:szCs w:val="20"/>
          <w:color w:val="auto"/>
        </w:rPr>
      </w:pPr>
      <w:r>
        <w:rPr>
          <w:rFonts w:ascii="Arial" w:cs="Arial" w:eastAsia="Arial" w:hAnsi="Arial"/>
          <w:sz w:val="16"/>
          <w:szCs w:val="16"/>
          <w:color w:val="auto"/>
        </w:rPr>
        <w:t xml:space="preserve">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w:t>
      </w:r>
      <w:r>
        <w:rPr>
          <w:rFonts w:ascii="Arial" w:cs="Arial" w:eastAsia="Arial" w:hAnsi="Arial"/>
          <w:sz w:val="16"/>
          <w:szCs w:val="16"/>
          <w:b w:val="1"/>
          <w:bCs w:val="1"/>
          <w:color w:val="auto"/>
        </w:rPr>
        <w:t>In absence of instructions to the contrary on a signed or executed proxy, the shares represented will be voted in accordance with</w:t>
      </w:r>
      <w:r>
        <w:rPr>
          <w:rFonts w:ascii="Arial" w:cs="Arial" w:eastAsia="Arial" w:hAnsi="Arial"/>
          <w:sz w:val="16"/>
          <w:szCs w:val="16"/>
          <w:color w:val="auto"/>
        </w:rPr>
        <w:t xml:space="preserve"> </w:t>
      </w:r>
      <w:r>
        <w:rPr>
          <w:rFonts w:ascii="Arial" w:cs="Arial" w:eastAsia="Arial" w:hAnsi="Arial"/>
          <w:sz w:val="16"/>
          <w:szCs w:val="16"/>
          <w:b w:val="1"/>
          <w:bCs w:val="1"/>
          <w:color w:val="auto"/>
        </w:rPr>
        <w:t>the Board’s recommendation.</w:t>
      </w:r>
    </w:p>
    <w:p>
      <w:pPr>
        <w:spacing w:after="0" w:line="170" w:lineRule="exact"/>
        <w:rPr>
          <w:sz w:val="20"/>
          <w:szCs w:val="20"/>
          <w:color w:val="auto"/>
        </w:rPr>
      </w:pPr>
    </w:p>
    <w:p>
      <w:pPr>
        <w:ind w:left="120" w:right="180"/>
        <w:spacing w:after="0" w:line="343" w:lineRule="auto"/>
        <w:rPr>
          <w:sz w:val="20"/>
          <w:szCs w:val="20"/>
          <w:color w:val="auto"/>
        </w:rPr>
      </w:pPr>
      <w:r>
        <w:rPr>
          <w:rFonts w:ascii="Arial" w:cs="Arial" w:eastAsia="Arial" w:hAnsi="Arial"/>
          <w:sz w:val="14"/>
          <w:szCs w:val="14"/>
          <w:color w:val="auto"/>
        </w:rPr>
        <w:t>The terms for Directors will expire in 2022. The Board of Directors recommends a vote FOR the nominees for Directors, FOR the appointment of Deloitte &amp; Touche LLP as the independent registered public accounting firm for 2021 and FOR the advisory resolution on executive compensation.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Continued and to be signed on reverse side</w:t>
      </w:r>
    </w:p>
    <w:sectPr>
      <w:pgSz w:w="11900" w:h="16838" w:orient="portrait"/>
      <w:cols w:equalWidth="0" w:num="1">
        <w:col w:w="9680"/>
      </w:cols>
      <w:pgMar w:left="1080" w:top="254"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lvl w:ilvl="1">
      <w:lvlJc w:val="left"/>
      <w:lvlText w:val="%2)"/>
      <w:numFmt w:val="decimal"/>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2"/>
      <w:numFmt w:val="bullet"/>
      <w:start w:val="1"/>
    </w:lvl>
  </w:abstractNum>
  <w:abstractNum w:abstractNumId="9">
    <w:nsid w:val="2F305DEF"/>
    <w:multiLevelType w:val="hybridMultilevel"/>
    <w:lvl w:ilvl="0">
      <w:lvlJc w:val="left"/>
      <w:lvlText w:val="4"/>
      <w:numFmt w:val="bullet"/>
      <w:start w:val="1"/>
    </w:lvl>
  </w:abstractNum>
  <w:abstractNum w:abstractNumId="10">
    <w:nsid w:val="25A70BF7"/>
    <w:multiLevelType w:val="hybridMultilevel"/>
    <w:lvl w:ilvl="0">
      <w:lvlJc w:val="left"/>
      <w:lvlText w:val="6"/>
      <w:numFmt w:val="bullet"/>
      <w:start w:val="1"/>
    </w:lvl>
  </w:abstractNum>
  <w:abstractNum w:abstractNumId="11">
    <w:nsid w:val="1DBABF00"/>
    <w:multiLevelType w:val="hybridMultilevel"/>
    <w:lvl w:ilvl="0">
      <w:lvlJc w:val="left"/>
      <w:lvlText w:val="8"/>
      <w:numFmt w:val="bullet"/>
      <w:start w:val="1"/>
    </w:lvl>
  </w:abstractNum>
  <w:abstractNum w:abstractNumId="12">
    <w:nsid w:val="4AD084E9"/>
    <w:multiLevelType w:val="hybridMultilevel"/>
    <w:lvl w:ilvl="0">
      <w:lvlJc w:val="left"/>
      <w:lvlText w:val="%1"/>
      <w:numFmt w:val="decimal"/>
      <w:start w:val="10"/>
    </w:lvl>
  </w:abstractNum>
  <w:abstractNum w:abstractNumId="13">
    <w:nsid w:val="1F48EAA1"/>
    <w:multiLevelType w:val="hybridMultilevel"/>
    <w:lvl w:ilvl="0">
      <w:lvlJc w:val="left"/>
      <w:lvlText w:val="%1"/>
      <w:numFmt w:val="decimal"/>
      <w:start w:val="12"/>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1"/>
      <w:numFmt w:val="decimal"/>
      <w:start w:val="14"/>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1"/>
      <w:numFmt w:val="decimal"/>
      <w:start w:val="16"/>
    </w:lvl>
  </w:abstractNum>
  <w:abstractNum w:abstractNumId="18">
    <w:nsid w:val="15014ACB"/>
    <w:multiLevelType w:val="hybridMultilevel"/>
    <w:lvl w:ilvl="0">
      <w:lvlJc w:val="left"/>
      <w:lvlText w:val="%1"/>
      <w:numFmt w:val="decimal"/>
      <w:start w:val="18"/>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1"/>
      <w:numFmt w:val="decimal"/>
      <w:start w:val="20"/>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1"/>
      <w:numFmt w:val="decimal"/>
      <w:start w:val="22"/>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1"/>
      <w:numFmt w:val="decimal"/>
      <w:start w:val="24"/>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1)"/>
      <w:numFmt w:val="decimal"/>
      <w:start w:val="3"/>
    </w:lvl>
  </w:abstractNum>
  <w:abstractNum w:abstractNumId="27">
    <w:nsid w:val="5DC79EA8"/>
    <w:multiLevelType w:val="hybridMultilevel"/>
    <w:lvl w:ilvl="0">
      <w:lvlJc w:val="left"/>
      <w:lvlText w:val="%1"/>
      <w:numFmt w:val="decimal"/>
      <w:start w:val="26"/>
    </w:lvl>
  </w:abstractNum>
  <w:abstractNum w:abstractNumId="28">
    <w:nsid w:val="540A471C"/>
    <w:multiLevelType w:val="hybridMultilevel"/>
    <w:lvl w:ilvl="0">
      <w:lvlJc w:val="left"/>
      <w:lvlText w:val="(%1)"/>
      <w:numFmt w:val="decimal"/>
      <w:start w:val="1"/>
    </w:lvl>
  </w:abstractNum>
  <w:abstractNum w:abstractNumId="29">
    <w:nsid w:val="7BD3EE7B"/>
    <w:multiLevelType w:val="hybridMultilevel"/>
    <w:lvl w:ilvl="0">
      <w:lvlJc w:val="left"/>
      <w:lvlText w:val="(%1)"/>
      <w:numFmt w:val="decimal"/>
      <w:start w:val="3"/>
    </w:lvl>
  </w:abstractNum>
  <w:abstractNum w:abstractNumId="30">
    <w:nsid w:val="51D9C564"/>
    <w:multiLevelType w:val="hybridMultilevel"/>
    <w:lvl w:ilvl="0">
      <w:lvlJc w:val="left"/>
      <w:lvlText w:val="%1"/>
      <w:numFmt w:val="decimal"/>
      <w:start w:val="28"/>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1"/>
      <w:numFmt w:val="decimal"/>
      <w:start w:val="30"/>
    </w:lvl>
  </w:abstractNum>
  <w:abstractNum w:abstractNumId="33">
    <w:nsid w:val="11447B73"/>
    <w:multiLevelType w:val="hybridMultilevel"/>
    <w:lvl w:ilvl="0">
      <w:lvlJc w:val="left"/>
      <w:lvlText w:val="%1"/>
      <w:numFmt w:val="decimal"/>
      <w:start w:val="32"/>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1"/>
      <w:numFmt w:val="decimal"/>
      <w:start w:val="34"/>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1"/>
      <w:numFmt w:val="decimal"/>
      <w:start w:val="36"/>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1"/>
      <w:numFmt w:val="decimal"/>
      <w:start w:val="38"/>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1"/>
      <w:numFmt w:val="decimal"/>
      <w:start w:val="40"/>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1"/>
      <w:numFmt w:val="decimal"/>
      <w:start w:val="42"/>
    </w:lvl>
  </w:abstractNum>
  <w:abstractNum w:abstractNumId="48">
    <w:nsid w:val="7FB7E0AA"/>
    <w:multiLevelType w:val="hybridMultilevel"/>
    <w:lvl w:ilvl="0">
      <w:lvlJc w:val="left"/>
      <w:lvlText w:val="%1"/>
      <w:numFmt w:val="decimal"/>
      <w:start w:val="44"/>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1)"/>
      <w:numFmt w:val="decimal"/>
      <w:start w:val="1"/>
    </w:lvl>
  </w:abstractNum>
  <w:abstractNum w:abstractNumId="52">
    <w:nsid w:val="885E1B"/>
    <w:multiLevelType w:val="hybridMultilevel"/>
    <w:lvl w:ilvl="0">
      <w:lvlJc w:val="left"/>
      <w:lvlText w:val="%1"/>
      <w:numFmt w:val="decimal"/>
      <w:start w:val="46"/>
    </w:lvl>
  </w:abstractNum>
  <w:abstractNum w:abstractNumId="53">
    <w:nsid w:val="76272110"/>
    <w:multiLevelType w:val="hybridMultilevel"/>
    <w:lvl w:ilvl="0">
      <w:lvlJc w:val="left"/>
      <w:lvlText w:val="%1"/>
      <w:numFmt w:val="decimal"/>
      <w:start w:val="48"/>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1"/>
      <w:numFmt w:val="decimal"/>
      <w:start w:val="50"/>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1"/>
      <w:numFmt w:val="decimal"/>
      <w:start w:val="52"/>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1"/>
      <w:numFmt w:val="decimal"/>
      <w:start w:val="54"/>
    </w:lvl>
  </w:abstractNum>
  <w:abstractNum w:abstractNumId="61">
    <w:nsid w:val="46B7D447"/>
    <w:multiLevelType w:val="hybridMultilevel"/>
    <w:lvl w:ilvl="0">
      <w:lvlJc w:val="left"/>
      <w:lvlText w:val="(%1)"/>
      <w:numFmt w:val="decimal"/>
      <w:start w:val="1"/>
    </w:lvl>
  </w:abstractNum>
  <w:abstractNum w:abstractNumId="62">
    <w:nsid w:val="4A2AC315"/>
    <w:multiLevelType w:val="hybridMultilevel"/>
    <w:lvl w:ilvl="0">
      <w:lvlJc w:val="left"/>
      <w:lvlText w:val="(%1)"/>
      <w:numFmt w:val="decimal"/>
      <w:start w:val="3"/>
    </w:lvl>
  </w:abstractNum>
  <w:abstractNum w:abstractNumId="63">
    <w:nsid w:val="39EE015C"/>
    <w:multiLevelType w:val="hybridMultilevel"/>
    <w:lvl w:ilvl="0">
      <w:lvlJc w:val="left"/>
      <w:lvlText w:val="%1"/>
      <w:numFmt w:val="decimal"/>
      <w:start w:val="56"/>
    </w:lvl>
  </w:abstractNum>
  <w:abstractNum w:abstractNumId="64">
    <w:nsid w:val="57FC4FBB"/>
    <w:multiLevelType w:val="hybridMultilevel"/>
    <w:lvl w:ilvl="0">
      <w:lvlJc w:val="left"/>
      <w:lvlText w:val="(%1)"/>
      <w:numFmt w:val="decimal"/>
      <w:start w:val="5"/>
    </w:lvl>
  </w:abstractNum>
  <w:abstractNum w:abstractNumId="65">
    <w:nsid w:val="CC1016F"/>
    <w:multiLevelType w:val="hybridMultilevel"/>
    <w:lvl w:ilvl="0">
      <w:lvlJc w:val="left"/>
      <w:lvlText w:val="%1"/>
      <w:numFmt w:val="decimal"/>
      <w:start w:val="1"/>
    </w:lvl>
    <w:lvl w:ilvl="1">
      <w:lvlJc w:val="left"/>
      <w:lvlText w:val="(%2)"/>
      <w:numFmt w:val="lowerLetter"/>
      <w:start w:val="1"/>
    </w:lvl>
  </w:abstractNum>
  <w:abstractNum w:abstractNumId="66">
    <w:nsid w:val="43F18422"/>
    <w:multiLevelType w:val="hybridMultilevel"/>
    <w:lvl w:ilvl="0">
      <w:lvlJc w:val="left"/>
      <w:lvlText w:val="(%1)"/>
      <w:numFmt w:val="decimal"/>
      <w:start w:val="6"/>
    </w:lvl>
    <w:lvl w:ilvl="1">
      <w:lvlJc w:val="left"/>
      <w:lvlText w:val="%2"/>
      <w:numFmt w:val="lowerLetter"/>
      <w:start w:val="1"/>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1)"/>
      <w:numFmt w:val="lowerLetter"/>
      <w:start w:val="2"/>
    </w:lvl>
  </w:abstractNum>
  <w:abstractNum w:abstractNumId="69">
    <w:nsid w:val="7F01579B"/>
    <w:multiLevelType w:val="hybridMultilevel"/>
    <w:lvl w:ilvl="0">
      <w:lvlJc w:val="left"/>
      <w:lvlText w:val="%1"/>
      <w:numFmt w:val="decimal"/>
      <w:start w:val="58"/>
    </w:lvl>
  </w:abstractNum>
  <w:abstractNum w:abstractNumId="70">
    <w:nsid w:val="49DA307D"/>
    <w:multiLevelType w:val="hybridMultilevel"/>
    <w:lvl w:ilvl="0">
      <w:lvlJc w:val="left"/>
      <w:lvlText w:val="(%1)"/>
      <w:numFmt w:val="decimal"/>
      <w:start w:val="1"/>
    </w:lvl>
  </w:abstractNum>
  <w:abstractNum w:abstractNumId="71">
    <w:nsid w:val="7055A5F5"/>
    <w:multiLevelType w:val="hybridMultilevel"/>
    <w:lvl w:ilvl="0">
      <w:lvlJc w:val="left"/>
      <w:lvlText w:val="(%1)"/>
      <w:numFmt w:val="decimal"/>
      <w:start w:val="2"/>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1"/>
      <w:numFmt w:val="decimal"/>
      <w:start w:val="60"/>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1"/>
      <w:numFmt w:val="decimal"/>
      <w:start w:val="62"/>
    </w:lvl>
  </w:abstractNum>
  <w:abstractNum w:abstractNumId="78">
    <w:nsid w:val="6FC75AF8"/>
    <w:multiLevelType w:val="hybridMultilevel"/>
    <w:lvl w:ilvl="0">
      <w:lvlJc w:val="left"/>
      <w:lvlText w:val="(%1)"/>
      <w:numFmt w:val="decimal"/>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1"/>
      <w:numFmt w:val="decimal"/>
      <w:start w:val="64"/>
    </w:lvl>
  </w:abstractNum>
  <w:abstractNum w:abstractNumId="82">
    <w:nsid w:val="73A1821B"/>
    <w:multiLevelType w:val="hybridMultilevel"/>
    <w:lvl w:ilvl="0">
      <w:lvlJc w:val="left"/>
      <w:lvlText w:val="(%1)"/>
      <w:numFmt w:val="decimal"/>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decimal"/>
      <w:start w:val="2"/>
    </w:lvl>
  </w:abstractNum>
  <w:abstractNum w:abstractNumId="85">
    <w:nsid w:val="3FA62ACA"/>
    <w:multiLevelType w:val="hybridMultilevel"/>
    <w:lvl w:ilvl="0">
      <w:lvlJc w:val="left"/>
      <w:lvlText w:val="(%1)"/>
      <w:numFmt w:val="lowerLetter"/>
      <w:start w:val="1"/>
    </w:lvl>
  </w:abstractNum>
  <w:abstractNum w:abstractNumId="86">
    <w:nsid w:val="14FCE74E"/>
    <w:multiLevelType w:val="hybridMultilevel"/>
    <w:lvl w:ilvl="0">
      <w:lvlJc w:val="left"/>
      <w:lvlText w:val="%1"/>
      <w:numFmt w:val="decimal"/>
      <w:start w:val="66"/>
    </w:lvl>
  </w:abstractNum>
  <w:abstractNum w:abstractNumId="87">
    <w:nsid w:val="6A3DD3E8"/>
    <w:multiLevelType w:val="hybridMultilevel"/>
    <w:lvl w:ilvl="0">
      <w:lvlJc w:val="left"/>
      <w:lvlText w:val="(%1)"/>
      <w:numFmt w:val="decimal"/>
      <w:start w:val="1"/>
    </w:lvl>
  </w:abstractNum>
  <w:abstractNum w:abstractNumId="88">
    <w:nsid w:val="71C91298"/>
    <w:multiLevelType w:val="hybridMultilevel"/>
    <w:lvl w:ilvl="0">
      <w:lvlJc w:val="left"/>
      <w:lvlText w:val="(%1)"/>
      <w:numFmt w:val="lowerLetter"/>
      <w:start w:val="1"/>
    </w:lvl>
  </w:abstractNum>
  <w:abstractNum w:abstractNumId="89">
    <w:nsid w:val="9DAF632"/>
    <w:multiLevelType w:val="hybridMultilevel"/>
    <w:lvl w:ilvl="0">
      <w:lvlJc w:val="left"/>
      <w:lvlText w:val="(%1)"/>
      <w:numFmt w:val="decimal"/>
      <w:start w:val="1"/>
    </w:lvl>
  </w:abstractNum>
  <w:abstractNum w:abstractNumId="90">
    <w:nsid w:val="53299938"/>
    <w:multiLevelType w:val="hybridMultilevel"/>
    <w:lvl w:ilvl="0">
      <w:lvlJc w:val="left"/>
      <w:lvlText w:val="%1"/>
      <w:numFmt w:val="decimal"/>
      <w:start w:val="68"/>
    </w:lvl>
  </w:abstractNum>
  <w:abstractNum w:abstractNumId="91">
    <w:nsid w:val="1FBFE8E0"/>
    <w:multiLevelType w:val="hybridMultilevel"/>
    <w:lvl w:ilvl="0">
      <w:lvlJc w:val="left"/>
      <w:lvlText w:val="(%1)"/>
      <w:numFmt w:val="decimal"/>
      <w:start w:val="2"/>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1"/>
      <w:numFmt w:val="decimal"/>
      <w:start w:val="70"/>
    </w:lvl>
  </w:abstractNum>
  <w:abstractNum w:abstractNumId="94">
    <w:nsid w:val="59ADEA3D"/>
    <w:multiLevelType w:val="hybridMultilevel"/>
    <w:lvl w:ilvl="0">
      <w:lvlJc w:val="left"/>
      <w:lvlText w:val="(%1)"/>
      <w:numFmt w:val="decimal"/>
      <w:start w:val="1"/>
    </w:lvl>
  </w:abstractNum>
  <w:abstractNum w:abstractNumId="95">
    <w:nsid w:val="288F1A34"/>
    <w:multiLevelType w:val="hybridMultilevel"/>
    <w:lvl w:ilvl="0">
      <w:lvlJc w:val="left"/>
      <w:lvlText w:val="(%1)"/>
      <w:numFmt w:val="decimal"/>
      <w:start w:val="3"/>
    </w:lvl>
  </w:abstractNum>
  <w:abstractNum w:abstractNumId="96">
    <w:nsid w:val="2A155DBC"/>
    <w:multiLevelType w:val="hybridMultilevel"/>
    <w:lvl w:ilvl="0">
      <w:lvlJc w:val="left"/>
      <w:lvlText w:val="•"/>
      <w:numFmt w:val="bullet"/>
      <w:start w:val="1"/>
    </w:lvl>
    <w:lvl w:ilvl="1">
      <w:lvlJc w:val="left"/>
      <w:lvlText w:val="•"/>
      <w:numFmt w:val="bullet"/>
      <w:start w:val="1"/>
    </w:lvl>
  </w:abstractNum>
  <w:abstractNum w:abstractNumId="97">
    <w:nsid w:val="1D9F6E5F"/>
    <w:multiLevelType w:val="hybridMultilevel"/>
    <w:lvl w:ilvl="0">
      <w:lvlJc w:val="left"/>
      <w:lvlText w:val="%1"/>
      <w:numFmt w:val="decimal"/>
      <w:start w:val="72"/>
    </w:lvl>
  </w:abstractNum>
  <w:abstractNum w:abstractNumId="98">
    <w:nsid w:val="97E1B4E"/>
    <w:multiLevelType w:val="hybridMultilevel"/>
    <w:lvl w:ilvl="0">
      <w:lvlJc w:val="left"/>
      <w:lvlText w:val="•"/>
      <w:numFmt w:val="bullet"/>
      <w:start w:val="1"/>
    </w:lvl>
    <w:lvl w:ilvl="1">
      <w:lvlJc w:val="left"/>
      <w:lvlText w:val="•"/>
      <w:numFmt w:val="bullet"/>
      <w:start w:val="1"/>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1"/>
      <w:numFmt w:val="decimal"/>
      <w:start w:val="74"/>
    </w:lvl>
  </w:abstractNum>
  <w:abstractNum w:abstractNumId="101">
    <w:nsid w:val="53584BCB"/>
    <w:multiLevelType w:val="hybridMultilevel"/>
    <w:lvl w:ilvl="0">
      <w:lvlJc w:val="left"/>
      <w:lvlText w:val="(%1)"/>
      <w:numFmt w:val="decimal"/>
      <w:start w:val="2"/>
    </w:lvl>
  </w:abstractNum>
  <w:abstractNum w:abstractNumId="102">
    <w:nsid w:val="415E286C"/>
    <w:multiLevelType w:val="hybridMultilevel"/>
    <w:lvl w:ilvl="0">
      <w:lvlJc w:val="left"/>
      <w:lvlText w:val="(%1)"/>
      <w:numFmt w:val="decimal"/>
      <w:start w:val="1"/>
    </w:lvl>
  </w:abstractNum>
  <w:abstractNum w:abstractNumId="103">
    <w:nsid w:val="7C58FD05"/>
    <w:multiLevelType w:val="hybridMultilevel"/>
    <w:lvl w:ilvl="0">
      <w:lvlJc w:val="left"/>
      <w:lvlText w:val="(%1)"/>
      <w:numFmt w:val="decimal"/>
      <w:start w:val="1"/>
    </w:lvl>
  </w:abstractNum>
  <w:abstractNum w:abstractNumId="104">
    <w:nsid w:val="23D86AAC"/>
    <w:multiLevelType w:val="hybridMultilevel"/>
    <w:lvl w:ilvl="0">
      <w:lvlJc w:val="left"/>
      <w:lvlText w:val="(%1)"/>
      <w:numFmt w:val="decimal"/>
      <w:start w:val="1"/>
    </w:lvl>
  </w:abstractNum>
  <w:abstractNum w:abstractNumId="105">
    <w:nsid w:val="45E6D486"/>
    <w:multiLevelType w:val="hybridMultilevel"/>
    <w:lvl w:ilvl="0">
      <w:lvlJc w:val="left"/>
      <w:lvlText w:val="%1"/>
      <w:numFmt w:val="decimal"/>
      <w:start w:val="76"/>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
      <w:numFmt w:val="bullet"/>
      <w:start w:val="1"/>
    </w:lvl>
  </w:abstractNum>
  <w:abstractNum w:abstractNumId="108">
    <w:nsid w:val="3C5991AA"/>
    <w:multiLevelType w:val="hybridMultilevel"/>
    <w:lvl w:ilvl="0">
      <w:lvlJc w:val="left"/>
      <w:lvlText w:val="%1"/>
      <w:numFmt w:val="decimal"/>
      <w:start w:val="78"/>
    </w:lvl>
  </w:abstractNum>
  <w:abstractNum w:abstractNumId="109">
    <w:nsid w:val="4BD8591A"/>
    <w:multiLevelType w:val="hybridMultilevel"/>
    <w:lvl w:ilvl="0">
      <w:lvlJc w:val="left"/>
      <w:lvlText w:val="(%1)"/>
      <w:numFmt w:val="decimal"/>
      <w:start w:val="1"/>
    </w:lvl>
  </w:abstractNum>
  <w:abstractNum w:abstractNumId="110">
    <w:nsid w:val="78DF6A55"/>
    <w:multiLevelType w:val="hybridMultilevel"/>
    <w:lvl w:ilvl="0">
      <w:lvlJc w:val="left"/>
      <w:lvlText w:val="%1"/>
      <w:numFmt w:val="decimal"/>
      <w:start w:val="80"/>
    </w:lvl>
  </w:abstractNum>
  <w:abstractNum w:abstractNumId="111">
    <w:nsid w:val="39B7AAA2"/>
    <w:multiLevelType w:val="hybridMultilevel"/>
    <w:lvl w:ilvl="0">
      <w:lvlJc w:val="left"/>
      <w:lvlText w:val="(%1)"/>
      <w:numFmt w:val="lowerLetter"/>
      <w:start w:val="2"/>
    </w:lvl>
  </w:abstractNum>
  <w:abstractNum w:abstractNumId="112">
    <w:nsid w:val="2B0D8DBE"/>
    <w:multiLevelType w:val="hybridMultilevel"/>
    <w:lvl w:ilvl="0">
      <w:lvlJc w:val="left"/>
      <w:lvlText w:val="(%1)"/>
      <w:numFmt w:val="decimal"/>
      <w:start w:val="1"/>
    </w:lvl>
  </w:abstractNum>
  <w:abstractNum w:abstractNumId="113">
    <w:nsid w:val="6C80EC70"/>
    <w:multiLevelType w:val="hybridMultilevel"/>
    <w:lvl w:ilvl="0">
      <w:lvlJc w:val="left"/>
      <w:lvlText w:val="%1"/>
      <w:numFmt w:val="decimal"/>
      <w:start w:val="82"/>
    </w:lvl>
  </w:abstractNum>
  <w:abstractNum w:abstractNumId="114">
    <w:nsid w:val="379E21B5"/>
    <w:multiLevelType w:val="hybridMultilevel"/>
    <w:lvl w:ilvl="0">
      <w:lvlJc w:val="left"/>
      <w:lvlText w:val="%1"/>
      <w:numFmt w:val="decimal"/>
      <w:start w:val="84"/>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
      <w:numFmt w:val="bullet"/>
      <w:start w:val="1"/>
    </w:lvl>
  </w:abstractNum>
  <w:abstractNum w:abstractNumId="117">
    <w:nsid w:val="4C9B0904"/>
    <w:multiLevelType w:val="hybridMultilevel"/>
    <w:lvl w:ilvl="0">
      <w:lvlJc w:val="left"/>
      <w:lvlText w:val="%1"/>
      <w:numFmt w:val="decimal"/>
      <w:start w:val="86"/>
    </w:lvl>
  </w:abstractNum>
  <w:abstractNum w:abstractNumId="118">
    <w:nsid w:val="6AA7B75C"/>
    <w:multiLevelType w:val="hybridMultilevel"/>
    <w:lvl w:ilvl="0">
      <w:lvlJc w:val="left"/>
      <w:lvlText w:val="•"/>
      <w:numFmt w:val="bullet"/>
      <w:start w:val="1"/>
    </w:lvl>
  </w:abstractNum>
  <w:abstractNum w:abstractNumId="119">
    <w:nsid w:val="1DF029D3"/>
    <w:multiLevelType w:val="hybridMultilevel"/>
    <w:lvl w:ilvl="0">
      <w:lvlJc w:val="left"/>
      <w:lvlText w:val="%1"/>
      <w:numFmt w:val="decimal"/>
      <w:start w:val="8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2021-03-12T16:02:41Z</dcterms:created>
  <dcterms:modified xsi:type="dcterms:W3CDTF">2021-03-12T16:02:41Z</dcterms:modified>
</cp:coreProperties>
</file>