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5895d1_8k.htm"/>
      <w:bookmarkStart w:id="1" w:name="kstm2625895d1_8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Washington, D.C. 20549</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w:t>
      </w:r>
      <w:bookmarkStart w:id="2" w:name="xdx_906_edei--DocumentType_c20260921__20"/>
      <w:bookmarkEnd w:id="2"/>
      <w:r>
        <w:rPr>
          <w:rFonts w:ascii="Times New Roman;Times;Serif" w:hAnsi="Times New Roman;Times;Serif"/>
          <w:b/>
          <w:i w:val="false"/>
          <w:caps w:val="false"/>
          <w:smallCaps w:val="false"/>
          <w:sz w:val="20"/>
        </w:rPr>
        <w:t>8-K</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9_edei--DocumentPeriodEndDate_c202"/>
      <w:bookmarkEnd w:id="3"/>
      <w:r>
        <w:rPr>
          <w:rFonts w:ascii="Times New Roman;Times;Serif" w:hAnsi="Times New Roman;Times;Serif"/>
          <w:b/>
          <w:i w:val="false"/>
          <w:caps w:val="false"/>
          <w:smallCaps w:val="false"/>
          <w:sz w:val="20"/>
        </w:rPr>
        <w:t>September 21, 2026</w:t>
      </w:r>
    </w:p>
    <w:p>
      <w:pPr>
        <w:pStyle w:val="TextBody"/>
        <w:bidi w:val="0"/>
        <w:spacing w:before="0" w:after="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bookmarkStart w:id="4" w:name="xdx_90F_edei--EntityRegistrantName_c2026"/>
      <w:bookmarkEnd w:id="4"/>
      <w:r>
        <w:rPr>
          <w:rFonts w:ascii="Times New Roman;Times;Serif" w:hAnsi="Times New Roman;Times;Serif"/>
          <w:b/>
          <w:i w:val="false"/>
          <w:caps w:val="false"/>
          <w:smallCaps w:val="false"/>
          <w:sz w:val="28"/>
        </w:rPr>
        <w:t>CENTERPOINT ENERGY HOUSTON ELECTRIC, LLC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6030" w:type="dxa"/>
        <w:jc w:val="left"/>
        <w:tblInd w:w="0" w:type="dxa"/>
        <w:tblLayout w:type="fixed"/>
        <w:tblCellMar>
          <w:top w:w="0" w:type="dxa"/>
          <w:left w:w="0" w:type="dxa"/>
          <w:bottom w:w="0" w:type="dxa"/>
          <w:right w:w="0" w:type="dxa"/>
        </w:tblCellMar>
      </w:tblPr>
      <w:tblGrid>
        <w:gridCol w:w="2165"/>
        <w:gridCol w:w="60"/>
        <w:gridCol w:w="2210"/>
        <w:gridCol w:w="60"/>
        <w:gridCol w:w="1535"/>
      </w:tblGrid>
      <w:tr>
        <w:trPr/>
        <w:tc>
          <w:tcPr>
            <w:tcW w:w="216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5" w:name="xdx_90D_edei--EntityIncorporationStateCo"/>
            <w:bookmarkEnd w:id="5"/>
            <w:r>
              <w:rPr>
                <w:rFonts w:ascii="Times New Roman;Times;Serif" w:hAnsi="Times New Roman;Times;Serif"/>
                <w:b/>
                <w:i w:val="false"/>
                <w:caps w:val="false"/>
                <w:smallCaps w:val="false"/>
                <w:sz w:val="20"/>
              </w:rPr>
              <w:t>Texas</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221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2_edei--EntityFileNumber_c20260921"/>
            <w:bookmarkEnd w:id="6"/>
            <w:r>
              <w:rPr>
                <w:rFonts w:ascii="Times New Roman;Times;Serif" w:hAnsi="Times New Roman;Times;Serif"/>
                <w:b/>
                <w:i w:val="false"/>
                <w:caps w:val="false"/>
                <w:smallCaps w:val="false"/>
                <w:sz w:val="20"/>
              </w:rPr>
              <w:t>1-3187</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3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7" w:name="xdx_901_edei--EntityTaxIdentificationNum"/>
            <w:bookmarkEnd w:id="7"/>
            <w:r>
              <w:rPr>
                <w:rFonts w:ascii="Times New Roman;Times;Serif" w:hAnsi="Times New Roman;Times;Serif"/>
                <w:b/>
                <w:i w:val="false"/>
                <w:caps w:val="false"/>
                <w:smallCaps w:val="false"/>
                <w:sz w:val="20"/>
              </w:rPr>
              <w:t>22-3865106</w:t>
            </w:r>
          </w:p>
        </w:tc>
      </w:tr>
      <w:tr>
        <w:trPr/>
        <w:tc>
          <w:tcPr>
            <w:tcW w:w="216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221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Number)</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3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tc>
      </w:tr>
      <w:tr>
        <w:trPr/>
        <w:tc>
          <w:tcPr>
            <w:tcW w:w="216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incorporation)</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221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3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No.)</w:t>
            </w:r>
          </w:p>
        </w:tc>
      </w:tr>
    </w:tbl>
    <w:p>
      <w:pPr>
        <w:pStyle w:val="TextBody"/>
        <w:bidi w:val="0"/>
        <w:spacing w:before="0" w:after="0"/>
        <w:jc w:val="center"/>
        <w:rPr>
          <w:caps w:val="false"/>
          <w:smallCaps w:val="false"/>
        </w:rPr>
      </w:pPr>
      <w:r>
        <w:rPr>
          <w:caps w:val="false"/>
          <w:smallCaps w:val="false"/>
        </w:rPr>
        <w:t> </w:t>
      </w:r>
    </w:p>
    <w:tbl>
      <w:tblPr>
        <w:tblW w:w="4135" w:type="dxa"/>
        <w:jc w:val="left"/>
        <w:tblInd w:w="0" w:type="dxa"/>
        <w:tblLayout w:type="fixed"/>
        <w:tblCellMar>
          <w:top w:w="0" w:type="dxa"/>
          <w:left w:w="0" w:type="dxa"/>
          <w:bottom w:w="0" w:type="dxa"/>
          <w:right w:w="0" w:type="dxa"/>
        </w:tblCellMar>
      </w:tblPr>
      <w:tblGrid>
        <w:gridCol w:w="3215"/>
        <w:gridCol w:w="920"/>
      </w:tblGrid>
      <w:tr>
        <w:trPr/>
        <w:tc>
          <w:tcPr>
            <w:tcW w:w="321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8" w:name="xdx_90D_edei--EntityAddressAddressLine1_"/>
            <w:bookmarkEnd w:id="8"/>
            <w:r>
              <w:rPr>
                <w:rFonts w:ascii="Times New Roman;Times;Serif" w:hAnsi="Times New Roman;Times;Serif"/>
                <w:b/>
                <w:i w:val="false"/>
                <w:caps w:val="false"/>
                <w:smallCaps w:val="false"/>
                <w:sz w:val="20"/>
              </w:rPr>
              <w:t>1111 Louisiana Street</w:t>
            </w:r>
          </w:p>
        </w:tc>
        <w:tc>
          <w:tcPr>
            <w:tcW w:w="920" w:type="dxa"/>
            <w:tcBorders/>
            <w:vAlign w:val="center"/>
          </w:tcPr>
          <w:p>
            <w:pPr>
              <w:pStyle w:val="TableContents"/>
              <w:bidi w:val="0"/>
              <w:spacing w:before="0" w:after="283"/>
              <w:jc w:val="center"/>
              <w:rPr/>
            </w:pPr>
            <w:r>
              <w:rPr/>
              <w:t> </w:t>
            </w:r>
          </w:p>
        </w:tc>
      </w:tr>
      <w:tr>
        <w:trPr/>
        <w:tc>
          <w:tcPr>
            <w:tcW w:w="321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9" w:name="xdx_90A_edei--EntityAddressCityOrTown_c2"/>
            <w:bookmarkEnd w:id="9"/>
            <w:r>
              <w:rPr>
                <w:rFonts w:ascii="Times New Roman;Times;Serif" w:hAnsi="Times New Roman;Times;Serif"/>
                <w:b/>
                <w:i w:val="false"/>
                <w:caps w:val="false"/>
                <w:smallCaps w:val="false"/>
                <w:sz w:val="20"/>
              </w:rPr>
              <w:t xml:space="preserve">Houston, </w:t>
            </w:r>
            <w:bookmarkStart w:id="10" w:name="xdx_904_edei--EntityAddressStateOrProvin"/>
            <w:bookmarkEnd w:id="10"/>
            <w:r>
              <w:rPr>
                <w:rFonts w:ascii="Times New Roman;Times;Serif" w:hAnsi="Times New Roman;Times;Serif"/>
                <w:b/>
                <w:i w:val="false"/>
                <w:caps w:val="false"/>
                <w:smallCaps w:val="false"/>
                <w:sz w:val="20"/>
              </w:rPr>
              <w:t>Texas</w:t>
            </w:r>
          </w:p>
        </w:tc>
        <w:tc>
          <w:tcPr>
            <w:tcW w:w="92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1" w:name="xdx_90E_edei--EntityAddressPostalZipCode"/>
            <w:bookmarkEnd w:id="11"/>
            <w:r>
              <w:rPr>
                <w:rFonts w:ascii="Times New Roman;Times;Serif" w:hAnsi="Times New Roman;Times;Serif"/>
                <w:b/>
                <w:i w:val="false"/>
                <w:caps w:val="false"/>
                <w:smallCaps w:val="false"/>
                <w:sz w:val="20"/>
              </w:rPr>
              <w:t>77002</w:t>
            </w:r>
          </w:p>
        </w:tc>
      </w:tr>
      <w:tr>
        <w:trPr/>
        <w:tc>
          <w:tcPr>
            <w:tcW w:w="321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tc>
        <w:tc>
          <w:tcPr>
            <w:tcW w:w="92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(Zip Code)</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r>
        <w:rPr>
          <w:rFonts w:ascii="Times New Roman;Times;Serif" w:hAnsi="Times New Roman;Times;Serif"/>
          <w:b/>
          <w:i w:val="false"/>
          <w:caps w:val="false"/>
          <w:smallCaps w:val="false"/>
          <w:sz w:val="20"/>
        </w:rPr>
        <w:t>(</w:t>
      </w:r>
      <w:bookmarkStart w:id="12" w:name="xdx_905_edei--CityAreaCode_c20260921__20"/>
      <w:bookmarkEnd w:id="12"/>
      <w:r>
        <w:rPr>
          <w:rFonts w:ascii="Times New Roman;Times;Serif" w:hAnsi="Times New Roman;Times;Serif"/>
          <w:b/>
          <w:i w:val="false"/>
          <w:caps w:val="false"/>
          <w:smallCaps w:val="false"/>
          <w:sz w:val="20"/>
        </w:rPr>
        <w:t xml:space="preserve">713) </w:t>
      </w:r>
      <w:bookmarkStart w:id="13" w:name="xdx_906_edei--LocalPhoneNumber_c20260921"/>
      <w:bookmarkEnd w:id="13"/>
      <w:r>
        <w:rPr>
          <w:rFonts w:ascii="Times New Roman;Times;Serif" w:hAnsi="Times New Roman;Times;Serif"/>
          <w:b/>
          <w:i w:val="false"/>
          <w:caps w:val="false"/>
          <w:smallCaps w:val="false"/>
          <w:sz w:val="20"/>
        </w:rPr>
        <w:t>207-1111</w:t>
      </w:r>
    </w:p>
    <w:p>
      <w:pPr>
        <w:pStyle w:val="TextBody"/>
        <w:bidi w:val="0"/>
        <w:spacing w:before="0" w:after="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w:t>
      </w:r>
      <w:r>
        <w:rPr>
          <w:rFonts w:ascii="Times New Roman;Times;Serif" w:hAnsi="Times New Roman;Times;Serif"/>
          <w:b w:val="false"/>
          <w:i/>
          <w:caps w:val="false"/>
          <w:smallCaps w:val="false"/>
          <w:sz w:val="20"/>
        </w:rPr>
        <w:t xml:space="preserve">see </w:t>
      </w:r>
      <w:r>
        <w:rPr>
          <w:rFonts w:ascii="Times New Roman;Times;Serif" w:hAnsi="Times New Roman;Times;Serif"/>
          <w:b w:val="false"/>
          <w:i w:val="false"/>
          <w:caps w:val="false"/>
          <w:smallCaps w:val="false"/>
          <w:sz w:val="20"/>
        </w:rPr>
        <w:t>General Instruction A.2. below):</w:t>
      </w:r>
    </w:p>
    <w:p>
      <w:pPr>
        <w:pStyle w:val="TextBody"/>
        <w:bidi w:val="0"/>
        <w:spacing w:before="0" w:after="0"/>
        <w:ind w:left="0" w:right="0" w:hanging="0"/>
        <w:jc w:val="left"/>
        <w:rPr>
          <w:caps w:val="false"/>
          <w:smallCaps w:val="false"/>
        </w:rPr>
      </w:pPr>
      <w:r>
        <w:rPr>
          <w:caps w:val="false"/>
          <w:smallCaps w:val="false"/>
        </w:rPr>
        <w:t> </w:t>
      </w:r>
    </w:p>
    <w:tbl>
      <w:tblPr>
        <w:tblW w:w="9370" w:type="dxa"/>
        <w:jc w:val="left"/>
        <w:tblInd w:w="0" w:type="dxa"/>
        <w:tblLayout w:type="fixed"/>
        <w:tblCellMar>
          <w:top w:w="0" w:type="dxa"/>
          <w:left w:w="0" w:type="dxa"/>
          <w:bottom w:w="0" w:type="dxa"/>
          <w:right w:w="0" w:type="dxa"/>
        </w:tblCellMar>
      </w:tblPr>
      <w:tblGrid>
        <w:gridCol w:w="75"/>
        <w:gridCol w:w="230"/>
        <w:gridCol w:w="906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caps w:val="false"/>
                <w:smallCaps w:val="false"/>
              </w:rPr>
            </w:pPr>
            <w:bookmarkStart w:id="14" w:name="xdx_90F_edei--WrittenCommunications_c202"/>
            <w:bookmarkEnd w:id="14"/>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communications pursuant to Rule 425 under the Securities Act (17 CFR 230.425)</w:t>
            </w:r>
          </w:p>
        </w:tc>
      </w:tr>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caps w:val="false"/>
                <w:smallCaps w:val="false"/>
              </w:rPr>
            </w:pPr>
            <w:bookmarkStart w:id="15" w:name="xdx_904_edei--SolicitingMaterial_c202609"/>
            <w:bookmarkEnd w:id="15"/>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 (17 CFR 240.14a-12)</w:t>
            </w:r>
          </w:p>
        </w:tc>
      </w:tr>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caps w:val="false"/>
                <w:smallCaps w:val="false"/>
              </w:rPr>
            </w:pPr>
            <w:bookmarkStart w:id="16" w:name="xdx_908_edei--PreCommencementTenderOffer"/>
            <w:bookmarkEnd w:id="16"/>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240.14d-2(b))</w:t>
            </w:r>
          </w:p>
        </w:tc>
      </w:tr>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caps w:val="false"/>
                <w:smallCaps w:val="false"/>
              </w:rPr>
            </w:pPr>
            <w:bookmarkStart w:id="17" w:name="xdx_907_edei--PreCommencementIssuerTende"/>
            <w:bookmarkEnd w:id="17"/>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580" w:type="dxa"/>
        <w:jc w:val="left"/>
        <w:tblInd w:w="0" w:type="dxa"/>
        <w:tblLayout w:type="fixed"/>
        <w:tblCellMar>
          <w:top w:w="0" w:type="dxa"/>
          <w:left w:w="0" w:type="dxa"/>
          <w:bottom w:w="0" w:type="dxa"/>
          <w:right w:w="0" w:type="dxa"/>
        </w:tblCellMar>
      </w:tblPr>
      <w:tblGrid>
        <w:gridCol w:w="3455"/>
        <w:gridCol w:w="1535"/>
        <w:gridCol w:w="3590"/>
      </w:tblGrid>
      <w:tr>
        <w:trPr/>
        <w:tc>
          <w:tcPr>
            <w:tcW w:w="3455" w:type="dxa"/>
            <w:tcBorders/>
            <w:vAlign w:val="center"/>
          </w:tcPr>
          <w:p>
            <w:pPr>
              <w:pStyle w:val="TableContents"/>
              <w:bidi w:val="0"/>
              <w:spacing w:before="0" w:after="283"/>
              <w:jc w:val="center"/>
              <w:rPr>
                <w:rFonts w:ascii="Times New Roman;Times;Serif" w:hAnsi="Times New Roman;Times;Serif"/>
                <w:sz w:val="20"/>
                <w:u w:val="single"/>
              </w:rPr>
            </w:pPr>
            <w:r>
              <w:rPr>
                <w:rFonts w:ascii="Times New Roman;Times;Serif" w:hAnsi="Times New Roman;Times;Serif"/>
                <w:sz w:val="20"/>
                <w:u w:val="single"/>
              </w:rPr>
              <w:t>Title of each class</w:t>
            </w:r>
          </w:p>
        </w:tc>
        <w:tc>
          <w:tcPr>
            <w:tcW w:w="1535" w:type="dxa"/>
            <w:tcBorders/>
            <w:vAlign w:val="center"/>
          </w:tcPr>
          <w:p>
            <w:pPr>
              <w:pStyle w:val="TableContents"/>
              <w:bidi w:val="0"/>
              <w:spacing w:before="0" w:after="283"/>
              <w:jc w:val="center"/>
              <w:rPr>
                <w:rFonts w:ascii="Times New Roman;Times;Serif" w:hAnsi="Times New Roman;Times;Serif"/>
                <w:sz w:val="20"/>
                <w:u w:val="single"/>
              </w:rPr>
            </w:pPr>
            <w:r>
              <w:rPr>
                <w:rFonts w:ascii="Times New Roman;Times;Serif" w:hAnsi="Times New Roman;Times;Serif"/>
                <w:sz w:val="20"/>
                <w:u w:val="single"/>
              </w:rPr>
              <w:t>Trading Symbol(s)</w:t>
            </w:r>
          </w:p>
        </w:tc>
        <w:tc>
          <w:tcPr>
            <w:tcW w:w="3590" w:type="dxa"/>
            <w:tcBorders/>
            <w:vAlign w:val="center"/>
          </w:tcPr>
          <w:p>
            <w:pPr>
              <w:pStyle w:val="TableContents"/>
              <w:bidi w:val="0"/>
              <w:spacing w:before="0" w:after="283"/>
              <w:jc w:val="center"/>
              <w:rPr>
                <w:rFonts w:ascii="Times New Roman;Times;Serif" w:hAnsi="Times New Roman;Times;Serif"/>
                <w:sz w:val="20"/>
                <w:u w:val="single"/>
              </w:rPr>
            </w:pPr>
            <w:r>
              <w:rPr>
                <w:rFonts w:ascii="Times New Roman;Times;Serif" w:hAnsi="Times New Roman;Times;Serif"/>
                <w:sz w:val="20"/>
                <w:u w:val="single"/>
              </w:rPr>
              <w:t>Name of each exchange on which registered</w:t>
            </w:r>
          </w:p>
        </w:tc>
      </w:tr>
      <w:tr>
        <w:trPr/>
        <w:tc>
          <w:tcPr>
            <w:tcW w:w="3455" w:type="dxa"/>
            <w:tcBorders/>
            <w:vAlign w:val="center"/>
          </w:tcPr>
          <w:p>
            <w:pPr>
              <w:pStyle w:val="TableContents"/>
              <w:bidi w:val="0"/>
              <w:spacing w:before="0" w:after="283"/>
              <w:jc w:val="center"/>
              <w:rPr>
                <w:rFonts w:ascii="Times New Roman;Times;Serif" w:hAnsi="Times New Roman;Times;Serif"/>
                <w:sz w:val="20"/>
              </w:rPr>
            </w:pPr>
            <w:bookmarkStart w:id="18" w:name="xdx_906_edei--Security12bTitle_c20260921"/>
            <w:bookmarkEnd w:id="18"/>
            <w:r>
              <w:rPr>
                <w:rFonts w:ascii="Times New Roman;Times;Serif" w:hAnsi="Times New Roman;Times;Serif"/>
                <w:sz w:val="20"/>
              </w:rPr>
              <w:t>6.95% General Mortgage Bonds due 2033</w:t>
            </w:r>
          </w:p>
        </w:tc>
        <w:tc>
          <w:tcPr>
            <w:tcW w:w="1535" w:type="dxa"/>
            <w:tcBorders/>
            <w:vAlign w:val="center"/>
          </w:tcPr>
          <w:p>
            <w:pPr>
              <w:pStyle w:val="TableContents"/>
              <w:bidi w:val="0"/>
              <w:spacing w:before="0" w:after="283"/>
              <w:jc w:val="center"/>
              <w:rPr>
                <w:rFonts w:ascii="Times New Roman;Times;Serif" w:hAnsi="Times New Roman;Times;Serif"/>
                <w:sz w:val="20"/>
              </w:rPr>
            </w:pPr>
            <w:bookmarkStart w:id="19" w:name="xdx_903_edei--TradingSymbol_c20260921__2"/>
            <w:bookmarkEnd w:id="19"/>
            <w:r>
              <w:rPr>
                <w:rFonts w:ascii="Times New Roman;Times;Serif" w:hAnsi="Times New Roman;Times;Serif"/>
                <w:sz w:val="20"/>
              </w:rPr>
              <w:t>n/a</w:t>
            </w:r>
          </w:p>
        </w:tc>
        <w:tc>
          <w:tcPr>
            <w:tcW w:w="3590" w:type="dxa"/>
            <w:tcBorders/>
            <w:vAlign w:val="center"/>
          </w:tcPr>
          <w:p>
            <w:pPr>
              <w:pStyle w:val="TableContents"/>
              <w:bidi w:val="0"/>
              <w:spacing w:before="0" w:after="283"/>
              <w:jc w:val="center"/>
              <w:rPr>
                <w:rFonts w:ascii="Times New Roman;Times;Serif" w:hAnsi="Times New Roman;Times;Serif"/>
                <w:sz w:val="20"/>
              </w:rPr>
            </w:pPr>
            <w:bookmarkStart w:id="20" w:name="xdx_905_edei--SecurityExchangeName_c2026"/>
            <w:bookmarkEnd w:id="20"/>
            <w:r>
              <w:rPr>
                <w:rFonts w:ascii="Times New Roman;Times;Serif" w:hAnsi="Times New Roman;Times;Serif"/>
                <w:sz w:val="20"/>
              </w:rPr>
              <w:t>The New York Stock Exchange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or Rule 12b-2 of the Securities Exchange Act of 1934 (§240.12b-2).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1" w:name="xdx_908_edei--EntityEmergingGrowthCompan"/>
      <w:bookmarkEnd w:id="21"/>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328" w:type="dxa"/>
        <w:jc w:val="left"/>
        <w:tblInd w:w="0" w:type="dxa"/>
        <w:tblLayout w:type="fixed"/>
        <w:tblCellMar>
          <w:top w:w="0" w:type="dxa"/>
          <w:left w:w="0" w:type="dxa"/>
          <w:bottom w:w="0" w:type="dxa"/>
          <w:right w:w="0" w:type="dxa"/>
        </w:tblCellMar>
      </w:tblPr>
      <w:tblGrid>
        <w:gridCol w:w="38"/>
        <w:gridCol w:w="815"/>
        <w:gridCol w:w="4475"/>
      </w:tblGrid>
      <w:tr>
        <w:trPr/>
        <w:tc>
          <w:tcPr>
            <w:tcW w:w="38"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b/>
                <w:sz w:val="20"/>
              </w:rPr>
            </w:pPr>
            <w:r>
              <w:rPr>
                <w:b/>
                <w:sz w:val="20"/>
              </w:rPr>
              <w:t>Item 1.01</w:t>
            </w:r>
          </w:p>
        </w:tc>
        <w:tc>
          <w:tcPr>
            <w:tcW w:w="4475" w:type="dxa"/>
            <w:tcBorders/>
            <w:vAlign w:val="center"/>
          </w:tcPr>
          <w:p>
            <w:pPr>
              <w:pStyle w:val="TableContents"/>
              <w:bidi w:val="0"/>
              <w:spacing w:before="0" w:after="283"/>
              <w:jc w:val="both"/>
              <w:rPr>
                <w:b/>
              </w:rPr>
            </w:pPr>
            <w:r>
              <w:rPr>
                <w:b/>
              </w:rPr>
              <w:t>Entry into a Material Definitive Agreement.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21, 2026, CenterPoint Energy Houston Electric, LLC (the “Company”) entered into an Underwriting Agreement (the “Underwriting Agreement”) with Barclays Capital Inc., BNP Paribas Securities Corp., Goldman Sachs &amp; Co. LLC, MUFG Securities Americas Inc. and Truist Securities, Inc., as representatives of the several Underwriters named in Schedule I to the Underwriting Agreement (the “Underwriters”), relating to the underwritten public offering of $700,000,000 aggregate principal amount of the Company’s 5.40% General Mortgage Bonds, Series AS, due 2031 (the “Bonds”). The offering is being made pursuant to the Company’s registration statement on Form S-3 (Registration Statement No. 333-295924-02).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Bonds are being issued pursuant to a General Mortgage Indenture, dated as of October 10, 2002, as supplemented and amended (the “General Mortgage Indenture”), between the Company and The Bank of New York Mellon Trust Company, National Association (successor in trust to JPMorgan Chase Bank), as trustee (the “Trustee”), as supplemented by the Fortieth Supplemental Indenture thereto, dated as of September 24, 2026, between the Company and the Trustee (the “Fortieth Supplemental Indenture”). The form, terms and provisions of the Bonds are further described in the officer’s certificate of the Company to be dated September 24, 2026 (the “Officer’s Certificate”) and the prospectus supplement of the Company dated September 21, 2026, together with the related prospectus dated May 15, 2026, as filed with the U.S. Securities and Exchange Commission under Rule 424(b) of the Securities Act of 1933, as amended, on September 22, 2026, which description is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4"/>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The Underwriters and their affiliates are full service financial institutions engaged in various activities, which may include securities trading, commercial and investment banking, financial advisory, investment management, investment research, principal investment, hedging, financing and brokerage activities. In the ordinary course of their respective businesses, certain of the Underwriters and/or their affiliates have engaged, and may in the future engage, in commercial banking, investment banking, trust or investment management transactions with the Company and its affiliates for which they have received, and will in the future receive, customary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copy of the Underwriting Agreement, the General Mortgage Indenture, the Fortieth Supplemental Indenture and the form of Officer’s Certificate (including the form of the Bonds) have been filed as Exhibits 1.1, 4.1, 4.4 and 4.5, respectively, to this Current Report on Form 8-K and are incorporated by reference herein.</w:t>
      </w:r>
    </w:p>
    <w:p>
      <w:pPr>
        <w:pStyle w:val="TextBody"/>
        <w:bidi w:val="0"/>
        <w:spacing w:before="0" w:after="0"/>
        <w:ind w:left="0" w:right="0" w:hanging="0"/>
        <w:jc w:val="left"/>
        <w:rPr>
          <w:caps w:val="false"/>
          <w:smallCaps w:val="false"/>
        </w:rPr>
      </w:pPr>
      <w:r>
        <w:rPr>
          <w:caps w:val="false"/>
          <w:smallCaps w:val="false"/>
        </w:rPr>
        <w:t> </w:t>
      </w:r>
    </w:p>
    <w:tbl>
      <w:tblPr>
        <w:tblW w:w="4413" w:type="dxa"/>
        <w:jc w:val="left"/>
        <w:tblInd w:w="0" w:type="dxa"/>
        <w:tblLayout w:type="fixed"/>
        <w:tblCellMar>
          <w:top w:w="0" w:type="dxa"/>
          <w:left w:w="0" w:type="dxa"/>
          <w:bottom w:w="0" w:type="dxa"/>
          <w:right w:w="0" w:type="dxa"/>
        </w:tblCellMar>
      </w:tblPr>
      <w:tblGrid>
        <w:gridCol w:w="38"/>
        <w:gridCol w:w="815"/>
        <w:gridCol w:w="3560"/>
      </w:tblGrid>
      <w:tr>
        <w:trPr/>
        <w:tc>
          <w:tcPr>
            <w:tcW w:w="38"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b/>
                <w:sz w:val="20"/>
              </w:rPr>
            </w:pPr>
            <w:r>
              <w:rPr>
                <w:b/>
                <w:sz w:val="20"/>
              </w:rPr>
              <w:t>Item 9.01</w:t>
            </w:r>
          </w:p>
        </w:tc>
        <w:tc>
          <w:tcPr>
            <w:tcW w:w="3560" w:type="dxa"/>
            <w:tcBorders/>
            <w:vAlign w:val="center"/>
          </w:tcPr>
          <w:p>
            <w:pPr>
              <w:pStyle w:val="TableContents"/>
              <w:bidi w:val="0"/>
              <w:spacing w:before="0" w:after="283"/>
              <w:jc w:val="both"/>
              <w:rPr>
                <w:b/>
              </w:rPr>
            </w:pPr>
            <w:r>
              <w:rPr>
                <w:b/>
              </w:rPr>
              <w:t>Financial Statements and Exhibits.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exhibits listed below are filed herewith.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Agreements and forms of agreements included as exhibits are included only to provide information to investors regarding their terms. Agreements and forms of agreements listed below may contain representations, warranties and other provisions that were made, among other things, to provide the parties thereto with specified rights and obligations and to allocate risk among them, and no such agreement or form of agreement should be relied upon as constituting or providing any factual disclosures about the Company, any other persons, any state of affairs or other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158" w:type="dxa"/>
        <w:jc w:val="left"/>
        <w:tblInd w:w="0" w:type="dxa"/>
        <w:tblLayout w:type="fixed"/>
        <w:tblCellMar>
          <w:top w:w="0" w:type="dxa"/>
          <w:left w:w="0" w:type="dxa"/>
          <w:bottom w:w="0" w:type="dxa"/>
          <w:right w:w="0" w:type="dxa"/>
        </w:tblCellMar>
      </w:tblPr>
      <w:tblGrid>
        <w:gridCol w:w="38"/>
        <w:gridCol w:w="245"/>
        <w:gridCol w:w="87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20"/>
              </w:rPr>
            </w:pPr>
            <w:r>
              <w:rPr>
                <w:sz w:val="20"/>
              </w:rPr>
              <w:t>(d)</w:t>
            </w:r>
          </w:p>
        </w:tc>
        <w:tc>
          <w:tcPr>
            <w:tcW w:w="875" w:type="dxa"/>
            <w:tcBorders/>
            <w:vAlign w:val="center"/>
          </w:tcPr>
          <w:p>
            <w:pPr>
              <w:pStyle w:val="TableContents"/>
              <w:bidi w:val="0"/>
              <w:spacing w:before="0" w:after="283"/>
              <w:jc w:val="both"/>
              <w:rPr/>
            </w:pPr>
            <w:r>
              <w:rPr/>
              <w:t>Exhibits.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890"/>
        <w:gridCol w:w="60"/>
        <w:gridCol w:w="9255"/>
      </w:tblGrid>
      <w:tr>
        <w:trPr/>
        <w:tc>
          <w:tcPr>
            <w:tcW w:w="890" w:type="dxa"/>
            <w:tcBorders>
              <w:bottom w:val="single" w:sz="8" w:space="0" w:color="000000"/>
            </w:tcBorders>
            <w:vAlign w:val="center"/>
          </w:tcPr>
          <w:p>
            <w:pPr>
              <w:pStyle w:val="TableContents"/>
              <w:bidi w:val="0"/>
              <w:spacing w:before="0" w:after="283"/>
              <w:jc w:val="center"/>
              <w:rPr/>
            </w:pPr>
            <w:r>
              <w:rPr>
                <w:rFonts w:ascii="Times New Roman;Times;Serif" w:hAnsi="Times New Roman;Times;Serif"/>
                <w:b/>
                <w:sz w:val="20"/>
              </w:rPr>
              <w:t>EXHIBIT</w:t>
            </w:r>
            <w:r>
              <w:rPr>
                <w:b/>
                <w:sz w:val="20"/>
              </w:rPr>
              <w:br/>
            </w:r>
            <w:r>
              <w:rPr>
                <w:rFonts w:ascii="Times New Roman;Times;Serif" w:hAnsi="Times New Roman;Times;Serif"/>
                <w:b/>
                <w:sz w:val="20"/>
              </w:rPr>
              <w:t>NUMBER</w:t>
            </w:r>
          </w:p>
        </w:tc>
        <w:tc>
          <w:tcPr>
            <w:tcW w:w="60" w:type="dxa"/>
            <w:tcBorders/>
            <w:tcMar>
              <w:bottom w:w="0" w:type="dxa"/>
            </w:tcMar>
            <w:vAlign w:val="center"/>
          </w:tcPr>
          <w:p>
            <w:pPr>
              <w:pStyle w:val="TableContents"/>
              <w:bidi w:val="0"/>
              <w:spacing w:before="0" w:after="283"/>
              <w:jc w:val="left"/>
              <w:rPr/>
            </w:pPr>
            <w:r>
              <w:rPr/>
              <w:t> </w:t>
            </w:r>
          </w:p>
        </w:tc>
        <w:tc>
          <w:tcPr>
            <w:tcW w:w="925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EXHIBIT DESCRIPTION</w:t>
            </w:r>
          </w:p>
        </w:tc>
      </w:tr>
      <w:tr>
        <w:trPr/>
        <w:tc>
          <w:tcPr>
            <w:tcW w:w="890" w:type="dxa"/>
            <w:tcBorders/>
            <w:tcMar>
              <w:bottom w:w="0" w:type="dxa"/>
            </w:tcMar>
            <w:vAlign w:val="center"/>
          </w:tcPr>
          <w:p>
            <w:pPr>
              <w:pStyle w:val="TableContents"/>
              <w:bidi w:val="0"/>
              <w:spacing w:before="0" w:after="283"/>
              <w:jc w:val="center"/>
              <w:rPr/>
            </w:pPr>
            <w:hyperlink w:anchor="tm2625895d1_ex1-1.htm">
              <w:r>
                <w:rPr>
                  <w:rStyle w:val="InternetLink"/>
                  <w:rFonts w:ascii="Times New Roman;Times;Serif" w:hAnsi="Times New Roman;Times;Serif"/>
                  <w:sz w:val="20"/>
                </w:rPr>
                <w:t>1.1</w:t>
              </w:r>
            </w:hyperlink>
          </w:p>
        </w:tc>
        <w:tc>
          <w:tcPr>
            <w:tcW w:w="60" w:type="dxa"/>
            <w:tcBorders/>
            <w:tcMar>
              <w:bottom w:w="0" w:type="dxa"/>
            </w:tcMar>
            <w:vAlign w:val="center"/>
          </w:tcPr>
          <w:p>
            <w:pPr>
              <w:pStyle w:val="TableContents"/>
              <w:bidi w:val="0"/>
              <w:spacing w:before="0" w:after="283"/>
              <w:jc w:val="left"/>
              <w:rPr/>
            </w:pPr>
            <w:r>
              <w:rPr/>
              <w:t> </w:t>
            </w:r>
          </w:p>
        </w:tc>
        <w:tc>
          <w:tcPr>
            <w:tcW w:w="9255" w:type="dxa"/>
            <w:tcBorders/>
            <w:tcMar>
              <w:bottom w:w="0" w:type="dxa"/>
            </w:tcMar>
            <w:vAlign w:val="center"/>
          </w:tcPr>
          <w:p>
            <w:pPr>
              <w:pStyle w:val="TableContents"/>
              <w:bidi w:val="0"/>
              <w:spacing w:before="0" w:after="283"/>
              <w:jc w:val="left"/>
              <w:rPr/>
            </w:pPr>
            <w:hyperlink w:anchor="tm2625895d1_ex1-1.htm">
              <w:r>
                <w:rPr>
                  <w:rStyle w:val="InternetLink"/>
                  <w:rFonts w:ascii="Times New Roman;Times;Serif" w:hAnsi="Times New Roman;Times;Serif"/>
                  <w:sz w:val="20"/>
                </w:rPr>
                <w:t>Underwriting Agreement, dated September 21, 2026, among the Company and Barclays Capital Inc., BNP Paribas Securities Corp., Goldman Sachs &amp; Co. LLC, MUFG Securities Americas Inc. and Truist Securities, Inc., as representatives of the several Underwriters named in Schedule I thereto.</w:t>
              </w:r>
            </w:hyperlink>
          </w:p>
        </w:tc>
      </w:tr>
      <w:tr>
        <w:trPr/>
        <w:tc>
          <w:tcPr>
            <w:tcW w:w="890" w:type="dxa"/>
            <w:tcBorders/>
            <w:tcMar>
              <w:bottom w:w="0" w:type="dxa"/>
            </w:tcMar>
            <w:vAlign w:val="center"/>
          </w:tcPr>
          <w:p>
            <w:pPr>
              <w:pStyle w:val="TableContents"/>
              <w:bidi w:val="0"/>
              <w:spacing w:before="0" w:after="283"/>
              <w:jc w:val="center"/>
              <w:rPr/>
            </w:pPr>
            <w:hyperlink r:id="rId2">
              <w:r>
                <w:rPr>
                  <w:rStyle w:val="InternetLink"/>
                  <w:rFonts w:ascii="Times New Roman;Times;Serif" w:hAnsi="Times New Roman;Times;Serif"/>
                  <w:sz w:val="20"/>
                </w:rPr>
                <w:t>4.1</w:t>
              </w:r>
            </w:hyperlink>
          </w:p>
        </w:tc>
        <w:tc>
          <w:tcPr>
            <w:tcW w:w="60" w:type="dxa"/>
            <w:tcBorders/>
            <w:tcMar>
              <w:bottom w:w="0" w:type="dxa"/>
            </w:tcMar>
            <w:vAlign w:val="center"/>
          </w:tcPr>
          <w:p>
            <w:pPr>
              <w:pStyle w:val="TableContents"/>
              <w:bidi w:val="0"/>
              <w:spacing w:before="0" w:after="283"/>
              <w:jc w:val="left"/>
              <w:rPr/>
            </w:pPr>
            <w:r>
              <w:rPr/>
              <w:t> </w:t>
            </w:r>
          </w:p>
        </w:tc>
        <w:tc>
          <w:tcPr>
            <w:tcW w:w="9255" w:type="dxa"/>
            <w:tcBorders/>
            <w:tcMar>
              <w:bottom w:w="0" w:type="dxa"/>
            </w:tcMar>
            <w:vAlign w:val="center"/>
          </w:tcPr>
          <w:p>
            <w:pPr>
              <w:pStyle w:val="TableContents"/>
              <w:bidi w:val="0"/>
              <w:spacing w:before="0" w:after="283"/>
              <w:jc w:val="left"/>
              <w:rPr/>
            </w:pPr>
            <w:hyperlink r:id="rId3">
              <w:r>
                <w:rPr>
                  <w:rStyle w:val="InternetLink"/>
                  <w:rFonts w:ascii="Times New Roman;Times;Serif" w:hAnsi="Times New Roman;Times;Serif"/>
                  <w:sz w:val="20"/>
                </w:rPr>
                <w:t>General Mortgage Indenture, dated as of October 10, 2002, between the Company and the Trustee (incorporated by reference to Exhibit 4(j)(1) to the Quarterly Report on Form 10-Q of the Company for the quarter ended September 30, 2002).</w:t>
              </w:r>
            </w:hyperlink>
          </w:p>
        </w:tc>
      </w:tr>
      <w:tr>
        <w:trPr/>
        <w:tc>
          <w:tcPr>
            <w:tcW w:w="890" w:type="dxa"/>
            <w:tcBorders/>
            <w:tcMar>
              <w:bottom w:w="0" w:type="dxa"/>
            </w:tcMar>
            <w:vAlign w:val="center"/>
          </w:tcPr>
          <w:p>
            <w:pPr>
              <w:pStyle w:val="TableContents"/>
              <w:bidi w:val="0"/>
              <w:spacing w:before="0" w:after="283"/>
              <w:jc w:val="center"/>
              <w:rPr/>
            </w:pPr>
            <w:hyperlink r:id="rId4">
              <w:r>
                <w:rPr>
                  <w:rStyle w:val="InternetLink"/>
                  <w:rFonts w:ascii="Times New Roman;Times;Serif" w:hAnsi="Times New Roman;Times;Serif"/>
                  <w:sz w:val="20"/>
                </w:rPr>
                <w:t>4.2</w:t>
              </w:r>
            </w:hyperlink>
          </w:p>
        </w:tc>
        <w:tc>
          <w:tcPr>
            <w:tcW w:w="60" w:type="dxa"/>
            <w:tcBorders/>
            <w:tcMar>
              <w:bottom w:w="0" w:type="dxa"/>
            </w:tcMar>
            <w:vAlign w:val="center"/>
          </w:tcPr>
          <w:p>
            <w:pPr>
              <w:pStyle w:val="TableContents"/>
              <w:bidi w:val="0"/>
              <w:spacing w:before="0" w:after="283"/>
              <w:jc w:val="left"/>
              <w:rPr/>
            </w:pPr>
            <w:r>
              <w:rPr/>
              <w:t> </w:t>
            </w:r>
          </w:p>
        </w:tc>
        <w:tc>
          <w:tcPr>
            <w:tcW w:w="9255" w:type="dxa"/>
            <w:tcBorders/>
            <w:tcMar>
              <w:bottom w:w="0" w:type="dxa"/>
            </w:tcMar>
            <w:vAlign w:val="center"/>
          </w:tcPr>
          <w:p>
            <w:pPr>
              <w:pStyle w:val="TableContents"/>
              <w:bidi w:val="0"/>
              <w:spacing w:before="0" w:after="283"/>
              <w:jc w:val="left"/>
              <w:rPr/>
            </w:pPr>
            <w:hyperlink r:id="rId5">
              <w:r>
                <w:rPr>
                  <w:rStyle w:val="InternetLink"/>
                  <w:rFonts w:ascii="Times New Roman;Times;Serif" w:hAnsi="Times New Roman;Times;Serif"/>
                  <w:sz w:val="20"/>
                </w:rPr>
                <w:t>Ninth Supplemental Indenture, dated as of November 12, 2002, to the General Mortgage Indenture, dated as of October 10, 2002, between the Company and the Trustee (incorporated by reference to Exhibit 4(e)(10) to the Annual Report on Form 10-K of CenterPoint Energy, Inc. filed on March 10, 2003).</w:t>
              </w:r>
            </w:hyperlink>
          </w:p>
        </w:tc>
      </w:tr>
      <w:tr>
        <w:trPr/>
        <w:tc>
          <w:tcPr>
            <w:tcW w:w="890" w:type="dxa"/>
            <w:tcBorders/>
            <w:tcMar>
              <w:bottom w:w="0" w:type="dxa"/>
            </w:tcMar>
            <w:vAlign w:val="center"/>
          </w:tcPr>
          <w:p>
            <w:pPr>
              <w:pStyle w:val="TableContents"/>
              <w:bidi w:val="0"/>
              <w:spacing w:before="0" w:after="283"/>
              <w:jc w:val="center"/>
              <w:rPr/>
            </w:pPr>
            <w:hyperlink r:id="rId6">
              <w:r>
                <w:rPr>
                  <w:rStyle w:val="InternetLink"/>
                  <w:rFonts w:ascii="Times New Roman;Times;Serif" w:hAnsi="Times New Roman;Times;Serif"/>
                  <w:sz w:val="20"/>
                </w:rPr>
                <w:t>4.3</w:t>
              </w:r>
            </w:hyperlink>
          </w:p>
        </w:tc>
        <w:tc>
          <w:tcPr>
            <w:tcW w:w="60" w:type="dxa"/>
            <w:tcBorders/>
            <w:tcMar>
              <w:bottom w:w="0" w:type="dxa"/>
            </w:tcMar>
            <w:vAlign w:val="center"/>
          </w:tcPr>
          <w:p>
            <w:pPr>
              <w:pStyle w:val="TableContents"/>
              <w:bidi w:val="0"/>
              <w:spacing w:before="0" w:after="283"/>
              <w:jc w:val="left"/>
              <w:rPr/>
            </w:pPr>
            <w:r>
              <w:rPr/>
              <w:t> </w:t>
            </w:r>
          </w:p>
        </w:tc>
        <w:tc>
          <w:tcPr>
            <w:tcW w:w="9255" w:type="dxa"/>
            <w:tcBorders/>
            <w:tcMar>
              <w:bottom w:w="0" w:type="dxa"/>
            </w:tcMar>
            <w:vAlign w:val="center"/>
          </w:tcPr>
          <w:p>
            <w:pPr>
              <w:pStyle w:val="TableContents"/>
              <w:bidi w:val="0"/>
              <w:spacing w:before="0" w:after="283"/>
              <w:jc w:val="left"/>
              <w:rPr/>
            </w:pPr>
            <w:hyperlink r:id="rId7">
              <w:r>
                <w:rPr>
                  <w:rStyle w:val="InternetLink"/>
                  <w:rFonts w:ascii="Times New Roman;Times;Serif" w:hAnsi="Times New Roman;Times;Serif"/>
                  <w:sz w:val="20"/>
                </w:rPr>
                <w:t>Twentieth Supplemental Indenture, dated as of December 9, 2008, to the General Mortgage Indenture, dated as of October 10, 2002, between the Company and the Trustee (incorporated by reference to Exhibit 4.2 to the Current Report on Form 8-K of the Company filed on January 9, 2009).</w:t>
              </w:r>
            </w:hyperlink>
          </w:p>
        </w:tc>
      </w:tr>
      <w:tr>
        <w:trPr/>
        <w:tc>
          <w:tcPr>
            <w:tcW w:w="890" w:type="dxa"/>
            <w:tcBorders/>
            <w:tcMar>
              <w:bottom w:w="0" w:type="dxa"/>
            </w:tcMar>
            <w:vAlign w:val="center"/>
          </w:tcPr>
          <w:p>
            <w:pPr>
              <w:pStyle w:val="TableContents"/>
              <w:bidi w:val="0"/>
              <w:spacing w:before="0" w:after="283"/>
              <w:jc w:val="center"/>
              <w:rPr/>
            </w:pPr>
            <w:hyperlink w:anchor="tm2625895d1_ex4-4.htm">
              <w:r>
                <w:rPr>
                  <w:rStyle w:val="InternetLink"/>
                  <w:rFonts w:ascii="Times New Roman;Times;Serif" w:hAnsi="Times New Roman;Times;Serif"/>
                  <w:sz w:val="20"/>
                </w:rPr>
                <w:t>4.4</w:t>
              </w:r>
            </w:hyperlink>
          </w:p>
        </w:tc>
        <w:tc>
          <w:tcPr>
            <w:tcW w:w="60" w:type="dxa"/>
            <w:tcBorders/>
            <w:tcMar>
              <w:bottom w:w="0" w:type="dxa"/>
            </w:tcMar>
            <w:vAlign w:val="center"/>
          </w:tcPr>
          <w:p>
            <w:pPr>
              <w:pStyle w:val="TableContents"/>
              <w:bidi w:val="0"/>
              <w:spacing w:before="0" w:after="283"/>
              <w:jc w:val="left"/>
              <w:rPr/>
            </w:pPr>
            <w:r>
              <w:rPr/>
              <w:t> </w:t>
            </w:r>
          </w:p>
        </w:tc>
        <w:tc>
          <w:tcPr>
            <w:tcW w:w="9255" w:type="dxa"/>
            <w:tcBorders/>
            <w:tcMar>
              <w:bottom w:w="0" w:type="dxa"/>
            </w:tcMar>
            <w:vAlign w:val="center"/>
          </w:tcPr>
          <w:p>
            <w:pPr>
              <w:pStyle w:val="TableContents"/>
              <w:bidi w:val="0"/>
              <w:spacing w:before="0" w:after="283"/>
              <w:jc w:val="left"/>
              <w:rPr/>
            </w:pPr>
            <w:hyperlink w:anchor="tm2625895d1_ex4-4.htm">
              <w:r>
                <w:rPr>
                  <w:rStyle w:val="InternetLink"/>
                  <w:rFonts w:ascii="Times New Roman;Times;Serif" w:hAnsi="Times New Roman;Times;Serif"/>
                  <w:sz w:val="20"/>
                </w:rPr>
                <w:t>Fortieth Supplemental Indenture, dated as of September 24, 2026, to the General Mortgage Indenture, dated as of October 10, 2002, between the Company and the Trustee.</w:t>
              </w:r>
            </w:hyperlink>
          </w:p>
        </w:tc>
      </w:tr>
      <w:tr>
        <w:trPr/>
        <w:tc>
          <w:tcPr>
            <w:tcW w:w="890" w:type="dxa"/>
            <w:tcBorders/>
            <w:tcMar>
              <w:bottom w:w="0" w:type="dxa"/>
            </w:tcMar>
            <w:vAlign w:val="center"/>
          </w:tcPr>
          <w:p>
            <w:pPr>
              <w:pStyle w:val="TableContents"/>
              <w:bidi w:val="0"/>
              <w:spacing w:before="0" w:after="283"/>
              <w:jc w:val="center"/>
              <w:rPr/>
            </w:pPr>
            <w:hyperlink w:anchor="tm2625895d1_ex4-5.htm">
              <w:r>
                <w:rPr>
                  <w:rStyle w:val="InternetLink"/>
                  <w:rFonts w:ascii="Times New Roman;Times;Serif" w:hAnsi="Times New Roman;Times;Serif"/>
                  <w:sz w:val="20"/>
                </w:rPr>
                <w:t>4.5</w:t>
              </w:r>
            </w:hyperlink>
          </w:p>
        </w:tc>
        <w:tc>
          <w:tcPr>
            <w:tcW w:w="60" w:type="dxa"/>
            <w:tcBorders/>
            <w:tcMar>
              <w:bottom w:w="0" w:type="dxa"/>
            </w:tcMar>
            <w:vAlign w:val="center"/>
          </w:tcPr>
          <w:p>
            <w:pPr>
              <w:pStyle w:val="TableContents"/>
              <w:bidi w:val="0"/>
              <w:spacing w:before="0" w:after="283"/>
              <w:jc w:val="left"/>
              <w:rPr/>
            </w:pPr>
            <w:r>
              <w:rPr/>
              <w:t> </w:t>
            </w:r>
          </w:p>
        </w:tc>
        <w:tc>
          <w:tcPr>
            <w:tcW w:w="9255" w:type="dxa"/>
            <w:tcBorders/>
            <w:tcMar>
              <w:bottom w:w="0" w:type="dxa"/>
            </w:tcMar>
            <w:vAlign w:val="center"/>
          </w:tcPr>
          <w:p>
            <w:pPr>
              <w:pStyle w:val="TableContents"/>
              <w:bidi w:val="0"/>
              <w:spacing w:before="0" w:after="283"/>
              <w:jc w:val="left"/>
              <w:rPr/>
            </w:pPr>
            <w:hyperlink w:anchor="tm2625895d1_ex4-5.htm">
              <w:r>
                <w:rPr>
                  <w:rStyle w:val="InternetLink"/>
                  <w:rFonts w:ascii="Times New Roman;Times;Serif" w:hAnsi="Times New Roman;Times;Serif"/>
                  <w:sz w:val="20"/>
                </w:rPr>
                <w:t>Form of Officer’s Certificate, to be dated as of September 24, 2026, setting forth the form, terms and provisions of the Bonds.</w:t>
              </w:r>
            </w:hyperlink>
          </w:p>
        </w:tc>
      </w:tr>
      <w:tr>
        <w:trPr/>
        <w:tc>
          <w:tcPr>
            <w:tcW w:w="890" w:type="dxa"/>
            <w:tcBorders/>
            <w:tcMar>
              <w:bottom w:w="0" w:type="dxa"/>
            </w:tcMar>
            <w:vAlign w:val="center"/>
          </w:tcPr>
          <w:p>
            <w:pPr>
              <w:pStyle w:val="TableContents"/>
              <w:bidi w:val="0"/>
              <w:spacing w:before="0" w:after="283"/>
              <w:jc w:val="center"/>
              <w:rPr/>
            </w:pPr>
            <w:hyperlink w:anchor="tm2625895d1_ex4-5.htm">
              <w:r>
                <w:rPr>
                  <w:rStyle w:val="InternetLink"/>
                  <w:rFonts w:ascii="Times New Roman;Times;Serif" w:hAnsi="Times New Roman;Times;Serif"/>
                  <w:sz w:val="20"/>
                </w:rPr>
                <w:t>4.6</w:t>
              </w:r>
            </w:hyperlink>
          </w:p>
        </w:tc>
        <w:tc>
          <w:tcPr>
            <w:tcW w:w="60" w:type="dxa"/>
            <w:tcBorders/>
            <w:tcMar>
              <w:bottom w:w="0" w:type="dxa"/>
            </w:tcMar>
            <w:vAlign w:val="center"/>
          </w:tcPr>
          <w:p>
            <w:pPr>
              <w:pStyle w:val="TableContents"/>
              <w:bidi w:val="0"/>
              <w:spacing w:before="0" w:after="283"/>
              <w:jc w:val="left"/>
              <w:rPr/>
            </w:pPr>
            <w:r>
              <w:rPr/>
              <w:t> </w:t>
            </w:r>
          </w:p>
        </w:tc>
        <w:tc>
          <w:tcPr>
            <w:tcW w:w="9255" w:type="dxa"/>
            <w:tcBorders/>
            <w:tcMar>
              <w:bottom w:w="0" w:type="dxa"/>
            </w:tcMar>
            <w:vAlign w:val="center"/>
          </w:tcPr>
          <w:p>
            <w:pPr>
              <w:pStyle w:val="TableContents"/>
              <w:bidi w:val="0"/>
              <w:spacing w:before="0" w:after="283"/>
              <w:jc w:val="left"/>
              <w:rPr/>
            </w:pPr>
            <w:hyperlink w:anchor="tm2625895d1_ex4-5.htm">
              <w:r>
                <w:rPr>
                  <w:rStyle w:val="InternetLink"/>
                  <w:rFonts w:ascii="Times New Roman;Times;Serif" w:hAnsi="Times New Roman;Times;Serif"/>
                  <w:sz w:val="20"/>
                </w:rPr>
                <w:t>Form of the Bonds (included in Exhibit 4.5 hereto).</w:t>
              </w:r>
            </w:hyperlink>
          </w:p>
        </w:tc>
      </w:tr>
      <w:tr>
        <w:trPr/>
        <w:tc>
          <w:tcPr>
            <w:tcW w:w="890" w:type="dxa"/>
            <w:tcBorders/>
            <w:tcMar>
              <w:bottom w:w="0" w:type="dxa"/>
            </w:tcMar>
            <w:vAlign w:val="center"/>
          </w:tcPr>
          <w:p>
            <w:pPr>
              <w:pStyle w:val="TableContents"/>
              <w:bidi w:val="0"/>
              <w:spacing w:before="0" w:after="283"/>
              <w:jc w:val="center"/>
              <w:rPr/>
            </w:pPr>
            <w:hyperlink w:anchor="tm2625895d1_ex5-1.htm">
              <w:r>
                <w:rPr>
                  <w:rStyle w:val="InternetLink"/>
                  <w:rFonts w:ascii="Times New Roman;Times;Serif" w:hAnsi="Times New Roman;Times;Serif"/>
                  <w:sz w:val="20"/>
                </w:rPr>
                <w:t>5.1</w:t>
              </w:r>
            </w:hyperlink>
          </w:p>
        </w:tc>
        <w:tc>
          <w:tcPr>
            <w:tcW w:w="60" w:type="dxa"/>
            <w:tcBorders/>
            <w:tcMar>
              <w:bottom w:w="0" w:type="dxa"/>
            </w:tcMar>
            <w:vAlign w:val="center"/>
          </w:tcPr>
          <w:p>
            <w:pPr>
              <w:pStyle w:val="TableContents"/>
              <w:bidi w:val="0"/>
              <w:spacing w:before="0" w:after="283"/>
              <w:jc w:val="left"/>
              <w:rPr/>
            </w:pPr>
            <w:r>
              <w:rPr/>
              <w:t> </w:t>
            </w:r>
          </w:p>
        </w:tc>
        <w:tc>
          <w:tcPr>
            <w:tcW w:w="9255" w:type="dxa"/>
            <w:tcBorders/>
            <w:tcMar>
              <w:bottom w:w="0" w:type="dxa"/>
            </w:tcMar>
            <w:vAlign w:val="center"/>
          </w:tcPr>
          <w:p>
            <w:pPr>
              <w:pStyle w:val="TableContents"/>
              <w:bidi w:val="0"/>
              <w:spacing w:before="0" w:after="283"/>
              <w:jc w:val="left"/>
              <w:rPr/>
            </w:pPr>
            <w:hyperlink w:anchor="tm2625895d1_ex5-1.htm">
              <w:r>
                <w:rPr>
                  <w:rStyle w:val="InternetLink"/>
                  <w:rFonts w:ascii="Times New Roman;Times;Serif" w:hAnsi="Times New Roman;Times;Serif"/>
                  <w:sz w:val="20"/>
                </w:rPr>
                <w:t>Opinion of Baker Botts L.L.P.</w:t>
              </w:r>
            </w:hyperlink>
          </w:p>
        </w:tc>
      </w:tr>
      <w:tr>
        <w:trPr/>
        <w:tc>
          <w:tcPr>
            <w:tcW w:w="890" w:type="dxa"/>
            <w:tcBorders/>
            <w:tcMar>
              <w:bottom w:w="0" w:type="dxa"/>
            </w:tcMar>
            <w:vAlign w:val="center"/>
          </w:tcPr>
          <w:p>
            <w:pPr>
              <w:pStyle w:val="TableContents"/>
              <w:bidi w:val="0"/>
              <w:spacing w:before="0" w:after="283"/>
              <w:jc w:val="center"/>
              <w:rPr/>
            </w:pPr>
            <w:hyperlink w:anchor="tm2625895d1_ex5-1.htm">
              <w:r>
                <w:rPr>
                  <w:rStyle w:val="InternetLink"/>
                  <w:rFonts w:ascii="Times New Roman;Times;Serif" w:hAnsi="Times New Roman;Times;Serif"/>
                  <w:sz w:val="20"/>
                </w:rPr>
                <w:t>23.1</w:t>
              </w:r>
            </w:hyperlink>
          </w:p>
        </w:tc>
        <w:tc>
          <w:tcPr>
            <w:tcW w:w="60" w:type="dxa"/>
            <w:tcBorders/>
            <w:tcMar>
              <w:bottom w:w="0" w:type="dxa"/>
            </w:tcMar>
            <w:vAlign w:val="center"/>
          </w:tcPr>
          <w:p>
            <w:pPr>
              <w:pStyle w:val="TableContents"/>
              <w:bidi w:val="0"/>
              <w:spacing w:before="0" w:after="283"/>
              <w:jc w:val="left"/>
              <w:rPr/>
            </w:pPr>
            <w:r>
              <w:rPr/>
              <w:t> </w:t>
            </w:r>
          </w:p>
        </w:tc>
        <w:tc>
          <w:tcPr>
            <w:tcW w:w="9255" w:type="dxa"/>
            <w:tcBorders/>
            <w:tcMar>
              <w:bottom w:w="0" w:type="dxa"/>
            </w:tcMar>
            <w:vAlign w:val="center"/>
          </w:tcPr>
          <w:p>
            <w:pPr>
              <w:pStyle w:val="TableContents"/>
              <w:bidi w:val="0"/>
              <w:spacing w:before="0" w:after="283"/>
              <w:jc w:val="left"/>
              <w:rPr/>
            </w:pPr>
            <w:hyperlink w:anchor="tm2625895d1_ex5-1.htm">
              <w:r>
                <w:rPr>
                  <w:rStyle w:val="InternetLink"/>
                  <w:rFonts w:ascii="Times New Roman;Times;Serif" w:hAnsi="Times New Roman;Times;Serif"/>
                  <w:sz w:val="20"/>
                </w:rPr>
                <w:t>Consent of Baker Botts L.L.P. (included in Exhibit 5.1 hereto).</w:t>
              </w:r>
            </w:hyperlink>
          </w:p>
        </w:tc>
      </w:tr>
      <w:tr>
        <w:trPr/>
        <w:tc>
          <w:tcPr>
            <w:tcW w:w="89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104</w:t>
            </w:r>
          </w:p>
        </w:tc>
        <w:tc>
          <w:tcPr>
            <w:tcW w:w="60" w:type="dxa"/>
            <w:tcBorders/>
            <w:tcMar>
              <w:bottom w:w="0" w:type="dxa"/>
            </w:tcMar>
            <w:vAlign w:val="center"/>
          </w:tcPr>
          <w:p>
            <w:pPr>
              <w:pStyle w:val="TableContents"/>
              <w:bidi w:val="0"/>
              <w:spacing w:before="0" w:after="283"/>
              <w:jc w:val="left"/>
              <w:rPr/>
            </w:pPr>
            <w:r>
              <w:rPr/>
              <w:t> </w:t>
            </w:r>
          </w:p>
        </w:tc>
        <w:tc>
          <w:tcPr>
            <w:tcW w:w="925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6759" w:type="dxa"/>
        <w:jc w:val="left"/>
        <w:tblInd w:w="0" w:type="dxa"/>
        <w:tblLayout w:type="fixed"/>
        <w:tblCellMar>
          <w:top w:w="0" w:type="dxa"/>
          <w:left w:w="0" w:type="dxa"/>
          <w:bottom w:w="0" w:type="dxa"/>
          <w:right w:w="0" w:type="dxa"/>
        </w:tblCellMar>
      </w:tblPr>
      <w:tblGrid>
        <w:gridCol w:w="2180"/>
        <w:gridCol w:w="369"/>
        <w:gridCol w:w="4210"/>
      </w:tblGrid>
      <w:tr>
        <w:trPr/>
        <w:tc>
          <w:tcPr>
            <w:tcW w:w="2180" w:type="dxa"/>
            <w:tcBorders/>
            <w:vAlign w:val="center"/>
          </w:tcPr>
          <w:p>
            <w:pPr>
              <w:pStyle w:val="TableContents"/>
              <w:bidi w:val="0"/>
              <w:spacing w:before="0" w:after="283"/>
              <w:jc w:val="left"/>
              <w:rPr/>
            </w:pPr>
            <w:r>
              <w:rPr/>
              <w:t> </w:t>
            </w:r>
          </w:p>
        </w:tc>
        <w:tc>
          <w:tcPr>
            <w:tcW w:w="457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CENTERPOINT ENERGY HOUSTON ELECTRIC, LLC</w:t>
            </w:r>
          </w:p>
        </w:tc>
      </w:tr>
      <w:tr>
        <w:trPr/>
        <w:tc>
          <w:tcPr>
            <w:tcW w:w="2180" w:type="dxa"/>
            <w:tcBorders/>
            <w:vAlign w:val="center"/>
          </w:tcPr>
          <w:p>
            <w:pPr>
              <w:pStyle w:val="TableContents"/>
              <w:bidi w:val="0"/>
              <w:spacing w:before="0" w:after="283"/>
              <w:jc w:val="left"/>
              <w:rPr/>
            </w:pPr>
            <w:r>
              <w:rPr/>
              <w:t> </w:t>
            </w:r>
          </w:p>
        </w:tc>
        <w:tc>
          <w:tcPr>
            <w:tcW w:w="369" w:type="dxa"/>
            <w:tcBorders/>
            <w:vAlign w:val="center"/>
          </w:tcPr>
          <w:p>
            <w:pPr>
              <w:pStyle w:val="TableContents"/>
              <w:bidi w:val="0"/>
              <w:spacing w:before="0" w:after="283"/>
              <w:jc w:val="left"/>
              <w:rPr/>
            </w:pPr>
            <w:r>
              <w:rPr/>
              <w:t> </w:t>
            </w:r>
          </w:p>
        </w:tc>
        <w:tc>
          <w:tcPr>
            <w:tcW w:w="4210" w:type="dxa"/>
            <w:tcBorders/>
            <w:vAlign w:val="center"/>
          </w:tcPr>
          <w:p>
            <w:pPr>
              <w:pStyle w:val="TableContents"/>
              <w:bidi w:val="0"/>
              <w:spacing w:before="0" w:after="283"/>
              <w:jc w:val="left"/>
              <w:rPr/>
            </w:pPr>
            <w:r>
              <w:rPr/>
              <w:t> </w:t>
            </w:r>
          </w:p>
        </w:tc>
      </w:tr>
      <w:tr>
        <w:trPr/>
        <w:tc>
          <w:tcPr>
            <w:tcW w:w="21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September 22, 2026</w:t>
            </w:r>
          </w:p>
        </w:tc>
        <w:tc>
          <w:tcPr>
            <w:tcW w:w="36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21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Russell K. Wright</w:t>
            </w:r>
          </w:p>
        </w:tc>
      </w:tr>
      <w:tr>
        <w:trPr/>
        <w:tc>
          <w:tcPr>
            <w:tcW w:w="2180" w:type="dxa"/>
            <w:tcBorders/>
            <w:vAlign w:val="center"/>
          </w:tcPr>
          <w:p>
            <w:pPr>
              <w:pStyle w:val="TableContents"/>
              <w:bidi w:val="0"/>
              <w:spacing w:before="0" w:after="283"/>
              <w:jc w:val="left"/>
              <w:rPr/>
            </w:pPr>
            <w:r>
              <w:rPr/>
              <w:t> </w:t>
            </w:r>
          </w:p>
        </w:tc>
        <w:tc>
          <w:tcPr>
            <w:tcW w:w="369" w:type="dxa"/>
            <w:tcBorders/>
            <w:vAlign w:val="center"/>
          </w:tcPr>
          <w:p>
            <w:pPr>
              <w:pStyle w:val="TableContents"/>
              <w:bidi w:val="0"/>
              <w:spacing w:before="0" w:after="283"/>
              <w:jc w:val="left"/>
              <w:rPr/>
            </w:pPr>
            <w:r>
              <w:rPr/>
              <w:t> </w:t>
            </w:r>
          </w:p>
        </w:tc>
        <w:tc>
          <w:tcPr>
            <w:tcW w:w="42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Russell K. Wright</w:t>
            </w:r>
          </w:p>
        </w:tc>
      </w:tr>
      <w:tr>
        <w:trPr/>
        <w:tc>
          <w:tcPr>
            <w:tcW w:w="2180" w:type="dxa"/>
            <w:tcBorders/>
            <w:vAlign w:val="center"/>
          </w:tcPr>
          <w:p>
            <w:pPr>
              <w:pStyle w:val="TableContents"/>
              <w:bidi w:val="0"/>
              <w:spacing w:before="0" w:after="283"/>
              <w:jc w:val="left"/>
              <w:rPr/>
            </w:pPr>
            <w:r>
              <w:rPr/>
              <w:t> </w:t>
            </w:r>
          </w:p>
        </w:tc>
        <w:tc>
          <w:tcPr>
            <w:tcW w:w="369" w:type="dxa"/>
            <w:tcBorders/>
            <w:vAlign w:val="center"/>
          </w:tcPr>
          <w:p>
            <w:pPr>
              <w:pStyle w:val="TableContents"/>
              <w:bidi w:val="0"/>
              <w:spacing w:before="0" w:after="283"/>
              <w:jc w:val="left"/>
              <w:rPr/>
            </w:pPr>
            <w:r>
              <w:rPr/>
              <w:t> </w:t>
            </w:r>
          </w:p>
        </w:tc>
        <w:tc>
          <w:tcPr>
            <w:tcW w:w="42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Vice President and Chief Accounting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ind w:left="0" w:right="0" w:hanging="0"/>
        <w:jc w:val="left"/>
        <w:rPr/>
      </w:pPr>
      <w:bookmarkStart w:id="22" w:name="tm2625895d1_ex1-1.htm"/>
      <w:bookmarkStart w:id="23" w:name="kstm2625895d1_ex11"/>
      <w:bookmarkEnd w:id="22"/>
      <w:bookmarkEnd w:id="23"/>
      <w:r>
        <w:rPr/>
        <w:t> </w:t>
      </w:r>
      <w:r>
        <w:br w:type="page"/>
      </w:r>
    </w:p>
    <w:p>
      <w:pPr>
        <w:pStyle w:val="TextBody"/>
        <w:bidi w:val="0"/>
        <w:jc w:val="right"/>
        <w:rPr>
          <w:b/>
        </w:rPr>
      </w:pPr>
      <w:r>
        <w:rPr>
          <w:b/>
        </w:rPr>
        <w:t>Exhibit 1.1</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CENTERPOINT ENERGY HOUSTON ELECTRIC, LLC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$700,000,000 5.40% General Mortgage Bonds, Series AS, due 2031</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Underwriting Agreement (this “</w:t>
      </w:r>
      <w:r>
        <w:rPr>
          <w:rFonts w:ascii="Times New Roman;Times;Serif" w:hAnsi="Times New Roman;Times;Serif"/>
          <w:b/>
          <w:i w:val="false"/>
          <w:caps w:val="false"/>
          <w:smallCaps w:val="false"/>
          <w:sz w:val="20"/>
        </w:rPr>
        <w:t>Agreement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76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21,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Barclays Capital Inc.</w:t>
        <w:br/>
        <w:t>745 Seventh Avenue</w:t>
        <w:br/>
        <w:t>New York, New York 10019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BNP Paribas Securities Corp.</w:t>
        <w:br/>
        <w:t>787 Seventh Avenue</w:t>
        <w:br/>
        <w:t>New York, New York 10019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Goldman Sachs &amp; Co.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 West Street</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10282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MUFG Securities Americas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1221 Avenue of the Americas, 6th Floor</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10020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Truist Securities, Inc.</w:t>
        <w:br/>
        <w:t>50 Hudson Yards, 70th Floor</w:t>
        <w:br/>
        <w:t>New York, New York 10001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the Representatives of the several Underwriters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CenterPoint Energy Houston Electric, LLC, a Texas limited liability company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confirms, subject to the terms and conditions stated herein, its agreement to issue and sell to the Underwriters named in Schedule I hereto (the “</w:t>
      </w:r>
      <w:r>
        <w:rPr>
          <w:rFonts w:ascii="Times New Roman;Times;Serif" w:hAnsi="Times New Roman;Times;Serif"/>
          <w:b/>
          <w:i w:val="false"/>
          <w:caps w:val="false"/>
          <w:smallCaps w:val="false"/>
          <w:sz w:val="20"/>
        </w:rPr>
        <w:t>Underwriters</w:t>
      </w:r>
      <w:r>
        <w:rPr>
          <w:rFonts w:ascii="Times New Roman;Times;Serif" w:hAnsi="Times New Roman;Times;Serif"/>
          <w:b w:val="false"/>
          <w:i w:val="false"/>
          <w:caps w:val="false"/>
          <w:smallCaps w:val="false"/>
          <w:sz w:val="20"/>
        </w:rPr>
        <w:t>”) $700,000,000 aggregate principal amount of its 5.40% General Mortgage Bonds, Series AS, due 2031 (the “</w:t>
      </w:r>
      <w:r>
        <w:rPr>
          <w:rFonts w:ascii="Times New Roman;Times;Serif" w:hAnsi="Times New Roman;Times;Serif"/>
          <w:b/>
          <w:i w:val="false"/>
          <w:caps w:val="false"/>
          <w:smallCaps w:val="false"/>
          <w:sz w:val="20"/>
        </w:rPr>
        <w:t>Bonds</w:t>
      </w:r>
      <w:r>
        <w:rPr>
          <w:rFonts w:ascii="Times New Roman;Times;Serif" w:hAnsi="Times New Roman;Times;Serif"/>
          <w:b w:val="false"/>
          <w:i w:val="false"/>
          <w:caps w:val="false"/>
          <w:smallCaps w:val="false"/>
          <w:sz w:val="20"/>
        </w:rPr>
        <w:t>”) to be issued pursuant to the General Mortgage Indenture dated as of October 10, 2002, as amended and supplemented at the date hereof (the “</w:t>
      </w:r>
      <w:r>
        <w:rPr>
          <w:rFonts w:ascii="Times New Roman;Times;Serif" w:hAnsi="Times New Roman;Times;Serif"/>
          <w:b/>
          <w:i w:val="false"/>
          <w:caps w:val="false"/>
          <w:smallCaps w:val="false"/>
          <w:sz w:val="20"/>
        </w:rPr>
        <w:t>General Mortgage</w:t>
      </w:r>
      <w:r>
        <w:rPr>
          <w:rFonts w:ascii="Times New Roman;Times;Serif" w:hAnsi="Times New Roman;Times;Serif"/>
          <w:b w:val="false"/>
          <w:i w:val="false"/>
          <w:caps w:val="false"/>
          <w:smallCaps w:val="false"/>
          <w:sz w:val="20"/>
        </w:rPr>
        <w:t>”), between the Company and The Bank of New York Mellon Trust Company, National Association (successor to JPMorgan Chase Bank), as trustee (the “</w:t>
      </w:r>
      <w:r>
        <w:rPr>
          <w:rFonts w:ascii="Times New Roman;Times;Serif" w:hAnsi="Times New Roman;Times;Serif"/>
          <w:b/>
          <w:i w:val="false"/>
          <w:caps w:val="false"/>
          <w:smallCaps w:val="false"/>
          <w:sz w:val="20"/>
        </w:rPr>
        <w:t>Trustee</w:t>
      </w:r>
      <w:r>
        <w:rPr>
          <w:rFonts w:ascii="Times New Roman;Times;Serif" w:hAnsi="Times New Roman;Times;Serif"/>
          <w:b w:val="false"/>
          <w:i w:val="false"/>
          <w:caps w:val="false"/>
          <w:smallCaps w:val="false"/>
          <w:sz w:val="20"/>
        </w:rPr>
        <w:t>”), and as to be further amended and supplemented by a Fortieth Supplemental Indenture to the General Mortgage, to be dated as of September 24, 2026 (the “</w:t>
      </w:r>
      <w:r>
        <w:rPr>
          <w:rFonts w:ascii="Times New Roman;Times;Serif" w:hAnsi="Times New Roman;Times;Serif"/>
          <w:b/>
          <w:i w:val="false"/>
          <w:caps w:val="false"/>
          <w:smallCaps w:val="false"/>
          <w:sz w:val="20"/>
        </w:rPr>
        <w:t>Supplemental Indenture</w:t>
      </w:r>
      <w:r>
        <w:rPr>
          <w:rFonts w:ascii="Times New Roman;Times;Serif" w:hAnsi="Times New Roman;Times;Serif"/>
          <w:b w:val="false"/>
          <w:i w:val="false"/>
          <w:caps w:val="false"/>
          <w:smallCaps w:val="false"/>
          <w:sz w:val="20"/>
        </w:rPr>
        <w:t>” and, together with the General Mortgage and any amendments or supplements thereto, the “</w:t>
      </w:r>
      <w:r>
        <w:rPr>
          <w:rFonts w:ascii="Times New Roman;Times;Serif" w:hAnsi="Times New Roman;Times;Serif"/>
          <w:b/>
          <w:i w:val="false"/>
          <w:caps w:val="false"/>
          <w:smallCaps w:val="false"/>
          <w:sz w:val="20"/>
        </w:rPr>
        <w:t>Indenture</w:t>
      </w:r>
      <w:r>
        <w:rPr>
          <w:rFonts w:ascii="Times New Roman;Times;Serif" w:hAnsi="Times New Roman;Times;Serif"/>
          <w:b w:val="false"/>
          <w:i w:val="false"/>
          <w:caps w:val="false"/>
          <w:smallCaps w:val="false"/>
          <w:sz w:val="20"/>
        </w:rPr>
        <w:t>”), between the Company and the Trustee. The Company understands that the several Underwriters propose to offer the Bonds for sale upon the terms and conditions contemplated by this Agreement and by the documents listed in Schedule III (such documents herein called the “</w:t>
      </w:r>
      <w:r>
        <w:rPr>
          <w:rFonts w:ascii="Times New Roman;Times;Serif" w:hAnsi="Times New Roman;Times;Serif"/>
          <w:b/>
          <w:i w:val="false"/>
          <w:caps w:val="false"/>
          <w:smallCaps w:val="false"/>
          <w:sz w:val="20"/>
        </w:rPr>
        <w:t>Pricing Disclosure Package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3"/>
        <w:gridCol w:w="327"/>
        <w:gridCol w:w="9805"/>
      </w:tblGrid>
      <w:tr>
        <w:trPr/>
        <w:tc>
          <w:tcPr>
            <w:tcW w:w="73"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b/>
                <w:sz w:val="20"/>
              </w:rPr>
            </w:pPr>
            <w:r>
              <w:rPr>
                <w:b/>
                <w:sz w:val="20"/>
              </w:rPr>
              <w:t>1.</w:t>
            </w:r>
          </w:p>
        </w:tc>
        <w:tc>
          <w:tcPr>
            <w:tcW w:w="9805" w:type="dxa"/>
            <w:tcBorders/>
            <w:vAlign w:val="center"/>
          </w:tcPr>
          <w:p>
            <w:pPr>
              <w:pStyle w:val="TableContents"/>
              <w:bidi w:val="0"/>
              <w:spacing w:before="0" w:after="283"/>
              <w:jc w:val="both"/>
              <w:rPr>
                <w:b/>
              </w:rPr>
            </w:pPr>
            <w:r>
              <w:rPr>
                <w:b/>
              </w:rPr>
              <w:t>Representations and Warranties of the Company.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represents and warrants to, and agrees with, each of the Underwriters, on and as of the date hereof and the Closing Date (as defined in Section 2)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 joint registration statement on Form S-3 with respect to the Bonds and other securities (File Nos. 333-295924, 333-295924-01 and 333-295924-02), copies of which have been made available to the Underwriters, has been prepared and filed with the Securities and U.S. Exchange Commission (the “</w:t>
      </w:r>
      <w:r>
        <w:rPr>
          <w:rFonts w:ascii="Times New Roman;Times;Serif" w:hAnsi="Times New Roman;Times;Serif"/>
          <w:b/>
          <w:i w:val="false"/>
          <w:caps w:val="false"/>
          <w:smallCaps w:val="false"/>
          <w:sz w:val="20"/>
        </w:rPr>
        <w:t>Commission</w:t>
      </w:r>
      <w:r>
        <w:rPr>
          <w:rFonts w:ascii="Times New Roman;Times;Serif" w:hAnsi="Times New Roman;Times;Serif"/>
          <w:b w:val="false"/>
          <w:i w:val="false"/>
          <w:caps w:val="false"/>
          <w:smallCaps w:val="false"/>
          <w:sz w:val="20"/>
        </w:rPr>
        <w:t>”) by the Company, together with CenterPoint Energy, Inc., the indirect sole member of the Company (“</w:t>
      </w:r>
      <w:r>
        <w:rPr>
          <w:rFonts w:ascii="Times New Roman;Times;Serif" w:hAnsi="Times New Roman;Times;Serif"/>
          <w:b/>
          <w:i w:val="false"/>
          <w:caps w:val="false"/>
          <w:smallCaps w:val="false"/>
          <w:sz w:val="20"/>
        </w:rPr>
        <w:t>CNP</w:t>
      </w:r>
      <w:r>
        <w:rPr>
          <w:rFonts w:ascii="Times New Roman;Times;Serif" w:hAnsi="Times New Roman;Times;Serif"/>
          <w:b w:val="false"/>
          <w:i w:val="false"/>
          <w:caps w:val="false"/>
          <w:smallCaps w:val="false"/>
          <w:sz w:val="20"/>
        </w:rPr>
        <w:t>”), and CenterPoint Energy Resources Corp. Such registration statement, including a prospectus relating to the Bonds, has become effective under the Securities Act of 1933, as amended (the “</w:t>
      </w:r>
      <w:r>
        <w:rPr>
          <w:rFonts w:ascii="Times New Roman;Times;Serif" w:hAnsi="Times New Roman;Times;Serif"/>
          <w:b/>
          <w:i w:val="false"/>
          <w:caps w:val="false"/>
          <w:smallCaps w:val="false"/>
          <w:sz w:val="20"/>
        </w:rPr>
        <w:t>1933 Act</w:t>
      </w:r>
      <w:r>
        <w:rPr>
          <w:rFonts w:ascii="Times New Roman;Times;Serif" w:hAnsi="Times New Roman;Times;Serif"/>
          <w:b w:val="false"/>
          <w:i w:val="false"/>
          <w:caps w:val="false"/>
          <w:smallCaps w:val="false"/>
          <w:sz w:val="20"/>
        </w:rPr>
        <w:t>”), and no stop order suspending its effectiveness has been issued and no proceeding for that purpose or pursuant to Section 8A of the 1933 Act against the Company or related to the offering has been initiated or, to the best knowledge of the Company, threatened by the Commission. The term “</w:t>
      </w:r>
      <w:r>
        <w:rPr>
          <w:rFonts w:ascii="Times New Roman;Times;Serif" w:hAnsi="Times New Roman;Times;Serif"/>
          <w:b/>
          <w:i w:val="false"/>
          <w:caps w:val="false"/>
          <w:smallCaps w:val="false"/>
          <w:sz w:val="20"/>
        </w:rPr>
        <w:t>Registration Statement</w:t>
      </w:r>
      <w:r>
        <w:rPr>
          <w:rFonts w:ascii="Times New Roman;Times;Serif" w:hAnsi="Times New Roman;Times;Serif"/>
          <w:b w:val="false"/>
          <w:i w:val="false"/>
          <w:caps w:val="false"/>
          <w:smallCaps w:val="false"/>
          <w:sz w:val="20"/>
        </w:rPr>
        <w:t>” means such registration statement, as deemed revised pursuant to Rule 430B(f)(1) under the 1933 Act on the date of such registration statement’s effectiveness for purposes of Section 11 of the 1933 Act, as such section applies to the Company and the Underwriters for the Bonds pursuant to Rule 430B(f)(2) under the 1933 Act (the “</w:t>
      </w:r>
      <w:r>
        <w:rPr>
          <w:rFonts w:ascii="Times New Roman;Times;Serif" w:hAnsi="Times New Roman;Times;Serif"/>
          <w:b/>
          <w:i w:val="false"/>
          <w:caps w:val="false"/>
          <w:smallCaps w:val="false"/>
          <w:sz w:val="20"/>
        </w:rPr>
        <w:t>Effective Date</w:t>
      </w:r>
      <w:r>
        <w:rPr>
          <w:rFonts w:ascii="Times New Roman;Times;Serif" w:hAnsi="Times New Roman;Times;Serif"/>
          <w:b w:val="false"/>
          <w:i w:val="false"/>
          <w:caps w:val="false"/>
          <w:smallCaps w:val="false"/>
          <w:sz w:val="20"/>
        </w:rPr>
        <w:t>”). The base prospectus relating to the Bonds included in the Registration Statement (exclusive of any supplement filed pursuant to Rule 424 under the 1933 Act) is herein called the “</w:t>
      </w:r>
      <w:r>
        <w:rPr>
          <w:rFonts w:ascii="Times New Roman;Times;Serif" w:hAnsi="Times New Roman;Times;Serif"/>
          <w:b/>
          <w:i w:val="false"/>
          <w:caps w:val="false"/>
          <w:smallCaps w:val="false"/>
          <w:sz w:val="20"/>
        </w:rPr>
        <w:t>Basic Prospectus</w:t>
      </w:r>
      <w:r>
        <w:rPr>
          <w:rFonts w:ascii="Times New Roman;Times;Serif" w:hAnsi="Times New Roman;Times;Serif"/>
          <w:b w:val="false"/>
          <w:i w:val="false"/>
          <w:caps w:val="false"/>
          <w:smallCaps w:val="false"/>
          <w:sz w:val="20"/>
        </w:rPr>
        <w:t>.” The Basic Prospectus as amended and supplemented by a preliminary prospectus supplement dated September 21, 2026 relating to the Bonds immediately prior to the Applicable Time (as defined below) is hereinafter called the “</w:t>
      </w:r>
      <w:r>
        <w:rPr>
          <w:rFonts w:ascii="Times New Roman;Times;Serif" w:hAnsi="Times New Roman;Times;Serif"/>
          <w:b/>
          <w:i w:val="false"/>
          <w:caps w:val="false"/>
          <w:smallCaps w:val="false"/>
          <w:sz w:val="20"/>
        </w:rPr>
        <w:t>Preliminary Prospectus</w:t>
      </w:r>
      <w:r>
        <w:rPr>
          <w:rFonts w:ascii="Times New Roman;Times;Serif" w:hAnsi="Times New Roman;Times;Serif"/>
          <w:b w:val="false"/>
          <w:i w:val="false"/>
          <w:caps w:val="false"/>
          <w:smallCaps w:val="false"/>
          <w:sz w:val="20"/>
        </w:rPr>
        <w:t>.” The Company proposes to file together with the Basic Prospectus and pursuant to Rule 424 under the 1933 Act a prospectus supplement specifically relating to the Bonds and reflecting the terms of the Bonds and plan of distribution arising from this Agreement (herein called the “</w:t>
      </w:r>
      <w:r>
        <w:rPr>
          <w:rFonts w:ascii="Times New Roman;Times;Serif" w:hAnsi="Times New Roman;Times;Serif"/>
          <w:b/>
          <w:i w:val="false"/>
          <w:caps w:val="false"/>
          <w:smallCaps w:val="false"/>
          <w:sz w:val="20"/>
        </w:rPr>
        <w:t>Pricing Supplement</w:t>
      </w:r>
      <w:r>
        <w:rPr>
          <w:rFonts w:ascii="Times New Roman;Times;Serif" w:hAnsi="Times New Roman;Times;Serif"/>
          <w:b w:val="false"/>
          <w:i w:val="false"/>
          <w:caps w:val="false"/>
          <w:smallCaps w:val="false"/>
          <w:sz w:val="20"/>
        </w:rPr>
        <w:t>”) and has previously advised the Underwriters of all the information to be set forth therein. The term “</w:t>
      </w:r>
      <w:r>
        <w:rPr>
          <w:rFonts w:ascii="Times New Roman;Times;Serif" w:hAnsi="Times New Roman;Times;Serif"/>
          <w:b/>
          <w:i w:val="false"/>
          <w:caps w:val="false"/>
          <w:smallCaps w:val="false"/>
          <w:sz w:val="20"/>
        </w:rPr>
        <w:t>Prospectus</w:t>
      </w:r>
      <w:r>
        <w:rPr>
          <w:rFonts w:ascii="Times New Roman;Times;Serif" w:hAnsi="Times New Roman;Times;Serif"/>
          <w:b w:val="false"/>
          <w:i w:val="false"/>
          <w:caps w:val="false"/>
          <w:smallCaps w:val="false"/>
          <w:sz w:val="20"/>
        </w:rPr>
        <w:t>” means the Basic Prospectus together with the Pricing Supplement, as first filed with the Commission pursuant to Rule 424 under the 1933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reference herein to the Basic Prospectus, the Preliminary Prospectus or the Prospectus shall be deemed to refer to and include the documents incorporated by reference therein, or deemed to be incorporated by reference therein, and filed under the Securities Exchange Act of 1934, as amended (the “</w:t>
      </w:r>
      <w:r>
        <w:rPr>
          <w:rFonts w:ascii="Times New Roman;Times;Serif" w:hAnsi="Times New Roman;Times;Serif"/>
          <w:b/>
          <w:i w:val="false"/>
          <w:caps w:val="false"/>
          <w:smallCaps w:val="false"/>
          <w:sz w:val="20"/>
        </w:rPr>
        <w:t>1934 Act</w:t>
      </w:r>
      <w:r>
        <w:rPr>
          <w:rFonts w:ascii="Times New Roman;Times;Serif" w:hAnsi="Times New Roman;Times;Serif"/>
          <w:b w:val="false"/>
          <w:i w:val="false"/>
          <w:caps w:val="false"/>
          <w:smallCaps w:val="false"/>
          <w:sz w:val="20"/>
        </w:rPr>
        <w:t>”), on or before the date of such Basic Prospectus, Preliminary Prospectus or Prospectus, as applicable; any reference herein to the terms “amend,” “amendment” or “supplement” with respect to the Basic Prospectus, the Preliminary Prospectus or Prospectus shall be deemed to refer to and include, without limitation, the filing of any document under the 1934 Act deemed to be incorporated therein by reference after the date of such Basic Prospectus, Preliminary Prospectus or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Agreement, the “</w:t>
      </w:r>
      <w:r>
        <w:rPr>
          <w:rFonts w:ascii="Times New Roman;Times;Serif" w:hAnsi="Times New Roman;Times;Serif"/>
          <w:b/>
          <w:i w:val="false"/>
          <w:caps w:val="false"/>
          <w:smallCaps w:val="false"/>
          <w:sz w:val="20"/>
        </w:rPr>
        <w:t>Applicable Time</w:t>
      </w:r>
      <w:r>
        <w:rPr>
          <w:rFonts w:ascii="Times New Roman;Times;Serif" w:hAnsi="Times New Roman;Times;Serif"/>
          <w:b w:val="false"/>
          <w:i w:val="false"/>
          <w:caps w:val="false"/>
          <w:smallCaps w:val="false"/>
          <w:sz w:val="20"/>
        </w:rPr>
        <w:t>” 2:20 p.m. (New York City Time) on the date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Registration Statement, each Permitted Free Writing Prospectus (as defined in Section 3(a)), the Preliminary Prospectus and the Prospectus conform, and any amendments or supplements thereto will conform, in all material respects, to the requirements of the 1933 Act and the Trust Indenture Act of 1939, as amended (the “</w:t>
      </w:r>
      <w:r>
        <w:rPr>
          <w:rFonts w:ascii="Times New Roman;Times;Serif" w:hAnsi="Times New Roman;Times;Serif"/>
          <w:b/>
          <w:i w:val="false"/>
          <w:caps w:val="false"/>
          <w:smallCaps w:val="false"/>
          <w:sz w:val="20"/>
        </w:rPr>
        <w:t>TIA</w:t>
      </w:r>
      <w:r>
        <w:rPr>
          <w:rFonts w:ascii="Times New Roman;Times;Serif" w:hAnsi="Times New Roman;Times;Serif"/>
          <w:b w:val="false"/>
          <w:i w:val="false"/>
          <w:caps w:val="false"/>
          <w:smallCaps w:val="false"/>
          <w:sz w:val="20"/>
        </w:rPr>
        <w:t xml:space="preserve">”), and the rules and regulations of the Commission under the 1933 Act and the TIA; and (A) the Registration Statement will not, as of the Effective Date, contain an untrue statement of a material fact or omit to state a material fact required to be stated therein or necessary to make the statements therein not misleading, and (B) (i) the Pricing Disclosure Package does not, as of the Applicable Time, (ii) the Prospectus and any amendment or supplement thereto will not, as of their dates, and (iii) the Prospectus, as it may be amended or supplemented pursuant to Section 4 hereof, as of the Closing Date will not, contain an untrue statement of a material fact or omit to state a material fact necessary to make the statements therein, in the light of the circumstances under which they were made, not misleading;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this representation and warranty shall not apply to: (A) any statements or omissions made in reliance upon and in conformity with any information furnished in writing by, or through the Representatives (as defined below) on behalf of, any Underwriter for use therein, and (B) any Form T-1 Statement of Eligibility and Qualification included as an exhibit to the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Each document filed, and to the extent such document has been amended, as so amended, or to be filed pursuant to the 1934 Act and incorporated by reference, or deemed to be incorporated by reference in the Preliminary Prospectus or the Prospectus (including, without limitation, any document to be filed pursuant to the 1934 Act which will be incorporated by reference in the Prospectus) conformed or, when so filed, will conform in all material respects to the requirements of the 1934 Act and the applicable rules and regulations of the Commission thereunder, and none of such documents included, and to the extent such document has been amended, as so amended, or, when so filed, will include any untrue statement of a material fact or omitted or, when so filed, will omit to state any material fact necessary to make the statements therein, in the light of the circumstances under which they were made, not misleading;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Any Permitted Free Writing Prospectus or other Issuer Free Writing Prospectus (such term having the meaning assigned to it by Rule 433 under the 1933 Act (“</w:t>
      </w:r>
      <w:r>
        <w:rPr>
          <w:rFonts w:ascii="Times New Roman;Times;Serif" w:hAnsi="Times New Roman;Times;Serif"/>
          <w:b/>
          <w:i w:val="false"/>
          <w:caps w:val="false"/>
          <w:smallCaps w:val="false"/>
          <w:sz w:val="20"/>
        </w:rPr>
        <w:t>Rule 433</w:t>
      </w:r>
      <w:r>
        <w:rPr>
          <w:rFonts w:ascii="Times New Roman;Times;Serif" w:hAnsi="Times New Roman;Times;Serif"/>
          <w:b w:val="false"/>
          <w:i w:val="false"/>
          <w:caps w:val="false"/>
          <w:smallCaps w:val="false"/>
          <w:sz w:val="20"/>
        </w:rPr>
        <w:t>”)) does not include anything that conflicts with the information contained or incorporated by reference in the Registration Statement, the Preliminary Prospectus or the Prospectus; and any such Permitted Free Writing Prospectus or other Issuer Free Writing Prospectus, when taken together with the information contained in the Registration Statement, any Preliminary Prospectus and the Prospectus, did not, when issued or filed pursuant to Rule 433, and does not, contain any untrue statement of a material fact or omit to state any material fact necessary in order to make the statements therein, in light of the circumstances under which they were made, not misleading; provided, that this representation and warranty shall not apply to any statements or omissions made in reliance upon and in conformity with any information furnished in writing by, or through the Representatives on behalf of, any Underwriter for use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(A) At the time of filing of the Registration Statement, (B) at the time of the most recent amendment to the Registration Statement for the purposes of complying with Section 10(a)(3) of the 1933 Act (whether such amendment was by post-effective amendment, incorporated report filed pursuant to Section 13 or 15(d) of the 1934 Act or form of prospectus) and (C) at the time the Company or any person acting on its behalf (within the meaning, for this clause only, of Rule 163(c) under the 1933 Act) made any offer relating to the Bonds in reliance on the exemption of Rule 163 under the 1933 Act, each of the Company and CNP was a “well-known seasoned issuer” (as defined in Rule 405 under the 1933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With respect to the Registration Statement, (A) the Registration Statement is an “automatic shelf registration statement” (as defined in Rule 405 under the 1933 Act), (B) the Company has not received from the Commission any notice pursuant to Rule 401(g)(2) of the 1933 Act objecting to the use of the automatic shelf registration statement and (C) the conditions for use of Form S-3 have been, and continue to be, satisfied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At the determination date for purposes of the Bonds within the meaning of Rule 164(h) under the 1933 Act, the Company was not an “ineligible issuer” as defined in Rule 405 under the 1933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The Company has been duly formed and is an existing limited liability company in good standing under the laws of the State of Texas, with limited liability company power and authority to own its properties and conduct its business as described in the Pricing Disclosure Package and the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[Reserved];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This Agreement has been duly authorized, executed and delivered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            The Company has good and indefeasible title to all real property and real property interests and good and indefeasible title to all personal property which are specifically or generally described or referred to in the Indenture, as subject to the lien of the Indenture (except property that is not used or useful in connection with the operation of the business of the Company and the loss of which would not, individually or in the aggregate, result in a Material Adverse Effect (as defined herein)), subject only to the lien of the Indenture and the lien of the Mortgage and Deed of Trust, dated November 1, 1944, from the Company to The Bank of New York Mellon Trust Company, National Association (as successor to South Texas Commercial National Bank of Houston), as trustee (the “</w:t>
      </w:r>
      <w:r>
        <w:rPr>
          <w:rFonts w:ascii="Times New Roman;Times;Serif" w:hAnsi="Times New Roman;Times;Serif"/>
          <w:b/>
          <w:i w:val="false"/>
          <w:caps w:val="false"/>
          <w:smallCaps w:val="false"/>
          <w:sz w:val="20"/>
        </w:rPr>
        <w:t>First Mortgage Indenture</w:t>
      </w:r>
      <w:r>
        <w:rPr>
          <w:rFonts w:ascii="Times New Roman;Times;Serif" w:hAnsi="Times New Roman;Times;Serif"/>
          <w:b w:val="false"/>
          <w:i w:val="false"/>
          <w:caps w:val="false"/>
          <w:smallCaps w:val="false"/>
          <w:sz w:val="20"/>
        </w:rPr>
        <w:t>”), Permitted Liens as defined in the Indenture (“</w:t>
      </w:r>
      <w:r>
        <w:rPr>
          <w:rFonts w:ascii="Times New Roman;Times;Serif" w:hAnsi="Times New Roman;Times;Serif"/>
          <w:b/>
          <w:i w:val="false"/>
          <w:caps w:val="false"/>
          <w:smallCaps w:val="false"/>
          <w:sz w:val="20"/>
        </w:rPr>
        <w:t>Permitted Liens</w:t>
      </w:r>
      <w:r>
        <w:rPr>
          <w:rFonts w:ascii="Times New Roman;Times;Serif" w:hAnsi="Times New Roman;Times;Serif"/>
          <w:b w:val="false"/>
          <w:i w:val="false"/>
          <w:caps w:val="false"/>
          <w:smallCaps w:val="false"/>
          <w:sz w:val="20"/>
        </w:rPr>
        <w:t>”), and minor defects and encumbrances which do not materially impair the use of the property in the operation of the business of the Company; and the descriptions of all such properties contained or referred to in the Indenture are correct and adequate for purposes of the lien and security interest purported to be created by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          The Indenture constitutes a valid mortgage lien on and security interest in the properties or interests therein which are specifically or generally described or referred to therein as being subject to the lien thereof, subject to no lien prior to the lien of the Indenture except the lien of the First Mortgage Indenture and other Permitted Liens; the Indenture by its terms effectively subjects to the lien thereof all property (except property of the kinds specifically excepted from the lien of the Indenture) acquired by the Company after the date of the execution and delivery of the Indenture, subject to no lien prior to the lien of the Indenture except the lien of the First Mortgage Indenture and other Permitted Liens, and except for possible claims of a trustee in bankruptcy and possible claims and taxes of the federal, state and local government; and, at the Closing Date, the Indenture or a notice thereof will have been duly recorded and/or filed for recordation as a mortgage of real estate, and any required filings with respect to personal property and fixtures subject to the lien of the Indenture will have been duly made, in each place in which such recording or filing is required to protect, preserve and perfect the lien of the Indenture, and all taxes and recording and filing fees required to be paid with respect to the execution, recording or filing of the Indenture, the filing of financing statements and similar documents and the issuance of the offered Bonds will have been paid;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(xiii)         The Bonds and the Indenture have been duly authorized by the Company and, when the Supplemental Indenture has been duly executed and delivered by the Company in accordance with its terms, and assuming the valid execution and delivery thereof by the Trustee, the Indenture will constitute, and, in the case of the Bonds, when they are delivered by the Company, paid for pursuant to this Agreement and the Indenture and duly authenticated and delivered by the Trustee, the Bonds will, on the Closing Date, constitute, valid and legally binding obligations of the Company, enforceable in accordance with their respective terms, subject, as to enforcement, to bankruptcy, insolvency, fraudulent transfer, reorganization and other laws of general applicability relating to or affecting creditors’ rights and to general equity principles (regardless of whether such enforceability is considered in a proceeding in equity or at law); the Bonds, when delivered by the Company, paid for pursuant to this Agreement and the Indenture and duly authenticated and delivered by the Trustee, will be entitled to the benefits of the Indenture; and the Bonds and the Indenture conform to the descriptions thereof in the Pricing Disclosure Package and the Prospectus; the Indenture has been qualified under the TIA;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(xiv)         The issuance by the Company of the Bonds, the compliance by the Company with all of the applicable provisions of this Agreement, the Bonds and the Indenture, and the consummation by the Company of the transactions contemplated herein and therein (a) will not conflict with or result in a breach or violation of any of the terms or provisions of, or constitute a default under, any indenture, mortgage, deed of trust, loan agreement or other agreement or instrument to which the Company or any subsidiary is a party or by which the Company or any subsidiary is bound or to which any of the property or assets of the Company or any subsidiary is subject, which conflict, breach, violation, or default would individually, or in the aggregate, have a material adverse effect on the financial condition, business or results of operations of the Company and its subsidiaries, taken as a whole (“</w:t>
      </w:r>
      <w:r>
        <w:rPr>
          <w:rFonts w:ascii="Times New Roman;Times;Serif" w:hAnsi="Times New Roman;Times;Serif"/>
          <w:b/>
          <w:i w:val="false"/>
          <w:caps w:val="false"/>
          <w:smallCaps w:val="false"/>
          <w:sz w:val="20"/>
        </w:rPr>
        <w:t>Material Adverse Effect</w:t>
      </w:r>
      <w:r>
        <w:rPr>
          <w:rFonts w:ascii="Times New Roman;Times;Serif" w:hAnsi="Times New Roman;Times;Serif"/>
          <w:b w:val="false"/>
          <w:i w:val="false"/>
          <w:caps w:val="false"/>
          <w:smallCaps w:val="false"/>
          <w:sz w:val="20"/>
        </w:rPr>
        <w:t>”); and (b) will not result in any violation of the provisions of the certificate of formation or limited liability company agreement or other organizational documents of the Company, the charter, by-laws or other organizational documents of any subsidiary of the Company or any existing statute or any order, rule or regulation of any court or governmental agency or body having jurisdiction over the Company’s or any of its or its subsidiaries’ properties;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          No consent, approval, authorization, order, registration or qualification of or with any such court or governmental agency or body is required for the issuance of the Bonds or the consummation by the Company of the other transactions contemplated by this Agreement and the Indenture, except such consents, approvals, authorizations, registrations or qualifications as may be required under state securities or Blue Sky laws in connection with the issuance by the Company of the Bonds and the purchase and distribution of the Bonds by the Underwriters;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(xvi)         The Company and its subsidiaries possess certificates, authorities or permits issued by appropriate governmental agencies or bodies necessary to conduct the business now operated by them and have not received any notice of proceedings relating to the revocation or modification of any such certificate, authority or permit that, if determined adversely to the Company or any of its subsidiaries, would individually or in the aggregate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(xvii)        Except as disclosed in the Pricing Disclosure Package and the Prospectus, neither the Company nor any of its subsidiaries is in violation of any statute, any rule, regulation, decision or order of any governmental agency or body or any court, domestic or foreign, relating to the use, disposal or release of hazardous or toxic substances or relating to the protection or restoration of the environment or human exposure to hazardous or toxic substances (collectively, “</w:t>
      </w:r>
      <w:r>
        <w:rPr>
          <w:rFonts w:ascii="Times New Roman;Times;Serif" w:hAnsi="Times New Roman;Times;Serif"/>
          <w:b/>
          <w:i w:val="false"/>
          <w:caps w:val="false"/>
          <w:smallCaps w:val="false"/>
          <w:sz w:val="20"/>
        </w:rPr>
        <w:t>Environmental Laws</w:t>
      </w:r>
      <w:r>
        <w:rPr>
          <w:rFonts w:ascii="Times New Roman;Times;Serif" w:hAnsi="Times New Roman;Times;Serif"/>
          <w:b w:val="false"/>
          <w:i w:val="false"/>
          <w:caps w:val="false"/>
          <w:smallCaps w:val="false"/>
          <w:sz w:val="20"/>
        </w:rPr>
        <w:t>”), owns or operates any real property contaminated with any substance that is subject to any Environmental Laws, is liable for any off-site disposal or contamination pursuant to any Environmental Laws, or is subject to any claim relating to any Environmental Laws, which violation, contamination, liability or claim would individually or in the aggregate have a Material Adverse Effect; and the Company is not aware of any pending investigation which has a reasonable possibility of leading to such a claim;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(xviii)       Except as disclosed in the Pricing Disclosure Package and the Prospectus, there are no pending actions, suits or proceedings against or affecting the Company, any of its subsidiaries or any of their respective properties that, if determined adversely to the Company or any of its subsidiaries, would individually or in the aggregate have a Material Adverse Effect, or would materially and adversely affect the ability of the Company to perform its obligations under the Indenture or this Agreement, or which are otherwise material in the context of the sale of the Bonds; and except as disclosed in the Pricing Disclosure Package and the Prospectus, no such actions, suits or proceedings are threatened or, to the Company’s knowledge, contemplated;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(xix)         The financial statements of the Company included or incorporated by reference in the Registration Statement, the Pricing Disclosure Package and the Prospectus present fairly the financial position of the Company and its consolidated subsidiaries as of the dates shown and their results of operations and cash flows for the periods shown, and, except as otherwise disclosed in the Registration Statement, the Pricing Disclosure Package and the Prospectus, such financial statements have been prepared in conformity with the generally accepted accounting principles in the United States applied on a consistent basis. The interactive data in eXtensible Business Reporting Language included or incorporated by reference in the Registration Statement, the Pricing Disclosure Package and the Prospectus fairly presents the information called for in all material respects and is prepared in accordance with the Commission’s rules and guidelines applicable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          Since the date of the latest audited financial statements of the Company incorporated by reference in the Registration Statement, the Pricing Disclosure Package and the Prospectus and except as disclosed in the Registration Statement, the Pricing Disclosure Package and the Prospectus there has been no (i) material adverse change in the business, financial condition, prospects or results of operations of the Company and its subsidiaries taken as a whole, and (ii) dividend or distribution of any kind declared, paid or made by the Company on any class of its equity interests (other than as set forth in CNP’s financing plan or as consistent with past practice);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(xxi)         The Company maintains a system of internal accounting controls and maintains disclosure controls and procedures in conformity with the requirements of the 1934 Act and is otherwise in compliance in all material respects with the requirements of the Sarbanes-Oxley Act of 2002 and the rules and regulations promulgated in connection therewith;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(xxii)        Deloitte &amp; Touche LLP, who have certified certain financial statements of the Company and its subsidiaries, are an independent registered public accounting firm with respect to the Company and its subsidiaries within the applicable rules and regulations adopted by the Commission and the Public Company Accounting Oversight Board (United States) and as required by the 1933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(xxiii)       The Company is not, and after giving effect to the offering and sale of the Bonds and the application of the proceeds thereof as described in the Prospectus under the caption “Use of Proceeds,” will not be an “investment company” as such term is defined in the Investment Company Act of 1940, as amended (the “</w:t>
      </w:r>
      <w:r>
        <w:rPr>
          <w:rFonts w:ascii="Times New Roman;Times;Serif" w:hAnsi="Times New Roman;Times;Serif"/>
          <w:b/>
          <w:i w:val="false"/>
          <w:caps w:val="false"/>
          <w:smallCaps w:val="false"/>
          <w:sz w:val="20"/>
        </w:rPr>
        <w:t>Investment Company Act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(xxiv)       The Company and each of its subsidiaries are insured by insurers of recognized financial responsibility against such losses and risks in such amounts as are prudent and customary for similarly situated companies in the businesses in which they are engaged;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(xxv)        The operations of the Company and its subsidiaries are and, since January 1, 2006, have been conducted at all times, in compliance with applicable financial recordkeeping and reporting requirements and the money laundering statutes and the rules and regulations thereunder and any related or similar rules, regulations or guidelines, issued, administered or enforced by any governmental agency (collectively, the “</w:t>
      </w:r>
      <w:r>
        <w:rPr>
          <w:rFonts w:ascii="Times New Roman;Times;Serif" w:hAnsi="Times New Roman;Times;Serif"/>
          <w:b/>
          <w:i w:val="false"/>
          <w:caps w:val="false"/>
          <w:smallCaps w:val="false"/>
          <w:sz w:val="20"/>
        </w:rPr>
        <w:t>Money Laundering Laws</w:t>
      </w:r>
      <w:r>
        <w:rPr>
          <w:rFonts w:ascii="Times New Roman;Times;Serif" w:hAnsi="Times New Roman;Times;Serif"/>
          <w:b w:val="false"/>
          <w:i w:val="false"/>
          <w:caps w:val="false"/>
          <w:smallCaps w:val="false"/>
          <w:sz w:val="20"/>
        </w:rPr>
        <w:t>”) and no action, suit or proceeding by or before any court or governmental agency, authority or body or any arbitrator involving the Company or any of its subsidiaries with respect to the Money Laundering Laws is pending or, to the knowledge of the Company, threatened;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(xxvi)       Neither the Company nor any of its subsidiaries nor, to the knowledge of the Company, any director, officer, agent, employee or affiliate of the Company or any of its subsidiaries is currently subject to any sanctions administered by the Office of Foreign Assets Control of the U.S. Treasury Department (“</w:t>
      </w:r>
      <w:r>
        <w:rPr>
          <w:rFonts w:ascii="Times New Roman;Times;Serif" w:hAnsi="Times New Roman;Times;Serif"/>
          <w:b/>
          <w:i w:val="false"/>
          <w:caps w:val="false"/>
          <w:smallCaps w:val="false"/>
          <w:sz w:val="20"/>
        </w:rPr>
        <w:t>OFAC</w:t>
      </w:r>
      <w:r>
        <w:rPr>
          <w:rFonts w:ascii="Times New Roman;Times;Serif" w:hAnsi="Times New Roman;Times;Serif"/>
          <w:b w:val="false"/>
          <w:i w:val="false"/>
          <w:caps w:val="false"/>
          <w:smallCaps w:val="false"/>
          <w:sz w:val="20"/>
        </w:rPr>
        <w:t>”); and the Company will not directly or indirectly use the proceeds of the offering, or lend, contribute or otherwise make available such proceeds to any subsidiary, joint venture partner or other person or entity, for the purpose of financing the activities of any person currently subject to any U.S. sanctions administered by OFAC.</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85"/>
        <w:gridCol w:w="831"/>
        <w:gridCol w:w="9189"/>
      </w:tblGrid>
      <w:tr>
        <w:trPr/>
        <w:tc>
          <w:tcPr>
            <w:tcW w:w="185"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b/>
                <w:sz w:val="20"/>
              </w:rPr>
            </w:pPr>
            <w:r>
              <w:rPr>
                <w:b/>
                <w:sz w:val="20"/>
              </w:rPr>
              <w:t>2.</w:t>
            </w:r>
          </w:p>
        </w:tc>
        <w:tc>
          <w:tcPr>
            <w:tcW w:w="9189" w:type="dxa"/>
            <w:tcBorders/>
            <w:vAlign w:val="center"/>
          </w:tcPr>
          <w:p>
            <w:pPr>
              <w:pStyle w:val="TableContents"/>
              <w:bidi w:val="0"/>
              <w:spacing w:before="0" w:after="283"/>
              <w:jc w:val="both"/>
              <w:rPr>
                <w:b/>
              </w:rPr>
            </w:pPr>
            <w:r>
              <w:rPr>
                <w:b/>
              </w:rPr>
              <w:t>Sale and Delivery.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Subject to the terms and conditions herein set forth, the Company agrees to issue and sell to each of the Underwriters, and each of the Underwriters agrees, severally and not jointly, to purchase from the Company, the principal amount of the Bonds set forth in Schedule I opposite the name of such Underwriter (plus an additional amount of Bonds that such Underwriter may become obligated to purchase pursuant to the provisions of Section 8 hereof) at a price equal to 99.334% of the principal amount thereof, plus accrued interest, if any, from September 24, 2026 to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Bonds to be purchased by each Underwriter hereunder will be represented by one or more registered global securities in book-entry form which will be deposited by or on behalf of the Company with The Depository Trust Company (“</w:t>
      </w:r>
      <w:r>
        <w:rPr>
          <w:rFonts w:ascii="Times New Roman;Times;Serif" w:hAnsi="Times New Roman;Times;Serif"/>
          <w:b/>
          <w:i w:val="false"/>
          <w:caps w:val="false"/>
          <w:smallCaps w:val="false"/>
          <w:sz w:val="20"/>
        </w:rPr>
        <w:t>DTC</w:t>
      </w:r>
      <w:r>
        <w:rPr>
          <w:rFonts w:ascii="Times New Roman;Times;Serif" w:hAnsi="Times New Roman;Times;Serif"/>
          <w:b w:val="false"/>
          <w:i w:val="false"/>
          <w:caps w:val="false"/>
          <w:smallCaps w:val="false"/>
          <w:sz w:val="20"/>
        </w:rPr>
        <w:t>”) or its designated custodian. The Company will deliver the Bonds to MUFG Securities Americas Inc., acting on behalf of the Underwriters for the account of each Underwriter, against payment by or on behalf of such Underwriter of the amount therefor, as set forth above, by wire transfer of Federal (same day) funds to a commercial bank account located in the United States and designated in writing at least forty-eight hours prior to the Closing Date by the Company to MUFG Securities Americas Inc., by causing DTC to credit the Bonds to the account of MUFG Securities Americas Inc., at DTC. The Company will cause the global certificates representing the Bonds to be made available to Barclays Capital Inc., BNP Paribas Securities Corp., Goldman Sachs &amp; Co. LLC, MUFG Securities Americas Inc. and Truist Securities, Inc., as joint-book running managing underwriters (together, the “</w:t>
      </w:r>
      <w:r>
        <w:rPr>
          <w:rFonts w:ascii="Times New Roman;Times;Serif" w:hAnsi="Times New Roman;Times;Serif"/>
          <w:b/>
          <w:i w:val="false"/>
          <w:caps w:val="false"/>
          <w:smallCaps w:val="false"/>
          <w:sz w:val="20"/>
        </w:rPr>
        <w:t>Representatives</w:t>
      </w:r>
      <w:r>
        <w:rPr>
          <w:rFonts w:ascii="Times New Roman;Times;Serif" w:hAnsi="Times New Roman;Times;Serif"/>
          <w:b w:val="false"/>
          <w:i w:val="false"/>
          <w:caps w:val="false"/>
          <w:smallCaps w:val="false"/>
          <w:sz w:val="20"/>
        </w:rPr>
        <w:t>”), acting on behalf of the Underwriters, for checking at least twenty-four hours prior to the Closing Date at the office of DTC or its designated custodian (the “</w:t>
      </w:r>
      <w:r>
        <w:rPr>
          <w:rFonts w:ascii="Times New Roman;Times;Serif" w:hAnsi="Times New Roman;Times;Serif"/>
          <w:b/>
          <w:i w:val="false"/>
          <w:caps w:val="false"/>
          <w:smallCaps w:val="false"/>
          <w:sz w:val="20"/>
        </w:rPr>
        <w:t>Designated Office</w:t>
      </w:r>
      <w:r>
        <w:rPr>
          <w:rFonts w:ascii="Times New Roman;Times;Serif" w:hAnsi="Times New Roman;Times;Serif"/>
          <w:b w:val="false"/>
          <w:i w:val="false"/>
          <w:caps w:val="false"/>
          <w:smallCaps w:val="false"/>
          <w:sz w:val="20"/>
        </w:rPr>
        <w:t>”). The time and date of such delivery and payment shall be 9:30 a.m., New York City time, on September 24, 2026 or such other time and date as the Representatives and the Company may agree upon in writing. Such time and date are herein called the “</w:t>
      </w:r>
      <w:r>
        <w:rPr>
          <w:rFonts w:ascii="Times New Roman;Times;Serif" w:hAnsi="Times New Roman;Times;Serif"/>
          <w:b/>
          <w:i w:val="false"/>
          <w:caps w:val="false"/>
          <w:smallCaps w:val="false"/>
          <w:sz w:val="20"/>
        </w:rPr>
        <w:t>Closing Date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documents to be delivered on the Closing Date by or on behalf of the parties hereto pursuant to Section 6 hereof, including the cross-receipt for the Bonds and any additional certificates requested by the Underwriters pursuant to Section 6(h) hereof, will be delivered at such time and date at the offices of Baker Botts L.L.P., 910 Louisiana Street, Houston, Texas 77002-4995 or such other location as the Representatives and the Company may agree in writing (the “</w:t>
      </w:r>
      <w:r>
        <w:rPr>
          <w:rFonts w:ascii="Times New Roman;Times;Serif" w:hAnsi="Times New Roman;Times;Serif"/>
          <w:b/>
          <w:i w:val="false"/>
          <w:caps w:val="false"/>
          <w:smallCaps w:val="false"/>
          <w:sz w:val="20"/>
        </w:rPr>
        <w:t>Closing Location</w:t>
      </w:r>
      <w:r>
        <w:rPr>
          <w:rFonts w:ascii="Times New Roman;Times;Serif" w:hAnsi="Times New Roman;Times;Serif"/>
          <w:b w:val="false"/>
          <w:i w:val="false"/>
          <w:caps w:val="false"/>
          <w:smallCaps w:val="false"/>
          <w:sz w:val="20"/>
        </w:rPr>
        <w:t>”), and the Bonds will be delivered at the Designated Office, all on the Closing Date. A meeting will be held at the Closing Location at 1:00 p.m., New York City time or at such other time as the Representatives and the Company may agree in writing, on the New York Business Day next preceding the Closing Date, at which meeting the final drafts of the documents to be delivered pursuant to the preceding sentence will be available for review by the parties hereto. For the purposes of this Section 2, “</w:t>
      </w:r>
      <w:r>
        <w:rPr>
          <w:rFonts w:ascii="Times New Roman;Times;Serif" w:hAnsi="Times New Roman;Times;Serif"/>
          <w:b/>
          <w:i w:val="false"/>
          <w:caps w:val="false"/>
          <w:smallCaps w:val="false"/>
          <w:sz w:val="20"/>
        </w:rPr>
        <w:t>New York Business Day</w:t>
      </w:r>
      <w:r>
        <w:rPr>
          <w:rFonts w:ascii="Times New Roman;Times;Serif" w:hAnsi="Times New Roman;Times;Serif"/>
          <w:b w:val="false"/>
          <w:i w:val="false"/>
          <w:caps w:val="false"/>
          <w:smallCaps w:val="false"/>
          <w:sz w:val="20"/>
        </w:rPr>
        <w:t>” shall mean each Monday, Tuesday, Wednesday, Thursday and Friday which is not a day on which banking institutions in New York are generally authorized or obligated by law or executive order to close.</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9"/>
        <w:gridCol w:w="581"/>
        <w:gridCol w:w="9495"/>
      </w:tblGrid>
      <w:tr>
        <w:trPr/>
        <w:tc>
          <w:tcPr>
            <w:tcW w:w="129"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b/>
                <w:sz w:val="20"/>
              </w:rPr>
            </w:pPr>
            <w:r>
              <w:rPr>
                <w:b/>
                <w:sz w:val="20"/>
              </w:rPr>
              <w:t>3.</w:t>
            </w:r>
          </w:p>
        </w:tc>
        <w:tc>
          <w:tcPr>
            <w:tcW w:w="9495" w:type="dxa"/>
            <w:tcBorders/>
            <w:vAlign w:val="center"/>
          </w:tcPr>
          <w:p>
            <w:pPr>
              <w:pStyle w:val="TableContents"/>
              <w:bidi w:val="0"/>
              <w:spacing w:before="0" w:after="283"/>
              <w:jc w:val="both"/>
              <w:rPr>
                <w:b/>
              </w:rPr>
            </w:pPr>
            <w:r>
              <w:rPr>
                <w:b/>
              </w:rPr>
              <w:t>Free Writing Prospectuses.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represents and agrees that, without the prior consent of the Representatives, it has not made and will not make any offer relating to the Bonds that would constitute a “free writing prospectus” as defined in Rule 405 under the 1933 Act, other than a free writing prospectus (which shall include the Pricing Term Sheet discussed in Section 3(b) hereof and as defined below), the use of which has been consented to by the Company and the Representatives; provided that the prior written consent of the parties hereto shall be deemed to have been given in respect of the free writing prospectuses listed on Schedule IV hereto. Any such free writing prospectus consented to by the Representatives and the Company is herein called a “</w:t>
      </w:r>
      <w:r>
        <w:rPr>
          <w:rFonts w:ascii="Times New Roman;Times;Serif" w:hAnsi="Times New Roman;Times;Serif"/>
          <w:b/>
          <w:i w:val="false"/>
          <w:caps w:val="false"/>
          <w:smallCaps w:val="false"/>
          <w:sz w:val="20"/>
        </w:rPr>
        <w:t>Permitted Free Writing Prospectus</w:t>
      </w:r>
      <w:r>
        <w:rPr>
          <w:rFonts w:ascii="Times New Roman;Times;Serif" w:hAnsi="Times New Roman;Times;Serif"/>
          <w:b w:val="false"/>
          <w:i w:val="false"/>
          <w:caps w:val="false"/>
          <w:smallCaps w:val="false"/>
          <w:sz w:val="20"/>
        </w:rPr>
        <w:t>”; each Underwriter, severally and not jointly, represents and agrees that, without the prior consent of the Company and the Representatives, it has not made and will not make any offer relating to the Bonds that would constitute a “free writing prospectus” as defined in Rule 405 under the 1933 Act, other than a Permitted Free Writing Prospectus or a free writing prospectus that is not required to be filed by the Company pursuant to Rule 433.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agrees to prepare a term sheet specifying the terms of the Bonds not contained in the Preliminary Prospectus, substantially in the form of Schedule II hereto and approved by the Representatives (the “</w:t>
      </w:r>
      <w:r>
        <w:rPr>
          <w:rFonts w:ascii="Times New Roman;Times;Serif" w:hAnsi="Times New Roman;Times;Serif"/>
          <w:b/>
          <w:i w:val="false"/>
          <w:caps w:val="false"/>
          <w:smallCaps w:val="false"/>
          <w:sz w:val="20"/>
        </w:rPr>
        <w:t>Pricing Term Sheet</w:t>
      </w:r>
      <w:r>
        <w:rPr>
          <w:rFonts w:ascii="Times New Roman;Times;Serif" w:hAnsi="Times New Roman;Times;Serif"/>
          <w:b w:val="false"/>
          <w:i w:val="false"/>
          <w:caps w:val="false"/>
          <w:smallCaps w:val="false"/>
          <w:sz w:val="20"/>
        </w:rPr>
        <w:t>”), and to file the Pricing Term Sheet pursuant to Rule 433(d) under the 1933 Act within the time period prescribed by such Rule.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Company and the Representatives have complied and will comply with the requirements of Rule 433 under the 1933 Act applicable to any free writing prospectus, including timely Commission filing where required and legending.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Company agrees that if at any time following issuance of a Permitted Free Writing Prospectus or other Issuer Free Writing Prospectus any event has occurred that results in such Permitted Free Writing Prospectus or other Issuer Free Writing Prospectus conflicting, or it becomes known that such Permitted Free Writing Prospectus or other Issuer Free Writing Prospectus conflicts with the information in the Registration Statement, the Preliminary Prospectus or the Prospectus, or the Pricing Disclosure Package including an untrue statement of a material fact or omitting to state any material fact necessary in order to make the statements therein, in light of the circumstances then prevailing, not misleading, the Company will give prompt notice thereof to the Representatives and, if requested by the Representatives, will prepare and furnish without charge to each Underwriter a free writing prospectus or other document, the use of which has been consented to by the Representatives, which will correct such conflict, statement or omission; provided, however, that this representation and warranty shall not apply to any statements or omissions in the Pricing Disclosure Package made in reliance upon and in conformity with information furnished in writing to the Company by, or through the Representatives on behalf of, any Underwriter expressly for use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4"/>
        <w:gridCol w:w="558"/>
        <w:gridCol w:w="9523"/>
      </w:tblGrid>
      <w:tr>
        <w:trPr/>
        <w:tc>
          <w:tcPr>
            <w:tcW w:w="124"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b/>
                <w:sz w:val="20"/>
              </w:rPr>
            </w:pPr>
            <w:r>
              <w:rPr>
                <w:b/>
                <w:sz w:val="20"/>
              </w:rPr>
              <w:t>4.</w:t>
            </w:r>
          </w:p>
        </w:tc>
        <w:tc>
          <w:tcPr>
            <w:tcW w:w="9523" w:type="dxa"/>
            <w:tcBorders/>
            <w:vAlign w:val="center"/>
          </w:tcPr>
          <w:p>
            <w:pPr>
              <w:pStyle w:val="TableContents"/>
              <w:bidi w:val="0"/>
              <w:spacing w:before="0" w:after="283"/>
              <w:jc w:val="both"/>
              <w:rPr>
                <w:b/>
              </w:rPr>
            </w:pPr>
            <w:r>
              <w:rPr>
                <w:b/>
              </w:rPr>
              <w:t>Covenants and Agreements.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covenants and agrees with each of the Underwriters: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That the Company will furnish without charge to the Underwriters a copy of the Registration Statement, including all documents incorporated by reference therein and exhibits filed with the Registration Statement (other than exhibits which are incorporated by reference and have previously been so furnished), and, during the period mentioned in paragraph (c) below, as many written and electronic copies of the Preliminary Prospectus, the Pricing Disclosure Package and the Prospectus, any documents incorporated by reference therein at or after the date thereof (including documents from which information has been so incorporated) and any supplements and amendments thereto as each Underwriter may reasonably request;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That the Company will cause the Preliminary Prospectus and the Prospectus to be filed pursuant to, and in compliance with, Rule 424(b) and will promptly advise the Underwriters (i) when any amendment to the Registration Statement shall have been filed;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with respect to documents filed pursuant to the 1934 Act and incorporated by reference into the Registration Statement, such notice shall only be required during such time as the Underwriters are required in the reasonable opinion of the Representatives, based on advice of Hunton Andrews Kurth LLP, counsel for the Underwriters, to deliver a prospectus (or in lieu thereof, the notice referred to in Rule 173(a) under the 1933 Act), (ii) of any request by the Commission for any amendment of the Registration Statement, (iii) of the issuance by the Commission of any stop order suspending the effectiveness of the Registration Statement or the institution or threatening of any proceeding for that purpose or pursuant to Section 8A of the 1933 Act against the Company or related to the offering, (iv) of the receipt by the Company of any notification with respect to the suspension of the qualification of the Bonds for sale in any jurisdiction or the initiation or threatening of any proceeding for such purpose, and (v) of the receipt by the Company of any notice from the Commission pursuant to Rule 401(g)(2) of the 1933 Act. So long as any Underwriter is required in the reasonable opinion of the Representatives, based on advice of Hunton Andrews Kurth LLP, to deliver a prospectus (or in lieu thereof, the notice referred to in Rule 173(a) under the 1933 Act), the Company will not file any amendment to the Registration Statement or supplement to the Preliminary Prospectus or the Prospectus to which the Representatives or Hunton Andrews Kurth LLP shall have reasonably objected in writing and the Company shall furnish one copy of every such amendment or supplement to each of the Representatives and to Hunton Andrews Kurth LLP. If the Commission shall issue a stop order suspending the effectiveness of the Registration Statement, the Company will take such steps to obtain the lifting of that order as promptly as practical. If the Company receives a notice from the Commission pursuant to Rule 401(g)(2) of the 1933 Act, the Company will promptly take such steps including, without limitation, amending the Registration Statement or filing a new registration statement, at its own expense, as may be necessary to permit offers and sales of the Bonds by the Underwriters (references herein to the Registration Statement shall include any such amendment or new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That if, at any time when in the reasonable opinion of the Representatives, based on advice of Hunton Andrews Kurth LLP, the information in the Pricing Disclosure Package or the Prospectus (or in lieu thereof, the notice referred to in Rule 173(a) under the 1933 Act) is required by law to be delivered by an Underwriter or a dealer, any event shall occur as a result of which it is necessary, in the reasonable opinion of the Representatives, based on advice of Hunton Andrews Kurth LLP, or counsel for the Company, to amend or supplement the Pricing Disclosure Package or the Prospectus or modify the information incorporated by reference therein in order to make the statements therein, in light of the circumstances existing when the information in the Pricing Disclosure Package or the Prospectus (or in lieu thereof, the notice referred to in Rule 173(a) under the 1933 Act) is delivered to a purchaser, not misleading, or if it shall be necessary in the reasonable opinion of any such counsel, to amend or supplement the Pricing Disclosure Package or the Prospectus or modify such information to comply with law, the Company will forthwith (i) prepare and furnish, at its own expense, to the Underwriters and to the dealers (whose names and addresses the Underwriters will furnish to the Company) to whom Bonds may have been sold by the Underwriters and to any other dealers upon reasonable request, either amendments or supplements to the Pricing Disclosure Package or the Prospectus or (ii) file with the Commission documents incorporated by reference in the Pricing Disclosure Package and Prospectus, which shall be so supplied to the Underwriters and such dealers, in either case so that the statements in the Pricing Disclosure Package or the Prospectus as so amended, supplemented or modified will not, in light of the circumstances when the information in the Pricing Disclosure Package or the Prospectus (or in lieu thereof, the notice referred to in Rule 173(a) under the 1933 Act) is delivered to a purchaser, be misleading or so that the Pricing Disclosure Package and the Prospectus will comply with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That the Company will endeavor to qualify, at its expense, the Bonds for offer and sale under the securities or Blue Sky laws of such jurisdictions as the Underwriters shall reasonably request and to pay all filing fees, reasonable expenses and legal fees in connection therewith and in connection with the determination of the eligibility for investment of the Bonds;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the Company shall not be required to qualify as a foreign limited liability company or a dealer in securities or to file any consents to service of process under the laws of any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That the Company will make generally available to its security holders and the holders of the Bonds as soon as practicable an earnings statement of the Company covering a twelve-month period beginning after the Closing Date which shall satisfy the provisions of Section 11(a) of the 1933 Act and the rules and regulations of the Commission thereunder (including Rule 158 under the 1933 Act);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That during the period beginning on the date of this Agreement and continuing to and including the Closing Date, the Company will not offer, sell, contract to sell or otherwise distribute any bonds, any security convertible into or exchangeable into or exercisable for bonds or any other debt securities substantially similar to the Bonds (except for the Bonds issued pursuant to this Agreement) without the prior written consent of the Representatives.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10"/>
        <w:gridCol w:w="1390"/>
        <w:gridCol w:w="8505"/>
      </w:tblGrid>
      <w:tr>
        <w:trPr/>
        <w:tc>
          <w:tcPr>
            <w:tcW w:w="310" w:type="dxa"/>
            <w:tcBorders/>
            <w:vAlign w:val="center"/>
          </w:tcPr>
          <w:p>
            <w:pPr>
              <w:pStyle w:val="TableContents"/>
              <w:bidi w:val="0"/>
              <w:spacing w:before="0" w:after="283"/>
              <w:jc w:val="left"/>
              <w:rPr>
                <w:sz w:val="4"/>
                <w:szCs w:val="4"/>
              </w:rPr>
            </w:pPr>
            <w:r>
              <w:rPr>
                <w:sz w:val="4"/>
                <w:szCs w:val="4"/>
              </w:rPr>
            </w:r>
          </w:p>
        </w:tc>
        <w:tc>
          <w:tcPr>
            <w:tcW w:w="1390" w:type="dxa"/>
            <w:tcBorders/>
            <w:vAlign w:val="center"/>
          </w:tcPr>
          <w:p>
            <w:pPr>
              <w:pStyle w:val="TableContents"/>
              <w:bidi w:val="0"/>
              <w:spacing w:before="0" w:after="283"/>
              <w:jc w:val="left"/>
              <w:rPr>
                <w:b/>
                <w:sz w:val="20"/>
              </w:rPr>
            </w:pPr>
            <w:r>
              <w:rPr>
                <w:b/>
                <w:sz w:val="20"/>
              </w:rPr>
              <w:t>5.</w:t>
            </w:r>
          </w:p>
        </w:tc>
        <w:tc>
          <w:tcPr>
            <w:tcW w:w="8505" w:type="dxa"/>
            <w:tcBorders/>
            <w:vAlign w:val="center"/>
          </w:tcPr>
          <w:p>
            <w:pPr>
              <w:pStyle w:val="TableContents"/>
              <w:bidi w:val="0"/>
              <w:spacing w:before="0" w:after="283"/>
              <w:jc w:val="both"/>
              <w:rPr>
                <w:b/>
              </w:rPr>
            </w:pPr>
            <w:r>
              <w:rPr>
                <w:b/>
              </w:rPr>
              <w:t>Expenses.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covenants and agrees with the several Underwriters that the Company will pay or cause to be paid the following: (i) all expenses in connection with the preparation, printing and filing of the Registration Statement as originally filed and of each amendment thereto; (ii) the fees, disbursements and expenses of the Company’s counsel and accountants in connection with the issue of the Bonds and all other expenses in connection with the preparation, printing and filing of the Basic Prospectus, any Permitted Free Writing Prospectus, any other Issuer Free Writing Prospectus, the Preliminary Prospectus, the Pricing Disclosure Package and the Prospectus, and any amendments and supplements thereto and the mailing and delivering of copies thereof to the Underwriters and dealers; (iii) all reasonable expenses in connection with the qualification of the Bonds for offering and sale under state securities laws as provided in Section 4(d) hereof, including the reasonable fees and disbursements of counsel for the Underwriters in connection with such qualification and in connection with the Blue Sky and legal investment surveys; (iv) any fees charged by rating services for rating the Bonds; (v) the cost of preparing the Bonds; (vi) costs and expenses, if any, relating to investor presentations or any “road show” in connection with the offering and sale of the Securities including, without limitation, any travel expenses of the Company’s officers and employees; (vii) the fees and expenses of the Trustee and any agent of the Trustee and the fees and disbursements of counsel for the Trustee in connection with the Indenture; and (viii) all other costs and expenses incident to the performance of its obligations hereunder which are not otherwise specifically provided for in this Section. It is understood, however, that, except as provided in this Section, and Sections 7 and 10 hereof, the Underwriters will pay all of their own costs and expenses, including any advertising expenses connected with any offers they may make and the reasonable fees, disbursements and expenses of counsel for the Underwriters.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8"/>
        <w:gridCol w:w="394"/>
        <w:gridCol w:w="9723"/>
      </w:tblGrid>
      <w:tr>
        <w:trPr/>
        <w:tc>
          <w:tcPr>
            <w:tcW w:w="88"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b/>
                <w:sz w:val="20"/>
              </w:rPr>
            </w:pPr>
            <w:r>
              <w:rPr>
                <w:b/>
                <w:sz w:val="20"/>
              </w:rPr>
              <w:t>6.</w:t>
            </w:r>
          </w:p>
        </w:tc>
        <w:tc>
          <w:tcPr>
            <w:tcW w:w="9723" w:type="dxa"/>
            <w:tcBorders/>
            <w:vAlign w:val="center"/>
          </w:tcPr>
          <w:p>
            <w:pPr>
              <w:pStyle w:val="TableContents"/>
              <w:bidi w:val="0"/>
              <w:spacing w:before="0" w:after="283"/>
              <w:jc w:val="both"/>
              <w:rPr>
                <w:b/>
              </w:rPr>
            </w:pPr>
            <w:r>
              <w:rPr>
                <w:b/>
              </w:rPr>
              <w:t>Conditions of Underwriters’ Obligations.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obligations of the Underwriters hereunder shall be subject to the accuracy, at and (except as otherwise stated herein) as of the date hereof, at and as of the Applicable Time, and at and as of the Closing Date, of the representations and warranties made herein by the Company, to compliance at and as of the Closing Date by the Company with its covenants and agreements herein contained and the other provisions hereof to be satisfied at or prior to the Closing Date, and to the following additional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 No stop order suspending the effectiveness of the Registration Statement shall be in effect, and no proceeding for such purpose or pursuant to Section 8A of the 1933 Act against the Company or related to the offering shall be pending before or threatened by the Commission and no notice from the Commission pursuant to Rule 401(g)(2) of the 1933 Act shall have been received, (ii) the Prospectus shall have been filed with the Commission pursuant to Rule 424(b) within the applicable time period prescribed for filing by the rules and regulations under the 1933 Act and in accordance herewith and each Permitted Free Writing Prospectus shall have been filed by the Company with the Commission within the applicable time periods prescribed for such filings by, and otherwise in compliance with Rule 433 under the 1933 Act to the extent so required and (iii) the Underwriters shall have received on and as of the Closing Date, a certificate dated such date, signed by an executive officer (including, without limitation, the Treasurer) of the Company or an executive officer of CNP, to the foregoing effect (which certificate may be to the best of such officer’s knowledge after reasonable investigation).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Subsequent to the execution and delivery of this Agreement, there shall not have occurred (i) any change in the business, financial condition, prospects or results of operations of the Company and its subsidiaries taken as one enterprise which, in the reasonable judgment of the Representatives, is material and adverse and makes it impractical to proceed with completion of the offering or the sale of and payment for the Bonds on the terms set forth herein; (ii) any downgrading in the rating of any debt securities of the Company by any “nationally recognized statistical rating organization” (as defined under the 1934 Act), or any public announcement that any such organization has newly placed under surveillance or review its rating of any debt securities of the Company (other than an announcement with positive implications of a possible upgrading, and no implication of a possible downgrading, of such rating); (iii) any material suspension or material limitation of trading in securities generally on the New York Stock Exchange, or on the over-the-counter market or any suspension of trading of any securities of CNP on any exchange or in the over-the-counter market; (iv) any general moratorium on commercial banking activities declared by U.S. Federal or New York State authorities; (v) any major disruption of settlements of securities or clearance services in the United States or (vi) any act of terrorism in the United States, any attack on, outbreak or escalation of hostilities involving the United States, any declaration of war by Congress or any other national or international calamity or crisis if, in the judgment of the Representatives, the effect of any such attack, outbreak, escalation, act, declaration, calamity or crisis on the financial markets makes it impractical to proceed with completion of the offering or sale of and payment for the Bonds on the terms set forth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Hunton Andrews Kurth LLP, counsel for the Underwriters, shall have furnished to you such opinion or opinions, dated the Closing Date, with respect to such matters as you may reasonably request, and such counsel shall have received such papers and information as they may reasonably request to enable them to pass upon such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Monica Karuturi, Esq., Executive Vice President and General Counsel of the Company, shall have furnished to you her written opinion, dated the Closing Date, to the effect set forth on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Baker Botts L.L.P., counsel for the Company, shall have furnished to you their written opinion and negative assurance letter, dated the Closing Date, to the effect set forth on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At the time of execution of this Agreement, Deloitte &amp; Touche LLP shall have furnished to you a letter dated the date of such execution, substantially in the form heretofore supplied and deemed satisfactory to you.</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At the Closing Date, Deloitte &amp; Touche LLP shall have furnished you a letter, dated the Closing Date, to the effect that such accountants reaffirm, as of the Closing Date and as though made on the Closing Date, the statements made in the letter furnished by such accountants pursuant to paragraph (f) of this Section 6, except that the specified date referred to in such letter will be a date not more than three business days prior to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The Company shall have furnished or caused to be furnished to you at the Closing Date, certificates of the President or any Vice President and a principal financial or accounting officer of the Company or CNP in which such officers, to the best of their knowledge after reasonable investigation, shall state that (i) the representations and warranties of the Company in this Agreement are true and correct, (ii) the Company has complied with all agreements and satisfied all conditions on its part to be performed or satisfied hereunder at or prior to the Closing Date, (iii) subsequent to the date of the most recent financial statements in the Pricing Disclosure Package and the Prospectus, there has been no material adverse change in the business, financial condition, prospects or results of operations of the Company and its subsidiaries taken as a whole except as set forth in or contemplated by the Pricing Disclosure Package and the Prospectus or as described in such certificate and (iv) as to such other matters as you may reasonably request.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No action shall have been taken and no statute, rule, regulation or order shall have been enacted, adopted or issued by any governmental agency or body which would as of the Closing Date, prevent the issuance or the sale of the Bonds; and no injunction, restraining order or order of any other nature by any court of competent jurisdiction shall have been issued as of the Closing Date which would prevent the issuance or sale of the Bonds.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The Bonds shall be eligible for clearance and settlement through DTC.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3"/>
        <w:gridCol w:w="462"/>
        <w:gridCol w:w="9640"/>
      </w:tblGrid>
      <w:tr>
        <w:trPr/>
        <w:tc>
          <w:tcPr>
            <w:tcW w:w="103"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b/>
                <w:sz w:val="20"/>
              </w:rPr>
            </w:pPr>
            <w:r>
              <w:rPr>
                <w:b/>
                <w:sz w:val="20"/>
              </w:rPr>
              <w:t>7.</w:t>
            </w:r>
          </w:p>
        </w:tc>
        <w:tc>
          <w:tcPr>
            <w:tcW w:w="9640" w:type="dxa"/>
            <w:tcBorders/>
            <w:vAlign w:val="center"/>
          </w:tcPr>
          <w:p>
            <w:pPr>
              <w:pStyle w:val="TableContents"/>
              <w:bidi w:val="0"/>
              <w:spacing w:before="0" w:after="283"/>
              <w:jc w:val="both"/>
              <w:rPr>
                <w:b/>
              </w:rPr>
            </w:pPr>
            <w:r>
              <w:rPr>
                <w:b/>
              </w:rPr>
              <w:t>Indemnification and Contribution.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agrees to indemnify and hold harmless each Underwriter, its affiliates, the directors and officers of each Underwriter and each person, if any, who controls each Underwriter within the meaning of the 1933 Act or the 1934 Act, against any losses, claims, damages, liabilities or expenses (including the reasonable cost of investigating and defending against any claims therefor and counsel fees incurred in connection therewith as such expenses are incurred), joint or several, which may be based upon either the 1933 Act, or the 1934 Act, or any other statute or at common law, on the ground or alleged ground that the Registration Statement, any preliminary prospectus, the Basic Prospectus, the Preliminary Prospectus, any Permitted Free Writing Prospectus, the Prospectus or any other Issuer Free Writing Prospectus (or any such document, as from time to time amended, or deemed to be amended, supplemented or modified) includes or allegedly includes an untrue statement of material fact or omits or allegedly omits to state a material fact required to be stated therein or necessary in order to make the statements therein not misleading, unless such statement or omission was made in reliance upon, and in conformity with, written information furnished to the Company by, or through the Representatives on behalf of, any Underwriter specifically for use in the preparation thereof, it being understood and agreed that the only such information consists of the information described as such in subsection (b) below; provided that in no case is the Company to be liable with respect to any claims made against any Underwriter, or any such affiliate, director, officer or controlling person unless such Underwriter or such affiliate, director, officer or controlling person shall have notified the Company in writing within a reasonable time after the summons or other first legal process giving information of the nature of the claim shall have been served upon such Underwriter or such affiliate, director, officer or controlling person, but failure to notify the Company of any such claim (i) shall not relieve the Company from liability under this paragraph unless and to the extent the Company did not otherwise learn of such claim and such failure results in the forfeiture by the Company of substantial rights and defenses and (ii) shall not relieve the Company from any liability which it may have to such Underwriter or such affiliate, director, officer or controlling person otherwise than on account of the indemnity agreement contained in this paragraph.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be entitled to participate at its own expense in the defense, or, if it so elects, to assume the defense of any suit brought to enforce any such liability, but, if the Company elects to assume the defense, such defense shall be conducted by counsel chosen by it; provided, however, that such counsel shall be reasonably satisfactory to the Underwriters. In the event that the Company elects to assume the defense of any such suit and retains such counsel, the Underwriter or Underwriters or affiliate or affiliates, director or directors, officer or officers, controlling person or persons, defendant or defendants in the suit, may retain additional counsel but shall bear the fees and expenses of such counsel unless (i) the Company shall have specifically authorized the retaining of such counsel or (ii) the parties to such suit include the Underwriter or Underwriters or affiliate or affiliates, director or directors, officer or officers or controlling person or persons and the Underwriter or Underwriters or affiliate or affiliates, director or directors, officer or officers or controlling person or persons and the Company have been advised by such counsel that one or more legal defenses may be available to it or them which may not be available to the Company, in which case the Company shall not be entitled to assume the defense of such suit on behalf of such Underwriter or Underwriters or affiliate or affiliates, director or directors, officer or officers or controlling person or persons, notwithstanding their obligation to bear the reasonable fees and expenses of such counsel, it being understood, however, that the Company shall not, in connection with any one such suit or proceeding or separate but substantially similar or related actions or proceedings in the same jurisdiction arising out of the same general allegations or circumstances, be liable for the reasonable fees and expenses of more than one separate firm of attorneys (and not more than one local counsel) at any time for all such Underwriter or Underwriters or affiliate or affiliates director or directors, officer or officers or controlling person or persons, which firm shall be designated in writing by the Representatives. The Company shall not be liable to indemnify any person for any settlement of any such claim effected without the Company’s prior written consent, which consent shall not be unreasonably withheld. The Company shall not, without the prior written consent of the Underwriter or Underwriters or affiliate or affiliates, director or directors, officer or officers or controlling person or persons, effect any settlement, compromise or consent to the entry of judgment in any pending or threatened action, suit or proceeding in respect of which any Underwriter or affiliate, director, officer or controlling person is or could have been a party and indemnity was or could have been sought hereunder by such Underwriter or affiliate, director, officer or controlling person, unless such settlement, compromise or consent (x) includes an unconditional release of such indemnified party from all liability on claims that are the subject matter of such action, suit or proceeding and (y) does not include a statement as to or an admission of fault, culpability or a failure to act by or on behalf of any Underwriter or affiliate, director, officer or controlling person. This indemnity agreement will be in addition to any liability which the Company might otherwise have.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Each Underwriter agrees severally and not jointly to indemnify and hold harmless the Company, each of the Company’s directors, each of the Company’s officers who have signed the Registration Statement, and each person, if any, who controls the Company within the meaning of the 1933 Act or the 1934 Act, against any losses, claims, damages, liabilities or expenses (including the reasonable cost of investigating and defending against any claims therefor and counsel fees incurred in connection therewith as such expenses are incurred), joint or several, which may be based upon the 1933 Act, or any other statute or at common law, on the ground or alleged ground that the Registration Statement, any preliminary prospectus, the Basic Prospectus, the Preliminary Prospectus, any Permitted Free Writing Prospectus, the Prospectus or any other Issuer Free Writing Prospectus (or any such document, as from time to time amended, or deemed to be amended, supplemented or modified) includes or allegedly includes an untrue statement of a material fact or omits or allegedly omits to state a material fact required to be stated therein or necessary in order to make the statements therein not misleading, but only insofar as any such statement or omission was made in reliance upon, and in conformity with, written information furnished to the Company by, or through the Representatives on behalf of, such Underwriter specifically for use in the preparation thereof, it being understood and agreed that the only such information furnished by any Underwriter consists of the following information in the Preliminary Prospectus and the Prospectus: the information in the third paragraph, the first and second sentence in the sixth paragraph and the seventh paragraph, in each case insofar as applicable to the offering of the Bonds, under the heading “Underwriting”;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in no case is such Underwriter to be liable with respect to any claims made against the Company or any such director, officer or controlling person unless the Company or any such director, officer or controlling person shall have notified such Underwriter in writing within a reasonable time after the summons or other first legal process giving information of the nature of the claim shall have been served upon the Company or any such director, officer or controlling person, but failure to notify such Underwriter of any such claim (i) shall not relieve such Underwriter from liability under this paragraph unless and to the extent such Underwriter did not otherwise learn of such action and such failure results in the forfeiture by such Underwriter of substantial rights and defenses and (ii) shall not relieve such Underwriter from any liability which it may have to the Company or any such director, officer or controlling person otherwise than on account of the indemnity agreement contained in this paragraph. Such Underwriter will be entitled to participate at its own expense in the defense, or, if it so elects, to assume the defense of any suit brought to enforce any such liability, but, if such Underwriter elects to assume the defense, such defense shall be conducted by counsel chosen by it; provided, however, that such counsel shall be reasonably satisfactory to the Company. In the event that such Underwriter elects to assume the defense of any such suit and retain such counsel, the Company or such director, officer or controlling person, defendant or defendants in the suit, may retain additional counsel but shall bear the fees and expenses of such counsel unless (i) such Underwriter shall have specifically authorized the retaining of such counsel or (ii) the parties to such suit include the Company or any such director, officer or controlling person and such Underwriter and the Company or such director, officer or controlling person have been advised by such counsel that one or more legal defenses may be available to it or them which may not be available to such Underwriter, in which case such Underwriter shall not be entitled to assume the defense of such suit on behalf of the Company or such director, officer or controlling person, notwithstanding its obligation to bear the reasonable fees and expenses of such counsel, it being understood, however, that such Underwriter shall not, in connection with any one such suit or proceeding or separate but substantially similar or related actions or proceedings in the same jurisdiction arising out of the same general allegations or circumstances, be liable for the reasonable fees and expenses of more than one separate firm of attorneys (and not more than one local counsel) at any time for all of the Company or any such director, officer or controlling person, which firm shall be designated in writing by the Company. Such Underwriter shall not be liable to indemnify any person for any settlement of any such claim effected without such Underwriter’s prior written consent, which consent shall not be unreasonably withheld. No Underwriter shall, without the prior written consent of the Company or any such director, officer or controlling person, effect any settlement, compromise or consent to the entry of judgment in any pending or threatened action, suit or proceeding in respect of which the Company or any such director, officer or controlling person is or could have been a party and indemnity was or could have been sought hereunder by the Company or director, officer or controlling person, unless such settlement, compromise or consent (x) includes an unconditional release of the Company or director, officer or controlling person from all liability on claims that are the subject matter of such action, suit or proceeding and (y) does not include a statement as to or an admission of fault, culpability or failure to act by or on behalf of the Company or any such director, officer or controlling person. This indemnity agreement will be in addition to any liability which such Underwriter might otherwise have.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If the indemnification provided for in this Section 7 is unavailable or insufficient to hold harmless an indemnified party under subsection (a) or (b) above, then each indemnifying party shall contribute to the amount paid or payable by such indemnified party as a result of the losses, claims, damages or liabilities referred to in subsection (a) or (b) above (i) in such proportion as is appropriate to reflect the relative benefits received by the Company on the one hand and the Underwriters on the other from the offering of the Bonds or (ii) if the allocation provided by clause (i) above is not permitted by applicable law, in such proportion as is appropriate to reflect not only the relative benefits referred to in clause (i) above but also the relative fault of the Company on the one hand and the Underwriters on the other in connection with the statements or omissions which resulted in such losses, claims, damages or liabilities as well as any other relevant equitable considerations. The relative benefits received by the Company on the one hand and the Underwriters on the other shall be deemed to be in the same proportion as the total net proceeds from the offering (before deducting expenses) received by the Company bear to the total discounts and commissions received by the Underwriters from the Company under this Agreement. The relative fault shall be determined by reference to, among other things, whether the untrue or alleged untrue statement of a material fact or the omission or alleged omission to state a material fact relates to information supplied by the Company or the Underwriters and the parties’ relative intent, knowledge, access to information and opportunity to correct or prevent such untrue statement or omission. The amount paid by an indemnified party as a result of the losses, claims, damages or liabilities referred to in the first sentence of this subsection (c) shall be deemed to include any legal or other expenses reasonably incurred by such indemnified party in connection with investigating or defending any action or claim which is the subject of this subsection (c). Notwithstanding the provisions of this subsection (c), no Underwriter shall be required to contribute any amount in excess of the amount by which the total price at which the Bonds purchased by it were resold exceeds the amount of any damages which such Underwriter has otherwise been required to pay by reason of such untrue or alleged untrue statement or omission or alleged omission. No person guilty of fraudulent misrepresentation (within the meaning of Section 11(f) of the 1933 Act) shall be entitled to contribution from any person who was not guilty of such fraudulent misrepresentation. The Underwriters’ obligations in this subsection (c) to contribute are several in proportion to their respective purchase obligations and not joint.</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0"/>
        <w:gridCol w:w="537"/>
        <w:gridCol w:w="9548"/>
      </w:tblGrid>
      <w:tr>
        <w:trPr/>
        <w:tc>
          <w:tcPr>
            <w:tcW w:w="120"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b/>
                <w:sz w:val="20"/>
              </w:rPr>
            </w:pPr>
            <w:r>
              <w:rPr>
                <w:b/>
                <w:sz w:val="20"/>
              </w:rPr>
              <w:t>8.</w:t>
            </w:r>
          </w:p>
        </w:tc>
        <w:tc>
          <w:tcPr>
            <w:tcW w:w="9548" w:type="dxa"/>
            <w:tcBorders/>
            <w:vAlign w:val="center"/>
          </w:tcPr>
          <w:p>
            <w:pPr>
              <w:pStyle w:val="TableContents"/>
              <w:bidi w:val="0"/>
              <w:spacing w:before="0" w:after="283"/>
              <w:jc w:val="both"/>
              <w:rPr>
                <w:b/>
              </w:rPr>
            </w:pPr>
            <w:r>
              <w:rPr>
                <w:b/>
              </w:rPr>
              <w:t>Substitution of Underwriters.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Underwriter shall default in its obligation to purchase the Bonds which it has agreed to purchase hereunder and the aggregate principal amount of such Bonds which such defaulting Underwriter agreed but failed to purchase does not exceed 10% of the total principal amount of Bonds, the non-defaulting Underwriters may make arrangements satisfactory to the Company for the purchase of the aggregate principal amount of such Bonds by other persons, including any of the non-defaulting Underwriters, but if no such arrangements are made by the Closing Date, the non-defaulting Underwriters shall be obligated severally, in proportion to their respective commitments hereunder, to purchase the Bonds that such defaulting Underwriter agreed but failed to purchase. If any Underwriter or Underwriters shall so default and the aggregate principal amount of Bonds with respect to which such default or defaults occur exceeds 10% of the total principal amount of Bonds and arrangements satisfactory to the non-defaulting Underwriters and the Company for the purchase of such Bonds by other persons are not made within 36 hours after such default, this Agreement will terminate.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non-defaulting Underwriter or Underwriters or substituted underwriter or underwriters are required hereby or agree to take up all or part of the Bonds of the defaulting Underwriter as provided in this Section 8, (i) the Company shall have the right to postpone the Closing Date for a period of not more than five full business days, in order that the Company may effect whatever changes may thereby be made necessary in the Registration Statement, Pricing Disclosure Package or Prospectus or in any other documents or arrangements, and the Company agrees to promptly file any amendments to the Registration Statement or supplements to the Prospectus which may thereby be made necessary, and (ii) the respective aggregate principal amount of Bonds which the non-defaulting Underwriters or substituted purchaser or purchasers shall thereafter be obligated to purchase shall be taken as the basis of their underwriting obligation for all purposes of this Agreement. Nothing herein contained shall relieve any defaulting Underwriter of its liability to the Company or the non-defaulting Underwriters for damages occasioned by its default hereunder. Any termination of this Agreement pursuant to this Section 8 shall be without liability on the part of the non-defaulting Underwriters or the Company, other than as provided in Sections 7 and 10.</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3"/>
        <w:gridCol w:w="285"/>
        <w:gridCol w:w="9857"/>
      </w:tblGrid>
      <w:tr>
        <w:trPr/>
        <w:tc>
          <w:tcPr>
            <w:tcW w:w="63"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b/>
                <w:sz w:val="20"/>
              </w:rPr>
            </w:pPr>
            <w:r>
              <w:rPr>
                <w:b/>
                <w:sz w:val="20"/>
              </w:rPr>
              <w:t>9.</w:t>
            </w:r>
          </w:p>
        </w:tc>
        <w:tc>
          <w:tcPr>
            <w:tcW w:w="9857" w:type="dxa"/>
            <w:tcBorders/>
            <w:vAlign w:val="center"/>
          </w:tcPr>
          <w:p>
            <w:pPr>
              <w:pStyle w:val="TableContents"/>
              <w:bidi w:val="0"/>
              <w:spacing w:before="0" w:after="283"/>
              <w:jc w:val="both"/>
              <w:rPr>
                <w:b/>
              </w:rPr>
            </w:pPr>
            <w:r>
              <w:rPr>
                <w:b/>
              </w:rPr>
              <w:t>Survival of Indemnities, Representations, Warranties, etc.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respective indemnities, agreements, representations, warranties and other statements of the Company and the several Underwriters, as set forth in this Agreement or made by or on behalf of them, respectively, pursuant to this Agreement, shall remain in full force and effect, regardless of any investigation (or any statement as to the results thereof) made by or on behalf of any Underwriter or any controlling person of any Underwriter, or the Company, or any officer or director or controlling person of the Company, and shall survive delivery of and payment for the Bonds.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30"/>
        <w:gridCol w:w="1667"/>
        <w:gridCol w:w="8308"/>
      </w:tblGrid>
      <w:tr>
        <w:trPr/>
        <w:tc>
          <w:tcPr>
            <w:tcW w:w="230" w:type="dxa"/>
            <w:tcBorders/>
            <w:vAlign w:val="center"/>
          </w:tcPr>
          <w:p>
            <w:pPr>
              <w:pStyle w:val="TableContents"/>
              <w:bidi w:val="0"/>
              <w:spacing w:before="0" w:after="283"/>
              <w:jc w:val="left"/>
              <w:rPr>
                <w:sz w:val="4"/>
                <w:szCs w:val="4"/>
              </w:rPr>
            </w:pPr>
            <w:r>
              <w:rPr>
                <w:sz w:val="4"/>
                <w:szCs w:val="4"/>
              </w:rPr>
            </w:r>
          </w:p>
        </w:tc>
        <w:tc>
          <w:tcPr>
            <w:tcW w:w="1667" w:type="dxa"/>
            <w:tcBorders/>
            <w:vAlign w:val="center"/>
          </w:tcPr>
          <w:p>
            <w:pPr>
              <w:pStyle w:val="TableContents"/>
              <w:bidi w:val="0"/>
              <w:spacing w:before="0" w:after="283"/>
              <w:jc w:val="left"/>
              <w:rPr>
                <w:b/>
                <w:sz w:val="20"/>
              </w:rPr>
            </w:pPr>
            <w:r>
              <w:rPr>
                <w:b/>
                <w:sz w:val="20"/>
              </w:rPr>
              <w:t>10.</w:t>
            </w:r>
          </w:p>
        </w:tc>
        <w:tc>
          <w:tcPr>
            <w:tcW w:w="8308" w:type="dxa"/>
            <w:tcBorders/>
            <w:vAlign w:val="center"/>
          </w:tcPr>
          <w:p>
            <w:pPr>
              <w:pStyle w:val="TableContents"/>
              <w:bidi w:val="0"/>
              <w:spacing w:before="0" w:after="283"/>
              <w:jc w:val="both"/>
              <w:rPr>
                <w:b/>
              </w:rPr>
            </w:pPr>
            <w:r>
              <w:rPr>
                <w:b/>
              </w:rPr>
              <w:t>Termination.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Agreement shall be terminated pursuant to Section 8 or if for any reason the purchase of the Bonds by the Underwriters is not consummated, the Company shall remain responsible for the expenses to be paid or reimbursed by it pursuant to Section 5 and the respective obligations of the Company and the Underwriters pursuant to Section 7 shall remain in effect. If the purchase of the Bonds by the Underwriters is not consummated for any reason other than solely because of the termination of this Agreement pursuant to Section 8 or the occurrence of any event specified in clause (iii), (iv), (v) or (vi) of Section 6(b), the Company will reimburse the Underwriters for all out-of-pocket expenses (including fees and disbursements of counsel) reasonably incurred by them in connection with the offering of the Bonds.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39"/>
        <w:gridCol w:w="2455"/>
        <w:gridCol w:w="7411"/>
      </w:tblGrid>
      <w:tr>
        <w:trPr/>
        <w:tc>
          <w:tcPr>
            <w:tcW w:w="339" w:type="dxa"/>
            <w:tcBorders/>
            <w:vAlign w:val="center"/>
          </w:tcPr>
          <w:p>
            <w:pPr>
              <w:pStyle w:val="TableContents"/>
              <w:bidi w:val="0"/>
              <w:spacing w:before="0" w:after="283"/>
              <w:jc w:val="left"/>
              <w:rPr>
                <w:sz w:val="4"/>
                <w:szCs w:val="4"/>
              </w:rPr>
            </w:pPr>
            <w:r>
              <w:rPr>
                <w:sz w:val="4"/>
                <w:szCs w:val="4"/>
              </w:rPr>
            </w:r>
          </w:p>
        </w:tc>
        <w:tc>
          <w:tcPr>
            <w:tcW w:w="2455" w:type="dxa"/>
            <w:tcBorders/>
            <w:vAlign w:val="center"/>
          </w:tcPr>
          <w:p>
            <w:pPr>
              <w:pStyle w:val="TableContents"/>
              <w:bidi w:val="0"/>
              <w:spacing w:before="0" w:after="283"/>
              <w:jc w:val="left"/>
              <w:rPr>
                <w:b/>
                <w:sz w:val="20"/>
              </w:rPr>
            </w:pPr>
            <w:r>
              <w:rPr>
                <w:b/>
                <w:sz w:val="20"/>
              </w:rPr>
              <w:t>11.</w:t>
            </w:r>
          </w:p>
        </w:tc>
        <w:tc>
          <w:tcPr>
            <w:tcW w:w="7411" w:type="dxa"/>
            <w:tcBorders/>
            <w:vAlign w:val="center"/>
          </w:tcPr>
          <w:p>
            <w:pPr>
              <w:pStyle w:val="TableContents"/>
              <w:bidi w:val="0"/>
              <w:spacing w:before="0" w:after="283"/>
              <w:jc w:val="both"/>
              <w:rPr>
                <w:b/>
              </w:rPr>
            </w:pPr>
            <w:r>
              <w:rPr>
                <w:b/>
              </w:rPr>
              <w:t>Notices.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all dealings hereunder, the Representatives shall act on behalf of each of the Underwriters, and the parties hereto shall be entitled to act and rely upon any statement, request, notice or agreement on behalf of any Underwriter made or given by the Representatives. All statements, requests, notices and agreements hereunder shall be in writing, and (i) if to the Underwriters shall be delivered or sent by mail or facsimile transmission to the Underwriters in care of Barclays Capital Inc., 745 Seventh Avenue, New York, New York 10019, Attention: Syndicate Registration, Fax No.: (646) 834-8133; BNP Paribas Securities Corp., 787 Seventh Avenue, New York, New York 10019, Attention: Debt Syndicate Desk, Email: DL.US.Syndicate.Support@us.bnpparibas.com; Goldman Sachs &amp; Co. LLC, 200 West Street, New York, New York 10282, Attention: Registration Department; MUFG Securities Americas Inc., 1221 Avenue of the Americas, 6th Floor, New York, New York 10020, Attention: Capital Markets Group, Fax No.: (646) 434-3455 and Truist Securities, Inc., 50 Hudson Yards, 70th Floor, New York, New York 10001, Attention: Investment Grade Capital Markets and (ii) if to the Company shall be delivered or sent by mail, e-mail or facsimile transmission to the Company, 1111 Louisiana Street, Houston, Texas 77002, Attention: Monica Karuturi, Esq.; E-mail: monica.karuturi@centerpointenergy.com; Fax No.: (713) 207-0141. Any such statements, requests, notices or agreements shall take effect upon receipt thereof.</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60"/>
        <w:gridCol w:w="1886"/>
        <w:gridCol w:w="8059"/>
      </w:tblGrid>
      <w:tr>
        <w:trPr/>
        <w:tc>
          <w:tcPr>
            <w:tcW w:w="260" w:type="dxa"/>
            <w:tcBorders/>
            <w:vAlign w:val="center"/>
          </w:tcPr>
          <w:p>
            <w:pPr>
              <w:pStyle w:val="TableContents"/>
              <w:bidi w:val="0"/>
              <w:spacing w:before="0" w:after="283"/>
              <w:jc w:val="left"/>
              <w:rPr>
                <w:sz w:val="4"/>
                <w:szCs w:val="4"/>
              </w:rPr>
            </w:pPr>
            <w:r>
              <w:rPr>
                <w:sz w:val="4"/>
                <w:szCs w:val="4"/>
              </w:rPr>
            </w:r>
          </w:p>
        </w:tc>
        <w:tc>
          <w:tcPr>
            <w:tcW w:w="1886" w:type="dxa"/>
            <w:tcBorders/>
            <w:vAlign w:val="center"/>
          </w:tcPr>
          <w:p>
            <w:pPr>
              <w:pStyle w:val="TableContents"/>
              <w:bidi w:val="0"/>
              <w:spacing w:before="0" w:after="283"/>
              <w:jc w:val="left"/>
              <w:rPr>
                <w:b/>
                <w:sz w:val="20"/>
              </w:rPr>
            </w:pPr>
            <w:r>
              <w:rPr>
                <w:b/>
                <w:sz w:val="20"/>
              </w:rPr>
              <w:t>12.</w:t>
            </w:r>
          </w:p>
        </w:tc>
        <w:tc>
          <w:tcPr>
            <w:tcW w:w="8059" w:type="dxa"/>
            <w:tcBorders/>
            <w:vAlign w:val="center"/>
          </w:tcPr>
          <w:p>
            <w:pPr>
              <w:pStyle w:val="TableContents"/>
              <w:bidi w:val="0"/>
              <w:spacing w:before="0" w:after="283"/>
              <w:jc w:val="both"/>
              <w:rPr>
                <w:b/>
              </w:rPr>
            </w:pPr>
            <w:r>
              <w:rPr>
                <w:b/>
              </w:rPr>
              <w:t>Successors.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shall inure to the benefit of and be binding upon the several Underwriters and the Company and their respective successors and the directors, officers and controlling persons referred to in Section 7 of this Agreement. Nothing expressed or mentioned in this Agreement is intended or shall be construed to give any person other than the persons mentioned in the preceding sentence any legal or equitable right, remedy or claim under or in respect of this Agreement, or any provisions herein contained; this Agreement and all conditions and provisions hereof being intended to be, and being, for the sole and exclusive benefit of such persons and for the benefit of no other person; except that the representations, warranties, covenants, agreements and indemnities of the Company contained in this Agreement shall also be for the benefit of the person or persons, if any, who control any Underwriter within the meaning of the 1933 Act or the 1934 Act, and the representations, warranties, covenants, agreements and indemnities of the several Underwriters shall also be for the benefit of each director of the Company, each person who has signed the Registration Statement and the person or persons, if any, who control the Company within the meaning of the 1933 Act.</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30"/>
        <w:gridCol w:w="1667"/>
        <w:gridCol w:w="8308"/>
      </w:tblGrid>
      <w:tr>
        <w:trPr/>
        <w:tc>
          <w:tcPr>
            <w:tcW w:w="230" w:type="dxa"/>
            <w:tcBorders/>
            <w:vAlign w:val="center"/>
          </w:tcPr>
          <w:p>
            <w:pPr>
              <w:pStyle w:val="TableContents"/>
              <w:bidi w:val="0"/>
              <w:spacing w:before="0" w:after="283"/>
              <w:jc w:val="left"/>
              <w:rPr>
                <w:sz w:val="4"/>
                <w:szCs w:val="4"/>
              </w:rPr>
            </w:pPr>
            <w:r>
              <w:rPr>
                <w:sz w:val="4"/>
                <w:szCs w:val="4"/>
              </w:rPr>
            </w:r>
          </w:p>
        </w:tc>
        <w:tc>
          <w:tcPr>
            <w:tcW w:w="1667" w:type="dxa"/>
            <w:tcBorders/>
            <w:vAlign w:val="center"/>
          </w:tcPr>
          <w:p>
            <w:pPr>
              <w:pStyle w:val="TableContents"/>
              <w:bidi w:val="0"/>
              <w:spacing w:before="0" w:after="283"/>
              <w:jc w:val="left"/>
              <w:rPr>
                <w:b/>
                <w:sz w:val="20"/>
              </w:rPr>
            </w:pPr>
            <w:r>
              <w:rPr>
                <w:b/>
                <w:sz w:val="20"/>
              </w:rPr>
              <w:t>13.</w:t>
            </w:r>
          </w:p>
        </w:tc>
        <w:tc>
          <w:tcPr>
            <w:tcW w:w="8308" w:type="dxa"/>
            <w:tcBorders/>
            <w:vAlign w:val="center"/>
          </w:tcPr>
          <w:p>
            <w:pPr>
              <w:pStyle w:val="TableContents"/>
              <w:bidi w:val="0"/>
              <w:spacing w:before="0" w:after="283"/>
              <w:jc w:val="both"/>
              <w:rPr>
                <w:b/>
              </w:rPr>
            </w:pPr>
            <w:r>
              <w:rPr>
                <w:b/>
              </w:rPr>
              <w:t>Relationship.</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acknowledges and agrees that (i) the purchase and sale of the Bonds pursuant to this Agreement is an arm’s-length commercial transaction between the Company, on the one hand, and the several Underwriters, on the other, (ii) in connection therewith and with the process leading to such transaction each Underwriter is acting solely as a principal and not the agent or fiduciary of the Company, (iii) no Underwriter has assumed an advisory or fiduciary responsibility in favor of the Company with respect to the offering contemplated hereby or the process leading thereto (irrespective of whether such Underwriter has advised or is currently advising the Company on other matters) or any other obligation to the Company except the obligations expressly set forth in this Agreement and (iv) the Company has consulted its own legal and financial advisors to the extent it deemed appropriate. The Company agrees that it will not claim that the Underwriters, or any of them, has rendered advisory services of any nature or respect, or owes a fiduciary or similar duty to the Company, in connection with such transaction or the process leading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91"/>
        <w:gridCol w:w="1383"/>
        <w:gridCol w:w="8631"/>
      </w:tblGrid>
      <w:tr>
        <w:trPr/>
        <w:tc>
          <w:tcPr>
            <w:tcW w:w="191" w:type="dxa"/>
            <w:tcBorders/>
            <w:vAlign w:val="center"/>
          </w:tcPr>
          <w:p>
            <w:pPr>
              <w:pStyle w:val="TableContents"/>
              <w:bidi w:val="0"/>
              <w:spacing w:before="0" w:after="283"/>
              <w:jc w:val="left"/>
              <w:rPr>
                <w:sz w:val="4"/>
                <w:szCs w:val="4"/>
              </w:rPr>
            </w:pPr>
            <w:r>
              <w:rPr>
                <w:sz w:val="4"/>
                <w:szCs w:val="4"/>
              </w:rPr>
            </w:r>
          </w:p>
        </w:tc>
        <w:tc>
          <w:tcPr>
            <w:tcW w:w="1383" w:type="dxa"/>
            <w:tcBorders/>
            <w:vAlign w:val="center"/>
          </w:tcPr>
          <w:p>
            <w:pPr>
              <w:pStyle w:val="TableContents"/>
              <w:bidi w:val="0"/>
              <w:spacing w:before="0" w:after="283"/>
              <w:jc w:val="left"/>
              <w:rPr>
                <w:b/>
                <w:sz w:val="20"/>
              </w:rPr>
            </w:pPr>
            <w:r>
              <w:rPr>
                <w:b/>
                <w:sz w:val="20"/>
              </w:rPr>
              <w:t>14.</w:t>
            </w:r>
          </w:p>
        </w:tc>
        <w:tc>
          <w:tcPr>
            <w:tcW w:w="8631" w:type="dxa"/>
            <w:tcBorders/>
            <w:vAlign w:val="center"/>
          </w:tcPr>
          <w:p>
            <w:pPr>
              <w:pStyle w:val="TableContents"/>
              <w:bidi w:val="0"/>
              <w:spacing w:before="0" w:after="283"/>
              <w:jc w:val="both"/>
              <w:rPr>
                <w:b/>
              </w:rPr>
            </w:pPr>
            <w:r>
              <w:rPr>
                <w:b/>
              </w:rPr>
              <w:t>Applicable Law.</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shall be governed by and construed in accordance with the laws of the State of New York.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hereby submits to the non-exclusive jurisdiction of the Federal and state courts in the Borough of Manhattan in The City of New York in any suit or proceeding arising out of or relating to this Agreement or the transactions contemplated hereby.</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53"/>
        <w:gridCol w:w="1113"/>
        <w:gridCol w:w="8939"/>
      </w:tblGrid>
      <w:tr>
        <w:trPr/>
        <w:tc>
          <w:tcPr>
            <w:tcW w:w="15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b/>
                <w:sz w:val="20"/>
              </w:rPr>
            </w:pPr>
            <w:r>
              <w:rPr>
                <w:b/>
                <w:sz w:val="20"/>
              </w:rPr>
              <w:t>15.</w:t>
            </w:r>
          </w:p>
        </w:tc>
        <w:tc>
          <w:tcPr>
            <w:tcW w:w="8939" w:type="dxa"/>
            <w:tcBorders/>
            <w:vAlign w:val="center"/>
          </w:tcPr>
          <w:p>
            <w:pPr>
              <w:pStyle w:val="TableContents"/>
              <w:bidi w:val="0"/>
              <w:spacing w:before="0" w:after="283"/>
              <w:jc w:val="both"/>
              <w:rPr>
                <w:b/>
              </w:rPr>
            </w:pPr>
            <w:r>
              <w:rPr>
                <w:b/>
              </w:rPr>
              <w:t>Waiver of Jury Trial.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sz w:val="20"/>
        </w:rPr>
      </w:pPr>
      <w:r>
        <w:rPr>
          <w:rFonts w:ascii="Times New Roman;Times;Serif" w:hAnsi="Times New Roman;Times;Serif"/>
          <w:b w:val="false"/>
          <w:i w:val="false"/>
          <w:caps/>
          <w:sz w:val="20"/>
        </w:rPr>
        <w:t>Each of the parties hereto hereby waives any right to trial by jury in any suit or proceeding arising out of or relating to this Agreement.</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52"/>
        <w:gridCol w:w="1831"/>
        <w:gridCol w:w="8122"/>
      </w:tblGrid>
      <w:tr>
        <w:trPr/>
        <w:tc>
          <w:tcPr>
            <w:tcW w:w="252" w:type="dxa"/>
            <w:tcBorders/>
            <w:vAlign w:val="center"/>
          </w:tcPr>
          <w:p>
            <w:pPr>
              <w:pStyle w:val="TableContents"/>
              <w:bidi w:val="0"/>
              <w:spacing w:before="0" w:after="283"/>
              <w:jc w:val="left"/>
              <w:rPr>
                <w:sz w:val="4"/>
                <w:szCs w:val="4"/>
              </w:rPr>
            </w:pPr>
            <w:r>
              <w:rPr>
                <w:sz w:val="4"/>
                <w:szCs w:val="4"/>
              </w:rPr>
            </w:r>
          </w:p>
        </w:tc>
        <w:tc>
          <w:tcPr>
            <w:tcW w:w="1831" w:type="dxa"/>
            <w:tcBorders/>
            <w:vAlign w:val="center"/>
          </w:tcPr>
          <w:p>
            <w:pPr>
              <w:pStyle w:val="TableContents"/>
              <w:bidi w:val="0"/>
              <w:spacing w:before="0" w:after="283"/>
              <w:jc w:val="left"/>
              <w:rPr>
                <w:b/>
                <w:sz w:val="20"/>
              </w:rPr>
            </w:pPr>
            <w:r>
              <w:rPr>
                <w:b/>
                <w:sz w:val="20"/>
              </w:rPr>
              <w:t>16.</w:t>
            </w:r>
          </w:p>
        </w:tc>
        <w:tc>
          <w:tcPr>
            <w:tcW w:w="8122" w:type="dxa"/>
            <w:tcBorders/>
            <w:vAlign w:val="center"/>
          </w:tcPr>
          <w:p>
            <w:pPr>
              <w:pStyle w:val="TableContents"/>
              <w:bidi w:val="0"/>
              <w:spacing w:before="0" w:after="283"/>
              <w:jc w:val="both"/>
              <w:rPr>
                <w:b/>
              </w:rPr>
            </w:pPr>
            <w:r>
              <w:rPr>
                <w:b/>
              </w:rPr>
              <w:t>Patriot Act.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the requirements of the USA Patriot Act (Title III of Pub. L. 107-56 (signed into law October 26, 2001)), the Underwriters are required to obtain, verify and record information that identifies their respective clients, including the Company, which information may include the names and addresses of their respective clients, as well as other information that will allow the Underwriters to properly identify their respective clients.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16"/>
        <w:gridCol w:w="1570"/>
        <w:gridCol w:w="8419"/>
      </w:tblGrid>
      <w:tr>
        <w:trPr/>
        <w:tc>
          <w:tcPr>
            <w:tcW w:w="216" w:type="dxa"/>
            <w:tcBorders/>
            <w:vAlign w:val="center"/>
          </w:tcPr>
          <w:p>
            <w:pPr>
              <w:pStyle w:val="TableContents"/>
              <w:bidi w:val="0"/>
              <w:spacing w:before="0" w:after="283"/>
              <w:jc w:val="left"/>
              <w:rPr>
                <w:sz w:val="4"/>
                <w:szCs w:val="4"/>
              </w:rPr>
            </w:pPr>
            <w:r>
              <w:rPr>
                <w:sz w:val="4"/>
                <w:szCs w:val="4"/>
              </w:rPr>
            </w:r>
          </w:p>
        </w:tc>
        <w:tc>
          <w:tcPr>
            <w:tcW w:w="1570" w:type="dxa"/>
            <w:tcBorders/>
            <w:vAlign w:val="center"/>
          </w:tcPr>
          <w:p>
            <w:pPr>
              <w:pStyle w:val="TableContents"/>
              <w:bidi w:val="0"/>
              <w:spacing w:before="0" w:after="283"/>
              <w:jc w:val="left"/>
              <w:rPr>
                <w:b/>
                <w:sz w:val="20"/>
              </w:rPr>
            </w:pPr>
            <w:r>
              <w:rPr>
                <w:b/>
                <w:sz w:val="20"/>
              </w:rPr>
              <w:t>17.</w:t>
            </w:r>
          </w:p>
        </w:tc>
        <w:tc>
          <w:tcPr>
            <w:tcW w:w="8419" w:type="dxa"/>
            <w:tcBorders/>
            <w:vAlign w:val="center"/>
          </w:tcPr>
          <w:p>
            <w:pPr>
              <w:pStyle w:val="TableContents"/>
              <w:bidi w:val="0"/>
              <w:spacing w:before="0" w:after="283"/>
              <w:jc w:val="both"/>
              <w:rPr>
                <w:b/>
              </w:rPr>
            </w:pPr>
            <w:r>
              <w:rPr>
                <w:b/>
              </w:rPr>
              <w:t>Counterparts.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may be executed by any one or more of the parties hereto in any number of counterparts, each of which shall be deemed to be an original, but all such respective counterparts shall together constitute one and the same instrument. Delivery of an executed signature page of this Agreement by facsimile or any other rapid transmission device designed to produce a written record of the communication transmitted shall be as effective as delivery of a manually executed counterpart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words “execution,” “executed,” “signed,” “signature,” and words of like import in this Agreement or in any other certificate, agreement or document related to this Agreement shall include images of manually executed signatures transmitted by facsimile, email or other electronic format (including, without limitation, “pdf,” “tif” or “jpg”) and other electronic signatures (including, without limitation, DocuSign and AdobeSign). The use of electronic signatures and electronic records (including, without limitation, any contract or other record created, generated, sent, communicated, received, or stored by electronic means) shall be of the same legal effect, validity and enforceability as a manually executed signature or use of a paper-based record-keeping system to the fullest extent permitted by applicable law, including the Federal Electronic Signatures in Global and National Commerce Act, the New York State Electronic Signatures and Records Act and any other applicable law, including, without limitation, any state law based on the Uniform Electronic Transactions Act or the Uniform Commercial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9"/>
        <w:gridCol w:w="503"/>
        <w:gridCol w:w="9633"/>
      </w:tblGrid>
      <w:tr>
        <w:trPr/>
        <w:tc>
          <w:tcPr>
            <w:tcW w:w="69"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b/>
                <w:sz w:val="20"/>
              </w:rPr>
            </w:pPr>
            <w:r>
              <w:rPr>
                <w:b/>
                <w:sz w:val="20"/>
              </w:rPr>
              <w:t>18.</w:t>
            </w:r>
          </w:p>
        </w:tc>
        <w:tc>
          <w:tcPr>
            <w:tcW w:w="9633" w:type="dxa"/>
            <w:tcBorders/>
            <w:vAlign w:val="center"/>
          </w:tcPr>
          <w:p>
            <w:pPr>
              <w:pStyle w:val="TableContents"/>
              <w:bidi w:val="0"/>
              <w:spacing w:before="0" w:after="283"/>
              <w:jc w:val="left"/>
              <w:rPr>
                <w:b/>
              </w:rPr>
            </w:pPr>
            <w:r>
              <w:rPr>
                <w:b/>
              </w:rPr>
              <w:t>Recognition of the U.S. Special Resolution Regimes.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In the event that any Underwriter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For purpose of this Section 18, (A) the term “BHC Act Affiliate” has the meaning assigned to the term “affiliate” in, and shall be interpreted in accordance with, 12 U.S.C. § 1841(k); (B) the term “Covered Entity” means any of the following: (1) a “covered entity” as that term is defined in, and interpreted in accordance with, 12 C.F.R. § 252.82(b); (2) a “covered bank” as that term is defined in, and interpreted in accordance with, 12 C.F.R. § 47.3(b); or (3) a “covered FSI” as that term is defined in, and interpreted in accordance with, 12 C.F.R. § 382.2(b); (C) the term “Default Rights” has the meaning assigned to that term in, and shall be interpreted in accordance with, 12 C.F.R. §§ 252.81, 47.2 or 382.1, as applicable; and (D) the term “U.S. Special Resolution Regime” means each of (1) the Federal Deposit Insurance Act and the regulations promulgated thereunder and (2) Title II of the Dodd-Frank Wall Street Reform and Consumer Protection Act and the regulations promulgated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foregoing is in accordance with your understanding, please sign and return to us the enclosed duplicate hereof and upon the acceptance hereof by you, on behalf of each of the Underwriters, this letter and such acceptance hereof shall constitute a binding agreement between each of the Underwriters and the Company. It is understood that your acceptance of this letter on behalf of each of the Underwriters is pursuant to the authority set forth in a form of Agreement among Underwriters, the form of which shall be submitted to the Company for examination upon request, but without warranty on your part as to the authority of the signers thereof.</w:t>
      </w:r>
    </w:p>
    <w:p>
      <w:pPr>
        <w:pStyle w:val="TextBody"/>
        <w:bidi w:val="0"/>
        <w:spacing w:before="0" w:after="0"/>
        <w:ind w:left="0" w:right="0" w:hanging="0"/>
        <w:jc w:val="left"/>
        <w:rPr>
          <w:caps w:val="false"/>
          <w:smallCaps w:val="false"/>
        </w:rPr>
      </w:pPr>
      <w:r>
        <w:rPr>
          <w:caps w:val="false"/>
          <w:smallCaps w:val="false"/>
        </w:rPr>
        <w:t> </w:t>
      </w:r>
    </w:p>
    <w:tbl>
      <w:tblPr>
        <w:tblW w:w="5265" w:type="dxa"/>
        <w:jc w:val="left"/>
        <w:tblInd w:w="0" w:type="dxa"/>
        <w:tblLayout w:type="fixed"/>
        <w:tblCellMar>
          <w:top w:w="0" w:type="dxa"/>
          <w:left w:w="0" w:type="dxa"/>
          <w:bottom w:w="0" w:type="dxa"/>
          <w:right w:w="0" w:type="dxa"/>
        </w:tblCellMar>
      </w:tblPr>
      <w:tblGrid>
        <w:gridCol w:w="75"/>
        <w:gridCol w:w="320"/>
        <w:gridCol w:w="545"/>
        <w:gridCol w:w="4325"/>
      </w:tblGrid>
      <w:tr>
        <w:trPr/>
        <w:tc>
          <w:tcPr>
            <w:tcW w:w="75" w:type="dxa"/>
            <w:tcBorders/>
            <w:vAlign w:val="center"/>
          </w:tcPr>
          <w:p>
            <w:pPr>
              <w:pStyle w:val="TableContents"/>
              <w:bidi w:val="0"/>
              <w:spacing w:before="0" w:after="283"/>
              <w:jc w:val="left"/>
              <w:rPr/>
            </w:pPr>
            <w:r>
              <w:rPr/>
              <w:t> </w:t>
            </w:r>
          </w:p>
        </w:tc>
        <w:tc>
          <w:tcPr>
            <w:tcW w:w="5190"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Sincerely,</w:t>
            </w:r>
          </w:p>
        </w:tc>
      </w:tr>
      <w:tr>
        <w:trPr/>
        <w:tc>
          <w:tcPr>
            <w:tcW w:w="75" w:type="dxa"/>
            <w:tcBorders/>
            <w:vAlign w:val="center"/>
          </w:tcPr>
          <w:p>
            <w:pPr>
              <w:pStyle w:val="TableContents"/>
              <w:bidi w:val="0"/>
              <w:spacing w:before="0" w:after="283"/>
              <w:jc w:val="left"/>
              <w:rPr/>
            </w:pPr>
            <w:r>
              <w:rPr/>
              <w:t> </w:t>
            </w:r>
          </w:p>
        </w:tc>
        <w:tc>
          <w:tcPr>
            <w:tcW w:w="5190"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190" w:type="dxa"/>
            <w:gridSpan w:val="3"/>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Centerpoint Energy HOUSTON ELECTRIC, LLC</w:t>
            </w:r>
          </w:p>
        </w:tc>
      </w:tr>
      <w:tr>
        <w:trPr/>
        <w:tc>
          <w:tcPr>
            <w:tcW w:w="75" w:type="dxa"/>
            <w:tcBorders/>
            <w:vAlign w:val="center"/>
          </w:tcPr>
          <w:p>
            <w:pPr>
              <w:pStyle w:val="TableContents"/>
              <w:bidi w:val="0"/>
              <w:spacing w:before="0" w:after="283"/>
              <w:jc w:val="left"/>
              <w:rPr/>
            </w:pPr>
            <w:r>
              <w:rPr/>
              <w:t> </w:t>
            </w:r>
          </w:p>
        </w:tc>
        <w:tc>
          <w:tcPr>
            <w:tcW w:w="5190"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190"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870"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Christopher A. Foster</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43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Christopher A. Foster</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43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Executive Vice President and 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Underwriting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274" w:type="dxa"/>
        <w:jc w:val="left"/>
        <w:tblInd w:w="0" w:type="dxa"/>
        <w:tblLayout w:type="fixed"/>
        <w:tblCellMar>
          <w:top w:w="0" w:type="dxa"/>
          <w:left w:w="0" w:type="dxa"/>
          <w:bottom w:w="0" w:type="dxa"/>
          <w:right w:w="0" w:type="dxa"/>
        </w:tblCellMar>
      </w:tblPr>
      <w:tblGrid>
        <w:gridCol w:w="419"/>
        <w:gridCol w:w="602"/>
        <w:gridCol w:w="2178"/>
        <w:gridCol w:w="75"/>
      </w:tblGrid>
      <w:tr>
        <w:trPr/>
        <w:tc>
          <w:tcPr>
            <w:tcW w:w="3199"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Accepted as of the date hereof:</w:t>
            </w:r>
          </w:p>
        </w:tc>
        <w:tc>
          <w:tcPr>
            <w:tcW w:w="75" w:type="dxa"/>
            <w:tcBorders/>
            <w:vAlign w:val="center"/>
          </w:tcPr>
          <w:p>
            <w:pPr>
              <w:pStyle w:val="TableContents"/>
              <w:bidi w:val="0"/>
              <w:spacing w:before="0" w:after="283"/>
              <w:jc w:val="left"/>
              <w:rPr/>
            </w:pPr>
            <w:r>
              <w:rPr/>
              <w:t> </w:t>
            </w:r>
          </w:p>
        </w:tc>
      </w:tr>
      <w:tr>
        <w:trPr/>
        <w:tc>
          <w:tcPr>
            <w:tcW w:w="3199" w:type="dxa"/>
            <w:gridSpan w:val="3"/>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199"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BARCLAYS CAPITAL INC.</w:t>
            </w:r>
          </w:p>
        </w:tc>
        <w:tc>
          <w:tcPr>
            <w:tcW w:w="75" w:type="dxa"/>
            <w:tcBorders/>
            <w:vAlign w:val="center"/>
          </w:tcPr>
          <w:p>
            <w:pPr>
              <w:pStyle w:val="TableContents"/>
              <w:bidi w:val="0"/>
              <w:spacing w:before="0" w:after="283"/>
              <w:jc w:val="left"/>
              <w:rPr/>
            </w:pPr>
            <w:r>
              <w:rPr/>
              <w:t> </w:t>
            </w:r>
          </w:p>
        </w:tc>
      </w:tr>
      <w:tr>
        <w:trPr/>
        <w:tc>
          <w:tcPr>
            <w:tcW w:w="3199" w:type="dxa"/>
            <w:gridSpan w:val="3"/>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1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780"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John Lembeck</w:t>
            </w:r>
          </w:p>
        </w:tc>
        <w:tc>
          <w:tcPr>
            <w:tcW w:w="75" w:type="dxa"/>
            <w:tcBorders/>
            <w:vAlign w:val="center"/>
          </w:tcPr>
          <w:p>
            <w:pPr>
              <w:pStyle w:val="TableContents"/>
              <w:bidi w:val="0"/>
              <w:spacing w:before="0" w:after="283"/>
              <w:jc w:val="left"/>
              <w:rPr/>
            </w:pPr>
            <w:r>
              <w:rPr/>
              <w:t> </w:t>
            </w:r>
          </w:p>
        </w:tc>
      </w:tr>
      <w:tr>
        <w:trPr/>
        <w:tc>
          <w:tcPr>
            <w:tcW w:w="419" w:type="dxa"/>
            <w:tcBorders/>
            <w:vAlign w:val="center"/>
          </w:tcPr>
          <w:p>
            <w:pPr>
              <w:pStyle w:val="TableContents"/>
              <w:bidi w:val="0"/>
              <w:spacing w:before="0" w:after="283"/>
              <w:jc w:val="left"/>
              <w:rPr/>
            </w:pPr>
            <w:r>
              <w:rPr/>
              <w:t> </w:t>
            </w:r>
          </w:p>
        </w:tc>
        <w:tc>
          <w:tcPr>
            <w:tcW w:w="60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217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John Lembeck</w:t>
            </w:r>
          </w:p>
        </w:tc>
        <w:tc>
          <w:tcPr>
            <w:tcW w:w="75" w:type="dxa"/>
            <w:tcBorders/>
            <w:vAlign w:val="center"/>
          </w:tcPr>
          <w:p>
            <w:pPr>
              <w:pStyle w:val="TableContents"/>
              <w:bidi w:val="0"/>
              <w:spacing w:before="0" w:after="283"/>
              <w:jc w:val="left"/>
              <w:rPr/>
            </w:pPr>
            <w:r>
              <w:rPr/>
              <w:t> </w:t>
            </w:r>
          </w:p>
        </w:tc>
      </w:tr>
      <w:tr>
        <w:trPr/>
        <w:tc>
          <w:tcPr>
            <w:tcW w:w="419" w:type="dxa"/>
            <w:tcBorders/>
            <w:vAlign w:val="center"/>
          </w:tcPr>
          <w:p>
            <w:pPr>
              <w:pStyle w:val="TableContents"/>
              <w:bidi w:val="0"/>
              <w:spacing w:before="0" w:after="283"/>
              <w:jc w:val="left"/>
              <w:rPr/>
            </w:pPr>
            <w:r>
              <w:rPr/>
              <w:t> </w:t>
            </w:r>
          </w:p>
        </w:tc>
        <w:tc>
          <w:tcPr>
            <w:tcW w:w="60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Title: </w:t>
            </w:r>
          </w:p>
        </w:tc>
        <w:tc>
          <w:tcPr>
            <w:tcW w:w="217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Managing Director</w:t>
            </w:r>
          </w:p>
        </w:tc>
        <w:tc>
          <w:tcPr>
            <w:tcW w:w="75" w:type="dxa"/>
            <w:tcBorders/>
            <w:vAlign w:val="center"/>
          </w:tcPr>
          <w:p>
            <w:pPr>
              <w:pStyle w:val="TableContents"/>
              <w:bidi w:val="0"/>
              <w:spacing w:before="0" w:after="283"/>
              <w:jc w:val="left"/>
              <w:rPr/>
            </w:pPr>
            <w:r>
              <w:rPr/>
              <w:t> </w:t>
            </w:r>
          </w:p>
        </w:tc>
      </w:tr>
      <w:tr>
        <w:trPr/>
        <w:tc>
          <w:tcPr>
            <w:tcW w:w="3199" w:type="dxa"/>
            <w:gridSpan w:val="3"/>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199"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BNP PARIBAS SECURITIES CORP.</w:t>
            </w:r>
          </w:p>
        </w:tc>
        <w:tc>
          <w:tcPr>
            <w:tcW w:w="75" w:type="dxa"/>
            <w:tcBorders/>
            <w:vAlign w:val="center"/>
          </w:tcPr>
          <w:p>
            <w:pPr>
              <w:pStyle w:val="TableContents"/>
              <w:bidi w:val="0"/>
              <w:spacing w:before="0" w:after="283"/>
              <w:jc w:val="left"/>
              <w:rPr/>
            </w:pPr>
            <w:r>
              <w:rPr/>
              <w:t> </w:t>
            </w:r>
          </w:p>
        </w:tc>
      </w:tr>
      <w:tr>
        <w:trPr/>
        <w:tc>
          <w:tcPr>
            <w:tcW w:w="3199" w:type="dxa"/>
            <w:gridSpan w:val="3"/>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1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By: </w:t>
            </w:r>
          </w:p>
        </w:tc>
        <w:tc>
          <w:tcPr>
            <w:tcW w:w="2780"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Pasquale A. Perraglia IV</w:t>
            </w:r>
          </w:p>
        </w:tc>
        <w:tc>
          <w:tcPr>
            <w:tcW w:w="75" w:type="dxa"/>
            <w:tcBorders/>
            <w:vAlign w:val="center"/>
          </w:tcPr>
          <w:p>
            <w:pPr>
              <w:pStyle w:val="TableContents"/>
              <w:bidi w:val="0"/>
              <w:spacing w:before="0" w:after="283"/>
              <w:jc w:val="left"/>
              <w:rPr/>
            </w:pPr>
            <w:r>
              <w:rPr/>
              <w:t> </w:t>
            </w:r>
          </w:p>
        </w:tc>
      </w:tr>
      <w:tr>
        <w:trPr/>
        <w:tc>
          <w:tcPr>
            <w:tcW w:w="419" w:type="dxa"/>
            <w:tcBorders/>
            <w:vAlign w:val="center"/>
          </w:tcPr>
          <w:p>
            <w:pPr>
              <w:pStyle w:val="TableContents"/>
              <w:bidi w:val="0"/>
              <w:spacing w:before="0" w:after="283"/>
              <w:jc w:val="left"/>
              <w:rPr/>
            </w:pPr>
            <w:r>
              <w:rPr/>
              <w:t> </w:t>
            </w:r>
          </w:p>
        </w:tc>
        <w:tc>
          <w:tcPr>
            <w:tcW w:w="60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217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Pasquale A. Perraglia IV</w:t>
            </w:r>
          </w:p>
        </w:tc>
        <w:tc>
          <w:tcPr>
            <w:tcW w:w="75" w:type="dxa"/>
            <w:tcBorders/>
            <w:vAlign w:val="center"/>
          </w:tcPr>
          <w:p>
            <w:pPr>
              <w:pStyle w:val="TableContents"/>
              <w:bidi w:val="0"/>
              <w:spacing w:before="0" w:after="283"/>
              <w:jc w:val="left"/>
              <w:rPr/>
            </w:pPr>
            <w:r>
              <w:rPr/>
              <w:t> </w:t>
            </w:r>
          </w:p>
        </w:tc>
      </w:tr>
      <w:tr>
        <w:trPr/>
        <w:tc>
          <w:tcPr>
            <w:tcW w:w="419" w:type="dxa"/>
            <w:tcBorders/>
            <w:vAlign w:val="center"/>
          </w:tcPr>
          <w:p>
            <w:pPr>
              <w:pStyle w:val="TableContents"/>
              <w:bidi w:val="0"/>
              <w:spacing w:before="0" w:after="283"/>
              <w:jc w:val="left"/>
              <w:rPr/>
            </w:pPr>
            <w:r>
              <w:rPr/>
              <w:t> </w:t>
            </w:r>
          </w:p>
        </w:tc>
        <w:tc>
          <w:tcPr>
            <w:tcW w:w="60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17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Managing Director</w:t>
            </w:r>
          </w:p>
        </w:tc>
        <w:tc>
          <w:tcPr>
            <w:tcW w:w="75" w:type="dxa"/>
            <w:tcBorders/>
            <w:vAlign w:val="center"/>
          </w:tcPr>
          <w:p>
            <w:pPr>
              <w:pStyle w:val="TableContents"/>
              <w:bidi w:val="0"/>
              <w:spacing w:before="0" w:after="283"/>
              <w:jc w:val="left"/>
              <w:rPr/>
            </w:pPr>
            <w:r>
              <w:rPr/>
              <w:t> </w:t>
            </w:r>
          </w:p>
        </w:tc>
      </w:tr>
      <w:tr>
        <w:trPr/>
        <w:tc>
          <w:tcPr>
            <w:tcW w:w="3199" w:type="dxa"/>
            <w:gridSpan w:val="3"/>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199"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GOLDMAN SACHS &amp; CO. LLC</w:t>
            </w:r>
          </w:p>
        </w:tc>
        <w:tc>
          <w:tcPr>
            <w:tcW w:w="75" w:type="dxa"/>
            <w:tcBorders/>
            <w:vAlign w:val="center"/>
          </w:tcPr>
          <w:p>
            <w:pPr>
              <w:pStyle w:val="TableContents"/>
              <w:bidi w:val="0"/>
              <w:spacing w:before="0" w:after="283"/>
              <w:jc w:val="left"/>
              <w:rPr/>
            </w:pPr>
            <w:r>
              <w:rPr/>
              <w:t> </w:t>
            </w:r>
          </w:p>
        </w:tc>
      </w:tr>
      <w:tr>
        <w:trPr/>
        <w:tc>
          <w:tcPr>
            <w:tcW w:w="3199" w:type="dxa"/>
            <w:gridSpan w:val="3"/>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1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By: </w:t>
            </w:r>
          </w:p>
        </w:tc>
        <w:tc>
          <w:tcPr>
            <w:tcW w:w="2780"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Kevin Diruse</w:t>
            </w:r>
          </w:p>
        </w:tc>
        <w:tc>
          <w:tcPr>
            <w:tcW w:w="75" w:type="dxa"/>
            <w:tcBorders/>
            <w:vAlign w:val="center"/>
          </w:tcPr>
          <w:p>
            <w:pPr>
              <w:pStyle w:val="TableContents"/>
              <w:bidi w:val="0"/>
              <w:spacing w:before="0" w:after="283"/>
              <w:jc w:val="left"/>
              <w:rPr/>
            </w:pPr>
            <w:r>
              <w:rPr/>
              <w:t> </w:t>
            </w:r>
          </w:p>
        </w:tc>
      </w:tr>
      <w:tr>
        <w:trPr/>
        <w:tc>
          <w:tcPr>
            <w:tcW w:w="419" w:type="dxa"/>
            <w:tcBorders/>
            <w:vAlign w:val="center"/>
          </w:tcPr>
          <w:p>
            <w:pPr>
              <w:pStyle w:val="TableContents"/>
              <w:bidi w:val="0"/>
              <w:spacing w:before="0" w:after="283"/>
              <w:jc w:val="left"/>
              <w:rPr/>
            </w:pPr>
            <w:r>
              <w:rPr/>
              <w:t> </w:t>
            </w:r>
          </w:p>
        </w:tc>
        <w:tc>
          <w:tcPr>
            <w:tcW w:w="60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217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Kevin Diruse</w:t>
            </w:r>
          </w:p>
        </w:tc>
        <w:tc>
          <w:tcPr>
            <w:tcW w:w="75" w:type="dxa"/>
            <w:tcBorders/>
            <w:vAlign w:val="center"/>
          </w:tcPr>
          <w:p>
            <w:pPr>
              <w:pStyle w:val="TableContents"/>
              <w:bidi w:val="0"/>
              <w:spacing w:before="0" w:after="283"/>
              <w:jc w:val="left"/>
              <w:rPr/>
            </w:pPr>
            <w:r>
              <w:rPr/>
              <w:t> </w:t>
            </w:r>
          </w:p>
        </w:tc>
      </w:tr>
      <w:tr>
        <w:trPr/>
        <w:tc>
          <w:tcPr>
            <w:tcW w:w="419" w:type="dxa"/>
            <w:tcBorders/>
            <w:vAlign w:val="center"/>
          </w:tcPr>
          <w:p>
            <w:pPr>
              <w:pStyle w:val="TableContents"/>
              <w:bidi w:val="0"/>
              <w:spacing w:before="0" w:after="283"/>
              <w:jc w:val="left"/>
              <w:rPr/>
            </w:pPr>
            <w:r>
              <w:rPr/>
              <w:t> </w:t>
            </w:r>
          </w:p>
        </w:tc>
        <w:tc>
          <w:tcPr>
            <w:tcW w:w="60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17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Managing Director</w:t>
            </w:r>
          </w:p>
        </w:tc>
        <w:tc>
          <w:tcPr>
            <w:tcW w:w="75" w:type="dxa"/>
            <w:tcBorders/>
            <w:vAlign w:val="center"/>
          </w:tcPr>
          <w:p>
            <w:pPr>
              <w:pStyle w:val="TableContents"/>
              <w:bidi w:val="0"/>
              <w:spacing w:before="0" w:after="283"/>
              <w:jc w:val="left"/>
              <w:rPr/>
            </w:pPr>
            <w:r>
              <w:rPr/>
              <w:t> </w:t>
            </w:r>
          </w:p>
        </w:tc>
      </w:tr>
      <w:tr>
        <w:trPr/>
        <w:tc>
          <w:tcPr>
            <w:tcW w:w="3199" w:type="dxa"/>
            <w:gridSpan w:val="3"/>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199" w:type="dxa"/>
            <w:gridSpan w:val="3"/>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MUFG SECURITIES Americas INC.</w:t>
            </w:r>
          </w:p>
        </w:tc>
        <w:tc>
          <w:tcPr>
            <w:tcW w:w="75" w:type="dxa"/>
            <w:tcBorders/>
            <w:vAlign w:val="center"/>
          </w:tcPr>
          <w:p>
            <w:pPr>
              <w:pStyle w:val="TableContents"/>
              <w:bidi w:val="0"/>
              <w:spacing w:before="0" w:after="283"/>
              <w:jc w:val="left"/>
              <w:rPr/>
            </w:pPr>
            <w:r>
              <w:rPr/>
              <w:t> </w:t>
            </w:r>
          </w:p>
        </w:tc>
      </w:tr>
      <w:tr>
        <w:trPr/>
        <w:tc>
          <w:tcPr>
            <w:tcW w:w="3199" w:type="dxa"/>
            <w:gridSpan w:val="3"/>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1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780"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Maheen Baig</w:t>
            </w:r>
          </w:p>
        </w:tc>
        <w:tc>
          <w:tcPr>
            <w:tcW w:w="75" w:type="dxa"/>
            <w:tcBorders/>
            <w:vAlign w:val="center"/>
          </w:tcPr>
          <w:p>
            <w:pPr>
              <w:pStyle w:val="TableContents"/>
              <w:bidi w:val="0"/>
              <w:spacing w:before="0" w:after="283"/>
              <w:jc w:val="left"/>
              <w:rPr/>
            </w:pPr>
            <w:r>
              <w:rPr/>
              <w:t> </w:t>
            </w:r>
          </w:p>
        </w:tc>
      </w:tr>
      <w:tr>
        <w:trPr/>
        <w:tc>
          <w:tcPr>
            <w:tcW w:w="419" w:type="dxa"/>
            <w:tcBorders/>
            <w:vAlign w:val="center"/>
          </w:tcPr>
          <w:p>
            <w:pPr>
              <w:pStyle w:val="TableContents"/>
              <w:bidi w:val="0"/>
              <w:spacing w:before="0" w:after="283"/>
              <w:jc w:val="left"/>
              <w:rPr/>
            </w:pPr>
            <w:r>
              <w:rPr/>
              <w:t> </w:t>
            </w:r>
          </w:p>
        </w:tc>
        <w:tc>
          <w:tcPr>
            <w:tcW w:w="60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217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Maheen Baig</w:t>
            </w:r>
          </w:p>
        </w:tc>
        <w:tc>
          <w:tcPr>
            <w:tcW w:w="75" w:type="dxa"/>
            <w:tcBorders/>
            <w:vAlign w:val="center"/>
          </w:tcPr>
          <w:p>
            <w:pPr>
              <w:pStyle w:val="TableContents"/>
              <w:bidi w:val="0"/>
              <w:spacing w:before="0" w:after="283"/>
              <w:jc w:val="left"/>
              <w:rPr/>
            </w:pPr>
            <w:r>
              <w:rPr/>
              <w:t> </w:t>
            </w:r>
          </w:p>
        </w:tc>
      </w:tr>
      <w:tr>
        <w:trPr/>
        <w:tc>
          <w:tcPr>
            <w:tcW w:w="419" w:type="dxa"/>
            <w:tcBorders/>
            <w:vAlign w:val="center"/>
          </w:tcPr>
          <w:p>
            <w:pPr>
              <w:pStyle w:val="TableContents"/>
              <w:bidi w:val="0"/>
              <w:spacing w:before="0" w:after="283"/>
              <w:jc w:val="left"/>
              <w:rPr/>
            </w:pPr>
            <w:r>
              <w:rPr/>
              <w:t> </w:t>
            </w:r>
          </w:p>
        </w:tc>
        <w:tc>
          <w:tcPr>
            <w:tcW w:w="60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17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Managing Director</w:t>
            </w:r>
          </w:p>
        </w:tc>
        <w:tc>
          <w:tcPr>
            <w:tcW w:w="75" w:type="dxa"/>
            <w:tcBorders/>
            <w:vAlign w:val="center"/>
          </w:tcPr>
          <w:p>
            <w:pPr>
              <w:pStyle w:val="TableContents"/>
              <w:bidi w:val="0"/>
              <w:spacing w:before="0" w:after="283"/>
              <w:jc w:val="left"/>
              <w:rPr/>
            </w:pPr>
            <w:r>
              <w:rPr/>
              <w:t> </w:t>
            </w:r>
          </w:p>
        </w:tc>
      </w:tr>
      <w:tr>
        <w:trPr/>
        <w:tc>
          <w:tcPr>
            <w:tcW w:w="3199" w:type="dxa"/>
            <w:gridSpan w:val="3"/>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199"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TRUIST SECURITIES, INC.</w:t>
            </w:r>
          </w:p>
        </w:tc>
        <w:tc>
          <w:tcPr>
            <w:tcW w:w="75" w:type="dxa"/>
            <w:tcBorders/>
            <w:vAlign w:val="center"/>
          </w:tcPr>
          <w:p>
            <w:pPr>
              <w:pStyle w:val="TableContents"/>
              <w:bidi w:val="0"/>
              <w:spacing w:before="0" w:after="283"/>
              <w:jc w:val="left"/>
              <w:rPr/>
            </w:pPr>
            <w:r>
              <w:rPr/>
              <w:t> </w:t>
            </w:r>
          </w:p>
        </w:tc>
      </w:tr>
      <w:tr>
        <w:trPr/>
        <w:tc>
          <w:tcPr>
            <w:tcW w:w="3199" w:type="dxa"/>
            <w:gridSpan w:val="3"/>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1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780"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Rob Nordinger</w:t>
            </w:r>
          </w:p>
        </w:tc>
        <w:tc>
          <w:tcPr>
            <w:tcW w:w="75" w:type="dxa"/>
            <w:tcBorders/>
            <w:vAlign w:val="center"/>
          </w:tcPr>
          <w:p>
            <w:pPr>
              <w:pStyle w:val="TableContents"/>
              <w:bidi w:val="0"/>
              <w:spacing w:before="0" w:after="283"/>
              <w:jc w:val="left"/>
              <w:rPr/>
            </w:pPr>
            <w:r>
              <w:rPr/>
              <w:t> </w:t>
            </w:r>
          </w:p>
        </w:tc>
      </w:tr>
      <w:tr>
        <w:trPr/>
        <w:tc>
          <w:tcPr>
            <w:tcW w:w="419" w:type="dxa"/>
            <w:tcBorders/>
            <w:vAlign w:val="center"/>
          </w:tcPr>
          <w:p>
            <w:pPr>
              <w:pStyle w:val="TableContents"/>
              <w:bidi w:val="0"/>
              <w:spacing w:before="0" w:after="283"/>
              <w:jc w:val="left"/>
              <w:rPr/>
            </w:pPr>
            <w:r>
              <w:rPr/>
              <w:t> </w:t>
            </w:r>
          </w:p>
        </w:tc>
        <w:tc>
          <w:tcPr>
            <w:tcW w:w="60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217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Rob Nordinger</w:t>
            </w:r>
          </w:p>
        </w:tc>
        <w:tc>
          <w:tcPr>
            <w:tcW w:w="75" w:type="dxa"/>
            <w:tcBorders/>
            <w:vAlign w:val="center"/>
          </w:tcPr>
          <w:p>
            <w:pPr>
              <w:pStyle w:val="TableContents"/>
              <w:bidi w:val="0"/>
              <w:spacing w:before="0" w:after="283"/>
              <w:jc w:val="left"/>
              <w:rPr/>
            </w:pPr>
            <w:r>
              <w:rPr/>
              <w:t> </w:t>
            </w:r>
          </w:p>
        </w:tc>
      </w:tr>
      <w:tr>
        <w:trPr/>
        <w:tc>
          <w:tcPr>
            <w:tcW w:w="419" w:type="dxa"/>
            <w:tcBorders/>
            <w:vAlign w:val="center"/>
          </w:tcPr>
          <w:p>
            <w:pPr>
              <w:pStyle w:val="TableContents"/>
              <w:bidi w:val="0"/>
              <w:spacing w:before="0" w:after="283"/>
              <w:jc w:val="left"/>
              <w:rPr/>
            </w:pPr>
            <w:r>
              <w:rPr/>
              <w:t> </w:t>
            </w:r>
          </w:p>
        </w:tc>
        <w:tc>
          <w:tcPr>
            <w:tcW w:w="60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17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Managing Director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Underwriting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I</w:t>
      </w:r>
    </w:p>
    <w:p>
      <w:pPr>
        <w:pStyle w:val="TextBody"/>
        <w:bidi w:val="0"/>
        <w:spacing w:before="0" w:after="0"/>
        <w:ind w:left="0" w:right="0" w:hanging="0"/>
        <w:jc w:val="left"/>
        <w:rPr>
          <w:caps w:val="false"/>
          <w:smallCaps w:val="false"/>
        </w:rPr>
      </w:pPr>
      <w:r>
        <w:rPr>
          <w:caps w:val="false"/>
          <w:smallCaps w:val="false"/>
        </w:rPr>
        <w:t> </w:t>
      </w:r>
    </w:p>
    <w:tbl>
      <w:tblPr>
        <w:tblW w:w="4230" w:type="dxa"/>
        <w:jc w:val="left"/>
        <w:tblInd w:w="0" w:type="dxa"/>
        <w:tblLayout w:type="fixed"/>
        <w:tblCellMar>
          <w:top w:w="0" w:type="dxa"/>
          <w:left w:w="0" w:type="dxa"/>
          <w:bottom w:w="28" w:type="dxa"/>
          <w:right w:w="0" w:type="dxa"/>
        </w:tblCellMar>
      </w:tblPr>
      <w:tblGrid>
        <w:gridCol w:w="2915"/>
        <w:gridCol w:w="60"/>
        <w:gridCol w:w="125"/>
        <w:gridCol w:w="1055"/>
        <w:gridCol w:w="75"/>
      </w:tblGrid>
      <w:tr>
        <w:trPr/>
        <w:tc>
          <w:tcPr>
            <w:tcW w:w="2915" w:type="dxa"/>
            <w:tcBorders>
              <w:bottom w:val="single" w:sz="8" w:space="0" w:color="000000"/>
            </w:tcBorders>
            <w:vAlign w:val="center"/>
          </w:tcPr>
          <w:p>
            <w:pPr>
              <w:pStyle w:val="TableContents"/>
              <w:bidi w:val="0"/>
              <w:spacing w:before="0" w:after="283"/>
              <w:jc w:val="left"/>
              <w:rPr>
                <w:b/>
                <w:sz w:val="20"/>
              </w:rPr>
            </w:pPr>
            <w:r>
              <w:rPr>
                <w:b/>
                <w:sz w:val="20"/>
              </w:rPr>
              <w:t>Underwriter</w:t>
            </w:r>
          </w:p>
        </w:tc>
        <w:tc>
          <w:tcPr>
            <w:tcW w:w="60" w:type="dxa"/>
            <w:tcBorders/>
            <w:tcMar>
              <w:bottom w:w="0" w:type="dxa"/>
            </w:tcMar>
            <w:vAlign w:val="center"/>
          </w:tcPr>
          <w:p>
            <w:pPr>
              <w:pStyle w:val="TableContents"/>
              <w:bidi w:val="0"/>
              <w:spacing w:before="0" w:after="283"/>
              <w:jc w:val="left"/>
              <w:rPr/>
            </w:pPr>
            <w:r>
              <w:rPr/>
              <w:t> </w:t>
            </w:r>
          </w:p>
        </w:tc>
        <w:tc>
          <w:tcPr>
            <w:tcW w:w="1180" w:type="dxa"/>
            <w:gridSpan w:val="2"/>
            <w:tcBorders>
              <w:bottom w:val="single" w:sz="8" w:space="0" w:color="000000"/>
            </w:tcBorders>
            <w:vAlign w:val="center"/>
          </w:tcPr>
          <w:p>
            <w:pPr>
              <w:pStyle w:val="TableContents"/>
              <w:bidi w:val="0"/>
              <w:spacing w:before="0" w:after="283"/>
              <w:jc w:val="center"/>
              <w:rPr>
                <w:b/>
                <w:sz w:val="20"/>
              </w:rPr>
            </w:pPr>
            <w:r>
              <w:rPr>
                <w:b/>
                <w:sz w:val="20"/>
              </w:rPr>
              <w:t>Principal</w:t>
              <w:br/>
              <w:t>Amount</w:t>
              <w:br/>
              <w:t>of Bonds</w:t>
            </w:r>
          </w:p>
        </w:tc>
        <w:tc>
          <w:tcPr>
            <w:tcW w:w="75" w:type="dxa"/>
            <w:tcBorders/>
            <w:tcMar>
              <w:bottom w:w="0" w:type="dxa"/>
            </w:tcMar>
            <w:vAlign w:val="center"/>
          </w:tcPr>
          <w:p>
            <w:pPr>
              <w:pStyle w:val="TableContents"/>
              <w:bidi w:val="0"/>
              <w:spacing w:before="0" w:after="283"/>
              <w:jc w:val="left"/>
              <w:rPr/>
            </w:pPr>
            <w:r>
              <w:rPr/>
              <w:t> </w:t>
            </w:r>
          </w:p>
        </w:tc>
      </w:tr>
      <w:tr>
        <w:trPr/>
        <w:tc>
          <w:tcPr>
            <w:tcW w:w="291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Barclays Capital Inc.</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127,400,000</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91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BNP Paribas Securities Corp.</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127,400,000</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91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MUFG Securities Americas Inc.</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127,400,000</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91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Goldman Sachs &amp; Co. LLC</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127,400,000</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91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Truist Securities, Inc.</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127,400,000</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91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PNC Capital Markets LLC</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49,000,000</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91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Independence Point Securities LLC</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14,000,000</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915" w:type="dxa"/>
            <w:tcBorders/>
            <w:shd w:fill="FFFF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700,000,000</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PRICING TERM SHEET</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Preliminary Prospectus Supplement dated September 21, 2026)</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10" w:type="dxa"/>
        <w:tblLayout w:type="fixed"/>
        <w:tblCellMar>
          <w:top w:w="28" w:type="dxa"/>
          <w:left w:w="108" w:type="dxa"/>
          <w:bottom w:w="28" w:type="dxa"/>
          <w:right w:w="108" w:type="dxa"/>
        </w:tblCellMar>
      </w:tblPr>
      <w:tblGrid>
        <w:gridCol w:w="1660"/>
        <w:gridCol w:w="8545"/>
      </w:tblGrid>
      <w:tr>
        <w:trPr/>
        <w:tc>
          <w:tcPr>
            <w:tcW w:w="166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Issuer:</w:t>
            </w:r>
          </w:p>
        </w:tc>
        <w:tc>
          <w:tcPr>
            <w:tcW w:w="854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CenterPoint Energy Houston Electric, LLC</w:t>
            </w:r>
          </w:p>
        </w:tc>
      </w:tr>
      <w:tr>
        <w:trPr/>
        <w:tc>
          <w:tcPr>
            <w:tcW w:w="166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Legal Format:</w:t>
            </w:r>
          </w:p>
        </w:tc>
        <w:tc>
          <w:tcPr>
            <w:tcW w:w="854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 Registered</w:t>
            </w:r>
          </w:p>
        </w:tc>
      </w:tr>
      <w:tr>
        <w:trPr/>
        <w:tc>
          <w:tcPr>
            <w:tcW w:w="166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Anticipated Ratings*:</w:t>
            </w:r>
          </w:p>
        </w:tc>
        <w:tc>
          <w:tcPr>
            <w:tcW w:w="854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Intentionally omitted in exhibit format</w:t>
            </w:r>
          </w:p>
        </w:tc>
      </w:tr>
      <w:tr>
        <w:trPr/>
        <w:tc>
          <w:tcPr>
            <w:tcW w:w="166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Security:</w:t>
            </w:r>
          </w:p>
        </w:tc>
        <w:tc>
          <w:tcPr>
            <w:tcW w:w="854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5.40% General Mortgage Bonds, Series AS, due 2031</w:t>
            </w:r>
          </w:p>
        </w:tc>
      </w:tr>
      <w:tr>
        <w:trPr/>
        <w:tc>
          <w:tcPr>
            <w:tcW w:w="166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Principal Amount:</w:t>
            </w:r>
          </w:p>
        </w:tc>
        <w:tc>
          <w:tcPr>
            <w:tcW w:w="854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$700,000,000</w:t>
            </w:r>
          </w:p>
        </w:tc>
      </w:tr>
      <w:tr>
        <w:trPr/>
        <w:tc>
          <w:tcPr>
            <w:tcW w:w="166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Maturity Date:</w:t>
            </w:r>
          </w:p>
        </w:tc>
        <w:tc>
          <w:tcPr>
            <w:tcW w:w="854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October 15, 2031</w:t>
            </w:r>
          </w:p>
        </w:tc>
      </w:tr>
      <w:tr>
        <w:trPr/>
        <w:tc>
          <w:tcPr>
            <w:tcW w:w="166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Interest Payment Dates:</w:t>
            </w:r>
          </w:p>
        </w:tc>
        <w:tc>
          <w:tcPr>
            <w:tcW w:w="854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April 15 and October 15, commencing April 15, 2027</w:t>
            </w:r>
          </w:p>
        </w:tc>
      </w:tr>
      <w:tr>
        <w:trPr/>
        <w:tc>
          <w:tcPr>
            <w:tcW w:w="166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Coupon:</w:t>
            </w:r>
          </w:p>
        </w:tc>
        <w:tc>
          <w:tcPr>
            <w:tcW w:w="854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5.40%</w:t>
            </w:r>
          </w:p>
        </w:tc>
      </w:tr>
      <w:tr>
        <w:trPr/>
        <w:tc>
          <w:tcPr>
            <w:tcW w:w="166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Price to Public:</w:t>
            </w:r>
          </w:p>
        </w:tc>
        <w:tc>
          <w:tcPr>
            <w:tcW w:w="854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99.934% of the principal amount</w:t>
            </w:r>
          </w:p>
        </w:tc>
      </w:tr>
      <w:tr>
        <w:trPr/>
        <w:tc>
          <w:tcPr>
            <w:tcW w:w="166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Benchmark Treasury:</w:t>
            </w:r>
          </w:p>
        </w:tc>
        <w:tc>
          <w:tcPr>
            <w:tcW w:w="854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4.375% due August 31, 2031</w:t>
            </w:r>
          </w:p>
        </w:tc>
      </w:tr>
      <w:tr>
        <w:trPr/>
        <w:tc>
          <w:tcPr>
            <w:tcW w:w="166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Benchmark Treasury Yield:</w:t>
            </w:r>
          </w:p>
        </w:tc>
        <w:tc>
          <w:tcPr>
            <w:tcW w:w="854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4.834%</w:t>
            </w:r>
          </w:p>
        </w:tc>
      </w:tr>
      <w:tr>
        <w:trPr/>
        <w:tc>
          <w:tcPr>
            <w:tcW w:w="166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Spread to Benchmark Treasury:</w:t>
            </w:r>
          </w:p>
        </w:tc>
        <w:tc>
          <w:tcPr>
            <w:tcW w:w="854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+58 basis points</w:t>
            </w:r>
          </w:p>
        </w:tc>
      </w:tr>
      <w:tr>
        <w:trPr/>
        <w:tc>
          <w:tcPr>
            <w:tcW w:w="166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Re-offer Yield:</w:t>
            </w:r>
          </w:p>
        </w:tc>
        <w:tc>
          <w:tcPr>
            <w:tcW w:w="854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5.414%</w:t>
            </w:r>
          </w:p>
        </w:tc>
      </w:tr>
      <w:tr>
        <w:trPr/>
        <w:tc>
          <w:tcPr>
            <w:tcW w:w="166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Optional Redemption:</w:t>
            </w:r>
          </w:p>
        </w:tc>
        <w:tc>
          <w:tcPr>
            <w:tcW w:w="854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Prior to September 15, 2031, greater of: (1)(a) make-whole at treasury rate[1] plus 10 basis points (calculated to September 15, 2031), less (b) interest accrued to the date of redemption and (2) 100%, plus, in either case, accrued and unpaid interest.  On or after September 15, 2031, 100% plus accrued and unpaid interest.</w:t>
            </w:r>
          </w:p>
        </w:tc>
      </w:tr>
      <w:tr>
        <w:trPr/>
        <w:tc>
          <w:tcPr>
            <w:tcW w:w="166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Tax Credit Event Call:</w:t>
            </w:r>
          </w:p>
        </w:tc>
        <w:tc>
          <w:tcPr>
            <w:tcW w:w="854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whole, but not in part, at 101%, plus accrued and unpaid interest to, but excluding, the redemption date, if certain tax credit-related events occur (provided that the notice of such redemption may only be sent by the later of (a) December 31, 2026 and (b) six months from the date of issuance).  </w:t>
            </w:r>
          </w:p>
        </w:tc>
      </w:tr>
      <w:tr>
        <w:trPr/>
        <w:tc>
          <w:tcPr>
            <w:tcW w:w="166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CUSIP:</w:t>
            </w:r>
          </w:p>
        </w:tc>
        <w:tc>
          <w:tcPr>
            <w:tcW w:w="854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15189X BM9</w:t>
            </w:r>
          </w:p>
        </w:tc>
      </w:tr>
      <w:tr>
        <w:trPr/>
        <w:tc>
          <w:tcPr>
            <w:tcW w:w="166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Trade Date:</w:t>
            </w:r>
          </w:p>
        </w:tc>
        <w:tc>
          <w:tcPr>
            <w:tcW w:w="854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September 21, 2026</w:t>
            </w:r>
          </w:p>
        </w:tc>
      </w:tr>
      <w:tr>
        <w:trPr/>
        <w:tc>
          <w:tcPr>
            <w:tcW w:w="166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Expected Settlement Date**:</w:t>
            </w:r>
          </w:p>
        </w:tc>
        <w:tc>
          <w:tcPr>
            <w:tcW w:w="854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September 24, 2026 (T+3)</w:t>
            </w:r>
          </w:p>
        </w:tc>
      </w:tr>
      <w:tr>
        <w:trPr/>
        <w:tc>
          <w:tcPr>
            <w:tcW w:w="166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Joint Book-Running Managers:</w:t>
            </w:r>
          </w:p>
        </w:tc>
        <w:tc>
          <w:tcPr>
            <w:tcW w:w="8545"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Barclays Capital Inc.</w:t>
              <w:br/>
              <w:t>BNP Paribas Securities Corp.</w:t>
              <w:br/>
              <w:t>Goldman Sachs &amp; Co. LLC</w:t>
              <w:br/>
              <w:t>MUFG Securities Americas Inc.</w:t>
              <w:br/>
              <w:t>Truist Securities, Inc.</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PNC Capital Markets LLC</w:t>
            </w:r>
          </w:p>
        </w:tc>
      </w:tr>
      <w:tr>
        <w:trPr/>
        <w:tc>
          <w:tcPr>
            <w:tcW w:w="166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Co-Manager:</w:t>
            </w:r>
          </w:p>
        </w:tc>
        <w:tc>
          <w:tcPr>
            <w:tcW w:w="854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Independence Point Securities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The term “treasury rate” shall have the meaning ascribed to it in the issuer’s preliminary prospectus supplement dated </w:t>
      </w:r>
      <w:r>
        <w:rPr>
          <w:rFonts w:ascii="Times New Roman;Times;Serif" w:hAnsi="Times New Roman;Times;Serif"/>
          <w:b w:val="false"/>
          <w:i w:val="false"/>
          <w:caps w:val="false"/>
          <w:smallCaps w:val="false"/>
          <w:sz w:val="20"/>
          <w:shd w:fill="FFFFFF" w:val="clear"/>
        </w:rPr>
        <w:t>September 21,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A securities rating is not a recommendation to buy, sell or hold securities and may be subject to revision or withdrawal at any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shd w:fill="FFFFFF" w:val="clear"/>
        </w:rPr>
        <w:t>We expect that delivery of the mortgage bonds offered hereby will be made against payment therefor on or about September 24, 2026, which will be the third business day following the date of pricing of the mortgage bonds (this settlement cycle being referred to as “T+3”). Under Rule 15c6-1 of the Securities Exchange Act of 1934, as amended, trades in the secondary market generally are required to settle in one business day, unless the parties to a trade expressly agree otherwise. Accordingly, purchasers who wish to trade the mortgage bonds on any date prior to the first business day before delivery of the mortgage bonds will be required, by virtue of the fact that the mortgage bonds initially will settle in T+3, to specify alternative settlement arrangements at the time of any such trade to prevent a failed settlement and should consult their own advisors.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has filed a registration statement (including a prospectus) with the SEC for the offering to which this communication relates. Before you invest, you should read the prospectus in that registration statement and other documents the issuer has filed with the SEC for more complete information about the issuer and this offering. You may get these documents for free by visiting EDGAR on the SEC website at www.sec.gov. Alternatively, the issuer, any underwriter or any dealer participating in the offering will arrange to send you the prospectus if you request it by calling Barclays Capital Inc. toll-free at (888) 603-5847, BNP Paribas Securities Corp. toll-free at (800) 854-5674, Goldman Sachs &amp; Co. LLC toll-free at (866) 471-2526, MUFG Securities Americas Inc. toll-free at (877) 649-6848 or Truist Securities, Inc. toll-free at (800) 685-4786.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III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PRICING DISCLOSURE PACKAGE</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57"/>
        <w:gridCol w:w="891"/>
        <w:gridCol w:w="9157"/>
      </w:tblGrid>
      <w:tr>
        <w:trPr/>
        <w:tc>
          <w:tcPr>
            <w:tcW w:w="15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pPr>
            <w:r>
              <w:rPr/>
              <w:t>1)</w:t>
            </w:r>
          </w:p>
        </w:tc>
        <w:tc>
          <w:tcPr>
            <w:tcW w:w="9157" w:type="dxa"/>
            <w:tcBorders/>
            <w:vAlign w:val="center"/>
          </w:tcPr>
          <w:p>
            <w:pPr>
              <w:pStyle w:val="TableContents"/>
              <w:bidi w:val="0"/>
              <w:spacing w:before="0" w:after="283"/>
              <w:jc w:val="left"/>
              <w:rPr/>
            </w:pPr>
            <w:r>
              <w:rPr/>
              <w:t>Preliminary Prospectus</w:t>
            </w:r>
          </w:p>
        </w:tc>
      </w:tr>
    </w:tbl>
    <w:tbl>
      <w:tblPr>
        <w:tblW w:w="5000" w:type="pct"/>
        <w:jc w:val="left"/>
        <w:tblInd w:w="0" w:type="dxa"/>
        <w:tblLayout w:type="fixed"/>
        <w:tblCellMar>
          <w:top w:w="0" w:type="dxa"/>
          <w:left w:w="0" w:type="dxa"/>
          <w:bottom w:w="0" w:type="dxa"/>
          <w:right w:w="0" w:type="dxa"/>
        </w:tblCellMar>
      </w:tblPr>
      <w:tblGrid>
        <w:gridCol w:w="77"/>
        <w:gridCol w:w="439"/>
        <w:gridCol w:w="9689"/>
      </w:tblGrid>
      <w:tr>
        <w:trPr/>
        <w:tc>
          <w:tcPr>
            <w:tcW w:w="77"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pPr>
            <w:r>
              <w:rPr/>
              <w:t>2)</w:t>
            </w:r>
          </w:p>
        </w:tc>
        <w:tc>
          <w:tcPr>
            <w:tcW w:w="9689" w:type="dxa"/>
            <w:tcBorders/>
            <w:vAlign w:val="center"/>
          </w:tcPr>
          <w:p>
            <w:pPr>
              <w:pStyle w:val="TableContents"/>
              <w:bidi w:val="0"/>
              <w:spacing w:before="0" w:after="283"/>
              <w:jc w:val="left"/>
              <w:rPr/>
            </w:pPr>
            <w:r>
              <w:rPr/>
              <w:t>Pricing Term Sheet attached as Schedule II hereto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IV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PERMITTED FREE WRITING PROSPECTUSES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7"/>
        <w:gridCol w:w="439"/>
        <w:gridCol w:w="9689"/>
      </w:tblGrid>
      <w:tr>
        <w:trPr/>
        <w:tc>
          <w:tcPr>
            <w:tcW w:w="77"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pPr>
            <w:r>
              <w:rPr/>
              <w:t>1)</w:t>
            </w:r>
          </w:p>
        </w:tc>
        <w:tc>
          <w:tcPr>
            <w:tcW w:w="9689" w:type="dxa"/>
            <w:tcBorders/>
            <w:vAlign w:val="center"/>
          </w:tcPr>
          <w:p>
            <w:pPr>
              <w:pStyle w:val="TableContents"/>
              <w:bidi w:val="0"/>
              <w:spacing w:before="0" w:after="283"/>
              <w:jc w:val="left"/>
              <w:rPr/>
            </w:pPr>
            <w:r>
              <w:rPr/>
              <w:t>Pricing Term Sheet attached as Schedule II hereto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OPINION OF BAKER BOTTS L.L.P.,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COUNSEL FOR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OPINION OF MONICA KARUTURI, ESQ.,</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EXECUTIVE VICE PRESIDENT AND GENERAL COUNSEL FOR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B-1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24" w:name="tm2625895d1_ex4-4.htm"/>
      <w:bookmarkStart w:id="25" w:name="kstm2625895d1_ex44"/>
      <w:bookmarkEnd w:id="24"/>
      <w:bookmarkEnd w:id="25"/>
      <w:r>
        <w:rPr/>
        <w:t> </w:t>
      </w:r>
      <w:r>
        <w:br w:type="page"/>
      </w:r>
    </w:p>
    <w:p>
      <w:pPr>
        <w:pStyle w:val="TextBody"/>
        <w:bidi w:val="0"/>
        <w:jc w:val="right"/>
        <w:rPr>
          <w:b/>
        </w:rPr>
      </w:pPr>
      <w:r>
        <w:rPr>
          <w:b/>
        </w:rPr>
        <w:t>Exhibit 4.4</w:t>
      </w:r>
    </w:p>
    <w:p>
      <w:pPr>
        <w:pStyle w:val="TextBody"/>
        <w:bidi w:val="0"/>
        <w:spacing w:before="0" w:after="283"/>
        <w:jc w:val="left"/>
        <w:rPr/>
      </w:pPr>
      <w:r>
        <w:rPr/>
        <w:t> </w:t>
      </w:r>
    </w:p>
    <w:p>
      <w:pPr>
        <w:pStyle w:val="TextBody"/>
        <w:bidi w:val="0"/>
        <w:jc w:val="right"/>
        <w:rPr>
          <w:b/>
          <w:i/>
        </w:rPr>
      </w:pPr>
      <w:r>
        <w:rPr>
          <w:b/>
          <w:i/>
        </w:rPr>
        <w:t>Execution Version</w:t>
      </w:r>
    </w:p>
    <w:p>
      <w:pPr>
        <w:pStyle w:val="TextBody"/>
        <w:bidi w:val="0"/>
        <w:spacing w:before="0" w:after="283"/>
        <w:jc w:val="left"/>
        <w:rPr/>
      </w:pPr>
      <w:r>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CenterPoint Energy Houston Electric,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1111 Louisiana Street</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Houston, TX 77002</w:t>
      </w:r>
    </w:p>
    <w:p>
      <w:pPr>
        <w:pStyle w:val="TextBody"/>
        <w:pBdr>
          <w:bottom w:val="double" w:sz="6"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CENTERPOINT ENERGY HOUSTON ELECTRIC, LLC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BANK OF NEW YORK MELLON TRUST COMPANY, NATIONAL ASSOCIATION</w:t>
        <w:br/>
        <w:t>(successor in trust to JPMORGAN CHASE BANK),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Trustee</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FORTIETH SUPPLEMENTAL INDENTURE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as of September 24,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Supplementing the General Mortgage Indenture</w:t>
        <w:br/>
        <w:t>Dated as of October 10, 2002</w:t>
        <w:br/>
        <w:t>Filed under file number 030004510538 in the</w:t>
        <w:br/>
        <w:t>Office of the Secretary of State as an instrument</w:t>
        <w:br/>
        <w:t>granting a security interest by a public utility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INSTRUMENT GRANTS A SECURITY INTEREST BY A UTILITY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INSTRUMENT CONTAINS AFTER-ACQUIRED PROPERTY PROVISIONS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instrument is being filed pursuant to Chapter 261 of the Texas Business and Commerce Code</w:t>
      </w:r>
    </w:p>
    <w:p>
      <w:pPr>
        <w:pStyle w:val="TextBody"/>
        <w:pBdr>
          <w:bottom w:val="double" w:sz="6"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FORTIETH SUPPLEMENTAL INDENTURE, dated as of September 24, 2026, between CENTERPOINT ENERGY HOUSTON ELECTRIC, LLC, a limited liability company organized and existing under the laws of the State of Texas (herein called the “Company”), having its principal office at 1111 Louisiana Street, Houston, Texas 77002, and THE BANK OF NEW YORK MELLON TRUST COMPANY, NATIONAL ASSOCIATION (successor in trust to JPMORGAN CHASE BANK), a limited purpose national banking association duly organized and existing under the laws of the United States, as Trustee (herein called the “Trustee”), the office of the Trustee at which on the date hereof its corporate trust business is administered being 601 Travis Street, 16th Floor, Houston, Texas 77002.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RECITALS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Company has heretofore executed and delivered to the Trustee a General Mortgage Indenture dated as of October 10, 2002, as supplemented and amended (the “Indenture”), providing for the issuance by the Company from time to time of its bonds, notes or other evidence of indebtedness to be issued in one or more series (in the Indenture and herein called the “Securities”) and to provide security for the payment of the principal of and premium, if any, and interest, if any, on the Securities;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Company, in the exercise of the power and authority conferred upon and reserved to it under the provisions of the Indenture and pursuant to appropriate resolutions of the Manager, has duly determined to make, execute and deliver to the Trustee this Fortieth Supplemental Indenture to the Indenture as permitted by Sections 201, 301, 402(2), 403(2) and 1401 of the Indenture in order to establish the form or terms of, and to provide for the creation and issuance of, a forty-fifth series of Securities under the Indenture in an initial aggregate principal amount of $700,000,000 (such forty-fifth series being hereinafter referred to as the “Forty-Fifth Series”);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all things necessary to make the Securities of the Forty-Fifth Series, when executed by the Company and authenticated and delivered by the Trustee or any Authenticating Agent and issued upon the terms and subject to the conditions hereinafter and in the Indenture set forth against payment therefor the valid, binding and legal obligations of the Company and to make this Fortieth Supplemental Indenture a valid, binding and legal agreement of the Company, have been done;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THIS FORTIETH SUPPLEMENTAL INDENTURE WITNESSETH that, in order to establish the terms of a series of Securities, and for and in consideration of the premises and of the covenants contained in the Indenture and in this Fortieth Supplemental Indenture and for other good and valuable consideration the receipt and sufficiency of which are hereby acknowledged, it is mutually covenanted and agreed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One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DEFINITIONS AND OTHER PROVISIONS</w:t>
        <w:br/>
        <w:t>OF GENERAL APPLICATION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101. </w:t>
      </w:r>
      <w:r>
        <w:rPr>
          <w:rFonts w:ascii="Times New Roman;Times;Serif" w:hAnsi="Times New Roman;Times;Serif"/>
          <w:b w:val="false"/>
          <w:i w:val="false"/>
          <w:caps w:val="false"/>
          <w:smallCaps w:val="false"/>
          <w:sz w:val="20"/>
          <w:u w:val="single"/>
        </w:rPr>
        <w:t>Definitions</w:t>
      </w:r>
      <w:r>
        <w:rPr>
          <w:rFonts w:ascii="Times New Roman;Times;Serif" w:hAnsi="Times New Roman;Times;Serif"/>
          <w:b w:val="false"/>
          <w:i w:val="false"/>
          <w:caps w:val="false"/>
          <w:smallCaps w:val="false"/>
          <w:sz w:val="20"/>
        </w:rPr>
        <w:t>. Each capitalized term that is used herein and is defined in the Indenture shall have the meaning specified in the Indenture unless such term is otherwise defined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Two</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TITLE, FORM AND TERMS OF THE BONDS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201. </w:t>
      </w:r>
      <w:r>
        <w:rPr>
          <w:rFonts w:ascii="Times New Roman;Times;Serif" w:hAnsi="Times New Roman;Times;Serif"/>
          <w:b w:val="false"/>
          <w:i w:val="false"/>
          <w:caps w:val="false"/>
          <w:smallCaps w:val="false"/>
          <w:sz w:val="20"/>
          <w:u w:val="single"/>
        </w:rPr>
        <w:t>Title of the Bonds</w:t>
      </w:r>
      <w:r>
        <w:rPr>
          <w:rFonts w:ascii="Times New Roman;Times;Serif" w:hAnsi="Times New Roman;Times;Serif"/>
          <w:b w:val="false"/>
          <w:i w:val="false"/>
          <w:caps w:val="false"/>
          <w:smallCaps w:val="false"/>
          <w:sz w:val="20"/>
        </w:rPr>
        <w:t xml:space="preserve">. This Fortieth Supplemental Indenture hereby creates a series of Securities designated as the “5.40% General Mortgage Bonds, Series AS, due 2031” (the “Series AS Mortgage Bonds”). For purposes of the Indenture, the Series AS Mortgage Bonds shall constitute a single series of Securities and, subject to the provisions, including, but not limited to, Article Four of the Indenture, the Series AS Mortgage Bonds shall be issued initially in an aggregate principal amount of $700,000,000, </w:t>
      </w:r>
      <w:r>
        <w:rPr>
          <w:rFonts w:ascii="Times New Roman;Times;Serif" w:hAnsi="Times New Roman;Times;Serif"/>
          <w:b w:val="false"/>
          <w:i w:val="false"/>
          <w:caps w:val="false"/>
          <w:smallCaps w:val="false"/>
          <w:sz w:val="20"/>
          <w:shd w:fill="FFFFFF" w:val="clear"/>
        </w:rPr>
        <w:t xml:space="preserve">provided, however, that, in the case of the Series AS </w:t>
      </w:r>
      <w:r>
        <w:rPr>
          <w:rFonts w:ascii="Times New Roman;Times;Serif" w:hAnsi="Times New Roman;Times;Serif"/>
          <w:b w:val="false"/>
          <w:i w:val="false"/>
          <w:caps w:val="false"/>
          <w:smallCaps w:val="false"/>
          <w:sz w:val="20"/>
        </w:rPr>
        <w:t xml:space="preserve">Mortgage </w:t>
      </w:r>
      <w:r>
        <w:rPr>
          <w:rFonts w:ascii="Times New Roman;Times;Serif" w:hAnsi="Times New Roman;Times;Serif"/>
          <w:b w:val="false"/>
          <w:i w:val="false"/>
          <w:caps w:val="false"/>
          <w:smallCaps w:val="false"/>
          <w:sz w:val="20"/>
          <w:shd w:fill="FFFFFF" w:val="clear"/>
        </w:rPr>
        <w:t>Bonds, as contemplated in the second paragraph of Section 301 of the Indenture and the definition of “Tranche” in Section 101 of the Indenture, additional Securities of such series or Tranche may be subsequently issued from time to time, without any consent of Holders of the Securities of such series, pursuant to Section 1401(4) of the Indenture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202. </w:t>
      </w:r>
      <w:r>
        <w:rPr>
          <w:rFonts w:ascii="Times New Roman;Times;Serif" w:hAnsi="Times New Roman;Times;Serif"/>
          <w:b w:val="false"/>
          <w:i w:val="false"/>
          <w:caps w:val="false"/>
          <w:smallCaps w:val="false"/>
          <w:sz w:val="20"/>
          <w:u w:val="single"/>
        </w:rPr>
        <w:t>Form and Terms of the Bonds</w:t>
      </w:r>
      <w:r>
        <w:rPr>
          <w:rFonts w:ascii="Times New Roman;Times;Serif" w:hAnsi="Times New Roman;Times;Serif"/>
          <w:b w:val="false"/>
          <w:i w:val="false"/>
          <w:caps w:val="false"/>
          <w:smallCaps w:val="false"/>
          <w:sz w:val="20"/>
        </w:rPr>
        <w:t>. The form and terms of the Series AS Mortgage Bonds will be set forth in an Officer’s Certificate delivered by the Company to the Trustee pursuant to the authority granted by this Fortieth Supplemental Indenture in accordance with Sections 201 and 301 of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203. </w:t>
      </w:r>
      <w:r>
        <w:rPr>
          <w:rFonts w:ascii="Times New Roman;Times;Serif" w:hAnsi="Times New Roman;Times;Serif"/>
          <w:b w:val="false"/>
          <w:i w:val="false"/>
          <w:caps w:val="false"/>
          <w:smallCaps w:val="false"/>
          <w:sz w:val="20"/>
          <w:u w:val="single"/>
        </w:rPr>
        <w:t>Treatment of Proceeds of Title Insurance Policy</w:t>
      </w:r>
      <w:r>
        <w:rPr>
          <w:rFonts w:ascii="Times New Roman;Times;Serif" w:hAnsi="Times New Roman;Times;Serif"/>
          <w:b w:val="false"/>
          <w:i w:val="false"/>
          <w:caps w:val="false"/>
          <w:smallCaps w:val="false"/>
          <w:sz w:val="20"/>
        </w:rPr>
        <w:t>. Any moneys received by the Trustee as proceeds of any title insurance policy on Mortgaged Property of the Company shall be subject to and treated in accordance with the provisions of Section 607(2) of the Indenture (other than the last paragraph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Three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MISCELLANEOUS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makes no undertaking or representations in respect of, and shall not be responsible in any manner whatsoever for and in respect of, the validity or sufficiency of this Fortieth Supplemental Indenture or the proper authorization or the due execution hereof by the Company or for or in respect of the recitals and statements contained herein, all of which recitals and statements are made solely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 event shall the Trustee be liable for any indirect, special, punitive or consequential loss or damage of any kind whatsoever, including, but not limited to, lost profits, even if it has been advised of the likelihood of such loss or damage and regardless of the form of 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 event shall the Trustee be liable for any failure or delay in the performance of its obligations hereunder because of circumstances beyond its control, including, but not limited to, acts of God, flood, war (whether declared or undeclared), terrorism, strikes, work stoppages, civil or military disturbances, nuclear or natural catastrophes, fire, riot, embargo, loss or malfunctions of utilities, communications or computer (software and hardware) services, government action, including any laws, ordinances, regulations, governmental action or the like which delay, restrict or prohibit the providing of the services contemplated by this Fortieth Supplemental Indenture; it being understood that the Trustee shall use reasonable efforts which are consistent with accepted practices in the banking industry to resume performance as soon as practicable under the circumstances.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shall have the right to accept and act upon instructions, including funds transfer instructions (“Instructions”) given pursuant to this Indenture and delivered using Electronic Means; provided, however, that the Company shall provide to the Trustee an incumbency certificate listing officers with the authority to provide such Instructions (“Authorized Officers”) and containing specimen signatures of such Authorized Officers, which incumbency certificate shall be amended by the Company whenever a person is to be added or deleted from the listing.  If the Company elects to give the Trustee Instructions using Electronic Means and the Trustee in its discretion elects to act upon such Instructions, the Trustee’s understanding of such Instructions shall be deemed controlling.  The Company understands and agrees that the Trustee cannot determine the identity of the actual sender of such Instructions and that the Trustee shall conclusively presume that directions that purport to have been sent by an Authorized Officer listed on the incumbency certificate provided to the Trustee have been sent by such Authorized Officer, unless the Trustee has knowledge to the contrary or the Trustee is acting in bad faith.  The Company shall be responsible for ensuring that only Authorized Officers transmit such Instructions to the Trustee and that the Company and all Authorized Officers are solely responsible to safeguard the use and confidentiality of applicable user and authorization codes, passwords and/or authentication keys upon receipt by the Company.  Absent gross negligence, willful misconduct or bad faith by the Trustee, the Trustee shall not be liable for any losses, costs or expenses arising directly or indirectly from the Trustee’s reliance upon and compliance with such Instructions notwithstanding such directions conflict or are inconsistent with a subsequent written instruction.  The Company agrees, absent gross negligence, willful misconduct or bad faith by the Trustee: (i) to assume all risks arising out of the use of Electronic Means to submit Instructions to the Trustee, including the risk of the Trustee acting on unauthorized Instructions and the risk of interception and misuse by third parties; (ii) that it is fully informed of the protections and risks associated with the various methods of transmitting Instructions to the Trustee and that there may be more secure methods of transmitting Instructions than the method(s) selected by the Company; (iii) that the security procedures (if any) to be followed in connection with its transmission of Instructions provide to it a commercially reasonable degree of protection in light of its particular needs and circumstances; and (iv) to notify the Trustee as soon as practicable upon learning of any compromise or unauthorized use of the security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Electronic Means” shall mean the following communications methods: e-mail, secure electronic transmission containing applicable authorization codes, passwords and/or authentication keys issued by the Trustee, or another method or system specified by the Trustee as available for use in connection with its services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PARTIES HERETO HEREBY IRREVOCABLY WAIVES, TO THE FULLEST EXTENT PERMITTED BY APPLICABLE LAW, ANY AND ALL RIGHT TO TRIAL BY JURY IN ANY LEGAL PROCEEDING ARISING OUT OF OR RELATING TO THIS FORTIETH SUPPLEMENTAL INDENTURE, THE SERIES AS MORTGAGE BONDS OR THE TRANSACTION CONTEMPLATED 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expressly amended and supplemented hereby, the Indenture shall continue in full force and effect in accordance with the provisions thereof and the Indenture is in all respects hereby ratified and confirmed. This Fortieth Supplemental Indenture and all of its provisions shall be deemed a part of the Indenture in the manner and to the extent herein and therein provided.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Fortieth Supplemental Indenture shall be governed by, and construed in accordance with, the law of the State of New York.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Fortieth Supplemental Indenture may be executed in any number of counterparts, each of which so executed shall be deemed to be an original, but all such counterparts shall together constitute but one and the same instrument.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words “execution,” “executed,” “signed,” signature,” and words of like import in this Fortieth Supplemental Indenture shall include images of manually executed signatures transmitted by email or other electronic format (including, without limitation, “pdf,” “tif” or “jpg”) and other electronic signatures (including, without limitation, DocuSign and AdobeSign). The use of electronic signatures and electronic records (including, without limitation, any contract or other record created, generated, sent, communicated, received, or stored by electronic means) shall be of the same legal effect, validity and enforceability as a manually executed signature or use of a paper-based record-keeping system to the fullest extent permitted by applicable law, including the Federal Electronic Signatures in Global and National Commerce Act, the New York State Electronic Signatures and Records Act and any other applicable law, including, without limitation, any state law based on the Uniform Electronic Transactions Act or the Uniform Commercial Code. Without limitation to the foregoing, and anything in this Fortieth Supplemental Indenture to the contrary notwithstanding, (a) any Officer’s Certificate, Company Order, Opinion of Counsel, Security, certificate of authentication appearing on or attached to any Security or other certificate, instrument, agreement or other document delivered pursuant to this Fortieth Supplemental Indenture may be executed, attested and transmitted by any of the foregoing electronic means and formats, (b) all references in Section 303 or elsewhere in the Indenture to the execution, attestation or authentication of any Security or any certificate of authentication appearing on or attached to any Security by means of a manual or facsimile signature shall be deemed to include signatures that are made or transmitted by any of the foregoing electronic means or formats, and (c) any requirement in Section 303 or elsewhere in the Indenture that any signature be made under a corporate seal (or facsimile thereof) shall not be applicable to the Securities of such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comply with applicable tax laws, rules and regulations (inclusive of directives, guidelines and interpretations promulgated by competent authorities) in effect from time to time (“Applicable Law”), the Company agrees (i) upon reasonable written request of the Trustee to use commercially reasonable efforts to provide to the Trustee information the Company has in its reasonable possession about the applicable parties and/or transactions (including any modification to the terms of such transactions) so the Trustee can determine whether it has tax related obligations under Applicable Law and (ii) that the Trustee shall be entitled to make any withholding or deduction from payments under this Indenture to the extent it is required to do so to comply with Applicable Law without any liability therefor. The terms of this section shall survive the termination of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hereto have caused this Fortieth Supplemental Indenture to be duly executed as of the day and year set forth below and effective as of the day and year first above written.</w:t>
      </w:r>
    </w:p>
    <w:p>
      <w:pPr>
        <w:pStyle w:val="TextBody"/>
        <w:bidi w:val="0"/>
        <w:spacing w:before="0" w:after="0"/>
        <w:ind w:left="0" w:right="0" w:hanging="0"/>
        <w:jc w:val="left"/>
        <w:rPr>
          <w:caps w:val="false"/>
          <w:smallCaps w:val="false"/>
        </w:rPr>
      </w:pPr>
      <w:r>
        <w:rPr>
          <w:caps w:val="false"/>
          <w:smallCaps w:val="false"/>
        </w:rPr>
        <w:t> </w:t>
      </w:r>
    </w:p>
    <w:tbl>
      <w:tblPr>
        <w:tblW w:w="6819" w:type="dxa"/>
        <w:jc w:val="left"/>
        <w:tblInd w:w="0" w:type="dxa"/>
        <w:tblLayout w:type="fixed"/>
        <w:tblCellMar>
          <w:top w:w="0" w:type="dxa"/>
          <w:left w:w="0" w:type="dxa"/>
          <w:bottom w:w="0" w:type="dxa"/>
          <w:right w:w="0" w:type="dxa"/>
        </w:tblCellMar>
      </w:tblPr>
      <w:tblGrid>
        <w:gridCol w:w="2240"/>
        <w:gridCol w:w="863"/>
        <w:gridCol w:w="3716"/>
      </w:tblGrid>
      <w:tr>
        <w:trPr/>
        <w:tc>
          <w:tcPr>
            <w:tcW w:w="2240" w:type="dxa"/>
            <w:tcBorders/>
            <w:vAlign w:val="center"/>
          </w:tcPr>
          <w:p>
            <w:pPr>
              <w:pStyle w:val="TableContents"/>
              <w:bidi w:val="0"/>
              <w:spacing w:before="0" w:after="283"/>
              <w:ind w:left="0" w:right="0" w:hanging="720"/>
              <w:jc w:val="left"/>
              <w:rPr>
                <w:caps w:val="false"/>
                <w:smallCaps w:val="false"/>
              </w:rPr>
            </w:pPr>
            <w:r>
              <w:rPr>
                <w:caps w:val="false"/>
                <w:smallCaps w:val="false"/>
              </w:rPr>
              <w:t> </w:t>
            </w:r>
          </w:p>
        </w:tc>
        <w:tc>
          <w:tcPr>
            <w:tcW w:w="457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CENTERPOINT ENERGY HOUSTON ELECTRIC, LLC</w:t>
            </w:r>
          </w:p>
        </w:tc>
      </w:tr>
      <w:tr>
        <w:trPr/>
        <w:tc>
          <w:tcPr>
            <w:tcW w:w="2240" w:type="dxa"/>
            <w:tcBorders/>
            <w:vAlign w:val="center"/>
          </w:tcPr>
          <w:p>
            <w:pPr>
              <w:pStyle w:val="TableContents"/>
              <w:bidi w:val="0"/>
              <w:spacing w:before="0" w:after="283"/>
              <w:jc w:val="left"/>
              <w:rPr>
                <w:caps w:val="false"/>
                <w:smallCaps w:val="false"/>
              </w:rPr>
            </w:pPr>
            <w:r>
              <w:rPr>
                <w:caps w:val="false"/>
                <w:smallCaps w:val="false"/>
              </w:rPr>
              <w:t> </w:t>
            </w:r>
          </w:p>
        </w:tc>
        <w:tc>
          <w:tcPr>
            <w:tcW w:w="4579" w:type="dxa"/>
            <w:gridSpan w:val="2"/>
            <w:tcBorders/>
            <w:vAlign w:val="center"/>
          </w:tcPr>
          <w:p>
            <w:pPr>
              <w:pStyle w:val="TableContents"/>
              <w:bidi w:val="0"/>
              <w:spacing w:before="0" w:after="283"/>
              <w:jc w:val="left"/>
              <w:rPr/>
            </w:pPr>
            <w:r>
              <w:rPr/>
              <w:t> </w:t>
            </w:r>
          </w:p>
        </w:tc>
      </w:tr>
      <w:tr>
        <w:trPr/>
        <w:tc>
          <w:tcPr>
            <w:tcW w:w="22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September 21, 2026</w:t>
            </w:r>
          </w:p>
        </w:tc>
        <w:tc>
          <w:tcPr>
            <w:tcW w:w="86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716"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/s/Patricia L. Martin</w:t>
            </w:r>
          </w:p>
        </w:tc>
      </w:tr>
      <w:tr>
        <w:trPr/>
        <w:tc>
          <w:tcPr>
            <w:tcW w:w="2240" w:type="dxa"/>
            <w:tcBorders/>
            <w:vAlign w:val="center"/>
          </w:tcPr>
          <w:p>
            <w:pPr>
              <w:pStyle w:val="TableContents"/>
              <w:bidi w:val="0"/>
              <w:spacing w:before="0" w:after="283"/>
              <w:jc w:val="left"/>
              <w:rPr>
                <w:caps w:val="false"/>
                <w:smallCaps w:val="false"/>
              </w:rPr>
            </w:pPr>
            <w:r>
              <w:rPr>
                <w:caps w:val="false"/>
                <w:smallCaps w:val="false"/>
              </w:rPr>
              <w:t> </w:t>
            </w:r>
          </w:p>
        </w:tc>
        <w:tc>
          <w:tcPr>
            <w:tcW w:w="86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71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Patricia L. Martin</w:t>
            </w:r>
          </w:p>
        </w:tc>
      </w:tr>
      <w:tr>
        <w:trPr/>
        <w:tc>
          <w:tcPr>
            <w:tcW w:w="2240" w:type="dxa"/>
            <w:tcBorders/>
            <w:vAlign w:val="center"/>
          </w:tcPr>
          <w:p>
            <w:pPr>
              <w:pStyle w:val="TableContents"/>
              <w:bidi w:val="0"/>
              <w:spacing w:before="0" w:after="283"/>
              <w:jc w:val="left"/>
              <w:rPr>
                <w:caps w:val="false"/>
                <w:smallCaps w:val="false"/>
              </w:rPr>
            </w:pPr>
            <w:r>
              <w:rPr>
                <w:caps w:val="false"/>
                <w:smallCaps w:val="false"/>
              </w:rPr>
              <w:t> </w:t>
            </w:r>
          </w:p>
        </w:tc>
        <w:tc>
          <w:tcPr>
            <w:tcW w:w="86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71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Vice President and Treasurer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ACKNOWLEDGMENT</w:t>
      </w:r>
    </w:p>
    <w:p>
      <w:pPr>
        <w:pStyle w:val="TextBody"/>
        <w:bidi w:val="0"/>
        <w:spacing w:before="0" w:after="0"/>
        <w:ind w:left="0" w:right="0" w:hanging="0"/>
        <w:jc w:val="left"/>
        <w:rPr>
          <w:caps w:val="false"/>
          <w:smallCaps w:val="false"/>
        </w:rPr>
      </w:pPr>
      <w:r>
        <w:rPr>
          <w:caps w:val="false"/>
          <w:smallCaps w:val="false"/>
        </w:rPr>
        <w:t> </w:t>
      </w:r>
    </w:p>
    <w:tbl>
      <w:tblPr>
        <w:tblW w:w="2130" w:type="dxa"/>
        <w:jc w:val="left"/>
        <w:tblInd w:w="0" w:type="dxa"/>
        <w:tblLayout w:type="fixed"/>
        <w:tblCellMar>
          <w:top w:w="0" w:type="dxa"/>
          <w:left w:w="0" w:type="dxa"/>
          <w:bottom w:w="0" w:type="dxa"/>
          <w:right w:w="0" w:type="dxa"/>
        </w:tblCellMar>
      </w:tblPr>
      <w:tblGrid>
        <w:gridCol w:w="1865"/>
        <w:gridCol w:w="80"/>
        <w:gridCol w:w="185"/>
      </w:tblGrid>
      <w:tr>
        <w:trPr/>
        <w:tc>
          <w:tcPr>
            <w:tcW w:w="18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OF TEXAS</w:t>
            </w:r>
          </w:p>
        </w:tc>
        <w:tc>
          <w:tcPr>
            <w:tcW w:w="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85" w:type="dxa"/>
            <w:tcBorders/>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85" w:type="dxa"/>
            <w:tcBorders/>
            <w:vAlign w:val="center"/>
          </w:tcPr>
          <w:p>
            <w:pPr>
              <w:pStyle w:val="TableContents"/>
              <w:bidi w:val="0"/>
              <w:spacing w:before="0" w:after="283"/>
              <w:jc w:val="left"/>
              <w:rPr>
                <w:sz w:val="20"/>
              </w:rPr>
            </w:pPr>
            <w:r>
              <w:rPr>
                <w:sz w:val="20"/>
              </w:rPr>
              <w:t>ss</w:t>
            </w:r>
          </w:p>
        </w:tc>
      </w:tr>
      <w:tr>
        <w:trPr/>
        <w:tc>
          <w:tcPr>
            <w:tcW w:w="18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COUNTY OF HARRIS</w:t>
            </w:r>
          </w:p>
        </w:tc>
        <w:tc>
          <w:tcPr>
            <w:tcW w:w="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8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21st day of September, 2026, before me personally came Patricia L. Martin to me known, who, being by me duly sworn, did depose and say that she resides in Houston, Texas; that she is the Vice President and Treasurer of CenterPoint Energy Houston Electric, LLC, a Texas limited liability company, the limited liability company described in and which executed the foregoing instrument; and that she signed her name thereto by authority of the sole manager of said limited liability company.</w:t>
      </w:r>
    </w:p>
    <w:p>
      <w:pPr>
        <w:pStyle w:val="TextBody"/>
        <w:bidi w:val="0"/>
        <w:spacing w:before="0" w:after="0"/>
        <w:ind w:left="0" w:right="0" w:hanging="0"/>
        <w:jc w:val="left"/>
        <w:rPr>
          <w:caps w:val="false"/>
          <w:smallCaps w:val="false"/>
        </w:rPr>
      </w:pPr>
      <w:r>
        <w:rPr>
          <w:caps w:val="false"/>
          <w:smallCaps w:val="false"/>
        </w:rPr>
        <w:t> </w:t>
      </w:r>
    </w:p>
    <w:tbl>
      <w:tblPr>
        <w:tblW w:w="3230" w:type="dxa"/>
        <w:jc w:val="left"/>
        <w:tblInd w:w="0" w:type="dxa"/>
        <w:tblLayout w:type="fixed"/>
        <w:tblCellMar>
          <w:top w:w="0" w:type="dxa"/>
          <w:left w:w="0" w:type="dxa"/>
          <w:bottom w:w="0" w:type="dxa"/>
          <w:right w:w="0" w:type="dxa"/>
        </w:tblCellMar>
      </w:tblPr>
      <w:tblGrid>
        <w:gridCol w:w="75"/>
        <w:gridCol w:w="3155"/>
      </w:tblGrid>
      <w:tr>
        <w:trPr/>
        <w:tc>
          <w:tcPr>
            <w:tcW w:w="75" w:type="dxa"/>
            <w:tcBorders/>
            <w:vAlign w:val="center"/>
          </w:tcPr>
          <w:p>
            <w:pPr>
              <w:pStyle w:val="TableContents"/>
              <w:bidi w:val="0"/>
              <w:spacing w:before="0" w:after="283"/>
              <w:jc w:val="left"/>
              <w:rPr/>
            </w:pPr>
            <w:r>
              <w:rPr/>
              <w:t> </w:t>
            </w:r>
          </w:p>
        </w:tc>
        <w:tc>
          <w:tcPr>
            <w:tcW w:w="315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Denise K. Goodman</w:t>
            </w:r>
          </w:p>
        </w:tc>
      </w:tr>
      <w:tr>
        <w:trPr/>
        <w:tc>
          <w:tcPr>
            <w:tcW w:w="75" w:type="dxa"/>
            <w:tcBorders/>
            <w:vAlign w:val="center"/>
          </w:tcPr>
          <w:p>
            <w:pPr>
              <w:pStyle w:val="TableContents"/>
              <w:bidi w:val="0"/>
              <w:spacing w:before="0" w:after="283"/>
              <w:jc w:val="left"/>
              <w:rPr/>
            </w:pPr>
            <w:r>
              <w:rPr/>
              <w:t> </w:t>
            </w:r>
          </w:p>
        </w:tc>
        <w:tc>
          <w:tcPr>
            <w:tcW w:w="31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Notary Public – State of Texas</w:t>
            </w:r>
          </w:p>
        </w:tc>
      </w:tr>
      <w:tr>
        <w:trPr/>
        <w:tc>
          <w:tcPr>
            <w:tcW w:w="75" w:type="dxa"/>
            <w:tcBorders/>
            <w:vAlign w:val="center"/>
          </w:tcPr>
          <w:p>
            <w:pPr>
              <w:pStyle w:val="TableContents"/>
              <w:bidi w:val="0"/>
              <w:spacing w:before="0" w:after="283"/>
              <w:jc w:val="left"/>
              <w:rPr/>
            </w:pPr>
            <w:r>
              <w:rPr/>
              <w:t> </w:t>
            </w:r>
          </w:p>
        </w:tc>
        <w:tc>
          <w:tcPr>
            <w:tcW w:w="315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1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My commission expires June 30, 2027</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BANK OF NEW YORK MELLON TRUST COMPANY, NATIONAL ASSOCIATION (successor in trust to JPMORGAN CHASE BANK), as Trustee</w:t>
            </w:r>
          </w:p>
        </w:tc>
      </w:tr>
    </w:tbl>
    <w:p>
      <w:pPr>
        <w:pStyle w:val="TextBody"/>
        <w:bidi w:val="0"/>
        <w:spacing w:before="0" w:after="0"/>
        <w:ind w:left="0" w:right="0" w:hanging="0"/>
        <w:jc w:val="left"/>
        <w:rPr>
          <w:caps w:val="false"/>
          <w:smallCaps w:val="false"/>
        </w:rPr>
      </w:pPr>
      <w:r>
        <w:rPr>
          <w:caps w:val="false"/>
          <w:smallCaps w:val="false"/>
        </w:rPr>
        <w:t> </w:t>
      </w:r>
    </w:p>
    <w:tbl>
      <w:tblPr>
        <w:tblW w:w="4725" w:type="dxa"/>
        <w:jc w:val="left"/>
        <w:tblInd w:w="0" w:type="dxa"/>
        <w:tblLayout w:type="fixed"/>
        <w:tblCellMar>
          <w:top w:w="0" w:type="dxa"/>
          <w:left w:w="0" w:type="dxa"/>
          <w:bottom w:w="0" w:type="dxa"/>
          <w:right w:w="0" w:type="dxa"/>
        </w:tblCellMar>
      </w:tblPr>
      <w:tblGrid>
        <w:gridCol w:w="2240"/>
        <w:gridCol w:w="545"/>
        <w:gridCol w:w="1940"/>
      </w:tblGrid>
      <w:tr>
        <w:trPr/>
        <w:tc>
          <w:tcPr>
            <w:tcW w:w="22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September 21, 2026</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94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William R. Pyeatt Jr.</w:t>
            </w:r>
          </w:p>
        </w:tc>
      </w:tr>
      <w:tr>
        <w:trPr/>
        <w:tc>
          <w:tcPr>
            <w:tcW w:w="224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9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William R. Pyeatt Jr.</w:t>
            </w:r>
          </w:p>
        </w:tc>
      </w:tr>
      <w:tr>
        <w:trPr/>
        <w:tc>
          <w:tcPr>
            <w:tcW w:w="224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9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Vice President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ACKNOWLEDGMENT</w:t>
      </w:r>
    </w:p>
    <w:p>
      <w:pPr>
        <w:pStyle w:val="TextBody"/>
        <w:bidi w:val="0"/>
        <w:spacing w:before="0" w:after="0"/>
        <w:ind w:left="0" w:right="0" w:hanging="0"/>
        <w:jc w:val="left"/>
        <w:rPr>
          <w:caps w:val="false"/>
          <w:smallCaps w:val="false"/>
        </w:rPr>
      </w:pPr>
      <w:r>
        <w:rPr>
          <w:caps w:val="false"/>
          <w:smallCaps w:val="false"/>
        </w:rPr>
        <w:t> </w:t>
      </w:r>
    </w:p>
    <w:tbl>
      <w:tblPr>
        <w:tblW w:w="2085" w:type="dxa"/>
        <w:jc w:val="left"/>
        <w:tblInd w:w="0" w:type="dxa"/>
        <w:tblLayout w:type="fixed"/>
        <w:tblCellMar>
          <w:top w:w="0" w:type="dxa"/>
          <w:left w:w="0" w:type="dxa"/>
          <w:bottom w:w="0" w:type="dxa"/>
          <w:right w:w="0" w:type="dxa"/>
        </w:tblCellMar>
      </w:tblPr>
      <w:tblGrid>
        <w:gridCol w:w="1760"/>
        <w:gridCol w:w="140"/>
        <w:gridCol w:w="185"/>
      </w:tblGrid>
      <w:tr>
        <w:trPr/>
        <w:tc>
          <w:tcPr>
            <w:tcW w:w="17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OF ILLINOIS</w:t>
            </w:r>
          </w:p>
        </w:tc>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85" w:type="dxa"/>
            <w:tcBorders/>
            <w:vAlign w:val="center"/>
          </w:tcPr>
          <w:p>
            <w:pPr>
              <w:pStyle w:val="TableContents"/>
              <w:bidi w:val="0"/>
              <w:spacing w:before="0" w:after="283"/>
              <w:jc w:val="left"/>
              <w:rPr/>
            </w:pPr>
            <w:r>
              <w:rPr/>
              <w:t> </w:t>
            </w:r>
          </w:p>
        </w:tc>
      </w:tr>
      <w:tr>
        <w:trPr/>
        <w:tc>
          <w:tcPr>
            <w:tcW w:w="1760" w:type="dxa"/>
            <w:tcBorders/>
            <w:vAlign w:val="center"/>
          </w:tcPr>
          <w:p>
            <w:pPr>
              <w:pStyle w:val="TableContents"/>
              <w:bidi w:val="0"/>
              <w:spacing w:before="0" w:after="283"/>
              <w:jc w:val="left"/>
              <w:rPr>
                <w:caps w:val="false"/>
                <w:smallCaps w:val="false"/>
              </w:rPr>
            </w:pPr>
            <w:r>
              <w:rPr>
                <w:caps w:val="false"/>
                <w:smallCaps w:val="false"/>
              </w:rPr>
              <w:t> </w:t>
            </w:r>
          </w:p>
        </w:tc>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85" w:type="dxa"/>
            <w:tcBorders/>
            <w:vAlign w:val="center"/>
          </w:tcPr>
          <w:p>
            <w:pPr>
              <w:pStyle w:val="TableContents"/>
              <w:bidi w:val="0"/>
              <w:spacing w:before="0" w:after="283"/>
              <w:jc w:val="left"/>
              <w:rPr>
                <w:sz w:val="20"/>
              </w:rPr>
            </w:pPr>
            <w:r>
              <w:rPr>
                <w:sz w:val="20"/>
              </w:rPr>
              <w:t>ss</w:t>
            </w:r>
          </w:p>
        </w:tc>
      </w:tr>
      <w:tr>
        <w:trPr/>
        <w:tc>
          <w:tcPr>
            <w:tcW w:w="17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COUNTY OF COOK</w:t>
            </w:r>
          </w:p>
        </w:tc>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8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21st day of September in the year 2026, before me, the undersigned, personally appeared, William R. Pyeatt Jr., a Vice President of The Bank of New York Mellon Trust Company, N.A., personally known to me or proved to me on the basis of satisfactory evidence to be the individual whose name is subscribed to the within instrument and acknowledged to me that he executed the same in his capacity, and that by his signature on the instrument, the individual, or the person upon behalf of which the individual acted, executed the instrument.</w:t>
      </w:r>
    </w:p>
    <w:p>
      <w:pPr>
        <w:pStyle w:val="TextBody"/>
        <w:bidi w:val="0"/>
        <w:spacing w:before="0" w:after="0"/>
        <w:ind w:left="0" w:right="0" w:hanging="0"/>
        <w:jc w:val="left"/>
        <w:rPr>
          <w:caps w:val="false"/>
          <w:smallCaps w:val="false"/>
        </w:rPr>
      </w:pPr>
      <w:r>
        <w:rPr>
          <w:caps w:val="false"/>
          <w:smallCaps w:val="false"/>
        </w:rPr>
        <w:t> </w:t>
      </w:r>
    </w:p>
    <w:tbl>
      <w:tblPr>
        <w:tblW w:w="3455" w:type="dxa"/>
        <w:jc w:val="left"/>
        <w:tblInd w:w="0" w:type="dxa"/>
        <w:tblLayout w:type="fixed"/>
        <w:tblCellMar>
          <w:top w:w="0" w:type="dxa"/>
          <w:left w:w="0" w:type="dxa"/>
          <w:bottom w:w="0" w:type="dxa"/>
          <w:right w:w="0" w:type="dxa"/>
        </w:tblCellMar>
      </w:tblPr>
      <w:tblGrid>
        <w:gridCol w:w="75"/>
        <w:gridCol w:w="3380"/>
      </w:tblGrid>
      <w:tr>
        <w:trPr/>
        <w:tc>
          <w:tcPr>
            <w:tcW w:w="75" w:type="dxa"/>
            <w:tcBorders/>
            <w:vAlign w:val="center"/>
          </w:tcPr>
          <w:p>
            <w:pPr>
              <w:pStyle w:val="TableContents"/>
              <w:bidi w:val="0"/>
              <w:spacing w:before="0" w:after="283"/>
              <w:jc w:val="left"/>
              <w:rPr/>
            </w:pPr>
            <w:r>
              <w:rPr/>
              <w:t> </w:t>
            </w:r>
          </w:p>
        </w:tc>
        <w:tc>
          <w:tcPr>
            <w:tcW w:w="338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Neelam Haroon Jan</w:t>
            </w:r>
          </w:p>
        </w:tc>
      </w:tr>
      <w:tr>
        <w:trPr/>
        <w:tc>
          <w:tcPr>
            <w:tcW w:w="75" w:type="dxa"/>
            <w:tcBorders/>
            <w:vAlign w:val="center"/>
          </w:tcPr>
          <w:p>
            <w:pPr>
              <w:pStyle w:val="TableContents"/>
              <w:bidi w:val="0"/>
              <w:spacing w:before="0" w:after="283"/>
              <w:jc w:val="left"/>
              <w:rPr/>
            </w:pPr>
            <w:r>
              <w:rPr/>
              <w:t> </w:t>
            </w:r>
          </w:p>
        </w:tc>
        <w:tc>
          <w:tcPr>
            <w:tcW w:w="3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Neelam Haroon Jan</w:t>
            </w:r>
          </w:p>
        </w:tc>
      </w:tr>
      <w:tr>
        <w:trPr/>
        <w:tc>
          <w:tcPr>
            <w:tcW w:w="75" w:type="dxa"/>
            <w:tcBorders/>
            <w:vAlign w:val="center"/>
          </w:tcPr>
          <w:p>
            <w:pPr>
              <w:pStyle w:val="TableContents"/>
              <w:bidi w:val="0"/>
              <w:spacing w:before="0" w:after="283"/>
              <w:jc w:val="left"/>
              <w:rPr/>
            </w:pPr>
            <w:r>
              <w:rPr/>
              <w:t> </w:t>
            </w:r>
          </w:p>
        </w:tc>
        <w:tc>
          <w:tcPr>
            <w:tcW w:w="3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Notary Public – 135553117</w:t>
            </w:r>
          </w:p>
        </w:tc>
      </w:tr>
      <w:tr>
        <w:trPr/>
        <w:tc>
          <w:tcPr>
            <w:tcW w:w="75" w:type="dxa"/>
            <w:tcBorders/>
            <w:vAlign w:val="center"/>
          </w:tcPr>
          <w:p>
            <w:pPr>
              <w:pStyle w:val="TableContents"/>
              <w:bidi w:val="0"/>
              <w:spacing w:before="0" w:after="283"/>
              <w:jc w:val="left"/>
              <w:rPr/>
            </w:pPr>
            <w:r>
              <w:rPr/>
              <w:t> </w:t>
            </w:r>
          </w:p>
        </w:tc>
        <w:tc>
          <w:tcPr>
            <w:tcW w:w="3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My Commission Expires March 30, 2030</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7</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26" w:name="tm2625895d1_ex4-5.htm"/>
      <w:bookmarkStart w:id="27" w:name="kstm2625895d1_ex45"/>
      <w:bookmarkEnd w:id="26"/>
      <w:bookmarkEnd w:id="27"/>
      <w:r>
        <w:rPr/>
        <w:t> </w:t>
      </w:r>
      <w:r>
        <w:br w:type="page"/>
      </w:r>
    </w:p>
    <w:p>
      <w:pPr>
        <w:pStyle w:val="TextBody"/>
        <w:bidi w:val="0"/>
        <w:jc w:val="right"/>
        <w:rPr>
          <w:b/>
        </w:rPr>
      </w:pPr>
      <w:r>
        <w:rPr>
          <w:b/>
        </w:rPr>
        <w:t>Exhibit 4.5</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CENTERPOINT ENERGY HOUSTON ELECTRIC, LLC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OFFICER’S CERTIFICATE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24</w:t>
      </w:r>
      <w:r>
        <w:rPr>
          <w:rFonts w:ascii="Times New Roman;Times;Serif" w:hAnsi="Times New Roman;Times;Serif"/>
          <w:b w:val="false"/>
          <w:i w:val="false"/>
          <w:caps/>
          <w:sz w:val="20"/>
        </w:rPr>
        <w:t>,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undersigned officer of CenterPoint Energy Houston Electric, LLC, a Texas limited liability company (the “Company”), do hereby certify that I am an Authorized Officer of the Company as such term is defined in the Indenture (as defined herein). I am delivering this certificate pursuant to the authority granted in the Resolutions adopted by written consent of the sole Manager of the Company dated September 10, 2026, and Sections 105, 201, 301, 401(1), 401(5) and 1403 of the General Mortgage Indenture, dated as of October 10, 2002, as heretofore supplemented to the date hereof (as heretofore supplemented, the “Indenture”), between the Company and The Bank of New York Mellon Trust Company, National Association (successor in trust to JPMorgan Chase Bank), as Trustee (the “Trustee”). Terms used herein and not otherwise defined herein shall have the meanings assigned to them in the Indenture, unless the context clearly requires otherwise. Based upon the foregoing, I hereby certify on behalf of the Company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terms and conditions of the Securities of the series described in this Officer’s Certificate are as follows (the numbered subdivisions set forth in this Paragraph 1 corresponding to the numbered subdivisions of Section 301 of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Securities of the forty-fifth series to be issued under the Indenture shall be designated as the “5.40% General Mortgage Bonds, Series AS, due 2031” (the “Bonds”), as set forth in the Fortieth Supplemental Indenture, dated as of the date hereof, between the Company and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The Trustee shall authenticate and deliver the Bonds for original issue on September 24, 2026 (the “Issue Date”) in the aggregate principal amount of $700,000,000, upon a Company Order for the authentication and delivery thereof and satisfaction of Section 401 of the Indenture; </w:t>
      </w:r>
      <w:r>
        <w:rPr>
          <w:rFonts w:ascii="Times New Roman;Times;Serif" w:hAnsi="Times New Roman;Times;Serif"/>
          <w:b w:val="false"/>
          <w:i w:val="false"/>
          <w:caps w:val="false"/>
          <w:smallCaps w:val="false"/>
          <w:sz w:val="20"/>
          <w:shd w:fill="FFFFFF" w:val="clear"/>
        </w:rPr>
        <w:t>provided, however, that, as contemplated in the second paragraph of Section 301 of the Indenture and the definition of “Tranche” in Section 101 of the Indenture, additional Securities of a series or Tranche may be subsequently issued from time to time, without any consent of Holders of the Securities of such series, pursuant to Section 1401(4) of the Indenture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Interest on the Bonds shall be payable to the Persons in whose names such Securities are registered at the close of business on the Regular Record Date for such interest (as specified in (5) below), except as otherwise expressly provided in the form of such Securities attached hereto as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Bonds shall mature and the principal thereof shall be due and payable together with all accrued and unpaid interest thereon on October 15, 2031.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The Bonds shall bear interest at the rate of 5.40% per annum. Interest shall accrue on the Bonds from the Issue Date, or the most recent date to which interest has been paid or duly provided for. The Interest Payment Dates for the Bonds shall be April 15 and October 15 in each year commencing April 15, 2027, and the Regular Record Dates with respect to the Interest Payment Dates for the Bonds shall be the April 1 and October 1, respectively, immediately preceding each Interest Payment Date (whether or not a Business Day); provided, however, that interest payable at maturity, upon redemption or when principal is otherwise due, will be payable to the Holder to whom principal is payable.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The Corporate Trust Office of The Bank of New York Mellon Trust Company, National Association in New York, New York shall be the place at which (i) the principal of and premium, if any, and interest on the Bonds shall be payable, (ii) registration of transfer of the Bonds may be effected, (iii) exchanges of the Bonds may be effected, and (iv) notices and demands to or upon the Company in respect of the Bonds and the Indenture may be served; and The Bank of New York Mellon Trust Company, National Association shall be the Security Registrar and Paying Agent for the Bonds; provided, however, that the Company reserves the right to change, by one or more Officer’s Certificates, any such place or the Security Registrar; and provided, further, that the Company reserves the right to designate, by one or more Officer’s Certificates, its principal office in Houston, Texas as any such place or itself as the Security Registrar; provided, however, that there shall be only a single Security Registrar for the Bonds.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Prior to September 15, 2031 (the “Par Call Date”), the Company may redeem the Bonds at its option, in whole or in part, at any time and from time to time, at a redemption price (expressed as a percentage of principal amount and rounded to three decimal places) equal to the greater of:</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(1)(a) the sum of the present values of the remaining scheduled payments of principal and interest on the Bonds of such series to be redeemed discounted to the Redemption Date (assuming the Bonds to be redeemed matured on the Par Call Date) on a semi-annual basis (assuming a 360-day year consisting of twelve 30-day months) at the Treasury Rate plus 10 basis points; less (b) interest accrued to the Redemption Date;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2"/>
        <w:gridCol w:w="183"/>
        <w:gridCol w:w="9960"/>
      </w:tblGrid>
      <w:tr>
        <w:trPr/>
        <w:tc>
          <w:tcPr>
            <w:tcW w:w="62"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96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(2) 100% of the principal amount of the Bonds to be redeemed;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plus, in either case, accrued and unpaid interest thereon to, but excluding, the Redemption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or after the Par Call Date, the Company may redeem the Bonds in whole or in part, at any time and from time to time, at a redemption price equal to 100% of the principal amount of Bonds being redeemed plus accrued and unpaid interest thereon, if any, to, but excluding, the Redemption Date. “Treasury Rate” means, with respect to any Redemption Date, the yield determined by the Company in accordance with the following two paragraphs.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Treasury Rate shall be determined by the Company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 - H.15” (or any successor designation or publication) (“H.15”) under the caption “U.S. government securities–Treasury constant maturities–Nominal” (or any successor caption or heading) (“H.15 TCM”). In determining the Treasury Rate, the Company shall select, as applicable: (1) the yield for the Treasury constant maturity on H.15 exactly equal to the period from the Redemption Date to the Par Call Date (the “Remaining Life”); or (2) if there is no such Treasury constant maturity on H.15 exactly equal to the Remaining Life, the two yields – one yield corresponding to the Treasury constant maturity on H.15 immediately shorter than and one yield corresponding to the Treasury constant maturity on H.15 immediately longer than the Remaining Life – and shall interpolate to the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on the third Business Day preceding the Redemption Date H.15 TCM is no longer published, the Company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Par Call Date, as applicable. If there is no United States Treasury security maturing on the Par Call Date but there are two or more United States Treasury securities with a maturity date equally distant from the Par Call Date, one with a maturity date preceding the Par Call Date and one with a maturity date following the Par Call Date, the Company shall select the United States Treasury security with a maturity date preceding the Par Call Date. If there are two or more United States Treasury securities maturing on the Par Call Date or two or more United States Treasury securities meeting the criteria of the preceding sentence, the Company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actions and determinations in determining the redemption price shall be conclusive and binding for all purposes, absent manifest error.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Company may redeem the Bonds, at its option, in whole but not in part, upon not less than 10 nor more than 60 days’ notice to the registered Holders of the Notes called for redemption, following the occurrence of a Tax Credit Event, at a redemption price equal to the sum of 101% of the principal amount of the Bonds being redeemed plus accrued and unpaid interest to, but excluding, the date fixed for redemption (the “Tax Credit Event Redemption Date”). A notice of redemption of the Bonds upon the occurrence of a Tax Credit Event (i) may only be sent by the later of (x) the end of the calendar year in which the Bonds were issued and (y) six months from the date of the issuance of the Bonds and (ii) shall be accompanied by an Officers’ Certificate stating that a Tax Credit Event has occurred.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Tax Credit Event” means, with respect to the Bonds, that, in the Company’s reasonable determination, there exists a material risk, due to the Bonds (considered together with other debt) having been issued, as part of an original issuance, to one or more “specified foreign entities,” as defined in Section 7701(a)(51)(B) of the Code, that the Company or any of its affiliates would be unable to utilize or otherwise be ineligible to claim any tax credits otherwise allowed under Section 38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at the written direction of the Company, will send a notice of redemption to each holder of Bonds to be redeemed by first-class mail (or in accordance with the procedures of The Depository Trust Company with respect to Bonds registered in the name of Cede &amp; Co.) at least 10 and not more than 60 days prior to the date fixed for redemption. Unless the Company defaults on payment of the redemption price, interest will cease to accrue on the Bonds or portions thereof called for redemption on the Redemption Date. If fewer than all of the Bonds are to be redeemed, not more than 60 days prior to the Redemption Date, the particular Bonds or portions thereof called for redemption will be selected from the outstanding Bonds not previously called by lot by the Trustee if the Bonds are in certificated form. The Trustee may select for redemption Bonds and portions of Bonds in amounts of $2,000 or whole multiples of $1,000. In the case of a partial redemption of Bonds registered in the name of Cede &amp; Co., the Bonds to be redeemed will be determined in accordance with the procedures of The Depository Trust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The Bonds will be issued in minimum denominations of $2,000 and integral multiples of $1,000 in excess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See subsection (7)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          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          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          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          The Bonds shall be issuable in whole or in part in the form of one or more Global Securities (as defined below). The Depository Trust Company shall initially serve as Depositary (as defined below) with respect to the Global Securities. “Depositary” means, with respect to Securities of any series issuable in whole or in part in the form of one or more Global Securities, a clearing agency registered under the Exchange Act that is designated to act as depositary for such Securities. “Global Security” means a Security that evidences all or part of the Securities of a series and bears a legend in substantially the following 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SECURITY IS IN GLOBAL FORM AND IS REGISTERED IN THE NAME OF A DEPOSITARY OR A NOMINEE OF A DEPOSITARY. THIS SECURITY IS EXCHANGEABLE FOR SECURITIES REGISTERED IN THE NAME OF A PERSON OTHER THAN THE DEPOSITARY OR ITS NOMINEE ONLY IN THE LIMITED CIRCUMSTANCES DESCRIBED IN THE INDENTURE AND MAY NOT BE TRANSFERRED EXCEPT AS A WHOLE BY THE DEPOSITARY TO A NOMINEE OF THE DEPOSITARY OR BY A NOMINEE OF THE DEPOSITARY TO THE DEPOSITARY OR ANOTHER NOMINEE OF THE DEPOSITARY.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provisions of Clauses (1), (2), (3) and (4) below shall apply only to Global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Each Global Security authenticated under the Indenture shall be registered in the name of the Depositary designated for such Global Security or a nominee thereof and delivered to such Depositary or a nominee thereof or custodian therefor, and each such Global Security shall constitute a single Security for all purposes of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Notwithstanding any other provision in the Indenture, no Global Security may be exchanged in whole or in part for Securities registered, and no transfer of a Global Security in whole or in part may be registered, in the name of any Person other than the Depositary for such Global Security or a nominee thereof unless (A) the Company has notified the Trustee that the Depositary is unwilling or unable to continue as Depositary for such Global Security, the Depositary defaults in the performance of its duties as Depositary, or the Depositary has ceased to be a clearing agency registered under the Exchange Act, in each case, unless the Company has approved a successor Depositary within 90 days, (B) the Company in its sole discretion determines that such Global Security will be so exchangeable or transferable or (C) there shall exist such circumstances, if any, in addition to or in lieu of the foregoing as have been specified for this purpose as contemplated by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Subject to Clause (2) above, any exchange of a Global Security for other Securities may be made in whole or in part, and all Securities issued in exchange for a Global Security or any portion thereof shall be registered in such names as the Depositary for such Global Security shall direct.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Every Security authenticated and delivered upon registration of transfer of, or in exchange for or in lieu of, a Global Security or any portion thereof, whether pursuant to Sections 304, 305, 306, 507 or 1406 of the Indenture or otherwise, shall be authenticated and delivered in the form of, and shall be, a Global Security, unless such Security is registered in the name of a Person other than the Depositary for such Global Security or a nominee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          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          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          For purposes of the Bonds, “Business Day” shall mean any day, other than Saturday or Sunday, on which commercial banks and foreign exchange markets are open for business, including dealings in deposits in U.S. dollars, in New York, New York.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          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(22)          The Bonds shall have such other terms and provisions as are provided in the form thereof attached hereto as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and shall be issued in substantially such 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undersigned has read all of the covenants and conditions contained in the Indenture, and the definitions in the Indenture relating thereto, relating to the authentication, delivery and issuance of the Bonds and the execution and delivery of the Fortieth Supplemental Indenture and in respect of compliance with which this certificate is made.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statements contained in this certificate are based upon the familiarity of the undersigned with the Indenture, the documents accompanying this certificate, and upon discussions by the undersigned with officers and employees of the Company familiar with the matters set forth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In the opinion of the undersigned, she has made such examination or investigation as is necessary to enable her to express an informed opinion as to whether or not such covenants and conditions have been complied 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In the opinion of the undersigned, such conditions and covenants have been complied 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To my knowledge, no Event of Default has occurred and is continuing.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The execution of the Fortieth Supplemental Indenture, dated as of the date hereof, between the Company and the Trustee, is authorized or permitted by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With respect to Section 402(2)(B) of the Indenture, Property Additions of $6,624,230,260.81 are the basis for authentication and delivery of $700,000,000 aggregate principal amount of the Bonds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The First Mortgage Collateralization Date has not occurred.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No certificate of an Independent Accountant pursuant to Section 104 of the Indenture is required in connection with the authentication and delivery of the Bonds because (i) the Net Earnings Certificate covers a period different from that required to be covered by annual reports required to be filed by the Company and (ii) an Independent Accountant has provided the Company with a letter addressed to the Company containing the results of procedures on financial information included in the Net Earnings Certificate that are agreed upon by the Authorized Officer signing the Net Earnings Certificate.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Pursuant to the resolutions adopted by the Sole Manager of the Company by written consent on September 10, 2026, Patricia L. Martin, Vice President and Treasurer, has been named an Authorized Officer, as defined under the Indenture, including for purposes of executing the Net Earnings Certificate.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has executed this Officer’s Certificate as of the date first written above.</w:t>
      </w:r>
    </w:p>
    <w:p>
      <w:pPr>
        <w:pStyle w:val="TextBody"/>
        <w:bidi w:val="0"/>
        <w:spacing w:before="0" w:after="0"/>
        <w:ind w:left="0" w:right="0" w:hanging="0"/>
        <w:jc w:val="left"/>
        <w:rPr>
          <w:caps w:val="false"/>
          <w:smallCaps w:val="false"/>
        </w:rPr>
      </w:pPr>
      <w:r>
        <w:rPr>
          <w:caps w:val="false"/>
          <w:smallCaps w:val="false"/>
        </w:rPr>
        <w:t> </w:t>
      </w:r>
    </w:p>
    <w:tbl>
      <w:tblPr>
        <w:tblW w:w="2420" w:type="dxa"/>
        <w:jc w:val="left"/>
        <w:tblInd w:w="0" w:type="dxa"/>
        <w:tblLayout w:type="fixed"/>
        <w:tblCellMar>
          <w:top w:w="0" w:type="dxa"/>
          <w:left w:w="0" w:type="dxa"/>
          <w:bottom w:w="0" w:type="dxa"/>
          <w:right w:w="0" w:type="dxa"/>
        </w:tblCellMar>
      </w:tblPr>
      <w:tblGrid>
        <w:gridCol w:w="75"/>
        <w:gridCol w:w="2345"/>
      </w:tblGrid>
      <w:tr>
        <w:trPr/>
        <w:tc>
          <w:tcPr>
            <w:tcW w:w="75" w:type="dxa"/>
            <w:tcBorders/>
            <w:vAlign w:val="center"/>
          </w:tcPr>
          <w:p>
            <w:pPr>
              <w:pStyle w:val="TableContents"/>
              <w:bidi w:val="0"/>
              <w:spacing w:before="0" w:after="283"/>
              <w:jc w:val="left"/>
              <w:rPr/>
            </w:pPr>
            <w:r>
              <w:rPr/>
              <w:t> </w:t>
            </w:r>
          </w:p>
        </w:tc>
        <w:tc>
          <w:tcPr>
            <w:tcW w:w="234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23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Patricia L. Martin</w:t>
            </w:r>
          </w:p>
        </w:tc>
      </w:tr>
      <w:tr>
        <w:trPr/>
        <w:tc>
          <w:tcPr>
            <w:tcW w:w="75" w:type="dxa"/>
            <w:tcBorders/>
            <w:vAlign w:val="center"/>
          </w:tcPr>
          <w:p>
            <w:pPr>
              <w:pStyle w:val="TableContents"/>
              <w:bidi w:val="0"/>
              <w:spacing w:before="0" w:after="283"/>
              <w:jc w:val="left"/>
              <w:rPr/>
            </w:pPr>
            <w:r>
              <w:rPr/>
              <w:t> </w:t>
            </w:r>
          </w:p>
        </w:tc>
        <w:tc>
          <w:tcPr>
            <w:tcW w:w="23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Vice President and Treasurer</w:t>
            </w:r>
          </w:p>
        </w:tc>
      </w:tr>
    </w:tbl>
    <w:p>
      <w:pPr>
        <w:pStyle w:val="TextBody"/>
        <w:bidi w:val="0"/>
        <w:spacing w:before="0" w:after="0"/>
        <w:ind w:left="432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Acknowledged and Received as</w:t>
        <w:br/>
        <w:t>of the date first written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BANK OF NEW YORK MELLON TRUST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NATIONAL ASSOCIATION,</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Trustee</w:t>
      </w:r>
    </w:p>
    <w:p>
      <w:pPr>
        <w:pStyle w:val="TextBody"/>
        <w:bidi w:val="0"/>
        <w:spacing w:before="0" w:after="0"/>
        <w:ind w:left="0" w:right="0" w:hanging="0"/>
        <w:jc w:val="left"/>
        <w:rPr>
          <w:caps w:val="false"/>
          <w:smallCaps w:val="false"/>
        </w:rPr>
      </w:pPr>
      <w:r>
        <w:rPr>
          <w:caps w:val="false"/>
          <w:smallCaps w:val="false"/>
        </w:rPr>
        <w:t> </w:t>
      </w:r>
    </w:p>
    <w:tbl>
      <w:tblPr>
        <w:tblW w:w="113" w:type="dxa"/>
        <w:jc w:val="left"/>
        <w:tblInd w:w="0" w:type="dxa"/>
        <w:tblLayout w:type="fixed"/>
        <w:tblCellMar>
          <w:top w:w="0" w:type="dxa"/>
          <w:left w:w="0" w:type="dxa"/>
          <w:bottom w:w="28" w:type="dxa"/>
          <w:right w:w="0" w:type="dxa"/>
        </w:tblCellMar>
      </w:tblPr>
      <w:tblGrid>
        <w:gridCol w:w="75"/>
        <w:gridCol w:w="38"/>
      </w:tblGrid>
      <w:tr>
        <w:trPr/>
        <w:tc>
          <w:tcPr>
            <w:tcW w:w="75" w:type="dxa"/>
            <w:tcBorders>
              <w:bottom w:val="single" w:sz="8" w:space="0" w:color="000000"/>
            </w:tcBorders>
            <w:vAlign w:val="center"/>
          </w:tcPr>
          <w:p>
            <w:pPr>
              <w:pStyle w:val="TableContents"/>
              <w:bidi w:val="0"/>
              <w:spacing w:before="0" w:after="283"/>
              <w:jc w:val="left"/>
              <w:rPr/>
            </w:pPr>
            <w:r>
              <w:rPr/>
              <w:t> </w:t>
            </w:r>
          </w:p>
        </w:tc>
        <w:tc>
          <w:tcPr>
            <w:tcW w:w="38" w:type="dxa"/>
            <w:tcBorders/>
            <w:tcMar>
              <w:bottom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Officer’s Certificate Under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EXHIBIT 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FORM OF BOND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SECURITY IS IN GLOBAL FORM AND IS REGISTERED IN THE NAME OF A DEPOSITARY OR A NOMINEE OF A DEPOSITARY. THIS SECURITY IS EXCHANGEABLE FOR SECURITIES REGISTERED IN THE NAME OF A PERSON OTHER THAN THE DEPOSITARY OR ITS NOMINEE ONLY IN THE LIMITED CIRCUMSTANCES DESCRIBED IN THE INDENTURE AND MAY NOT BE TRANSFERRED EXCEPT AS A WHOLE BY THE DEPOSITARY TO A NOMINEE OF THE DEPOSITARY OR BY A NOMINEE OF THE DEPOSITARY TO THE DEPOSITARY OR ANOTHER NOMINEE OF THE DEPOSITARY.]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this certificate is presented by an authorized representative of The Depository Trust Company, a New York corporation (“DTC”), to CenterPoint Energy Houston Electric, LLC or its agent for registration of transfer, exchange, or payment, and any certificate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CENTERPOINT ENERGY HOUSTON ELECTRIC, LLC</w:t>
        <w:br/>
      </w:r>
      <w:r>
        <w:rPr>
          <w:rFonts w:ascii="Times New Roman;Times;Serif" w:hAnsi="Times New Roman;Times;Serif"/>
          <w:b w:val="false"/>
          <w:i w:val="false"/>
          <w:caps w:val="false"/>
          <w:smallCaps w:val="false"/>
          <w:sz w:val="20"/>
        </w:rPr>
        <w:t>5.40% General Mortgage Bonds, Series AS, due 2031</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45"/>
        <w:gridCol w:w="60"/>
        <w:gridCol w:w="8400"/>
      </w:tblGrid>
      <w:tr>
        <w:trPr/>
        <w:tc>
          <w:tcPr>
            <w:tcW w:w="1745"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Original Interest Accrual Date: September 24, 2026</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Stated Maturity: October 15, 2031</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Rate: 5.40%</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Payment Dates: April 15 and October 15</w:t>
            </w:r>
          </w:p>
          <w:p>
            <w:pPr>
              <w:pStyle w:val="TableContents"/>
              <w:bidi w:val="0"/>
              <w:spacing w:before="0" w:after="0"/>
              <w:ind w:left="228" w:right="0" w:hanging="22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Regular Record Dates: April 1 and October 1 immediately preceding the respective Interest Payment Date</w:t>
            </w:r>
          </w:p>
        </w:tc>
        <w:tc>
          <w:tcPr>
            <w:tcW w:w="60" w:type="dxa"/>
            <w:tcBorders/>
            <w:vAlign w:val="center"/>
          </w:tcPr>
          <w:p>
            <w:pPr>
              <w:pStyle w:val="TableContents"/>
              <w:bidi w:val="0"/>
              <w:spacing w:before="0" w:after="283"/>
              <w:jc w:val="left"/>
              <w:rPr/>
            </w:pPr>
            <w:r>
              <w:rPr/>
              <w:t> </w:t>
            </w:r>
          </w:p>
        </w:tc>
        <w:tc>
          <w:tcPr>
            <w:tcW w:w="8400" w:type="dxa"/>
            <w:tcBorders/>
            <w:vAlign w:val="center"/>
          </w:tcPr>
          <w:p>
            <w:pPr>
              <w:pStyle w:val="TableContents"/>
              <w:bidi w:val="0"/>
              <w:spacing w:before="0" w:after="0"/>
              <w:ind w:left="288" w:right="0" w:hanging="28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Redeemable: Yes ☒ No ☐</w:t>
            </w:r>
          </w:p>
          <w:p>
            <w:pPr>
              <w:pStyle w:val="TableContents"/>
              <w:bidi w:val="0"/>
              <w:spacing w:before="0" w:after="0"/>
              <w:ind w:left="288" w:right="0" w:hanging="28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Redemption Date: At any time.</w:t>
            </w:r>
          </w:p>
          <w:p>
            <w:pPr>
              <w:pStyle w:val="TableContents"/>
              <w:bidi w:val="0"/>
              <w:spacing w:before="0" w:after="0"/>
              <w:ind w:left="291" w:right="0" w:hanging="29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Redemption Price: Prior to September 15, 2031 at a redemption price equal to the greater of (i)(a)  the sum of the present values of the remaining scheduled payments of principal and interest on this Security or the portion thereof to be redeemed discounted to the Redemption Date (assuming this Security matured on the Par Call Date) on a semiannual basis at the Treasury Rate plus 10 basis points, less (b) interest accrued to the Redemption Date, and (ii) 100% of the principal amount of this Security (or such portion to be redeemed); plus, in either case, accrued and unpaid interest thereon to, but excluding, the Redemption Date; or on or after September 15, 2031, at a redemption price equal to 100% of the principal amount of this Security or the portion thereof to be redeemed plus accrued and unpaid interest thereon, if any, to, but excluding, the Redemption Date.</w:t>
            </w:r>
          </w:p>
          <w:p>
            <w:pPr>
              <w:pStyle w:val="TableContents"/>
              <w:bidi w:val="0"/>
              <w:spacing w:before="0" w:after="0"/>
              <w:ind w:left="291" w:right="0" w:hanging="291"/>
              <w:jc w:val="both"/>
              <w:rPr>
                <w:caps w:val="false"/>
                <w:smallCaps w:val="false"/>
              </w:rPr>
            </w:pPr>
            <w:r>
              <w:rPr>
                <w:caps w:val="false"/>
                <w:smallCaps w:val="false"/>
              </w:rPr>
              <w:t> </w:t>
            </w:r>
          </w:p>
          <w:p>
            <w:pPr>
              <w:pStyle w:val="TableContents"/>
              <w:bidi w:val="0"/>
              <w:spacing w:before="0" w:after="0"/>
              <w:ind w:left="291"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a Tax Credit Event redemption, at a redemption price equal to the sum of 101% of the principal amount of the Bonds being redeemed plus accrued and unpaid interest to, but excluding, such Tax Credit Event Redemption Date.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Security is not an Original Issue Discount Security</w:t>
        <w:br/>
        <w:t>within the meaning of the within-mentioned Indenture.</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tbl>
      <w:tblPr>
        <w:tblW w:w="3219" w:type="dxa"/>
        <w:jc w:val="left"/>
        <w:tblInd w:w="0" w:type="dxa"/>
        <w:tblLayout w:type="fixed"/>
        <w:tblCellMar>
          <w:top w:w="0" w:type="dxa"/>
          <w:left w:w="0" w:type="dxa"/>
          <w:bottom w:w="0" w:type="dxa"/>
          <w:right w:w="0" w:type="dxa"/>
        </w:tblCellMar>
      </w:tblPr>
      <w:tblGrid>
        <w:gridCol w:w="634"/>
        <w:gridCol w:w="567"/>
        <w:gridCol w:w="273"/>
        <w:gridCol w:w="1745"/>
      </w:tblGrid>
      <w:tr>
        <w:trPr/>
        <w:tc>
          <w:tcPr>
            <w:tcW w:w="1474" w:type="dxa"/>
            <w:gridSpan w:val="3"/>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Amount</w:t>
            </w:r>
          </w:p>
        </w:tc>
        <w:tc>
          <w:tcPr>
            <w:tcW w:w="17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Registered No. T-[  ]</w:t>
            </w:r>
          </w:p>
        </w:tc>
      </w:tr>
      <w:tr>
        <w:trPr/>
        <w:tc>
          <w:tcPr>
            <w:tcW w:w="6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67"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73" w:type="dxa"/>
            <w:tcBorders/>
            <w:vAlign w:val="center"/>
          </w:tcPr>
          <w:p>
            <w:pPr>
              <w:pStyle w:val="TableContents"/>
              <w:bidi w:val="0"/>
              <w:spacing w:before="0" w:after="283"/>
              <w:jc w:val="left"/>
              <w:rPr>
                <w:caps w:val="false"/>
                <w:smallCaps w:val="false"/>
              </w:rPr>
            </w:pPr>
            <w:r>
              <w:rPr>
                <w:caps w:val="false"/>
                <w:smallCaps w:val="false"/>
              </w:rPr>
              <w:t> </w:t>
            </w:r>
          </w:p>
        </w:tc>
        <w:tc>
          <w:tcPr>
            <w:tcW w:w="17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CUSIP 15189X BM9</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CENTERPOINT ENERGY HOUSTON ELECTRIC, LLC, a limited liability company duly organized and existing under the laws of the State of Texas (herein called the “Company,” which term includes any successor under the Indenture referred to below), for value received, hereby promises to pay to                   , or its registered assigns, the principal sum of                                                    , on the Stated Maturity specified above, and to pay interest thereon from the Original Interest Accrual Date specified above or from the most recent Interest Payment Date to which interest has been paid or duly provided for, semi-annually in arrears on the Interest Payment Dates specified above in each year, commencing on April 15, 2027, and at Maturity, at the Interest Rate per annum specified above, until the principal hereof is paid or duly provided for. The interest so payable, and paid or duly provided for, on any Interest Payment Date shall, as provided in such Indenture, be paid to the Person in whose name this Security (or one or more Predecessor Securities) is registered at the close of business on the Regular Record Date specified above (whether or not a Business Day) next preceding such Interest Payment Date. Notwithstanding the foregoing, interest payable at Maturity shall be paid to the Person to whom principal shall be paid. Except as otherwise provided in said Indenture, any such interest not so paid or duly provided for shall forthwith cease to be payable to the Holder on such Regular Record Date and may either be paid to the Person in whose name this Security (or one or more Predecessor Securities) is registered at the close of business on a Special Record Date for the payment of such Defaulted Interest to be fixed by the Trustee, notice of which shall be given to Holders of Securities of this series not less than 10 days prior to such Special Record Date, or be paid at any time in any other lawful manner not inconsistent with the requirements of any securities exchange on which the Securities of this series may be listed, and upon such notice as may be required by such exchange, all as more fully provided in said Indenture.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***CEDE &amp; Co.***</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 is made to Schedule A attached hereto with respect to decreases and increases in the aggregate principal amount of Securities evidenced 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the principal of and premium, if any, on this Security and interest hereon at Maturity shall be made upon presentation of this Security at the office of the Corporate Trust Administration of The Bank of New York Mellon Trust Company, National Association, located in New York, New York or at such other office or agency as may be designated for such purpose by the Company from time to time. Payment of interest on this Security (other than interest at Maturity) shall be made by check mailed to the address of the Person entitled thereto as such address shall appear in the Security Register, except that if such Person shall be a securities depositary, such payment may be made by such other means in lieu of check, as shall be agreed upon by the Company, the Trustee and such Person. Payment of the principal of and premium, if any, and interest on this Security, as aforesaid, shall be made in such coin or currency of the United States of America as at the time of payment shall be legal tender for the payment of public and private debts.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Security is one of a duly authorized issue of securities of the Company (herein called the “Securities”), issued and issuable in one or more series under and equally secured by a General Mortgage Indenture, dated as of October 10, 2002, as supplemented and amended (such Indenture as originally executed and delivered and as supplemented or amended from time to time thereafter, together with any constituent instruments establishing the terms of particular Securities, being herein called the “Indenture”), between the Company and The Bank of New York Mellon Trust Company, National Association (successor in trust to JPMorgan Chase Bank), trustee (herein called the “Trustee,” which term includes any successor trustee under the Indenture), to which Indenture and all indentures supplemental thereto reference is hereby made for a description of the property mortgaged, pledged and held in trust, the nature and extent of the security and the respective rights, limitations of rights, duties and immunities of the Company, the Trustee and the Holders of the Securities thereunder and of the terms and conditions upon which the Securities are, and are to be, authenticated and delivered and secured. The acceptance of this Security shall be deemed to constitute the consent and agreement by the Holder hereof to all of the terms and provisions of the Indenture. This Security is one of the series designated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Interest Payment Date, any Redemption Date or the Stated Maturity shall not be a Business Day (as hereinafter defined), payment of the amounts due on this Security on such date may be made on the next succeeding Business Day; and, if such payment is made or duly provided for on such Business Day, no interest shall accrue on such amounts for the period from and after such Interest Payment Date, Redemption Date or Stated Maturity, as the case may be, to such Business Day. Interest will be computed on the basis of a 360-day year of twelve 30-day months.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September 15, 2031 (the “Par Call Date”), the Company may redeem this Security at its option, in whole or in part, at any time and from time to time, at a redemption price (expressed as a percentage of principal amount and rounded to three decimal places) equal to the greater of:</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(1)(a) the sum of the present values of the remaining scheduled payments of principal and interest on this Security (or such portion to be redeemed) discounted to the Redemption Date (assuming this Security matured on the Par Call Date) on a semi-annual basis (assuming a 360-day year consisting of twelve 30-day months) at the Treasury Rate plus 10 basis points; less (b) interest accrued to the Redemption Date;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8"/>
        <w:gridCol w:w="159"/>
        <w:gridCol w:w="9998"/>
      </w:tblGrid>
      <w:tr>
        <w:trPr/>
        <w:tc>
          <w:tcPr>
            <w:tcW w:w="4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rFonts w:ascii="Symbol" w:hAnsi="Symbol"/>
              </w:rPr>
            </w:pPr>
            <w:r>
              <w:rPr>
                <w:rFonts w:ascii="Symbol" w:hAnsi="Symbol"/>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(2) 100% of the principal amount of this Security (or such portion to be redeemed);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plus, in either case, accrued and unpaid interest thereon to, but excluding, the Redemption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or after the Par Call Date, the Company may redeem this Security, in whole or in part, at any time and from time to time, at a redemption price equal to 100% of the principal amount of this Security (or such portion to be redeemed) plus accrued and unpaid interest thereon, if any, to, but excluding, the Redemption Date. The Trustee shall have no responsibility for the calculation of such amount.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Treasury Rate” means, with respect to any Redemption Date, the yield determined by the Company in accordance with the following two paragraphs.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Treasury Rate shall be determined by the Company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 - H.15” (or any successor designation or publication) (“H.15”) under the caption “U.S. government securities–Treasury constant maturities–Nominal” (or any successor caption or heading) (“H.15 TCM”). In determining the Treasury Rate, the Company shall select, as applicable: (1) the yield for the Treasury constant maturity on H.15 exactly equal to the period from the Redemption Date to the Par Call Date (the “Remaining Life”); or (2) if there is no such Treasury constant maturity on H.15 exactly equal to the Remaining Life, the two yields – one yield corresponding to the Treasury constant maturity on H.15 immediately shorter than and one yield corresponding to the Treasury constant maturity on H.15 immediately longer than the Remaining Life – and shall interpolate to the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on the third Business Day preceding the Redemption Date H.15 TCM is no longer published, the Company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Par Call Date, as applicable. If there is no United States Treasury security maturing on the Par Call Date but there are two or more United States Treasury securities with a maturity date equally distant from the Par Call Date, one with a maturity date preceding the Par Call Date and one with a maturity date following the Par Call Date, the Company shall select the United States Treasury security with a maturity date preceding the Par Call Date. If there are two or more United States Treasury securities maturing on the Par Call Date or two or more United States Treasury securities meeting the criteria of the preceding sentence, the Company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actions and determinations in determining the redemption price shall be conclusive and binding for all purposes, absent manifest error.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Company may redeem the Bonds, at its option, in whole but not in part, following the occurrence of a Tax Credit Event, at a redemption price equal to the sum of 101% of the principal amount of the Bonds being redeemed plus accrued and unpaid interest to, but excluding, the date fixed for redemption. A notice of redemption of the Bonds upon the occurrence of a Tax Credit Event (i) may only be sent by the later of (x) the end of the calendar year in which the Bonds were issued and (y) six months from the date of the issuance of the Bonds and (ii) shall be accompanied by an Officers’ Certificate stating that a Tax Credit Event has occurred.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Tax Credit Event” means with respect to the Bonds, that, in the Company’s reasonable determination, there exists a material risk, due to the Bonds (considered together with other debt) having been issued, as part of an original issuance, to one or more “specified foreign entities,” as defined in Section 7701(a)(51)(B) of the Code, that the Company or any of its affiliates would be unable to utilize or otherwise be ineligible to claim any tax credits otherwise allowed under Section 38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at the written direction of the Company, will send a notice of redemption to each Holder of Securities to be redeemed by first-class mail (or in accordance with the procedures of The Depository Trust Company with respect to Securities registered in the name of Cede &amp; Co.) at least 10 and not more than 60 days prior to the date fixed for redemption. Unless the Company defaults on payment of the redemption price, interest will cease to accrue on the Securities or portions thereof called for redemption on the Redemption Date. If fewer than all of the Securities of this series are to be redeemed, not more than 60 days prior to the Redemption Date, the particular Securities of this series or portions thereof for redemption will be selected from the outstanding Securities of this series not previously called by lot by the Trustee if the Bonds are in certificated form. The Trustee may select for redemption Securities of this series and portions of Securities of this series in amounts of $2,000 or whole multiples of $1,000. In the case of a partial redemption of Securities registered in the name of Cede &amp; Co, the Securities to be redeemed will be determined in accordance with the procedures of The Depository Trust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Indenture permits, with certain exceptions as therein provided, the Trustee to enter into one or more supplemental indentures for the purpose of adding any provisions to, or changing in any manner or eliminating any of the provisions of, the Indenture with the consent of the Holders of not less than a majority in aggregate principal amount of the Securities of all series then Outstanding under the Indenture, considered as one class;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if there shall be Securities of more than one series Outstanding under the Indenture and if a proposed supplemental indenture shall directly affect the rights of the Holders of Securities of one or more, but less than all, of such series, then the consent only of the Holders of a majority in aggregate principal amount of the Outstanding Securities of all series so directly affected, considered as one class, shall be required; and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further</w:t>
      </w:r>
      <w:r>
        <w:rPr>
          <w:rFonts w:ascii="Times New Roman;Times;Serif" w:hAnsi="Times New Roman;Times;Serif"/>
          <w:b w:val="false"/>
          <w:i w:val="false"/>
          <w:caps w:val="false"/>
          <w:smallCaps w:val="false"/>
          <w:sz w:val="20"/>
        </w:rPr>
        <w:t xml:space="preserve">, that if the Securities of any series shall have been issued in more than one Tranche and if the proposed supplemental indenture shall directly affect the rights of the Holders of Securities of one or more, but less than all, of such Tranches, then the consent only of the Holders of a majority in aggregate principal amount of the Outstanding Securities of all Tranches so directly affected, considered as one class, shall be required; and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further</w:t>
      </w:r>
      <w:r>
        <w:rPr>
          <w:rFonts w:ascii="Times New Roman;Times;Serif" w:hAnsi="Times New Roman;Times;Serif"/>
          <w:b w:val="false"/>
          <w:i w:val="false"/>
          <w:caps w:val="false"/>
          <w:smallCaps w:val="false"/>
          <w:sz w:val="20"/>
        </w:rPr>
        <w:t>, that the Indenture permits the Trustee to enter into one or more supplemental indentures for limited purposes without the consent of any Holders of Securities. The Indenture also contains provisions permitting the Holders of a majority in principal amount of the Securities then Outstanding, on behalf of the Holders of all Securities, to waive compliance by the Company with certain provisions of the Indenture and certain past defaults under the Indenture and their consequences. Any such consent or waiver by the Holder of this Security shall be conclusive and binding upon such Holder and upon all future Holders of this Security and of any Security issued upon the registration of transfer hereof or in exchange therefor or in lieu hereof, whether or not notation of such consent or waiver is made upon this Security.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provided in the Indenture and subject to certain limitations therein set forth, this Security or any portion of the principal amount hereof will be deemed to have been paid for all purposes of the Indenture and to be no longer Outstanding thereunder, and, at the election of the Company, the Company’s entire indebtedness in respect thereof will be satisfied and discharged, if there has been irrevocably deposited with the Trustee or any Paying Agent (other than the Company), in trust, money in an amount which will be sufficient and/or Eligible Obligations, the principal of and interest on which when due, without regard to any reinvestment thereof, will provide moneys which, together with moneys so deposited, will be sufficient to pay when due the principal of and interest on this Security when due.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provided in the Indenture and subject to certain limitations therein set forth, the transfer of this Security is registrable in the Security Register, upon surrender of this Security for registration of transfer at the Corporate Trust Office of The Bank of New York Mellon Trust Company, National Association in New York, New York, or such other office or agency as may be designated by the Company from time to time, duly endorsed by, or accompanied by a written instrument of transfer in form satisfactory to the Company and the Security Registrar duly executed by, the Holder hereof or his attorney duly authorized in writing, and thereupon one or more new Securities of this series of authorized denominations and of like tenor and aggregate principal amount, will be issued to the designated transferee or transferees.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of this series are issuable only as registered Securities, without coupons, and in minimum denominations of $2,000 and integral multiples of $1,000 in excess thereof. As provided in the Indenture and subject to certain limitations therein set forth, Securities of this series are exchangeable for a like aggregate principal amount of Securities of the same series and Tranche, of any authorized denominations, as requested by the Holder surrendering the same, and of like tenor upon surrender of the Security or Securities to be exchanged at the office of The Bank of New York Mellon Trust Company, National Association in New York, New York, or such other office or agency as may be designated by the Company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service charge shall be made for any such registration of transfer or exchange, but the Company may require payment of a sum sufficient to cover any tax or other governmental charge payable in connection therewith.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due presentment of this Security for registration of transfer, the Company, the Trustee and any agent of the Company or the Trustee may treat the Person in whose name this Security is registered as the absolute owner hereof for all purposes, whether or not this Security be overdue, and neither the Company, the Trustee nor any such agent shall be affected by notice to the contrary.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are not entitled to the benefit of any sinking fund.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used herein, “Business Day” shall mean any day, other than Saturday or Sunday, on which commercial banks and foreign exchange markets are open for business, including dealings in deposits in U.S. dollars, in New York, New York. All other terms used in this Security which are defined in the Indenture shall have the meanings assigned to them in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provided in the Indenture, no recourse shall be had for the payment of the principal of or premium, if any, or interest on any Securities, or any part thereof, or for any claim based thereon or otherwise in respect thereof, or of the indebtedness represented thereby, or upon any obligation, covenant or agreement under the Indenture, against, and no personal liability whatsoever shall attach to, or be incurred by, any incorporator, member, manager, stockholder, officer, director or employee, as such, past, present or future of the Company or of any predecessor or successor corporation (either directly or through the Company or a predecessor or successor corporation), whether by virtue of any constitutional provision, statute or rule of law, or by the enforcement of any assessment or penalty or otherwise; it being expressly agreed and understood that the Indenture and all the Securities are solely corporate obligations and that any such personal liability is hereby expressly waived and released as a condition of, and as part of the consideration for, the execution of the Indenture and the issuance of the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certificate of authentication hereon has been executed by the Trustee or an Authenticating Agent by manual or electronic signature, this Security shall not be entitled to any benefit under the Indenture or be valid or obligatory for any purpose.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remainder of this page is intentionally left blank.]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Company has caused this instrument to be duly executed.</w:t>
      </w:r>
    </w:p>
    <w:p>
      <w:pPr>
        <w:pStyle w:val="TextBody"/>
        <w:bidi w:val="0"/>
        <w:spacing w:before="0" w:after="0"/>
        <w:ind w:left="0" w:right="0" w:hanging="0"/>
        <w:jc w:val="left"/>
        <w:rPr>
          <w:caps w:val="false"/>
          <w:smallCaps w:val="false"/>
        </w:rPr>
      </w:pPr>
      <w:r>
        <w:rPr>
          <w:caps w:val="false"/>
          <w:smallCaps w:val="false"/>
        </w:rPr>
        <w:t> </w:t>
      </w:r>
    </w:p>
    <w:tbl>
      <w:tblPr>
        <w:tblW w:w="7199" w:type="dxa"/>
        <w:jc w:val="left"/>
        <w:tblInd w:w="0" w:type="dxa"/>
        <w:tblLayout w:type="fixed"/>
        <w:tblCellMar>
          <w:top w:w="0" w:type="dxa"/>
          <w:left w:w="0" w:type="dxa"/>
          <w:bottom w:w="0" w:type="dxa"/>
          <w:right w:w="0" w:type="dxa"/>
        </w:tblCellMar>
      </w:tblPr>
      <w:tblGrid>
        <w:gridCol w:w="575"/>
        <w:gridCol w:w="1670"/>
        <w:gridCol w:w="60"/>
        <w:gridCol w:w="587"/>
        <w:gridCol w:w="4307"/>
      </w:tblGrid>
      <w:tr>
        <w:trPr/>
        <w:tc>
          <w:tcPr>
            <w:tcW w:w="224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489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CENTERPOINT ENERGY HOUSTON ELECTRIC, LLC</w:t>
            </w:r>
          </w:p>
        </w:tc>
      </w:tr>
      <w:tr>
        <w:trPr/>
        <w:tc>
          <w:tcPr>
            <w:tcW w:w="224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489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575" w:type="dxa"/>
            <w:tcBorders/>
            <w:vAlign w:val="center"/>
          </w:tcPr>
          <w:p>
            <w:pPr>
              <w:pStyle w:val="TableContents"/>
              <w:bidi w:val="0"/>
              <w:spacing w:before="0" w:after="283"/>
              <w:jc w:val="left"/>
              <w:rPr>
                <w:sz w:val="20"/>
              </w:rPr>
            </w:pPr>
            <w:r>
              <w:rPr>
                <w:sz w:val="20"/>
              </w:rPr>
              <w:t>Attest:</w:t>
            </w:r>
          </w:p>
        </w:tc>
        <w:tc>
          <w:tcPr>
            <w:tcW w:w="167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87" w:type="dxa"/>
            <w:tcBorders/>
            <w:vAlign w:val="center"/>
          </w:tcPr>
          <w:p>
            <w:pPr>
              <w:pStyle w:val="TableContents"/>
              <w:bidi w:val="0"/>
              <w:spacing w:before="0" w:after="283"/>
              <w:jc w:val="left"/>
              <w:rPr>
                <w:sz w:val="20"/>
              </w:rPr>
            </w:pPr>
            <w:r>
              <w:rPr>
                <w:sz w:val="20"/>
              </w:rPr>
              <w:t>By:</w:t>
            </w:r>
          </w:p>
        </w:tc>
        <w:tc>
          <w:tcPr>
            <w:tcW w:w="4307"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575" w:type="dxa"/>
            <w:tcBorders/>
            <w:vAlign w:val="center"/>
          </w:tcPr>
          <w:p>
            <w:pPr>
              <w:pStyle w:val="TableContents"/>
              <w:bidi w:val="0"/>
              <w:spacing w:before="0" w:after="283"/>
              <w:jc w:val="left"/>
              <w:rPr/>
            </w:pPr>
            <w:r>
              <w:rPr/>
              <w:t> </w:t>
            </w:r>
          </w:p>
        </w:tc>
        <w:tc>
          <w:tcPr>
            <w:tcW w:w="1670" w:type="dxa"/>
            <w:tcBorders/>
            <w:vAlign w:val="center"/>
          </w:tcPr>
          <w:p>
            <w:pPr>
              <w:pStyle w:val="TableContents"/>
              <w:bidi w:val="0"/>
              <w:spacing w:before="0" w:after="283"/>
              <w:jc w:val="left"/>
              <w:rPr>
                <w:sz w:val="20"/>
              </w:rPr>
            </w:pPr>
            <w:r>
              <w:rPr>
                <w:sz w:val="20"/>
              </w:rPr>
              <w:t>Vincent A. Mercaldi</w:t>
            </w:r>
          </w:p>
        </w:tc>
        <w:tc>
          <w:tcPr>
            <w:tcW w:w="60" w:type="dxa"/>
            <w:tcBorders/>
            <w:vAlign w:val="center"/>
          </w:tcPr>
          <w:p>
            <w:pPr>
              <w:pStyle w:val="TableContents"/>
              <w:bidi w:val="0"/>
              <w:spacing w:before="0" w:after="283"/>
              <w:jc w:val="left"/>
              <w:rPr/>
            </w:pPr>
            <w:r>
              <w:rPr/>
              <w:t> </w:t>
            </w:r>
          </w:p>
        </w:tc>
        <w:tc>
          <w:tcPr>
            <w:tcW w:w="587" w:type="dxa"/>
            <w:tcBorders/>
            <w:vAlign w:val="center"/>
          </w:tcPr>
          <w:p>
            <w:pPr>
              <w:pStyle w:val="TableContents"/>
              <w:bidi w:val="0"/>
              <w:spacing w:before="0" w:after="283"/>
              <w:jc w:val="left"/>
              <w:rPr/>
            </w:pPr>
            <w:r>
              <w:rPr/>
              <w:t> </w:t>
            </w:r>
          </w:p>
        </w:tc>
        <w:tc>
          <w:tcPr>
            <w:tcW w:w="4307" w:type="dxa"/>
            <w:tcBorders/>
            <w:vAlign w:val="center"/>
          </w:tcPr>
          <w:p>
            <w:pPr>
              <w:pStyle w:val="TableContents"/>
              <w:bidi w:val="0"/>
              <w:spacing w:before="0" w:after="283"/>
              <w:jc w:val="left"/>
              <w:rPr>
                <w:sz w:val="20"/>
              </w:rPr>
            </w:pPr>
            <w:r>
              <w:rPr>
                <w:sz w:val="20"/>
              </w:rPr>
              <w:t>Patricia L. Martin</w:t>
            </w:r>
          </w:p>
        </w:tc>
      </w:tr>
      <w:tr>
        <w:trPr/>
        <w:tc>
          <w:tcPr>
            <w:tcW w:w="575" w:type="dxa"/>
            <w:tcBorders/>
            <w:vAlign w:val="center"/>
          </w:tcPr>
          <w:p>
            <w:pPr>
              <w:pStyle w:val="TableContents"/>
              <w:bidi w:val="0"/>
              <w:spacing w:before="0" w:after="283"/>
              <w:jc w:val="left"/>
              <w:rPr/>
            </w:pPr>
            <w:r>
              <w:rPr/>
              <w:t> </w:t>
            </w:r>
          </w:p>
        </w:tc>
        <w:tc>
          <w:tcPr>
            <w:tcW w:w="1670" w:type="dxa"/>
            <w:tcBorders/>
            <w:vAlign w:val="center"/>
          </w:tcPr>
          <w:p>
            <w:pPr>
              <w:pStyle w:val="TableContents"/>
              <w:bidi w:val="0"/>
              <w:spacing w:before="0" w:after="283"/>
              <w:jc w:val="left"/>
              <w:rPr>
                <w:sz w:val="20"/>
              </w:rPr>
            </w:pPr>
            <w:r>
              <w:rPr>
                <w:sz w:val="20"/>
              </w:rPr>
              <w:t>Secretary</w:t>
            </w:r>
          </w:p>
        </w:tc>
        <w:tc>
          <w:tcPr>
            <w:tcW w:w="60" w:type="dxa"/>
            <w:tcBorders/>
            <w:vAlign w:val="center"/>
          </w:tcPr>
          <w:p>
            <w:pPr>
              <w:pStyle w:val="TableContents"/>
              <w:bidi w:val="0"/>
              <w:spacing w:before="0" w:after="283"/>
              <w:jc w:val="left"/>
              <w:rPr/>
            </w:pPr>
            <w:r>
              <w:rPr/>
              <w:t> </w:t>
            </w:r>
          </w:p>
        </w:tc>
        <w:tc>
          <w:tcPr>
            <w:tcW w:w="587" w:type="dxa"/>
            <w:tcBorders/>
            <w:vAlign w:val="center"/>
          </w:tcPr>
          <w:p>
            <w:pPr>
              <w:pStyle w:val="TableContents"/>
              <w:bidi w:val="0"/>
              <w:spacing w:before="0" w:after="283"/>
              <w:jc w:val="left"/>
              <w:rPr/>
            </w:pPr>
            <w:r>
              <w:rPr/>
              <w:t> </w:t>
            </w:r>
          </w:p>
        </w:tc>
        <w:tc>
          <w:tcPr>
            <w:tcW w:w="4307" w:type="dxa"/>
            <w:tcBorders/>
            <w:vAlign w:val="center"/>
          </w:tcPr>
          <w:p>
            <w:pPr>
              <w:pStyle w:val="TableContents"/>
              <w:bidi w:val="0"/>
              <w:spacing w:before="0" w:after="283"/>
              <w:jc w:val="left"/>
              <w:rPr>
                <w:sz w:val="20"/>
              </w:rPr>
            </w:pPr>
            <w:r>
              <w:rPr>
                <w:sz w:val="20"/>
              </w:rPr>
              <w:t>Vice President and Treasurer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CERTIFICATE OF AUTHENTICATION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is one of the Securities of the series designated therein referred to in the within-mentioned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Authentication: September 24, 2026</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6496"/>
        <w:gridCol w:w="3634"/>
      </w:tblGrid>
      <w:tr>
        <w:trPr/>
        <w:tc>
          <w:tcPr>
            <w:tcW w:w="75" w:type="dxa"/>
            <w:tcBorders/>
            <w:vAlign w:val="center"/>
          </w:tcPr>
          <w:p>
            <w:pPr>
              <w:pStyle w:val="TableContents"/>
              <w:bidi w:val="0"/>
              <w:spacing w:before="0" w:after="283"/>
              <w:jc w:val="left"/>
              <w:rPr/>
            </w:pPr>
            <w:r>
              <w:rPr/>
              <w:t> </w:t>
            </w:r>
          </w:p>
        </w:tc>
        <w:tc>
          <w:tcPr>
            <w:tcW w:w="10130" w:type="dxa"/>
            <w:gridSpan w:val="2"/>
            <w:tcBorders/>
            <w:vAlign w:val="center"/>
          </w:tcPr>
          <w:p>
            <w:pPr>
              <w:pStyle w:val="TableContents"/>
              <w:bidi w:val="0"/>
              <w:spacing w:before="0" w:after="283"/>
              <w:jc w:val="left"/>
              <w:rPr/>
            </w:pPr>
            <w:r>
              <w:rPr>
                <w:rFonts w:ascii="Times New Roman;Times;Serif" w:hAnsi="Times New Roman;Times;Serif"/>
                <w:b/>
              </w:rPr>
              <w:t>THE BANK OF NEW YORK MELLON TRUST COMPANY, NATIONAL ASSOCIATION</w:t>
            </w:r>
            <w:r>
              <w:rPr/>
              <w:t>, as Trustee</w:t>
            </w:r>
          </w:p>
        </w:tc>
      </w:tr>
      <w:tr>
        <w:trPr/>
        <w:tc>
          <w:tcPr>
            <w:tcW w:w="75" w:type="dxa"/>
            <w:tcBorders/>
            <w:vAlign w:val="center"/>
          </w:tcPr>
          <w:p>
            <w:pPr>
              <w:pStyle w:val="TableContents"/>
              <w:bidi w:val="0"/>
              <w:spacing w:before="0" w:after="283"/>
              <w:jc w:val="left"/>
              <w:rPr/>
            </w:pPr>
            <w:r>
              <w:rPr/>
              <w:t> </w:t>
            </w:r>
          </w:p>
        </w:tc>
        <w:tc>
          <w:tcPr>
            <w:tcW w:w="1013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6496" w:type="dxa"/>
            <w:tcBorders/>
            <w:vAlign w:val="center"/>
          </w:tcPr>
          <w:p>
            <w:pPr>
              <w:pStyle w:val="TableContents"/>
              <w:bidi w:val="0"/>
              <w:spacing w:before="0" w:after="283"/>
              <w:jc w:val="left"/>
              <w:rPr/>
            </w:pPr>
            <w:r>
              <w:rPr/>
              <w:t>By:</w:t>
            </w:r>
          </w:p>
        </w:tc>
        <w:tc>
          <w:tcPr>
            <w:tcW w:w="3634" w:type="dxa"/>
            <w:tcBorders>
              <w:bottom w:val="single" w:sz="8"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initial aggregate principal amount of Securities evidenced by the Certificate to which this Schedule is attached is $                                  . The notations on the following table evidence decreases and increases in the aggregate principal amount of Securities evidenced by such Certificate.</w:t>
      </w:r>
    </w:p>
    <w:p>
      <w:pPr>
        <w:pStyle w:val="TextBody"/>
        <w:bidi w:val="0"/>
        <w:spacing w:before="0" w:after="0"/>
        <w:ind w:left="0" w:right="0" w:hanging="0"/>
        <w:jc w:val="left"/>
        <w:rPr>
          <w:caps w:val="false"/>
          <w:smallCaps w:val="false"/>
        </w:rPr>
      </w:pPr>
      <w:r>
        <w:rPr>
          <w:caps w:val="false"/>
          <w:smallCaps w:val="false"/>
        </w:rPr>
        <w:t> </w:t>
      </w:r>
    </w:p>
    <w:tbl>
      <w:tblPr>
        <w:tblW w:w="7570" w:type="dxa"/>
        <w:jc w:val="left"/>
        <w:tblInd w:w="0" w:type="dxa"/>
        <w:tblLayout w:type="fixed"/>
        <w:tblCellMar>
          <w:top w:w="0" w:type="dxa"/>
          <w:left w:w="0" w:type="dxa"/>
          <w:bottom w:w="0" w:type="dxa"/>
          <w:right w:w="0" w:type="dxa"/>
        </w:tblCellMar>
      </w:tblPr>
      <w:tblGrid>
        <w:gridCol w:w="980"/>
        <w:gridCol w:w="60"/>
        <w:gridCol w:w="1835"/>
        <w:gridCol w:w="60"/>
        <w:gridCol w:w="1775"/>
        <w:gridCol w:w="60"/>
        <w:gridCol w:w="1730"/>
        <w:gridCol w:w="60"/>
        <w:gridCol w:w="1010"/>
      </w:tblGrid>
      <w:tr>
        <w:trPr/>
        <w:tc>
          <w:tcPr>
            <w:tcW w:w="9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3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Aggregate Principal</w:t>
            </w:r>
          </w:p>
        </w:tc>
        <w:tc>
          <w:tcPr>
            <w:tcW w:w="6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center"/>
              <w:rPr/>
            </w:pPr>
            <w:r>
              <w:rPr/>
              <w:t> </w:t>
            </w:r>
          </w:p>
        </w:tc>
      </w:tr>
      <w:tr>
        <w:trPr/>
        <w:tc>
          <w:tcPr>
            <w:tcW w:w="9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3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Amount of Securities</w:t>
            </w:r>
          </w:p>
        </w:tc>
        <w:tc>
          <w:tcPr>
            <w:tcW w:w="6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center"/>
              <w:rPr/>
            </w:pPr>
            <w:r>
              <w:rPr/>
              <w:t> </w:t>
            </w:r>
          </w:p>
        </w:tc>
      </w:tr>
      <w:tr>
        <w:trPr/>
        <w:tc>
          <w:tcPr>
            <w:tcW w:w="9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3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Decrease in Aggregate</w:t>
            </w:r>
          </w:p>
        </w:tc>
        <w:tc>
          <w:tcPr>
            <w:tcW w:w="60"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Increase in Aggregate</w:t>
            </w:r>
          </w:p>
        </w:tc>
        <w:tc>
          <w:tcPr>
            <w:tcW w:w="60" w:type="dxa"/>
            <w:tcBorders/>
            <w:vAlign w:val="center"/>
          </w:tcPr>
          <w:p>
            <w:pPr>
              <w:pStyle w:val="TableContents"/>
              <w:bidi w:val="0"/>
              <w:spacing w:before="0" w:after="283"/>
              <w:jc w:val="left"/>
              <w:rPr/>
            </w:pPr>
            <w:r>
              <w:rPr/>
              <w:t> </w:t>
            </w:r>
          </w:p>
        </w:tc>
        <w:tc>
          <w:tcPr>
            <w:tcW w:w="173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Remaining After</w:t>
            </w:r>
          </w:p>
        </w:tc>
        <w:tc>
          <w:tcPr>
            <w:tcW w:w="6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Notation by</w:t>
            </w:r>
          </w:p>
        </w:tc>
      </w:tr>
      <w:tr>
        <w:trPr/>
        <w:tc>
          <w:tcPr>
            <w:tcW w:w="98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Date of</w:t>
            </w:r>
          </w:p>
        </w:tc>
        <w:tc>
          <w:tcPr>
            <w:tcW w:w="60" w:type="dxa"/>
            <w:tcBorders/>
            <w:vAlign w:val="center"/>
          </w:tcPr>
          <w:p>
            <w:pPr>
              <w:pStyle w:val="TableContents"/>
              <w:bidi w:val="0"/>
              <w:spacing w:before="0" w:after="283"/>
              <w:jc w:val="left"/>
              <w:rPr/>
            </w:pPr>
            <w:r>
              <w:rPr/>
              <w:t> </w:t>
            </w:r>
          </w:p>
        </w:tc>
        <w:tc>
          <w:tcPr>
            <w:tcW w:w="183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Principal Amount of</w:t>
            </w:r>
          </w:p>
        </w:tc>
        <w:tc>
          <w:tcPr>
            <w:tcW w:w="60"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Principal Amount of</w:t>
            </w:r>
          </w:p>
        </w:tc>
        <w:tc>
          <w:tcPr>
            <w:tcW w:w="60" w:type="dxa"/>
            <w:tcBorders/>
            <w:vAlign w:val="center"/>
          </w:tcPr>
          <w:p>
            <w:pPr>
              <w:pStyle w:val="TableContents"/>
              <w:bidi w:val="0"/>
              <w:spacing w:before="0" w:after="283"/>
              <w:jc w:val="left"/>
              <w:rPr/>
            </w:pPr>
            <w:r>
              <w:rPr/>
              <w:t> </w:t>
            </w:r>
          </w:p>
        </w:tc>
        <w:tc>
          <w:tcPr>
            <w:tcW w:w="173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Such Decrease or</w:t>
            </w:r>
          </w:p>
        </w:tc>
        <w:tc>
          <w:tcPr>
            <w:tcW w:w="6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Security</w:t>
            </w:r>
          </w:p>
        </w:tc>
      </w:tr>
      <w:tr>
        <w:trPr/>
        <w:tc>
          <w:tcPr>
            <w:tcW w:w="98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Adjustment</w:t>
            </w:r>
          </w:p>
        </w:tc>
        <w:tc>
          <w:tcPr>
            <w:tcW w:w="60" w:type="dxa"/>
            <w:tcBorders/>
            <w:vAlign w:val="center"/>
          </w:tcPr>
          <w:p>
            <w:pPr>
              <w:pStyle w:val="TableContents"/>
              <w:bidi w:val="0"/>
              <w:spacing w:before="0" w:after="283"/>
              <w:jc w:val="left"/>
              <w:rPr/>
            </w:pPr>
            <w:r>
              <w:rPr/>
              <w:t> </w:t>
            </w:r>
          </w:p>
        </w:tc>
        <w:tc>
          <w:tcPr>
            <w:tcW w:w="183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Securities</w:t>
            </w:r>
          </w:p>
        </w:tc>
        <w:tc>
          <w:tcPr>
            <w:tcW w:w="60" w:type="dxa"/>
            <w:tcBorders/>
            <w:vAlign w:val="center"/>
          </w:tcPr>
          <w:p>
            <w:pPr>
              <w:pStyle w:val="TableContents"/>
              <w:bidi w:val="0"/>
              <w:spacing w:before="0" w:after="283"/>
              <w:jc w:val="left"/>
              <w:rPr/>
            </w:pPr>
            <w:r>
              <w:rPr/>
              <w:t> </w:t>
            </w:r>
          </w:p>
        </w:tc>
        <w:tc>
          <w:tcPr>
            <w:tcW w:w="177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Securities</w:t>
            </w:r>
          </w:p>
        </w:tc>
        <w:tc>
          <w:tcPr>
            <w:tcW w:w="60" w:type="dxa"/>
            <w:tcBorders/>
            <w:vAlign w:val="center"/>
          </w:tcPr>
          <w:p>
            <w:pPr>
              <w:pStyle w:val="TableContents"/>
              <w:bidi w:val="0"/>
              <w:spacing w:before="0" w:after="283"/>
              <w:jc w:val="left"/>
              <w:rPr/>
            </w:pPr>
            <w:r>
              <w:rPr/>
              <w:t> </w:t>
            </w:r>
          </w:p>
        </w:tc>
        <w:tc>
          <w:tcPr>
            <w:tcW w:w="173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Increase</w:t>
            </w:r>
          </w:p>
        </w:tc>
        <w:tc>
          <w:tcPr>
            <w:tcW w:w="60" w:type="dxa"/>
            <w:tcBorders/>
            <w:vAlign w:val="center"/>
          </w:tcPr>
          <w:p>
            <w:pPr>
              <w:pStyle w:val="TableContents"/>
              <w:bidi w:val="0"/>
              <w:spacing w:before="0" w:after="283"/>
              <w:jc w:val="left"/>
              <w:rPr/>
            </w:pPr>
            <w:r>
              <w:rPr/>
              <w:t> </w:t>
            </w:r>
          </w:p>
        </w:tc>
        <w:tc>
          <w:tcPr>
            <w:tcW w:w="101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Registrar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28" w:name="tm2625895d1_ex5-1.htm"/>
      <w:bookmarkStart w:id="29" w:name="kstm2625895d1_ex51"/>
      <w:bookmarkEnd w:id="28"/>
      <w:bookmarkEnd w:id="29"/>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5.1</w:t>
      </w:r>
    </w:p>
    <w:p>
      <w:pPr>
        <w:pStyle w:val="TextBody"/>
        <w:bidi w:val="0"/>
        <w:spacing w:before="0" w:after="0"/>
        <w:ind w:left="0" w:right="0" w:hanging="0"/>
        <w:jc w:val="left"/>
        <w:rPr>
          <w:caps w:val="false"/>
          <w:smallCaps w:val="false"/>
        </w:rPr>
      </w:pPr>
      <w:r>
        <w:rPr>
          <w:caps w:val="false"/>
          <w:smallCaps w:val="false"/>
        </w:rPr>
        <w:t> </w:t>
      </w:r>
    </w:p>
    <w:tbl>
      <w:tblPr>
        <w:tblW w:w="7860" w:type="dxa"/>
        <w:jc w:val="left"/>
        <w:tblInd w:w="0" w:type="dxa"/>
        <w:tblLayout w:type="fixed"/>
        <w:tblCellMar>
          <w:top w:w="0" w:type="dxa"/>
          <w:left w:w="0" w:type="dxa"/>
          <w:bottom w:w="0" w:type="dxa"/>
          <w:right w:w="0" w:type="dxa"/>
        </w:tblCellMar>
      </w:tblPr>
      <w:tblGrid>
        <w:gridCol w:w="3180"/>
        <w:gridCol w:w="2165"/>
        <w:gridCol w:w="980"/>
        <w:gridCol w:w="1535"/>
      </w:tblGrid>
      <w:tr>
        <w:trPr/>
        <w:tc>
          <w:tcPr>
            <w:tcW w:w="3180" w:type="dxa"/>
            <w:tcBorders/>
            <w:vAlign w:val="center"/>
          </w:tcPr>
          <w:p>
            <w:pPr>
              <w:pStyle w:val="TableContents"/>
              <w:bidi w:val="0"/>
              <w:spacing w:before="0" w:after="283"/>
              <w:jc w:val="left"/>
              <w:rPr/>
            </w:pPr>
            <w:r>
              <w:rPr/>
              <w:drawing>
                <wp:inline distT="0" distB="0" distL="0" distR="0">
                  <wp:extent cx="2009775" cy="2667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8"/>
                          <a:stretch>
                            <a:fillRect/>
                          </a:stretch>
                        </pic:blipFill>
                        <pic:spPr bwMode="auto">
                          <a:xfrm>
                            <a:off x="0" y="0"/>
                            <a:ext cx="2009775" cy="266700"/>
                          </a:xfrm>
                          <a:prstGeom prst="rect">
                            <a:avLst/>
                          </a:prstGeom>
                        </pic:spPr>
                      </pic:pic>
                    </a:graphicData>
                  </a:graphic>
                </wp:inline>
              </w:drawing>
            </w:r>
          </w:p>
        </w:tc>
        <w:tc>
          <w:tcPr>
            <w:tcW w:w="2165" w:type="dxa"/>
            <w:tcBorders/>
            <w:vAlign w:val="center"/>
          </w:tcPr>
          <w:p>
            <w:pPr>
              <w:pStyle w:val="TableContents"/>
              <w:bidi w:val="0"/>
              <w:spacing w:before="0" w:after="0"/>
              <w:ind w:left="0" w:right="0" w:hanging="0"/>
              <w:jc w:val="left"/>
              <w:rPr>
                <w:rFonts w:ascii="Times New Roman;Times;Serif" w:hAnsi="Times New Roman;Times;Serif"/>
                <w:b w:val="false"/>
                <w:i w:val="false"/>
                <w:caps/>
                <w:sz w:val="20"/>
              </w:rPr>
            </w:pPr>
            <w:r>
              <w:rPr>
                <w:rFonts w:ascii="Times New Roman;Times;Serif" w:hAnsi="Times New Roman;Times;Serif"/>
                <w:b w:val="false"/>
                <w:i w:val="false"/>
                <w:caps/>
                <w:sz w:val="20"/>
              </w:rPr>
              <w:t>910 Louisiana Street</w:t>
              <w:br/>
              <w:t>Houston, Texas</w:t>
              <w:br/>
              <w:t>77002-4995</w:t>
            </w:r>
          </w:p>
          <w:p>
            <w:pPr>
              <w:pStyle w:val="TableContents"/>
              <w:bidi w:val="0"/>
              <w:spacing w:before="0" w:after="0"/>
              <w:ind w:left="0" w:right="0" w:hanging="0"/>
              <w:jc w:val="left"/>
              <w:rPr>
                <w:caps/>
              </w:rPr>
            </w:pPr>
            <w:r>
              <w:rPr>
                <w:caps/>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 +1 713.229.1234</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FAX +1 713.229.1522</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BakerBotts.com</w:t>
            </w:r>
          </w:p>
        </w:tc>
        <w:tc>
          <w:tcPr>
            <w:tcW w:w="980" w:type="dxa"/>
            <w:tcBorders/>
            <w:vAlign w:val="center"/>
          </w:tcPr>
          <w:p>
            <w:pPr>
              <w:pStyle w:val="TableContents"/>
              <w:bidi w:val="0"/>
              <w:spacing w:before="0" w:after="0"/>
              <w:ind w:left="0" w:right="0" w:hanging="0"/>
              <w:jc w:val="left"/>
              <w:rPr>
                <w:rFonts w:ascii="Times New Roman;Times;Serif" w:hAnsi="Times New Roman;Times;Serif"/>
                <w:b w:val="false"/>
                <w:i w:val="false"/>
                <w:caps/>
                <w:sz w:val="20"/>
              </w:rPr>
            </w:pPr>
            <w:r>
              <w:rPr>
                <w:rFonts w:ascii="Times New Roman;Times;Serif" w:hAnsi="Times New Roman;Times;Serif"/>
                <w:b w:val="false"/>
                <w:i w:val="false"/>
                <w:caps/>
                <w:sz w:val="20"/>
              </w:rPr>
              <w:t>AUSTIN</w:t>
            </w:r>
          </w:p>
          <w:p>
            <w:pPr>
              <w:pStyle w:val="TableContents"/>
              <w:bidi w:val="0"/>
              <w:spacing w:before="0" w:after="0"/>
              <w:ind w:left="0" w:right="0" w:hanging="0"/>
              <w:jc w:val="left"/>
              <w:rPr>
                <w:rFonts w:ascii="Times New Roman;Times;Serif" w:hAnsi="Times New Roman;Times;Serif"/>
                <w:b w:val="false"/>
                <w:i w:val="false"/>
                <w:caps/>
                <w:sz w:val="20"/>
              </w:rPr>
            </w:pPr>
            <w:r>
              <w:rPr>
                <w:rFonts w:ascii="Times New Roman;Times;Serif" w:hAnsi="Times New Roman;Times;Serif"/>
                <w:b w:val="false"/>
                <w:i w:val="false"/>
                <w:caps/>
                <w:sz w:val="20"/>
              </w:rPr>
              <w:t>BRUSSELS</w:t>
            </w:r>
          </w:p>
          <w:p>
            <w:pPr>
              <w:pStyle w:val="TableContents"/>
              <w:bidi w:val="0"/>
              <w:spacing w:before="0" w:after="0"/>
              <w:ind w:left="0" w:right="0" w:hanging="0"/>
              <w:jc w:val="left"/>
              <w:rPr>
                <w:rFonts w:ascii="Times New Roman;Times;Serif" w:hAnsi="Times New Roman;Times;Serif"/>
                <w:b w:val="false"/>
                <w:i w:val="false"/>
                <w:caps/>
                <w:sz w:val="20"/>
              </w:rPr>
            </w:pPr>
            <w:r>
              <w:rPr>
                <w:rFonts w:ascii="Times New Roman;Times;Serif" w:hAnsi="Times New Roman;Times;Serif"/>
                <w:b w:val="false"/>
                <w:i w:val="false"/>
                <w:caps/>
                <w:sz w:val="20"/>
              </w:rPr>
              <w:t>DALLAS</w:t>
            </w:r>
          </w:p>
          <w:p>
            <w:pPr>
              <w:pStyle w:val="TableContents"/>
              <w:bidi w:val="0"/>
              <w:spacing w:before="0" w:after="0"/>
              <w:ind w:left="0" w:right="0" w:hanging="0"/>
              <w:jc w:val="left"/>
              <w:rPr>
                <w:rFonts w:ascii="Times New Roman;Times;Serif" w:hAnsi="Times New Roman;Times;Serif"/>
                <w:b w:val="false"/>
                <w:i w:val="false"/>
                <w:caps/>
                <w:sz w:val="20"/>
              </w:rPr>
            </w:pPr>
            <w:r>
              <w:rPr>
                <w:rFonts w:ascii="Times New Roman;Times;Serif" w:hAnsi="Times New Roman;Times;Serif"/>
                <w:b w:val="false"/>
                <w:i w:val="false"/>
                <w:caps/>
                <w:sz w:val="20"/>
              </w:rPr>
              <w:t>DUBAI</w:t>
            </w:r>
          </w:p>
          <w:p>
            <w:pPr>
              <w:pStyle w:val="TableContents"/>
              <w:bidi w:val="0"/>
              <w:spacing w:before="0" w:after="0"/>
              <w:ind w:left="0" w:right="0" w:hanging="0"/>
              <w:jc w:val="left"/>
              <w:rPr>
                <w:rFonts w:ascii="Times New Roman;Times;Serif" w:hAnsi="Times New Roman;Times;Serif"/>
                <w:b w:val="false"/>
                <w:i w:val="false"/>
                <w:caps/>
                <w:sz w:val="20"/>
              </w:rPr>
            </w:pPr>
            <w:r>
              <w:rPr>
                <w:rFonts w:ascii="Times New Roman;Times;Serif" w:hAnsi="Times New Roman;Times;Serif"/>
                <w:b w:val="false"/>
                <w:i w:val="false"/>
                <w:caps/>
                <w:sz w:val="20"/>
              </w:rPr>
              <w:t>HOUSTON</w:t>
            </w:r>
          </w:p>
          <w:p>
            <w:pPr>
              <w:pStyle w:val="TableContents"/>
              <w:bidi w:val="0"/>
              <w:spacing w:before="0" w:after="0"/>
              <w:ind w:left="0" w:right="0" w:hanging="0"/>
              <w:jc w:val="left"/>
              <w:rPr>
                <w:rFonts w:ascii="Times New Roman;Times;Serif" w:hAnsi="Times New Roman;Times;Serif"/>
                <w:b w:val="false"/>
                <w:i w:val="false"/>
                <w:caps/>
                <w:sz w:val="20"/>
              </w:rPr>
            </w:pPr>
            <w:r>
              <w:rPr>
                <w:rFonts w:ascii="Times New Roman;Times;Serif" w:hAnsi="Times New Roman;Times;Serif"/>
                <w:b w:val="false"/>
                <w:i w:val="false"/>
                <w:caps/>
                <w:sz w:val="20"/>
              </w:rPr>
              <w:t>LONDON</w:t>
            </w:r>
          </w:p>
          <w:p>
            <w:pPr>
              <w:pStyle w:val="TableContents"/>
              <w:bidi w:val="0"/>
              <w:spacing w:before="0" w:after="0"/>
              <w:ind w:left="0" w:right="0" w:hanging="0"/>
              <w:jc w:val="left"/>
              <w:rPr>
                <w:caps/>
              </w:rPr>
            </w:pPr>
            <w:r>
              <w:rPr>
                <w:caps/>
              </w:rPr>
              <w:t> </w:t>
            </w:r>
          </w:p>
        </w:tc>
        <w:tc>
          <w:tcPr>
            <w:tcW w:w="1535" w:type="dxa"/>
            <w:tcBorders/>
            <w:vAlign w:val="center"/>
          </w:tcPr>
          <w:p>
            <w:pPr>
              <w:pStyle w:val="TableContents"/>
              <w:bidi w:val="0"/>
              <w:spacing w:before="0" w:after="0"/>
              <w:ind w:left="0" w:right="0" w:hanging="0"/>
              <w:jc w:val="left"/>
              <w:rPr>
                <w:rFonts w:ascii="Times New Roman;Times;Serif" w:hAnsi="Times New Roman;Times;Serif"/>
                <w:b w:val="false"/>
                <w:i w:val="false"/>
                <w:caps/>
                <w:sz w:val="20"/>
              </w:rPr>
            </w:pPr>
            <w:r>
              <w:rPr>
                <w:rFonts w:ascii="Times New Roman;Times;Serif" w:hAnsi="Times New Roman;Times;Serif"/>
                <w:b w:val="false"/>
                <w:i w:val="false"/>
                <w:caps/>
                <w:sz w:val="20"/>
              </w:rPr>
              <w:t>NEW YORK</w:t>
            </w:r>
          </w:p>
          <w:p>
            <w:pPr>
              <w:pStyle w:val="TableContents"/>
              <w:bidi w:val="0"/>
              <w:spacing w:before="0" w:after="0"/>
              <w:ind w:left="0" w:right="0" w:hanging="0"/>
              <w:jc w:val="left"/>
              <w:rPr>
                <w:rFonts w:ascii="Times New Roman;Times;Serif" w:hAnsi="Times New Roman;Times;Serif"/>
                <w:b w:val="false"/>
                <w:i w:val="false"/>
                <w:caps/>
                <w:sz w:val="20"/>
              </w:rPr>
            </w:pPr>
            <w:r>
              <w:rPr>
                <w:rFonts w:ascii="Times New Roman;Times;Serif" w:hAnsi="Times New Roman;Times;Serif"/>
                <w:b w:val="false"/>
                <w:i w:val="false"/>
                <w:caps/>
                <w:sz w:val="20"/>
              </w:rPr>
              <w:t>PALO ALTO</w:t>
            </w:r>
          </w:p>
          <w:p>
            <w:pPr>
              <w:pStyle w:val="TableContents"/>
              <w:bidi w:val="0"/>
              <w:spacing w:before="0" w:after="0"/>
              <w:ind w:left="0" w:right="0" w:hanging="0"/>
              <w:jc w:val="left"/>
              <w:rPr>
                <w:rFonts w:ascii="Times New Roman;Times;Serif" w:hAnsi="Times New Roman;Times;Serif"/>
                <w:b w:val="false"/>
                <w:i w:val="false"/>
                <w:caps/>
                <w:sz w:val="20"/>
              </w:rPr>
            </w:pPr>
            <w:r>
              <w:rPr>
                <w:rFonts w:ascii="Times New Roman;Times;Serif" w:hAnsi="Times New Roman;Times;Serif"/>
                <w:b w:val="false"/>
                <w:i w:val="false"/>
                <w:caps/>
                <w:sz w:val="20"/>
              </w:rPr>
              <w:t>RIYADH</w:t>
            </w:r>
          </w:p>
          <w:p>
            <w:pPr>
              <w:pStyle w:val="TableContents"/>
              <w:bidi w:val="0"/>
              <w:spacing w:before="0" w:after="0"/>
              <w:ind w:left="0" w:right="0" w:hanging="0"/>
              <w:jc w:val="left"/>
              <w:rPr>
                <w:rFonts w:ascii="Times New Roman;Times;Serif" w:hAnsi="Times New Roman;Times;Serif"/>
                <w:b w:val="false"/>
                <w:i w:val="false"/>
                <w:caps/>
                <w:sz w:val="20"/>
              </w:rPr>
            </w:pPr>
            <w:r>
              <w:rPr>
                <w:rFonts w:ascii="Times New Roman;Times;Serif" w:hAnsi="Times New Roman;Times;Serif"/>
                <w:b w:val="false"/>
                <w:i w:val="false"/>
                <w:caps/>
                <w:sz w:val="20"/>
              </w:rPr>
              <w:t>SAN FRANCISCO</w:t>
            </w:r>
          </w:p>
          <w:p>
            <w:pPr>
              <w:pStyle w:val="TableContents"/>
              <w:bidi w:val="0"/>
              <w:spacing w:before="0" w:after="0"/>
              <w:ind w:left="0" w:right="0" w:hanging="0"/>
              <w:jc w:val="left"/>
              <w:rPr>
                <w:rFonts w:ascii="Times New Roman;Times;Serif" w:hAnsi="Times New Roman;Times;Serif"/>
                <w:b w:val="false"/>
                <w:i w:val="false"/>
                <w:caps/>
                <w:sz w:val="20"/>
              </w:rPr>
            </w:pPr>
            <w:r>
              <w:rPr>
                <w:rFonts w:ascii="Times New Roman;Times;Serif" w:hAnsi="Times New Roman;Times;Serif"/>
                <w:b w:val="false"/>
                <w:i w:val="false"/>
                <w:caps/>
                <w:sz w:val="20"/>
              </w:rPr>
              <w:t>Singapore</w:t>
            </w:r>
          </w:p>
          <w:p>
            <w:pPr>
              <w:pStyle w:val="TableContents"/>
              <w:bidi w:val="0"/>
              <w:spacing w:before="0" w:after="0"/>
              <w:ind w:left="0" w:right="0" w:hanging="0"/>
              <w:jc w:val="left"/>
              <w:rPr>
                <w:rFonts w:ascii="Times New Roman;Times;Serif" w:hAnsi="Times New Roman;Times;Serif"/>
                <w:b w:val="false"/>
                <w:i w:val="false"/>
                <w:caps/>
                <w:sz w:val="20"/>
              </w:rPr>
            </w:pPr>
            <w:r>
              <w:rPr>
                <w:rFonts w:ascii="Times New Roman;Times;Serif" w:hAnsi="Times New Roman;Times;Serif"/>
                <w:b w:val="false"/>
                <w:i w:val="false"/>
                <w:caps/>
                <w:sz w:val="20"/>
              </w:rPr>
              <w:t>WASHINGTON</w:t>
            </w:r>
          </w:p>
          <w:p>
            <w:pPr>
              <w:pStyle w:val="TableContents"/>
              <w:bidi w:val="0"/>
              <w:spacing w:before="0" w:after="0"/>
              <w:ind w:left="0" w:right="0" w:hanging="0"/>
              <w:jc w:val="left"/>
              <w:rPr>
                <w:caps/>
              </w:rPr>
            </w:pPr>
            <w:r>
              <w:rPr>
                <w:caps/>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22,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CenterPoint Energy Houston Electric, LLC</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1111 Louisiana Street</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Houston, Texas 77002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acted as counsel to CenterPoint Energy Houston Electric, LLC, a Texas limited liability company (the “Company”), in connection with the proposed offering and sale of $700,000,000 aggregate principal amount of the Company’s 5.40% General Mortgage Bonds, Series AS, due 2031 (the “Bonds”), pursuant to (a) the Registration Statement on Form S-3 (Registration Statement Nos. 333-295924, 333-295924-01 and 333-295924-02) (the “Registration Statement”), which was filed by the Company, CenterPoint Energy, Inc. and CenterPoint Energy Resources Corp. with the U.S. Securities and Exchange Commission (the “Commission”) under the Securities Act of 1933, as amended (the “Act”), and (b) the related prospectus of the Company dated May 15, 2026, as supplemented by the prospectus supplement of the Company relating to the sale of the Bonds dated September 21, 2026 (as so supplemented, the “Prospectus”), as filed by the Company with the Commission pursuant to Rule 424(b) under the Act. At your request, this opinion letter is being furnished to you for filing as Exhibit 5.1 to the Company’s Current Report on Form 8-K to be filed with the Commission on the date hereof (the “Form 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Bonds are to be issued pursuant to the General Mortgage Indenture, dated as of October 10, 2002, between the Company and The Bank of New York Mellon Trust Company, National Association (successor to JPMorgan Chase Bank), as trustee (the “Trustee”), as amended by the Ninth Supplemental Indenture thereto, dated as of November 12, 2002, and the Twentieth Supplemental Indenture thereto, dated as of December 9, 2008 (as so amended, the “Base Indenture”), as further supplemented by the Fortieth Supplemental Indenture thereto, dated as of September 24, 2026 (the “Supplemental Indenture,” and, together with the Base Indenture, the “Indenture”), between the Company and the Trustee. The terms of the Bonds (including the form of Bonds) are to be established by an officer’s certificate pursuant to the Indenture (the “Officer’s Certificate”).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our capacity as your counsel in connection with the matter referred to above and as a basis for the opinions hereinafter expressed, we have examined originals, or copies certified or otherwise identified, of: (i) the Articles of Conversion of Reliant Energy, Incorporated, the Restated Certificate of Formation of the Company and the Amended and Restated Limited Liability Company Agreement of the Company (each as amended to date, the “Organizational Documents”); (ii) the Underwriting Agreement, dated September 21, 2026 (the “Underwriting Agreement”), by and among the Company and the Underwriters named in Schedule I thereto (the “Underwriters”), relating to the issuance and sale of the Bonds; (iii) the Registration Statement and the Prospectus; (iv) the Base Indenture, the Supplemental Indenture and the form of the Officer’s Certificate as filed as exhibits to the Form 8-K; and (v) records of the Company, including certain resolutions of the sole manager of the Company, as furnished to us by you, certificates of governmental and public officials and of representatives of the Company, statutes and other instruments and documents as we have deemed necessary or advisable for purposes of the opinions hereinafter expressed. In giving the opinions set forth below, we have relied, to the extent we deemed appropriate without independent investigation or verification, upon certificates, statements or other representations of officers or other authorized representatives of the Company and of governmental and public officials with respect to the accuracy of the factual matters contained in or covered by such certificates, statements or representations. In giving the opinions below, we have assumed, with your consent and without independent investigation or verification, the legal capacity and competency of all natural persons, that all signatures on all documents examined by us are genuine, all documents submitted to us as originals are authentic and complete, all documents submitted to us as copies are true, correct and complete copies of the originals thereof and all information submitted to us is accurate and complete.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030" w:type="dxa"/>
        <w:jc w:val="left"/>
        <w:tblInd w:w="0" w:type="dxa"/>
        <w:tblLayout w:type="fixed"/>
        <w:tblCellMar>
          <w:top w:w="0" w:type="dxa"/>
          <w:left w:w="0" w:type="dxa"/>
          <w:bottom w:w="0" w:type="dxa"/>
          <w:right w:w="0" w:type="dxa"/>
        </w:tblCellMar>
      </w:tblPr>
      <w:tblGrid>
        <w:gridCol w:w="2040"/>
        <w:gridCol w:w="335"/>
        <w:gridCol w:w="1655"/>
      </w:tblGrid>
      <w:tr>
        <w:trPr/>
        <w:tc>
          <w:tcPr>
            <w:tcW w:w="2040" w:type="dxa"/>
            <w:tcBorders/>
            <w:vAlign w:val="center"/>
          </w:tcPr>
          <w:p>
            <w:pPr>
              <w:pStyle w:val="TableContents"/>
              <w:bidi w:val="0"/>
              <w:spacing w:before="0" w:after="283"/>
              <w:jc w:val="left"/>
              <w:rPr/>
            </w:pPr>
            <w:r>
              <w:rPr/>
              <w:drawing>
                <wp:inline distT="0" distB="0" distL="0" distR="0">
                  <wp:extent cx="1285875" cy="1238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9"/>
                          <a:stretch>
                            <a:fillRect/>
                          </a:stretch>
                        </pic:blipFill>
                        <pic:spPr bwMode="auto">
                          <a:xfrm>
                            <a:off x="0" y="0"/>
                            <a:ext cx="1285875" cy="123825"/>
                          </a:xfrm>
                          <a:prstGeom prst="rect">
                            <a:avLst/>
                          </a:prstGeom>
                        </pic:spPr>
                      </pic:pic>
                    </a:graphicData>
                  </a:graphic>
                </wp:inline>
              </w:drawing>
            </w:r>
          </w:p>
        </w:tc>
        <w:tc>
          <w:tcPr>
            <w:tcW w:w="335" w:type="dxa"/>
            <w:tcBorders/>
            <w:vAlign w:val="center"/>
          </w:tcPr>
          <w:p>
            <w:pPr>
              <w:pStyle w:val="TableContents"/>
              <w:bidi w:val="0"/>
              <w:spacing w:before="0" w:after="283"/>
              <w:jc w:val="center"/>
              <w:rPr/>
            </w:pPr>
            <w:r>
              <w:rPr/>
              <w:t> </w:t>
            </w:r>
          </w:p>
        </w:tc>
        <w:tc>
          <w:tcPr>
            <w:tcW w:w="1655" w:type="dxa"/>
            <w:tcBorders/>
            <w:vAlign w:val="center"/>
          </w:tcPr>
          <w:p>
            <w:pPr>
              <w:pStyle w:val="TableContents"/>
              <w:bidi w:val="0"/>
              <w:spacing w:before="0" w:after="283"/>
              <w:jc w:val="right"/>
              <w:rPr>
                <w:sz w:val="20"/>
              </w:rPr>
            </w:pPr>
            <w:r>
              <w:rPr>
                <w:sz w:val="20"/>
              </w:rPr>
              <w:t>September 22, 2026</w:t>
            </w:r>
          </w:p>
        </w:tc>
      </w:tr>
      <w:tr>
        <w:trPr/>
        <w:tc>
          <w:tcPr>
            <w:tcW w:w="2040"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- 2 -</w:t>
            </w:r>
          </w:p>
        </w:tc>
        <w:tc>
          <w:tcPr>
            <w:tcW w:w="165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basis of the foregoing, and subject to the assumptions, limitations and qualifications set forth herein, we are of the opinion that the Bonds will, when duly executed, issued and delivered by the Company in accordance with the terms of the Indenture, authenticated and delivered by the Trustee in accordance with the terms of the Indenture and duly purchased and paid for by the Underwriters in accordance with the terms of the Underwriting Agreement, constitute legal, valid and binding obligations of the Company, enforceable against the Company in accordance with their terms, except as that enforcement is subject to any applicable bankruptcy, insolvency, reorganization, moratorium, fraudulent transfer or conveyance or other laws relating to or affecting creditors’ rights generally, general principles of equity (regardless of whether that enforceability is considered in a proceeding in equity or at law) and any implied covenants of good faith and fair dealing.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opinions set forth above in this opinion letter are limited in all respects to matters of the laws of the State of Texas, applicable federal law of the United States and the contract law of the State of New York as in effect on the date hereof. We hereby consent to the filing of this opinion letter as Exhibit 5.1 to the Form 8-K. We also consent to the references to our Firm under the heading “Legal Matters” in the Prospectus. In giving this consent, we do not hereby admit that we are in the category of persons whose consent is required under Section 7 of the Act or the rules and regulations of the Commission thereunder.</w:t>
      </w:r>
    </w:p>
    <w:p>
      <w:pPr>
        <w:pStyle w:val="TextBody"/>
        <w:bidi w:val="0"/>
        <w:spacing w:before="0" w:after="0"/>
        <w:ind w:left="0" w:right="0" w:hanging="0"/>
        <w:jc w:val="left"/>
        <w:rPr>
          <w:caps w:val="false"/>
          <w:smallCaps w:val="false"/>
        </w:rPr>
      </w:pPr>
      <w:r>
        <w:rPr>
          <w:caps w:val="false"/>
          <w:smallCaps w:val="false"/>
        </w:rPr>
        <w:t> </w:t>
      </w:r>
    </w:p>
    <w:tbl>
      <w:tblPr>
        <w:tblW w:w="2195" w:type="dxa"/>
        <w:jc w:val="left"/>
        <w:tblInd w:w="0" w:type="dxa"/>
        <w:tblLayout w:type="fixed"/>
        <w:tblCellMar>
          <w:top w:w="0" w:type="dxa"/>
          <w:left w:w="0" w:type="dxa"/>
          <w:bottom w:w="0" w:type="dxa"/>
          <w:right w:w="0" w:type="dxa"/>
        </w:tblCellMar>
      </w:tblPr>
      <w:tblGrid>
        <w:gridCol w:w="75"/>
        <w:gridCol w:w="2120"/>
      </w:tblGrid>
      <w:tr>
        <w:trPr/>
        <w:tc>
          <w:tcPr>
            <w:tcW w:w="75" w:type="dxa"/>
            <w:tcBorders/>
            <w:vAlign w:val="center"/>
          </w:tcPr>
          <w:p>
            <w:pPr>
              <w:pStyle w:val="TableContents"/>
              <w:bidi w:val="0"/>
              <w:spacing w:before="0" w:after="283"/>
              <w:jc w:val="left"/>
              <w:rPr/>
            </w:pPr>
            <w:r>
              <w:rPr/>
              <w:t> </w:t>
            </w:r>
          </w:p>
        </w:tc>
        <w:tc>
          <w:tcPr>
            <w:tcW w:w="21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Very truly yours,</w:t>
            </w:r>
          </w:p>
        </w:tc>
      </w:tr>
      <w:tr>
        <w:trPr/>
        <w:tc>
          <w:tcPr>
            <w:tcW w:w="75" w:type="dxa"/>
            <w:tcBorders/>
            <w:vAlign w:val="center"/>
          </w:tcPr>
          <w:p>
            <w:pPr>
              <w:pStyle w:val="TableContents"/>
              <w:bidi w:val="0"/>
              <w:spacing w:before="0" w:after="283"/>
              <w:jc w:val="left"/>
              <w:rPr/>
            </w:pPr>
            <w:r>
              <w:rPr/>
              <w:t> </w:t>
            </w:r>
          </w:p>
        </w:tc>
        <w:tc>
          <w:tcPr>
            <w:tcW w:w="212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21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BAKER BOTTS L.L.P.</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48732/000095012902005703/h01010exv4wj1.txt" TargetMode="External"/><Relationship Id="rId3" Type="http://schemas.openxmlformats.org/officeDocument/2006/relationships/hyperlink" Target="https://www.sec.gov/Archives/edgar/data/48732/000095012902005703/h01010exv4wj1.txt" TargetMode="External"/><Relationship Id="rId4" Type="http://schemas.openxmlformats.org/officeDocument/2006/relationships/hyperlink" Target="https://www.sec.gov/Archives/edgar/data/1130310/000095012903001299/h03755exv4we10.txt" TargetMode="External"/><Relationship Id="rId5" Type="http://schemas.openxmlformats.org/officeDocument/2006/relationships/hyperlink" Target="https://www.sec.gov/Archives/edgar/data/1130310/000095012903001299/h03755exv4we10.txt" TargetMode="External"/><Relationship Id="rId6" Type="http://schemas.openxmlformats.org/officeDocument/2006/relationships/hyperlink" Target="https://www.sec.gov/Archives/edgar/data/48732/000095013409000323/h65378exv4w2.htm" TargetMode="External"/><Relationship Id="rId7" Type="http://schemas.openxmlformats.org/officeDocument/2006/relationships/hyperlink" Target="https://www.sec.gov/Archives/edgar/data/48732/000095013409000323/h65378exv4w2.htm" TargetMode="Externa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24431</Words>
  <Characters>127457</Characters>
  <CharactersWithSpaces>152946</CharactersWithSpaces>
  <Paragraphs>1333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