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ASSET-BACKED ISSUER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REPORT 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distribution period from</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15, 2025 to May 15, 2026</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of issuing entity: 333-270851-01</w:t>
      </w:r>
    </w:p>
    <w:p>
      <w:pPr>
        <w:spacing w:after="0" w:line="22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Central Index Key Number of issuing entity: 0001968445</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SIGECO SECURITIZATION I, LLC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Exact name of issuing entity as specified in its charter</w:t>
      </w:r>
      <w:r>
        <w:rPr>
          <w:rFonts w:ascii="Times New Roman" w:cs="Times New Roman" w:eastAsia="Times New Roman" w:hAnsi="Times New Roman"/>
          <w:sz w:val="18"/>
          <w:szCs w:val="18"/>
          <w:color w:val="auto"/>
        </w:rPr>
        <w:t>)</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of depositor and sponsor: 333-270851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Central Index Key Number of depositor and sponsor: 0000092195</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SOUTHERN INDIANA GAS AND ELECTRIC COMPANY</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Exact name of depositor and sponsor as specified in its charter</w:t>
      </w:r>
      <w:r>
        <w:rPr>
          <w:rFonts w:ascii="Times New Roman" w:cs="Times New Roman" w:eastAsia="Times New Roman" w:hAnsi="Times New Roman"/>
          <w:sz w:val="18"/>
          <w:szCs w:val="18"/>
          <w:color w:val="auto"/>
        </w:rPr>
        <w:t>)</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Kaydra Kirtz: (612) 743-3068</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Name and telephone number, including area code, of the person to contact in connection with this filing</w:t>
      </w:r>
      <w:r>
        <w:rPr>
          <w:rFonts w:ascii="Times New Roman" w:cs="Times New Roman" w:eastAsia="Times New Roman" w:hAnsi="Times New Roman"/>
          <w:sz w:val="17"/>
          <w:szCs w:val="17"/>
          <w:color w:val="auto"/>
        </w:rPr>
        <w:t>)</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 or other jurisdiction of incorporation or organization of the issuing entity</w:t>
      </w:r>
      <w:r>
        <w:rPr>
          <w:rFonts w:ascii="Times New Roman" w:cs="Times New Roman" w:eastAsia="Times New Roman" w:hAnsi="Times New Roman"/>
          <w:sz w:val="18"/>
          <w:szCs w:val="18"/>
          <w:color w:val="auto"/>
        </w:rPr>
        <w: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92-2762878</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I.R.S. Employer Identification No</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779" w:right="339" w:bottom="1440" w:gutter="0" w:footer="0" w:header="0"/>
        </w:sectPr>
      </w:pPr>
    </w:p>
    <w:p>
      <w:pPr>
        <w:spacing w:after="0" w:line="20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211 NW Riverside Drive, Suite 800-04</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Evansville, Indiana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 of the issuing entity)</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47708</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79" w:right="339" w:bottom="1440" w:gutter="0" w:footer="0" w:header="0"/>
          <w:type w:val="continuous"/>
        </w:sectPr>
      </w:pPr>
    </w:p>
    <w:p>
      <w:pPr>
        <w:spacing w:after="0" w:line="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(812) 207-5776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Telephone number, including area code</w:t>
      </w:r>
      <w:r>
        <w:rPr>
          <w:rFonts w:ascii="Times New Roman" w:cs="Times New Roman" w:eastAsia="Times New Roman" w:hAnsi="Times New Roman"/>
          <w:sz w:val="18"/>
          <w:szCs w:val="18"/>
          <w:color w:val="auto"/>
        </w:rPr>
        <w:t>)</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Registered/reporting pursuant to (check one)</w:t>
      </w:r>
    </w:p>
    <w:p>
      <w:pPr>
        <w:sectPr>
          <w:pgSz w:w="11900" w:h="16838" w:orient="portrait"/>
          <w:cols w:equalWidth="0" w:num="1">
            <w:col w:w="11240"/>
          </w:cols>
          <w:pgMar w:left="320" w:top="779" w:right="339" w:bottom="1440" w:gutter="0" w:footer="0" w:header="0"/>
          <w:type w:val="continuous"/>
        </w:sectPr>
      </w:pPr>
    </w:p>
    <w:p>
      <w:pPr>
        <w:spacing w:after="0" w:line="200" w:lineRule="exact"/>
        <w:rPr>
          <w:sz w:val="24"/>
          <w:szCs w:val="24"/>
          <w:color w:val="auto"/>
        </w:rPr>
      </w:pPr>
    </w:p>
    <w:p>
      <w:pPr>
        <w:spacing w:after="0" w:line="237"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3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color w:val="auto"/>
        </w:rPr>
        <w:t>Series 2023-A Senior Secured Securitization Bonds, Tranche A-1</w:t>
      </w:r>
    </w:p>
    <w:p>
      <w:pPr>
        <w:spacing w:after="0" w:line="2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color w:val="auto"/>
        </w:rPr>
        <w:t>Series 2023-A Senior Secured Securitization Bonds, Tranche A-2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12(g)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15(d)</w:t>
      </w:r>
    </w:p>
    <w:p>
      <w:pPr>
        <w:spacing w:after="0" w:line="43" w:lineRule="exact"/>
        <w:rPr>
          <w:sz w:val="24"/>
          <w:szCs w:val="24"/>
          <w:color w:val="auto"/>
        </w:rPr>
      </w:pPr>
    </w:p>
    <w:p>
      <w:pPr>
        <w:jc w:val="center"/>
        <w:spacing w:after="0" w:line="181" w:lineRule="exact"/>
        <w:rPr>
          <w:sz w:val="20"/>
          <w:szCs w:val="20"/>
          <w:color w:val="auto"/>
        </w:rPr>
      </w:pPr>
      <w:r>
        <w:rPr>
          <w:rFonts w:ascii="MS PGothic" w:cs="MS PGothic" w:eastAsia="MS PGothic" w:hAnsi="MS PGothic"/>
          <w:sz w:val="18"/>
          <w:szCs w:val="18"/>
          <w:color w:val="auto"/>
        </w:rPr>
        <w:t>☒</w:t>
      </w:r>
    </w:p>
    <w:p>
      <w:pPr>
        <w:spacing w:after="0" w:line="45" w:lineRule="exact"/>
        <w:rPr>
          <w:sz w:val="24"/>
          <w:szCs w:val="24"/>
          <w:color w:val="auto"/>
        </w:rPr>
      </w:pPr>
    </w:p>
    <w:p>
      <w:pPr>
        <w:jc w:val="cente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both"/>
        <w:ind w:right="120" w:hanging="49"/>
        <w:spacing w:after="0" w:line="317" w:lineRule="auto"/>
        <w:rPr>
          <w:sz w:val="20"/>
          <w:szCs w:val="20"/>
          <w:color w:val="auto"/>
        </w:rPr>
      </w:pPr>
      <w:r>
        <w:rPr>
          <w:rFonts w:ascii="Times New Roman" w:cs="Times New Roman" w:eastAsia="Times New Roman" w:hAnsi="Times New Roman"/>
          <w:sz w:val="17"/>
          <w:szCs w:val="17"/>
          <w:b w:val="1"/>
          <w:bCs w:val="1"/>
          <w:color w:val="auto"/>
        </w:rPr>
        <w:t>Name of exchange (If Section 12(b))</w:t>
      </w:r>
    </w:p>
    <w:p>
      <w:pPr>
        <w:spacing w:after="0" w:line="549" w:lineRule="exact"/>
        <w:rPr>
          <w:sz w:val="24"/>
          <w:szCs w:val="24"/>
          <w:color w:val="auto"/>
        </w:rPr>
      </w:pPr>
    </w:p>
    <w:p>
      <w:pPr>
        <w:sectPr>
          <w:pgSz w:w="11900" w:h="16838" w:orient="portrait"/>
          <w:cols w:equalWidth="0" w:num="5">
            <w:col w:w="5140" w:space="460"/>
            <w:col w:w="1020" w:space="400"/>
            <w:col w:w="1000" w:space="400"/>
            <w:col w:w="1000" w:space="360"/>
            <w:col w:w="1460"/>
          </w:cols>
          <w:pgMar w:left="320" w:top="779" w:right="339" w:bottom="1440" w:gutter="0" w:footer="0" w:header="0"/>
          <w:type w:val="continuous"/>
        </w:sectPr>
      </w:pPr>
    </w:p>
    <w:p>
      <w:pPr>
        <w:spacing w:after="0" w:line="18"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jc w:val="center"/>
        <w:spacing w:after="0" w:line="207" w:lineRule="exact"/>
        <w:tabs>
          <w:tab w:leader="none" w:pos="260" w:val="left"/>
          <w:tab w:leader="none" w:pos="200" w:val="left"/>
          <w:tab w:leader="none" w:pos="2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ind w:left="3900"/>
        <w:spacing w:after="0"/>
        <w:rPr>
          <w:sz w:val="20"/>
          <w:szCs w:val="20"/>
          <w:color w:val="auto"/>
        </w:rPr>
      </w:pPr>
      <w:r>
        <w:rPr>
          <w:rFonts w:ascii="Times New Roman" w:cs="Times New Roman" w:eastAsia="Times New Roman" w:hAnsi="Times New Roman"/>
          <w:sz w:val="18"/>
          <w:szCs w:val="18"/>
          <w:b w:val="1"/>
          <w:bCs w:val="1"/>
          <w:color w:val="auto"/>
        </w:rPr>
        <w:t>PART I - DISTRIBUTION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Distribution and Pool Performance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response to Item 1 is set forth in part herein and in part in Exhibit 99.1.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 date for distributions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interest and scheduled principal payments) described in Exhibit 99.1 is May 14, 2026.</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Introductory and explanatory information regarding the material terms, parties and distributions described in Exhibit 99.1 is included in the Prospectus dated June 21, 2023, of SIGECO Securitization I, LLC (the “Issuing Entity”) relating to its Series 2023-A Senior Secured Securitization Bonds (the “Bonds”) filed with the Securities and Exchange Commission (“SEC”) pursuant to Rule 424(b)(4) of the Securities Act of 1933, as amended, on June 23, 2023.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indicated in Exhibit 99.1, all required interest and scheduled principal payments on the Bonds have been made with respect to the May 15, 2026 distribution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items have been omitted pursuant to General Instruction C of Form 10-D:</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1A. Asset-Level Information.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1B. Asset Representations Reviewer and Investor Communication.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Sales of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items have been omitted pursuant to General Instruction C of Form 10-D:</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4. Defaults Upon Senior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6. Significant Obligors of Pool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7. Change in Sponsor Interest in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8. Significant Enhancement Provider Information.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9.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 Exhibits.</w:t>
      </w:r>
    </w:p>
    <w:p>
      <w:pPr>
        <w:spacing w:after="0" w:line="229"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a part of this report (exhibits marked with an asterisk are filed herewith):</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*99.1   Semi-annual Servicer’s Certificate relating to the Bonds dated May 8, 2026.</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by this Form and Item 601 of Regulation S-K (exhibits marked with an asterisk are filed herewith; all exhibits not so designated are incorporated by reference to a prior filing):</w:t>
      </w:r>
    </w:p>
    <w:p>
      <w:pPr>
        <w:spacing w:after="0" w:line="161" w:lineRule="exact"/>
        <w:rPr>
          <w:rFonts w:ascii="Times New Roman" w:cs="Times New Roman" w:eastAsia="Times New Roman" w:hAnsi="Times New Roman"/>
          <w:sz w:val="18"/>
          <w:szCs w:val="18"/>
          <w:color w:val="auto"/>
        </w:rPr>
      </w:pPr>
    </w:p>
    <w:p>
      <w:pPr>
        <w:ind w:left="1300" w:hanging="648"/>
        <w:spacing w:after="0" w:line="266" w:lineRule="auto"/>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3.1</w:t>
        </w:r>
      </w:hyperlink>
      <w:hyperlink r:id="rId16">
        <w:r>
          <w:rPr>
            <w:rFonts w:ascii="Times New Roman" w:cs="Times New Roman" w:eastAsia="Times New Roman" w:hAnsi="Times New Roman"/>
            <w:sz w:val="18"/>
            <w:szCs w:val="18"/>
            <w:u w:val="single" w:color="auto"/>
            <w:color w:val="0000EE"/>
          </w:rPr>
          <w:t>Certificate of Formation of SIGECO Securitization I, LLC filed with the Delaware Secretary of State on February 16, 2023 (incorporated</w:t>
        </w:r>
      </w:hyperlink>
      <w:r>
        <w:rPr>
          <w:rFonts w:ascii="Times New Roman" w:cs="Times New Roman" w:eastAsia="Times New Roman" w:hAnsi="Times New Roman"/>
          <w:sz w:val="18"/>
          <w:szCs w:val="18"/>
          <w:u w:val="single" w:color="auto"/>
          <w:color w:val="0000EE"/>
        </w:rPr>
        <w:t xml:space="preserve"> </w:t>
      </w:r>
      <w:hyperlink r:id="rId16">
        <w:r>
          <w:rPr>
            <w:rFonts w:ascii="Times New Roman" w:cs="Times New Roman" w:eastAsia="Times New Roman" w:hAnsi="Times New Roman"/>
            <w:sz w:val="18"/>
            <w:szCs w:val="18"/>
            <w:u w:val="single" w:color="auto"/>
            <w:color w:val="0000EE"/>
          </w:rPr>
          <w:t>by reference to exhibit 3.1 included as an exhibit to the Issuing Entity’s Registration Statement on Form SF-1 filed March 24, 2023</w:t>
        </w:r>
      </w:hyperlink>
      <w:r>
        <w:rPr>
          <w:rFonts w:ascii="Times New Roman" w:cs="Times New Roman" w:eastAsia="Times New Roman" w:hAnsi="Times New Roman"/>
          <w:sz w:val="18"/>
          <w:szCs w:val="18"/>
          <w:u w:val="single" w:color="auto"/>
          <w:color w:val="0000EE"/>
        </w:rPr>
        <w:t xml:space="preserve"> </w:t>
      </w:r>
      <w:hyperlink r:id="rId16">
        <w:r>
          <w:rPr>
            <w:rFonts w:ascii="Times New Roman" w:cs="Times New Roman" w:eastAsia="Times New Roman" w:hAnsi="Times New Roman"/>
            <w:sz w:val="18"/>
            <w:szCs w:val="18"/>
            <w:u w:val="single" w:color="auto"/>
            <w:color w:val="0000EE"/>
          </w:rPr>
          <w:t>(Registration No. 333-270851-01)).</w:t>
        </w:r>
      </w:hyperlink>
    </w:p>
    <w:p>
      <w:pPr>
        <w:spacing w:after="0" w:line="175" w:lineRule="exact"/>
        <w:rPr>
          <w:rFonts w:ascii="Times New Roman" w:cs="Times New Roman" w:eastAsia="Times New Roman" w:hAnsi="Times New Roman"/>
          <w:sz w:val="18"/>
          <w:szCs w:val="18"/>
          <w:u w:val="single" w:color="auto"/>
          <w:color w:val="0000EE"/>
        </w:rPr>
      </w:pPr>
    </w:p>
    <w:p>
      <w:pPr>
        <w:ind w:left="1300" w:hanging="648"/>
        <w:spacing w:after="0" w:line="266" w:lineRule="auto"/>
        <w:rPr>
          <w:rFonts w:ascii="Times New Roman" w:cs="Times New Roman" w:eastAsia="Times New Roman" w:hAnsi="Times New Roman"/>
          <w:sz w:val="18"/>
          <w:szCs w:val="18"/>
          <w:u w:val="single" w:color="auto"/>
          <w:color w:val="0000EE"/>
        </w:rPr>
      </w:pPr>
      <w:hyperlink r:id="rId17">
        <w:r>
          <w:rPr>
            <w:rFonts w:ascii="Times New Roman" w:cs="Times New Roman" w:eastAsia="Times New Roman" w:hAnsi="Times New Roman"/>
            <w:sz w:val="18"/>
            <w:szCs w:val="18"/>
            <w:u w:val="single" w:color="auto"/>
            <w:color w:val="0000EE"/>
          </w:rPr>
          <w:t>3.2</w:t>
        </w:r>
      </w:hyperlink>
      <w:hyperlink r:id="rId17">
        <w:r>
          <w:rPr>
            <w:rFonts w:ascii="Times New Roman" w:cs="Times New Roman" w:eastAsia="Times New Roman" w:hAnsi="Times New Roman"/>
            <w:sz w:val="18"/>
            <w:szCs w:val="18"/>
            <w:u w:val="single" w:color="auto"/>
            <w:color w:val="0000EE"/>
          </w:rPr>
          <w:t>Amended and Restated Limited Liability Company Agreement of SIGECO Securitization I, LLC dated as of June 29, 2023 (incorporated</w:t>
        </w:r>
      </w:hyperlink>
      <w:r>
        <w:rPr>
          <w:rFonts w:ascii="Times New Roman" w:cs="Times New Roman" w:eastAsia="Times New Roman" w:hAnsi="Times New Roman"/>
          <w:sz w:val="18"/>
          <w:szCs w:val="18"/>
          <w:u w:val="single" w:color="auto"/>
          <w:color w:val="0000EE"/>
        </w:rPr>
        <w:t xml:space="preserve"> </w:t>
      </w:r>
      <w:hyperlink r:id="rId17">
        <w:r>
          <w:rPr>
            <w:rFonts w:ascii="Times New Roman" w:cs="Times New Roman" w:eastAsia="Times New Roman" w:hAnsi="Times New Roman"/>
            <w:sz w:val="18"/>
            <w:szCs w:val="18"/>
            <w:u w:val="single" w:color="auto"/>
            <w:color w:val="0000EE"/>
          </w:rPr>
          <w:t>by reference to exhibit 3.1 included as an exhibit to the Issuing Entity’s Current Report on Form 8-K filed June 29, 2023 (File No. 333-</w:t>
        </w:r>
      </w:hyperlink>
      <w:hyperlink r:id="rId17">
        <w:r>
          <w:rPr>
            <w:rFonts w:ascii="Times New Roman" w:cs="Times New Roman" w:eastAsia="Times New Roman" w:hAnsi="Times New Roman"/>
            <w:sz w:val="18"/>
            <w:szCs w:val="18"/>
            <w:u w:val="single" w:color="auto"/>
            <w:color w:val="0000EE"/>
          </w:rPr>
          <w:t>270851-01)).</w:t>
        </w:r>
      </w:hyperlink>
    </w:p>
    <w:p>
      <w:pPr>
        <w:spacing w:after="0" w:line="175" w:lineRule="exact"/>
        <w:rPr>
          <w:rFonts w:ascii="Times New Roman" w:cs="Times New Roman" w:eastAsia="Times New Roman" w:hAnsi="Times New Roman"/>
          <w:sz w:val="18"/>
          <w:szCs w:val="18"/>
          <w:u w:val="single" w:color="auto"/>
          <w:color w:val="0000EE"/>
        </w:rPr>
      </w:pPr>
    </w:p>
    <w:p>
      <w:pPr>
        <w:ind w:left="1300" w:hanging="648"/>
        <w:spacing w:after="0" w:line="261" w:lineRule="auto"/>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4.1</w:t>
        </w:r>
      </w:hyperlink>
      <w:hyperlink r:id="rId18">
        <w:r>
          <w:rPr>
            <w:rFonts w:ascii="Times New Roman" w:cs="Times New Roman" w:eastAsia="Times New Roman" w:hAnsi="Times New Roman"/>
            <w:sz w:val="18"/>
            <w:szCs w:val="18"/>
            <w:u w:val="single" w:color="auto"/>
            <w:color w:val="0000EE"/>
          </w:rPr>
          <w:t>Indenture by and among SIGECO Securitization I, LLC, U.S. Bank Trust Company, National Association, as Indenture Trustee, and U.S.</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Bank National Association, as Securities Intermediary (including the forms of the Issuing Entity’s Series 2023-A Senior Secured</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Securitization Bonds and the Series Supplement) dated as of June 29, 2023 (incorporated by reference to exhibit 4.1 included as an</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exhibit to the Issuing Entity’s Current Report on Form 8-K filed June 29, 2023 (File No. 333-270851-01)).</w:t>
        </w:r>
      </w:hyperlink>
    </w:p>
    <w:p>
      <w:pPr>
        <w:spacing w:after="0" w:line="179" w:lineRule="exact"/>
        <w:rPr>
          <w:rFonts w:ascii="Times New Roman" w:cs="Times New Roman" w:eastAsia="Times New Roman" w:hAnsi="Times New Roman"/>
          <w:sz w:val="18"/>
          <w:szCs w:val="18"/>
          <w:u w:val="single" w:color="auto"/>
          <w:color w:val="0000EE"/>
        </w:rPr>
      </w:pPr>
    </w:p>
    <w:p>
      <w:pPr>
        <w:ind w:left="1300" w:hanging="648"/>
        <w:spacing w:after="0" w:line="266" w:lineRule="auto"/>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4.2</w:t>
        </w:r>
      </w:hyperlink>
      <w:hyperlink r:id="rId19">
        <w:r>
          <w:rPr>
            <w:rFonts w:ascii="Times New Roman" w:cs="Times New Roman" w:eastAsia="Times New Roman" w:hAnsi="Times New Roman"/>
            <w:sz w:val="18"/>
            <w:szCs w:val="18"/>
            <w:u w:val="single" w:color="auto"/>
            <w:color w:val="0000EE"/>
          </w:rPr>
          <w:t>Series Supplement between SIGECO Securitization I, LLC and U.S. Bank Trust Company, National Association, as Indenture Trustee,</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dated as of June 29, 2023 (incorporated by reference to exhibit 4.2 included as an exhibit to the Issuing Entity’s Current Report on</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Form 8-K filed June 29, 2023 (File No. 333-270851-01)).</w:t>
        </w:r>
      </w:hyperlink>
    </w:p>
    <w:p>
      <w:pPr>
        <w:spacing w:after="0" w:line="175" w:lineRule="exact"/>
        <w:rPr>
          <w:rFonts w:ascii="Times New Roman" w:cs="Times New Roman" w:eastAsia="Times New Roman" w:hAnsi="Times New Roman"/>
          <w:sz w:val="18"/>
          <w:szCs w:val="18"/>
          <w:u w:val="single" w:color="auto"/>
          <w:color w:val="0000EE"/>
        </w:rPr>
      </w:pPr>
    </w:p>
    <w:p>
      <w:pPr>
        <w:ind w:left="1300" w:hanging="648"/>
        <w:spacing w:after="0" w:line="266" w:lineRule="auto"/>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10.1</w:t>
        </w:r>
      </w:hyperlink>
      <w:hyperlink r:id="rId20">
        <w:r>
          <w:rPr>
            <w:rFonts w:ascii="Times New Roman" w:cs="Times New Roman" w:eastAsia="Times New Roman" w:hAnsi="Times New Roman"/>
            <w:sz w:val="18"/>
            <w:szCs w:val="18"/>
            <w:u w:val="single" w:color="auto"/>
            <w:color w:val="0000EE"/>
          </w:rPr>
          <w:t>Securitization Property Servicing Agreement between SIGECO Securitization I, LLC and Southern Indiana Gas and Electric Company,</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as Servicer, dated as of June 29, 2023 (incorporated by reference to exhibit 10.1 included as an exhibit to the Issuing Entity’s Current</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Report on Form 8-K filed June 29, 2023 (File No. 333-270851-01)).</w:t>
        </w:r>
      </w:hyperlink>
    </w:p>
    <w:p>
      <w:pPr>
        <w:spacing w:after="0" w:line="175" w:lineRule="exact"/>
        <w:rPr>
          <w:rFonts w:ascii="Times New Roman" w:cs="Times New Roman" w:eastAsia="Times New Roman" w:hAnsi="Times New Roman"/>
          <w:sz w:val="18"/>
          <w:szCs w:val="18"/>
          <w:u w:val="single" w:color="auto"/>
          <w:color w:val="0000EE"/>
        </w:rPr>
      </w:pPr>
    </w:p>
    <w:p>
      <w:pPr>
        <w:ind w:left="1300" w:hanging="648"/>
        <w:spacing w:after="0" w:line="266" w:lineRule="auto"/>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10.2</w:t>
        </w:r>
      </w:hyperlink>
      <w:hyperlink r:id="rId21">
        <w:r>
          <w:rPr>
            <w:rFonts w:ascii="Times New Roman" w:cs="Times New Roman" w:eastAsia="Times New Roman" w:hAnsi="Times New Roman"/>
            <w:sz w:val="18"/>
            <w:szCs w:val="18"/>
            <w:u w:val="single" w:color="auto"/>
            <w:color w:val="0000EE"/>
          </w:rPr>
          <w:t>Securitization Property Purchase and Sale Agreement between SIGECO Securitization I, LLC and Southern Indiana Gas and Electric</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Company, as Seller, dated as of June 29, 2023 (incorporated by reference to exhibit 10.2 included as an exhibit to the Issuing Entity’s</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Current Report on Form 8-K filed June 29, 2023 (File No. 333-270851-01)).</w:t>
        </w:r>
      </w:hyperlink>
    </w:p>
    <w:p>
      <w:pPr>
        <w:spacing w:after="0" w:line="175" w:lineRule="exact"/>
        <w:rPr>
          <w:rFonts w:ascii="Times New Roman" w:cs="Times New Roman" w:eastAsia="Times New Roman" w:hAnsi="Times New Roman"/>
          <w:sz w:val="18"/>
          <w:szCs w:val="18"/>
          <w:u w:val="single" w:color="auto"/>
          <w:color w:val="0000EE"/>
        </w:rPr>
      </w:pPr>
    </w:p>
    <w:p>
      <w:pPr>
        <w:ind w:left="1300" w:right="20" w:hanging="648"/>
        <w:spacing w:after="0" w:line="266" w:lineRule="auto"/>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10.3</w:t>
        </w:r>
      </w:hyperlink>
      <w:hyperlink r:id="rId22">
        <w:r>
          <w:rPr>
            <w:rFonts w:ascii="Times New Roman" w:cs="Times New Roman" w:eastAsia="Times New Roman" w:hAnsi="Times New Roman"/>
            <w:sz w:val="18"/>
            <w:szCs w:val="18"/>
            <w:u w:val="single" w:color="auto"/>
            <w:color w:val="0000EE"/>
          </w:rPr>
          <w:t>Administration Agreement between SIGECO Securitization I, LLC and Southern Indiana Gas and Electric Company, as Administrator,</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dated as of June 29, 2023 (incorporated by reference to exhibit 10.3 included as an exhibit to the Issuing Entity’s Current Report on</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Form 8-K filed June 29, 2023 (File No. 333-270851-01)).</w:t>
        </w:r>
      </w:hyperlink>
    </w:p>
    <w:p>
      <w:pPr>
        <w:spacing w:after="0" w:line="175"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*99.1   Semi-annual Servicer’s Certificate relating to the Bonds dated May 8, 2026.</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SOUTHERN INDIANA GAS AND ELECTRIC COMPANY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(Depositor)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Kaydra Kirtz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Kaydra Kirtz</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Assistant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Semiannual Servicer’s Certificate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SIGECO Securitization I,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$341,450,000 Series 2023-A Senior Secured Securitization Bonds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4.01(c)(ii) of the Securitization Property Servicing Agreement, dated as of June 29, 2023, by and between</w:t>
      </w:r>
    </w:p>
    <w:p>
      <w:pPr>
        <w:spacing w:after="0" w:line="27" w:lineRule="exact"/>
        <w:rPr>
          <w:sz w:val="20"/>
          <w:szCs w:val="20"/>
          <w:color w:val="auto"/>
        </w:rPr>
      </w:pPr>
    </w:p>
    <w:p>
      <w:pPr>
        <w:jc w:val="center"/>
        <w:ind w:left="340" w:right="140"/>
        <w:spacing w:after="0" w:line="255" w:lineRule="auto"/>
        <w:rPr>
          <w:sz w:val="20"/>
          <w:szCs w:val="20"/>
          <w:color w:val="auto"/>
        </w:rPr>
      </w:pPr>
      <w:r>
        <w:rPr>
          <w:rFonts w:ascii="Times New Roman" w:cs="Times New Roman" w:eastAsia="Times New Roman" w:hAnsi="Times New Roman"/>
          <w:sz w:val="18"/>
          <w:szCs w:val="18"/>
          <w:color w:val="auto"/>
        </w:rPr>
        <w:t xml:space="preserve">SOUTHERN INDIANA GAS AND ELECTRIC COMPANY d/b/a CenterPoint Energy Indiana South, as Servicer, and SIGECO SECURITIZATION I, LLC, as Issuer (the “Servicing Agreement”), the Servicer does hereby certify, for the </w:t>
      </w:r>
      <w:r>
        <w:rPr>
          <w:rFonts w:ascii="Times New Roman" w:cs="Times New Roman" w:eastAsia="Times New Roman" w:hAnsi="Times New Roman"/>
          <w:sz w:val="18"/>
          <w:szCs w:val="18"/>
          <w:b w:val="1"/>
          <w:bCs w:val="1"/>
          <w:color w:val="auto"/>
        </w:rPr>
        <w:t>May 15, 2026</w:t>
      </w:r>
      <w:r>
        <w:rPr>
          <w:rFonts w:ascii="Times New Roman" w:cs="Times New Roman" w:eastAsia="Times New Roman" w:hAnsi="Times New Roman"/>
          <w:sz w:val="18"/>
          <w:szCs w:val="18"/>
          <w:color w:val="auto"/>
        </w:rPr>
        <w:t xml:space="preserve"> Payment Date (the “Current Payment Date”), as follows:</w:t>
      </w:r>
    </w:p>
    <w:p>
      <w:pPr>
        <w:spacing w:after="0" w:line="186" w:lineRule="exact"/>
        <w:rPr>
          <w:sz w:val="20"/>
          <w:szCs w:val="20"/>
          <w:color w:val="auto"/>
        </w:rPr>
      </w:pPr>
    </w:p>
    <w:p>
      <w:pPr>
        <w:jc w:val="center"/>
        <w:ind w:left="340" w:right="100"/>
        <w:spacing w:after="0" w:line="266" w:lineRule="auto"/>
        <w:rPr>
          <w:sz w:val="20"/>
          <w:szCs w:val="20"/>
          <w:color w:val="auto"/>
        </w:rPr>
      </w:pPr>
      <w:r>
        <w:rPr>
          <w:rFonts w:ascii="Times New Roman" w:cs="Times New Roman" w:eastAsia="Times New Roman" w:hAnsi="Times New Roman"/>
          <w:sz w:val="18"/>
          <w:szCs w:val="18"/>
          <w:color w:val="auto"/>
        </w:rPr>
        <w:t>Capitalized terms used but not defined in this Semi-Annual Servicer’s Certificate have their respective meanings as set forth in the Servicing Agreement. References herein to certain sections and subsections are references to the respective sections of the the Servicing Agreement or the Indenture, as the context indicates.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Collection Periods: November 8, 2025 to May 8, 2026</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Payment Date: May 15,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Cut-off Date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May 8, 2026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(a)</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Available amounts on deposit in Collection Account (including Excess Funds Subaccount) as of the Cut-Off Date: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19,347,199.96</w:t>
            </w:r>
          </w:p>
        </w:tc>
      </w:tr>
      <w:tr>
        <w:trPr>
          <w:trHeight w:val="234"/>
        </w:trPr>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(b)</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Actual Remittances from the date in (a) above through the Servicer Business Day preceding the Current Payment Date: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28"/>
        </w:trPr>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(c)</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amounts available to the Trustee for payment of the Securitization Bonds and Ongoing Financing Costs: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19,347,199.96</w:t>
            </w:r>
          </w:p>
        </w:tc>
        <w:tc>
          <w:tcPr>
            <w:tcW w:w="20" w:type="dxa"/>
            <w:vAlign w:val="bottom"/>
          </w:tcPr>
          <w:p>
            <w:pPr>
              <w:spacing w:after="0"/>
              <w:rPr>
                <w:sz w:val="19"/>
                <w:szCs w:val="19"/>
                <w:color w:val="auto"/>
              </w:rPr>
            </w:pPr>
          </w:p>
        </w:tc>
      </w:tr>
    </w:tbl>
    <w:p>
      <w:pPr>
        <w:spacing w:after="0" w:line="69" w:lineRule="exact"/>
        <w:rPr>
          <w:sz w:val="20"/>
          <w:szCs w:val="20"/>
          <w:color w:val="auto"/>
        </w:rPr>
      </w:pPr>
    </w:p>
    <w:p>
      <w:pPr>
        <w:ind w:left="920" w:hanging="116"/>
        <w:spacing w:after="0"/>
        <w:tabs>
          <w:tab w:leader="none" w:pos="9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Cut-Off Date not to be more than 5 business days prior to the date of the certificate.</w:t>
      </w:r>
    </w:p>
    <w:p>
      <w:pPr>
        <w:spacing w:after="0" w:line="194" w:lineRule="exact"/>
        <w:rPr>
          <w:sz w:val="20"/>
          <w:szCs w:val="20"/>
          <w:color w:val="auto"/>
        </w:rPr>
      </w:pPr>
    </w:p>
    <w:p>
      <w:pPr>
        <w:ind w:left="240" w:hanging="232"/>
        <w:spacing w:after="0" w:line="286" w:lineRule="auto"/>
        <w:tabs>
          <w:tab w:leader="none" w:pos="2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Allocation of available amounts as of the Current Payment Date allocable to payment of principal and interest on the Securitization Bonds on the Current Payment Date:</w:t>
      </w:r>
    </w:p>
    <w:p>
      <w:pPr>
        <w:spacing w:after="0" w:line="159" w:lineRule="exact"/>
        <w:rPr>
          <w:sz w:val="20"/>
          <w:szCs w:val="20"/>
          <w:color w:val="auto"/>
        </w:rPr>
      </w:pPr>
    </w:p>
    <w:p>
      <w:pPr>
        <w:ind w:left="920" w:hanging="683"/>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w:t>
      </w:r>
    </w:p>
    <w:p>
      <w:pPr>
        <w:spacing w:after="0" w:line="18"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6,749,278.00</w:t>
            </w:r>
          </w:p>
        </w:tc>
      </w:tr>
      <w:tr>
        <w:trPr>
          <w:trHeight w:val="234"/>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0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iii.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6,749,278.00</w:t>
            </w:r>
          </w:p>
        </w:tc>
      </w:tr>
      <w:tr>
        <w:trPr>
          <w:trHeight w:val="20"/>
        </w:trPr>
        <w:tc>
          <w:tcPr>
            <w:tcW w:w="2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920" w:hanging="683"/>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w:t>
      </w:r>
    </w:p>
    <w:p>
      <w:pPr>
        <w:spacing w:after="0" w:line="18"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4,651,682.44</w:t>
            </w:r>
          </w:p>
        </w:tc>
      </w:tr>
      <w:tr>
        <w:trPr>
          <w:trHeight w:val="24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3,269,997.00</w:t>
            </w:r>
          </w:p>
        </w:tc>
      </w:tr>
      <w:tr>
        <w:trPr>
          <w:trHeight w:val="210"/>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iii.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7,921,679.44</w:t>
            </w:r>
          </w:p>
        </w:tc>
      </w:tr>
      <w:tr>
        <w:trPr>
          <w:trHeight w:val="20"/>
        </w:trPr>
        <w:tc>
          <w:tcPr>
            <w:tcW w:w="2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left="240" w:hanging="232"/>
        <w:spacing w:after="0" w:line="262" w:lineRule="auto"/>
        <w:tabs>
          <w:tab w:leader="none" w:pos="2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Outstanding amount of the Securitization Bonds prior to, and after giving effect to the payment on the Current Payment Date and the difference, if any, between the Outstanding Amount specified in the Expected Amortization Schedule (after giving effect to payments to be made on such Payment Date under 1a above) and the expected principal balance to be Outstanding (following payment on the Current Payment Date):</w:t>
      </w:r>
    </w:p>
    <w:p>
      <w:pPr>
        <w:spacing w:after="0" w:line="180" w:lineRule="exact"/>
        <w:rPr>
          <w:sz w:val="20"/>
          <w:szCs w:val="20"/>
          <w:color w:val="auto"/>
        </w:rPr>
      </w:pPr>
    </w:p>
    <w:p>
      <w:pPr>
        <w:ind w:left="920" w:hanging="683"/>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principal balance Outstanding (as of the date of this certification):</w:t>
      </w:r>
    </w:p>
    <w:p>
      <w:pPr>
        <w:spacing w:after="0" w:line="18"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185,104,753.00</w:t>
            </w:r>
          </w:p>
        </w:tc>
        <w:tc>
          <w:tcPr>
            <w:tcW w:w="20" w:type="dxa"/>
            <w:vAlign w:val="bottom"/>
          </w:tcPr>
          <w:p>
            <w:pPr>
              <w:spacing w:after="0"/>
              <w:rPr>
                <w:sz w:val="18"/>
                <w:szCs w:val="18"/>
                <w:color w:val="auto"/>
              </w:rPr>
            </w:pPr>
          </w:p>
        </w:tc>
      </w:tr>
      <w:tr>
        <w:trPr>
          <w:trHeight w:val="234"/>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126,450,000.00</w:t>
            </w:r>
          </w:p>
        </w:tc>
        <w:tc>
          <w:tcPr>
            <w:tcW w:w="20" w:type="dxa"/>
            <w:vAlign w:val="bottom"/>
          </w:tcPr>
          <w:p>
            <w:pPr>
              <w:spacing w:after="0"/>
              <w:rPr>
                <w:sz w:val="20"/>
                <w:szCs w:val="20"/>
                <w:color w:val="auto"/>
              </w:rPr>
            </w:pPr>
          </w:p>
        </w:tc>
      </w:tr>
      <w:tr>
        <w:trPr>
          <w:trHeight w:val="20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iii.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311,554,753.00</w:t>
            </w:r>
          </w:p>
        </w:tc>
        <w:tc>
          <w:tcPr>
            <w:tcW w:w="20" w:type="dxa"/>
            <w:vAlign w:val="bottom"/>
            <w:tcBorders>
              <w:bottom w:val="single" w:sz="8" w:color="auto"/>
            </w:tcBorders>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683"/>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principal balance to be Outstanding (following payment on the Current Payment Date):</w:t>
      </w:r>
    </w:p>
    <w:p>
      <w:pPr>
        <w:spacing w:after="0" w:line="18"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178,355,475.00</w:t>
            </w:r>
          </w:p>
        </w:tc>
      </w:tr>
      <w:tr>
        <w:trPr>
          <w:trHeight w:val="234"/>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126,450,000.00</w:t>
            </w:r>
          </w:p>
        </w:tc>
      </w:tr>
      <w:tr>
        <w:trPr>
          <w:trHeight w:val="20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iii.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304,805,475.00</w:t>
            </w:r>
          </w:p>
        </w:tc>
      </w:tr>
      <w:tr>
        <w:trPr>
          <w:trHeight w:val="20"/>
        </w:trPr>
        <w:tc>
          <w:tcPr>
            <w:tcW w:w="2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920" w:hanging="683"/>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 between (b) above and Outstanding Amount specified in Expected Amortization Schedule:</w:t>
      </w:r>
    </w:p>
    <w:p>
      <w:pPr>
        <w:spacing w:after="0" w:line="18"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iii.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240" w:right="520" w:hanging="232"/>
        <w:spacing w:after="0" w:line="286" w:lineRule="auto"/>
        <w:tabs>
          <w:tab w:leader="none" w:pos="2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 other transfers to be made on the Current Payment Date, including amounts to be paid to the Trustee and to the Servicer pursuant to Section 8.02(e) of the Indenture:</w:t>
      </w:r>
    </w:p>
    <w:p>
      <w:pPr>
        <w:spacing w:after="0" w:line="159" w:lineRule="exact"/>
        <w:rPr>
          <w:sz w:val="20"/>
          <w:szCs w:val="20"/>
          <w:color w:val="auto"/>
        </w:rPr>
      </w:pPr>
    </w:p>
    <w:p>
      <w:pPr>
        <w:ind w:left="920" w:hanging="683"/>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Ongoing Financing Costs</w:t>
      </w:r>
    </w:p>
    <w:p>
      <w:pPr>
        <w:spacing w:after="0" w:line="18"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 Fees and Expenses (subject to $200,000 annual cap per Section 8.02(e)(i) of the Indenture):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8940" w:type="dxa"/>
            <w:vAlign w:val="bottom"/>
          </w:tcPr>
          <w:p>
            <w:pPr>
              <w:ind w:left="60"/>
              <w:spacing w:after="0" w:line="256" w:lineRule="exact"/>
              <w:rPr>
                <w:sz w:val="20"/>
                <w:szCs w:val="20"/>
                <w:color w:val="auto"/>
              </w:rPr>
            </w:pPr>
            <w:r>
              <w:rPr>
                <w:rFonts w:ascii="Times New Roman" w:cs="Times New Roman" w:eastAsia="Times New Roman" w:hAnsi="Times New Roman"/>
                <w:sz w:val="18"/>
                <w:szCs w:val="18"/>
                <w:color w:val="auto"/>
              </w:rPr>
              <w:t>Servicing Fee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400040"/>
              </w:rPr>
              <w:t>85,362.50</w:t>
            </w:r>
          </w:p>
        </w:tc>
      </w:tr>
      <w:tr>
        <w:trPr>
          <w:trHeight w:val="24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iii.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Issuer’s Fees: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iv.</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85,362.50</w:t>
            </w:r>
          </w:p>
        </w:tc>
      </w:tr>
      <w:tr>
        <w:trPr>
          <w:trHeight w:val="20"/>
        </w:trPr>
        <w:tc>
          <w:tcPr>
            <w:tcW w:w="2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920" w:hanging="683"/>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Ongoing Financing Costs and Payments</w:t>
      </w:r>
    </w:p>
    <w:p>
      <w:pPr>
        <w:spacing w:after="0" w:line="18"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Ongoing Financing Costs (payable pursuant to Section 8.02(e)(v) of the Indenture):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Funding of Capital Subaccount to the Required Capital Amount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22,422.77</w:t>
            </w:r>
          </w:p>
        </w:tc>
      </w:tr>
      <w:tr>
        <w:trPr>
          <w:trHeight w:val="216"/>
        </w:trPr>
        <w:tc>
          <w:tcPr>
            <w:tcW w:w="260" w:type="dxa"/>
            <w:vAlign w:val="bottom"/>
          </w:tcPr>
          <w:p>
            <w:pPr>
              <w:spacing w:after="0"/>
              <w:rPr>
                <w:sz w:val="18"/>
                <w:szCs w:val="18"/>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Any other unpaid Issuance Costs of the Issuer, any remaining fees, expenses and indemnity amounts owed to the Trustee</w:t>
            </w:r>
          </w:p>
        </w:tc>
        <w:tc>
          <w:tcPr>
            <w:tcW w:w="11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any</w:t>
            </w:r>
          </w:p>
        </w:tc>
        <w:tc>
          <w:tcPr>
            <w:tcW w:w="1120" w:type="dxa"/>
            <w:vAlign w:val="bottom"/>
          </w:tcPr>
          <w:p>
            <w:pPr>
              <w:spacing w:after="0"/>
              <w:rPr>
                <w:sz w:val="18"/>
                <w:szCs w:val="18"/>
                <w:color w:val="auto"/>
              </w:rPr>
            </w:pPr>
          </w:p>
        </w:tc>
      </w:tr>
      <w:tr>
        <w:trPr>
          <w:trHeight w:val="234"/>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iii.</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remaining indemnity amounts owed to the Issuer shall be paid to the parties to which such amounts, if any, are owed,</w:t>
            </w:r>
          </w:p>
        </w:tc>
        <w:tc>
          <w:tcPr>
            <w:tcW w:w="1120" w:type="dxa"/>
            <w:vAlign w:val="bottom"/>
          </w:tcPr>
          <w:p>
            <w:pPr>
              <w:spacing w:after="0"/>
              <w:rPr>
                <w:sz w:val="20"/>
                <w:szCs w:val="20"/>
                <w:color w:val="auto"/>
              </w:rPr>
            </w:pPr>
          </w:p>
        </w:tc>
      </w:tr>
    </w:tbl>
    <w:p>
      <w:pPr>
        <w:sectPr>
          <w:pgSz w:w="11900" w:h="16864" w:orient="portrait"/>
          <w:cols w:equalWidth="0" w:num="1">
            <w:col w:w="11240"/>
          </w:cols>
          <w:pgMar w:left="320" w:top="360" w:right="339" w:bottom="0" w:gutter="0" w:footer="0" w:header="0"/>
        </w:sectPr>
      </w:pPr>
    </w:p>
    <w:bookmarkStart w:id="5" w:name="page6"/>
    <w:bookmarkEnd w:id="5"/>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pursuant to</w:t>
            </w: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8.02(e)(viii) of the Indenture:</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5"/>
              </w:rPr>
              <w:t>iv.</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Deposits to Excess Funds Subaccount: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(2,102,974.72)</w:t>
            </w:r>
          </w:p>
        </w:tc>
        <w:tc>
          <w:tcPr>
            <w:tcW w:w="0" w:type="dxa"/>
            <w:vAlign w:val="bottom"/>
          </w:tcPr>
          <w:p>
            <w:pPr>
              <w:spacing w:after="0"/>
              <w:rPr>
                <w:sz w:val="1"/>
                <w:szCs w:val="1"/>
                <w:color w:val="auto"/>
              </w:rPr>
            </w:pPr>
          </w:p>
        </w:tc>
      </w:tr>
      <w:tr>
        <w:trPr>
          <w:trHeight w:val="20"/>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v.</w:t>
            </w:r>
          </w:p>
        </w:tc>
        <w:tc>
          <w:tcPr>
            <w:tcW w:w="8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vMerge w:val="continue"/>
          </w:tcPr>
          <w:p>
            <w:pPr>
              <w:spacing w:after="0"/>
              <w:rPr>
                <w:sz w:val="18"/>
                <w:szCs w:val="18"/>
                <w:color w:val="auto"/>
              </w:rPr>
            </w:pPr>
          </w:p>
        </w:tc>
        <w:tc>
          <w:tcPr>
            <w:tcW w:w="8940" w:type="dxa"/>
            <w:vAlign w:val="bottom"/>
            <w:vMerge w:val="continue"/>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(2,080,551.95)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right="20" w:hanging="116"/>
        <w:spacing w:after="0" w:line="195" w:lineRule="auto"/>
        <w:tabs>
          <w:tab w:leader="none" w:pos="92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Servicing fee includes 11/16/2025-5/15/2026 - based on 360-day year in which servicer performed duties: $341,450,000 x .05% x 180/360 = $85,362.50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Estimated amounts on deposit in the Capital Subaccount and Excess Funds Subaccount after giving effect to the foregoing payments:</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ind w:left="920" w:hanging="683"/>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Subaccount</w:t>
      </w:r>
    </w:p>
    <w:p>
      <w:pPr>
        <w:spacing w:after="0" w:line="36" w:lineRule="exact"/>
        <w:rPr>
          <w:rFonts w:ascii="Times New Roman" w:cs="Times New Roman" w:eastAsia="Times New Roman" w:hAnsi="Times New Roman"/>
          <w:sz w:val="18"/>
          <w:szCs w:val="18"/>
          <w:color w:val="auto"/>
        </w:rPr>
      </w:pPr>
    </w:p>
    <w:p>
      <w:pPr>
        <w:ind w:left="920" w:hanging="210"/>
        <w:spacing w:after="0"/>
        <w:tabs>
          <w:tab w:leader="none" w:pos="9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w:t>
      </w:r>
    </w:p>
    <w:p>
      <w:pPr>
        <w:spacing w:after="0" w:line="252"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Funds Subaccount</w:t>
      </w:r>
    </w:p>
    <w:p>
      <w:pPr>
        <w:spacing w:after="0" w:line="36" w:lineRule="exact"/>
        <w:rPr>
          <w:rFonts w:ascii="Times New Roman" w:cs="Times New Roman" w:eastAsia="Times New Roman" w:hAnsi="Times New Roman"/>
          <w:sz w:val="18"/>
          <w:szCs w:val="18"/>
          <w:color w:val="auto"/>
        </w:rPr>
      </w:pPr>
    </w:p>
    <w:p>
      <w:pPr>
        <w:ind w:left="920" w:hanging="210"/>
        <w:spacing w:after="0"/>
        <w:tabs>
          <w:tab w:leader="none" w:pos="9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w:t>
      </w:r>
    </w:p>
    <w:p>
      <w:pPr>
        <w:spacing w:after="0" w:line="275" w:lineRule="exact"/>
        <w:rPr>
          <w:sz w:val="20"/>
          <w:szCs w:val="20"/>
          <w:color w:val="auto"/>
        </w:rPr>
      </w:pPr>
    </w:p>
    <w:p>
      <w:pPr>
        <w:ind w:left="920" w:hanging="912"/>
        <w:spacing w:after="0"/>
        <w:tabs>
          <w:tab w:leader="none" w:pos="92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Collections Allocable and Aggregate Amounts Available for the Current Payment Date:</w:t>
      </w:r>
    </w:p>
    <w:p>
      <w:pPr>
        <w:spacing w:after="0" w:line="267" w:lineRule="exact"/>
        <w:rPr>
          <w:rFonts w:ascii="Times New Roman" w:cs="Times New Roman" w:eastAsia="Times New Roman" w:hAnsi="Times New Roman"/>
          <w:sz w:val="17"/>
          <w:szCs w:val="17"/>
          <w:b w:val="1"/>
          <w:bCs w:val="1"/>
          <w:color w:val="auto"/>
        </w:rPr>
      </w:pPr>
    </w:p>
    <w:p>
      <w:pPr>
        <w:ind w:left="920" w:hanging="683"/>
        <w:spacing w:after="0"/>
        <w:tabs>
          <w:tab w:leader="none" w:pos="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Remittances for the November 8 through November 30, 2025 Collection Period</w:t>
      </w:r>
    </w:p>
    <w:p>
      <w:pPr>
        <w:spacing w:after="0" w:line="27"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Remittances for the December 1 through December 31, 2025 Collection Period</w:t>
      </w:r>
    </w:p>
    <w:p>
      <w:pPr>
        <w:spacing w:after="0" w:line="9"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Remittances for the January 1 through January 31, 2026 Collection Period</w:t>
      </w:r>
    </w:p>
    <w:p>
      <w:pPr>
        <w:spacing w:after="0" w:line="9"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Remittances for the February 1 through February 28, 2026 Collection Period</w:t>
      </w:r>
    </w:p>
    <w:p>
      <w:pPr>
        <w:spacing w:after="0" w:line="9"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Remittances for the March 1 through March 31, 2026 Collection Period</w:t>
      </w:r>
    </w:p>
    <w:p>
      <w:pPr>
        <w:spacing w:after="0" w:line="9"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Remittances for the April 1 through April 30, 2026 Collection Period</w:t>
      </w:r>
    </w:p>
    <w:p>
      <w:pPr>
        <w:spacing w:after="0" w:line="9"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Remittances for the May 1 through May 8, 2026 Collection Period</w:t>
      </w:r>
    </w:p>
    <w:p>
      <w:pPr>
        <w:spacing w:after="0" w:line="9"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Earnings on General Subaccount</w:t>
      </w:r>
    </w:p>
    <w:p>
      <w:pPr>
        <w:spacing w:after="0" w:line="9" w:lineRule="exact"/>
        <w:rPr>
          <w:sz w:val="20"/>
          <w:szCs w:val="20"/>
          <w:color w:val="auto"/>
        </w:rPr>
      </w:pPr>
    </w:p>
    <w:p>
      <w:pPr>
        <w:ind w:left="920" w:hanging="683"/>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Subaccount Balance (sum of i through viii above)</w:t>
      </w:r>
    </w:p>
    <w:p>
      <w:pPr>
        <w:spacing w:after="0" w:line="220"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Earnings on Capital Subaccount</w:t>
      </w:r>
    </w:p>
    <w:p>
      <w:pPr>
        <w:spacing w:after="0" w:line="27"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Earnings on Excess Funds Subaccount</w:t>
      </w:r>
    </w:p>
    <w:p>
      <w:pPr>
        <w:spacing w:after="0" w:line="206"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Subaccount Balance as of prior Payment Date</w:t>
      </w:r>
    </w:p>
    <w:p>
      <w:pPr>
        <w:spacing w:after="0" w:line="221" w:lineRule="exact"/>
        <w:rPr>
          <w:sz w:val="20"/>
          <w:szCs w:val="20"/>
          <w:color w:val="auto"/>
        </w:rPr>
      </w:pPr>
    </w:p>
    <w:p>
      <w:pPr>
        <w:ind w:left="920" w:hanging="912"/>
        <w:spacing w:after="0"/>
        <w:tabs>
          <w:tab w:leader="none" w:pos="9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Outstanding Amounts as of prior Payment 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1,707,250.00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17145</wp:posOffset>
            </wp:positionV>
            <wp:extent cx="8483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1,707,250.00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14605</wp:posOffset>
            </wp:positionV>
            <wp:extent cx="8483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31750</wp:posOffset>
            </wp:positionV>
            <wp:extent cx="8483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2,662,045.51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17145</wp:posOffset>
            </wp:positionV>
            <wp:extent cx="848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2,662,045.51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14605</wp:posOffset>
            </wp:positionV>
            <wp:extent cx="8483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31750</wp:posOffset>
            </wp:positionV>
            <wp:extent cx="8483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1,573,834.27</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2,210,661.83</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1,946,073.76</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2,226,410.00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2,407,881.60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1,838,809.27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560,769.82</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88,762.47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5715</wp:posOffset>
            </wp:positionV>
            <wp:extent cx="8483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12,853,203.02</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21,726.72</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57,924.84</w:t>
      </w:r>
    </w:p>
    <w:p>
      <w:pPr>
        <w:spacing w:after="0" w:line="2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1,707,250.00</w:t>
      </w:r>
    </w:p>
    <w:p>
      <w:pPr>
        <w:spacing w:after="0" w:line="627" w:lineRule="exact"/>
        <w:rPr>
          <w:sz w:val="20"/>
          <w:szCs w:val="20"/>
          <w:color w:val="auto"/>
        </w:rPr>
      </w:pPr>
    </w:p>
    <w:p>
      <w:pPr>
        <w:sectPr>
          <w:pgSz w:w="11900" w:h="16838" w:orient="portrait"/>
          <w:cols w:equalWidth="0" w:num="2">
            <w:col w:w="9380" w:space="720"/>
            <w:col w:w="1140"/>
          </w:cols>
          <w:pgMar w:left="320" w:top="121" w:right="339" w:bottom="1440" w:gutter="0" w:footer="0" w:header="0"/>
          <w:type w:val="continuous"/>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w:t>
            </w:r>
          </w:p>
        </w:tc>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Tranche A-1 Outstanding Amount</w:t>
            </w:r>
          </w:p>
        </w:tc>
        <w:tc>
          <w:tcPr>
            <w:tcW w:w="4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185,104,753.00</w:t>
            </w:r>
          </w:p>
        </w:tc>
      </w:tr>
      <w:tr>
        <w:trPr>
          <w:trHeight w:val="234"/>
        </w:trPr>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ii.</w:t>
            </w:r>
          </w:p>
        </w:tc>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Tranche A-2 Outstanding Amount</w:t>
            </w:r>
          </w:p>
        </w:tc>
        <w:tc>
          <w:tcPr>
            <w:tcW w:w="4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126,450,000.00</w:t>
            </w:r>
          </w:p>
        </w:tc>
      </w:tr>
      <w:tr>
        <w:trPr>
          <w:trHeight w:val="675"/>
        </w:trPr>
        <w:tc>
          <w:tcPr>
            <w:tcW w:w="64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type w:val="continuous"/>
        </w:sectPr>
      </w:pPr>
    </w:p>
    <w:bookmarkStart w:id="6" w:name="page7"/>
    <w:bookmarkEnd w:id="6"/>
    <w:p>
      <w:pPr>
        <w:ind w:left="912" w:hanging="912"/>
        <w:spacing w:after="0"/>
        <w:tabs>
          <w:tab w:leader="none" w:pos="91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Required Funding/Payments as of Current Payment Date:</w:t>
      </w:r>
    </w:p>
    <w:p>
      <w:pPr>
        <w:spacing w:after="0" w:line="225" w:lineRule="exact"/>
        <w:rPr>
          <w:sz w:val="20"/>
          <w:szCs w:val="20"/>
          <w:color w:val="auto"/>
        </w:rPr>
      </w:pPr>
    </w:p>
    <w:tbl>
      <w:tblPr>
        <w:tblLayout w:type="fixed"/>
        <w:tblInd w:w="232" w:type="dxa"/>
        <w:tblCellMar>
          <w:top w:w="0" w:type="dxa"/>
          <w:left w:w="0" w:type="dxa"/>
          <w:bottom w:w="0" w:type="dxa"/>
          <w:right w:w="0" w:type="dxa"/>
        </w:tblCellMar>
      </w:tblPr>
      <w:tr>
        <w:trPr>
          <w:trHeight w:val="211"/>
        </w:trPr>
        <w:tc>
          <w:tcPr>
            <w:tcW w:w="440" w:type="dxa"/>
            <w:vAlign w:val="bottom"/>
          </w:tcPr>
          <w:p>
            <w:pPr>
              <w:spacing w:after="0"/>
              <w:rPr>
                <w:sz w:val="18"/>
                <w:szCs w:val="18"/>
                <w:color w:val="auto"/>
              </w:rPr>
            </w:pP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Principal</w:t>
            </w: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8"/>
              </w:rPr>
              <w:t>Principal Due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Securitization Bonds - Tranche A-1</w:t>
            </w: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gridSpan w:val="3"/>
          </w:tcPr>
          <w:p>
            <w:pPr>
              <w:spacing w:after="0"/>
              <w:rPr>
                <w:sz w:val="18"/>
                <w:szCs w:val="18"/>
                <w:color w:val="auto"/>
              </w:rPr>
            </w:pP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6,749,278.00</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Securitization Bonds - Tranche A-2</w:t>
            </w: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37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w w:val="98"/>
              </w:rPr>
              <w:t>Days in Interest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3720" w:type="dxa"/>
            <w:vAlign w:val="bottom"/>
            <w:vMerge w:val="continue"/>
          </w:tcPr>
          <w:p>
            <w:pPr>
              <w:spacing w:after="0"/>
              <w:rPr>
                <w:sz w:val="14"/>
                <w:szCs w:val="14"/>
                <w:color w:val="auto"/>
              </w:rPr>
            </w:pPr>
          </w:p>
        </w:tc>
        <w:tc>
          <w:tcPr>
            <w:tcW w:w="900" w:type="dxa"/>
            <w:vAlign w:val="bottom"/>
            <w:vMerge w:val="restart"/>
          </w:tcPr>
          <w:p>
            <w:pPr>
              <w:spacing w:after="0"/>
              <w:rPr>
                <w:sz w:val="14"/>
                <w:szCs w:val="14"/>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rPr>
              <w:t>Interest Rate</w:t>
            </w:r>
          </w:p>
        </w:tc>
        <w:tc>
          <w:tcPr>
            <w:tcW w:w="280" w:type="dxa"/>
            <w:vAlign w:val="bottom"/>
          </w:tcPr>
          <w:p>
            <w:pPr>
              <w:spacing w:after="0"/>
              <w:rPr>
                <w:sz w:val="14"/>
                <w:szCs w:val="14"/>
                <w:color w:val="auto"/>
              </w:rPr>
            </w:pPr>
          </w:p>
        </w:tc>
        <w:tc>
          <w:tcPr>
            <w:tcW w:w="800" w:type="dxa"/>
            <w:vAlign w:val="bottom"/>
            <w:tcBorders>
              <w:top w:val="single" w:sz="8" w:color="auto"/>
              <w:bottom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Period</w:t>
            </w: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4</w:t>
            </w:r>
          </w:p>
        </w:tc>
        <w:tc>
          <w:tcPr>
            <w:tcW w:w="260" w:type="dxa"/>
            <w:vAlign w:val="bottom"/>
            <w:tcBorders>
              <w:top w:val="single" w:sz="8" w:color="auto"/>
              <w:bottom w:val="single" w:sz="8" w:color="auto"/>
            </w:tcBorders>
            <w:vMerge w:val="restart"/>
          </w:tcPr>
          <w:p>
            <w:pPr>
              <w:spacing w:after="0"/>
              <w:rPr>
                <w:sz w:val="14"/>
                <w:szCs w:val="14"/>
                <w:color w:val="auto"/>
              </w:rPr>
            </w:pPr>
          </w:p>
        </w:tc>
        <w:tc>
          <w:tcPr>
            <w:tcW w:w="240" w:type="dxa"/>
            <w:vAlign w:val="bottom"/>
            <w:vMerge w:val="restart"/>
          </w:tcPr>
          <w:p>
            <w:pPr>
              <w:spacing w:after="0"/>
              <w:rPr>
                <w:sz w:val="14"/>
                <w:szCs w:val="14"/>
                <w:color w:val="auto"/>
              </w:rPr>
            </w:pPr>
          </w:p>
        </w:tc>
        <w:tc>
          <w:tcPr>
            <w:tcW w:w="1640" w:type="dxa"/>
            <w:vAlign w:val="bottom"/>
            <w:gridSpan w:val="7"/>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8"/>
              </w:rPr>
              <w:t>Principal Balance</w:t>
            </w:r>
          </w:p>
        </w:tc>
        <w:tc>
          <w:tcPr>
            <w:tcW w:w="136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Interest Due</w:t>
            </w:r>
          </w:p>
        </w:tc>
        <w:tc>
          <w:tcPr>
            <w:tcW w:w="0" w:type="dxa"/>
            <w:vAlign w:val="bottom"/>
          </w:tcPr>
          <w:p>
            <w:pPr>
              <w:spacing w:after="0"/>
              <w:rPr>
                <w:sz w:val="1"/>
                <w:szCs w:val="1"/>
                <w:color w:val="auto"/>
              </w:rPr>
            </w:pPr>
          </w:p>
        </w:tc>
      </w:tr>
      <w:tr>
        <w:trPr>
          <w:trHeight w:val="48"/>
        </w:trPr>
        <w:tc>
          <w:tcPr>
            <w:tcW w:w="44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13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Tranche A-1</w:t>
            </w:r>
          </w:p>
        </w:tc>
        <w:tc>
          <w:tcPr>
            <w:tcW w:w="9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5.0260%</w:t>
            </w:r>
          </w:p>
        </w:tc>
        <w:tc>
          <w:tcPr>
            <w:tcW w:w="28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8"/>
                <w:szCs w:val="18"/>
                <w:color w:val="auto"/>
              </w:rPr>
            </w:pPr>
          </w:p>
        </w:tc>
        <w:tc>
          <w:tcPr>
            <w:tcW w:w="152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185,104,753.00</w:t>
            </w: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4,651,682.44</w:t>
            </w:r>
          </w:p>
        </w:tc>
        <w:tc>
          <w:tcPr>
            <w:tcW w:w="0" w:type="dxa"/>
            <w:vAlign w:val="bottom"/>
          </w:tcPr>
          <w:p>
            <w:pPr>
              <w:spacing w:after="0"/>
              <w:rPr>
                <w:sz w:val="1"/>
                <w:szCs w:val="1"/>
                <w:color w:val="auto"/>
              </w:rPr>
            </w:pPr>
          </w:p>
        </w:tc>
      </w:tr>
      <w:tr>
        <w:trPr>
          <w:trHeight w:val="24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Tranche A-2</w:t>
            </w:r>
          </w:p>
        </w:tc>
        <w:tc>
          <w:tcPr>
            <w:tcW w:w="182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5.1720%</w:t>
            </w:r>
          </w:p>
        </w:tc>
        <w:tc>
          <w:tcPr>
            <w:tcW w:w="280" w:type="dxa"/>
            <w:vAlign w:val="bottom"/>
          </w:tcPr>
          <w:p>
            <w:pPr>
              <w:spacing w:after="0"/>
              <w:rPr>
                <w:sz w:val="21"/>
                <w:szCs w:val="21"/>
                <w:color w:val="auto"/>
              </w:rPr>
            </w:pPr>
          </w:p>
        </w:tc>
        <w:tc>
          <w:tcPr>
            <w:tcW w:w="166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164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126,450,000.00</w:t>
            </w:r>
          </w:p>
        </w:tc>
        <w:tc>
          <w:tcPr>
            <w:tcW w:w="13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3,269,997.00</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7,921,679.44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Funding</w:t>
            </w: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37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Capital Subaccount</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5"/>
          </w:tcPr>
          <w:p>
            <w:pPr>
              <w:jc w:val="center"/>
              <w:ind w:right="340"/>
              <w:spacing w:after="0" w:line="194" w:lineRule="exact"/>
              <w:rPr>
                <w:sz w:val="20"/>
                <w:szCs w:val="20"/>
                <w:color w:val="auto"/>
              </w:rPr>
            </w:pPr>
            <w:r>
              <w:rPr>
                <w:rFonts w:ascii="Times New Roman" w:cs="Times New Roman" w:eastAsia="Times New Roman" w:hAnsi="Times New Roman"/>
                <w:sz w:val="18"/>
                <w:szCs w:val="18"/>
                <w:color w:val="auto"/>
                <w:w w:val="98"/>
              </w:rPr>
              <w:t>Required Level</w:t>
            </w:r>
          </w:p>
        </w:tc>
        <w:tc>
          <w:tcPr>
            <w:tcW w:w="220" w:type="dxa"/>
            <w:vAlign w:val="bottom"/>
          </w:tcPr>
          <w:p>
            <w:pPr>
              <w:spacing w:after="0"/>
              <w:rPr>
                <w:sz w:val="16"/>
                <w:szCs w:val="16"/>
                <w:color w:val="auto"/>
              </w:rPr>
            </w:pPr>
          </w:p>
        </w:tc>
        <w:tc>
          <w:tcPr>
            <w:tcW w:w="1140" w:type="dxa"/>
            <w:vAlign w:val="bottom"/>
            <w:gridSpan w:val="3"/>
          </w:tcPr>
          <w:p>
            <w:pPr>
              <w:jc w:val="center"/>
              <w:ind w:right="240"/>
              <w:spacing w:after="0" w:line="194" w:lineRule="exact"/>
              <w:rPr>
                <w:sz w:val="20"/>
                <w:szCs w:val="20"/>
                <w:color w:val="auto"/>
              </w:rPr>
            </w:pPr>
            <w:r>
              <w:rPr>
                <w:rFonts w:ascii="Times New Roman" w:cs="Times New Roman" w:eastAsia="Times New Roman" w:hAnsi="Times New Roman"/>
                <w:sz w:val="18"/>
                <w:szCs w:val="18"/>
                <w:color w:val="auto"/>
                <w:w w:val="99"/>
              </w:rPr>
              <w:t>Required</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72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372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144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1,707,250.00</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372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440" w:type="dxa"/>
            <w:vAlign w:val="bottom"/>
            <w:gridSpan w:val="5"/>
            <w:vMerge w:val="continue"/>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22,422.77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912" w:hanging="116"/>
        <w:spacing w:after="0"/>
        <w:tabs>
          <w:tab w:leader="none" w:pos="912"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 30/360 day basis for initial payment date; otherwise use one-half of annual rate.</w:t>
      </w:r>
    </w:p>
    <w:p>
      <w:pPr>
        <w:spacing w:after="0" w:line="194" w:lineRule="exact"/>
        <w:rPr>
          <w:sz w:val="20"/>
          <w:szCs w:val="20"/>
          <w:color w:val="auto"/>
        </w:rPr>
      </w:pPr>
    </w:p>
    <w:p>
      <w:pPr>
        <w:ind w:left="912" w:hanging="912"/>
        <w:spacing w:after="0"/>
        <w:tabs>
          <w:tab w:leader="none" w:pos="91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Allocation of Remittances as of Current Payment Date Pursuant to 8.02(e) of Indenture:</w:t>
      </w:r>
    </w:p>
    <w:p>
      <w:pPr>
        <w:spacing w:after="0" w:line="229" w:lineRule="exact"/>
        <w:rPr>
          <w:sz w:val="20"/>
          <w:szCs w:val="20"/>
          <w:color w:val="auto"/>
        </w:rPr>
      </w:pPr>
    </w:p>
    <w:p>
      <w:pPr>
        <w:ind w:left="912" w:hanging="683"/>
        <w:spacing w:after="0"/>
        <w:tabs>
          <w:tab w:leader="none" w:pos="91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Fees and Expenses; Indemnity Amounts</w:t>
      </w:r>
    </w:p>
    <w:p>
      <w:pPr>
        <w:spacing w:after="0" w:line="22" w:lineRule="exact"/>
        <w:rPr>
          <w:sz w:val="20"/>
          <w:szCs w:val="20"/>
          <w:color w:val="auto"/>
        </w:rPr>
      </w:pPr>
    </w:p>
    <w:tbl>
      <w:tblPr>
        <w:tblLayout w:type="fixed"/>
        <w:tblInd w:w="232"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Servicing Fee</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85,362.50</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7680" w:type="dxa"/>
            <w:vAlign w:val="bottom"/>
          </w:tcPr>
          <w:p>
            <w:pPr>
              <w:ind w:left="240"/>
              <w:spacing w:after="0" w:line="252" w:lineRule="exact"/>
              <w:rPr>
                <w:sz w:val="20"/>
                <w:szCs w:val="20"/>
                <w:color w:val="auto"/>
              </w:rPr>
            </w:pPr>
            <w:r>
              <w:rPr>
                <w:rFonts w:ascii="Times New Roman" w:cs="Times New Roman" w:eastAsia="Times New Roman" w:hAnsi="Times New Roman"/>
                <w:sz w:val="18"/>
                <w:szCs w:val="18"/>
                <w:color w:val="auto"/>
              </w:rPr>
              <w:t>Administration Fee</w:t>
            </w:r>
            <w:r>
              <w:rPr>
                <w:rFonts w:ascii="Times New Roman" w:cs="Times New Roman" w:eastAsia="Times New Roman" w:hAnsi="Times New Roman"/>
                <w:sz w:val="29"/>
                <w:szCs w:val="29"/>
                <w:color w:val="auto"/>
                <w:vertAlign w:val="superscript"/>
              </w:rPr>
              <w:t>5</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Expenses</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139,935.03</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4"/>
        </w:trPr>
        <w:tc>
          <w:tcPr>
            <w:tcW w:w="4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 1,000</w:t>
            </w:r>
          </w:p>
        </w:tc>
      </w:tr>
      <w:tr>
        <w:trPr>
          <w:trHeight w:val="216"/>
        </w:trPr>
        <w:tc>
          <w:tcPr>
            <w:tcW w:w="44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Original</w:t>
            </w:r>
          </w:p>
        </w:tc>
      </w:tr>
      <w:tr>
        <w:trPr>
          <w:trHeight w:val="194"/>
        </w:trPr>
        <w:tc>
          <w:tcPr>
            <w:tcW w:w="440" w:type="dxa"/>
            <w:vAlign w:val="bottom"/>
          </w:tcPr>
          <w:p>
            <w:pPr>
              <w:spacing w:after="0"/>
              <w:rPr>
                <w:sz w:val="16"/>
                <w:szCs w:val="16"/>
                <w:color w:val="auto"/>
              </w:rPr>
            </w:pPr>
          </w:p>
        </w:tc>
        <w:tc>
          <w:tcPr>
            <w:tcW w:w="768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Securization Bonds</w:t>
            </w:r>
          </w:p>
        </w:tc>
        <w:tc>
          <w:tcPr>
            <w:tcW w:w="7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Aggregate</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Principal Amount</w:t>
            </w:r>
          </w:p>
        </w:tc>
      </w:tr>
    </w:tbl>
    <w:p>
      <w:pPr>
        <w:spacing w:after="0" w:line="9" w:lineRule="exact"/>
        <w:rPr>
          <w:sz w:val="20"/>
          <w:szCs w:val="20"/>
          <w:color w:val="auto"/>
        </w:rPr>
      </w:pPr>
    </w:p>
    <w:p>
      <w:pPr>
        <w:ind w:left="912" w:hanging="683"/>
        <w:spacing w:after="0"/>
        <w:tabs>
          <w:tab w:leader="none" w:pos="91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 Interest (including any past-due for prior periods)</w:t>
      </w:r>
    </w:p>
    <w:p>
      <w:pPr>
        <w:spacing w:after="0" w:line="18" w:lineRule="exact"/>
        <w:rPr>
          <w:sz w:val="20"/>
          <w:szCs w:val="20"/>
          <w:color w:val="auto"/>
        </w:rPr>
      </w:pPr>
    </w:p>
    <w:tbl>
      <w:tblPr>
        <w:tblLayout w:type="fixed"/>
        <w:tblInd w:w="912" w:type="dxa"/>
        <w:tblCellMar>
          <w:top w:w="0" w:type="dxa"/>
          <w:left w:w="0" w:type="dxa"/>
          <w:bottom w:w="0" w:type="dxa"/>
          <w:right w:w="0" w:type="dxa"/>
        </w:tblCellMar>
      </w:tblPr>
      <w:tr>
        <w:trPr>
          <w:trHeight w:val="20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3"/>
              </w:rPr>
              <w:t>1.</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Tranche A-1 Interest Payment</w:t>
            </w:r>
          </w:p>
        </w:tc>
        <w:tc>
          <w:tcPr>
            <w:tcW w:w="41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4,651,682.44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r>
      <w:tr>
        <w:trPr>
          <w:trHeight w:val="23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3"/>
              </w:rPr>
              <w:t>2.</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Tranche A-2 Interest Payment</w:t>
            </w:r>
          </w:p>
        </w:tc>
        <w:tc>
          <w:tcPr>
            <w:tcW w:w="41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3,269,997.00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r>
    </w:tbl>
    <w:p>
      <w:pPr>
        <w:ind w:left="912" w:hanging="683"/>
        <w:spacing w:after="0"/>
        <w:tabs>
          <w:tab w:leader="none" w:pos="9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Due and Payable as a Result of an Event of Default or on Final Maturity Date</w:t>
      </w:r>
    </w:p>
    <w:tbl>
      <w:tblPr>
        <w:tblLayout w:type="fixed"/>
        <w:tblInd w:w="912" w:type="dxa"/>
        <w:tblCellMar>
          <w:top w:w="0" w:type="dxa"/>
          <w:left w:w="0" w:type="dxa"/>
          <w:bottom w:w="0" w:type="dxa"/>
          <w:right w:w="0" w:type="dxa"/>
        </w:tblCellMar>
      </w:tblPr>
      <w:tr>
        <w:trPr>
          <w:trHeight w:val="20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3"/>
              </w:rPr>
              <w:t>1.</w:t>
            </w: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Tranche A-1 Interest Payment</w:t>
            </w:r>
          </w:p>
        </w:tc>
        <w:tc>
          <w:tcPr>
            <w:tcW w:w="3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3"/>
              </w:rPr>
              <w:t>2.</w:t>
            </w: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Tranche A-2 Interest Payment</w:t>
            </w:r>
          </w:p>
        </w:tc>
        <w:tc>
          <w:tcPr>
            <w:tcW w:w="3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ind w:left="912" w:hanging="683"/>
        <w:spacing w:after="0"/>
        <w:tabs>
          <w:tab w:leader="none" w:pos="9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 Principal</w:t>
      </w:r>
    </w:p>
    <w:tbl>
      <w:tblPr>
        <w:tblLayout w:type="fixed"/>
        <w:tblInd w:w="232"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Tranche A-1 Principal Payment</w:t>
            </w:r>
          </w:p>
        </w:tc>
        <w:tc>
          <w:tcPr>
            <w:tcW w:w="31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6,749,278.00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w:t>
            </w:r>
          </w:p>
        </w:tc>
      </w:tr>
      <w:tr>
        <w:trPr>
          <w:trHeight w:val="234"/>
        </w:trPr>
        <w:tc>
          <w:tcPr>
            <w:tcW w:w="480" w:type="dxa"/>
            <w:vAlign w:val="bottom"/>
          </w:tcPr>
          <w:p>
            <w:pPr>
              <w:spacing w:after="0"/>
              <w:rPr>
                <w:sz w:val="20"/>
                <w:szCs w:val="20"/>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Tranche A-2 Principal Payment</w:t>
            </w:r>
          </w:p>
        </w:tc>
        <w:tc>
          <w:tcPr>
            <w:tcW w:w="31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viii.</w:t>
            </w: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Unpaid Operating Expenses</w:t>
            </w:r>
          </w:p>
        </w:tc>
        <w:tc>
          <w:tcPr>
            <w:tcW w:w="31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0.00</w:t>
            </w:r>
          </w:p>
        </w:tc>
        <w:tc>
          <w:tcPr>
            <w:tcW w:w="1020" w:type="dxa"/>
            <w:vAlign w:val="bottom"/>
          </w:tcPr>
          <w:p>
            <w:pPr>
              <w:spacing w:after="0"/>
              <w:rPr>
                <w:sz w:val="24"/>
                <w:szCs w:val="24"/>
                <w:color w:val="auto"/>
              </w:rPr>
            </w:pPr>
          </w:p>
        </w:tc>
      </w:tr>
      <w:tr>
        <w:trPr>
          <w:trHeight w:val="22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ix.</w:t>
            </w: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Funding of Capital Subaccount (to required level)</w:t>
            </w:r>
          </w:p>
        </w:tc>
        <w:tc>
          <w:tcPr>
            <w:tcW w:w="31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22,422.77</w:t>
            </w:r>
          </w:p>
        </w:tc>
        <w:tc>
          <w:tcPr>
            <w:tcW w:w="1020" w:type="dxa"/>
            <w:vAlign w:val="bottom"/>
          </w:tcPr>
          <w:p>
            <w:pPr>
              <w:spacing w:after="0"/>
              <w:rPr>
                <w:sz w:val="19"/>
                <w:szCs w:val="19"/>
                <w:color w:val="auto"/>
              </w:rPr>
            </w:pPr>
          </w:p>
        </w:tc>
      </w:tr>
      <w:tr>
        <w:trPr>
          <w:trHeight w:val="25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6220" w:type="dxa"/>
            <w:vAlign w:val="bottom"/>
            <w:gridSpan w:val="2"/>
          </w:tcPr>
          <w:p>
            <w:pPr>
              <w:ind w:left="200"/>
              <w:spacing w:after="0" w:line="252" w:lineRule="exact"/>
              <w:rPr>
                <w:sz w:val="20"/>
                <w:szCs w:val="20"/>
                <w:color w:val="auto"/>
              </w:rPr>
            </w:pPr>
            <w:r>
              <w:rPr>
                <w:rFonts w:ascii="Times New Roman" w:cs="Times New Roman" w:eastAsia="Times New Roman" w:hAnsi="Times New Roman"/>
                <w:sz w:val="18"/>
                <w:szCs w:val="18"/>
                <w:color w:val="auto"/>
              </w:rPr>
              <w:t>Capital Subaccount Return to CEI South</w:t>
            </w:r>
            <w:r>
              <w:rPr>
                <w:rFonts w:ascii="Times New Roman" w:cs="Times New Roman" w:eastAsia="Times New Roman" w:hAnsi="Times New Roman"/>
                <w:sz w:val="29"/>
                <w:szCs w:val="29"/>
                <w:color w:val="auto"/>
                <w:vertAlign w:val="superscript"/>
              </w:rPr>
              <w:t>6</w:t>
            </w:r>
          </w:p>
        </w:tc>
        <w:tc>
          <w:tcPr>
            <w:tcW w:w="31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44,149.49</w:t>
            </w:r>
          </w:p>
        </w:tc>
        <w:tc>
          <w:tcPr>
            <w:tcW w:w="1020" w:type="dxa"/>
            <w:vAlign w:val="bottom"/>
          </w:tcPr>
          <w:p>
            <w:pPr>
              <w:spacing w:after="0"/>
              <w:rPr>
                <w:sz w:val="21"/>
                <w:szCs w:val="2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xi.</w:t>
            </w: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Deposit to Excess Funds Subaccount</w:t>
            </w:r>
          </w:p>
        </w:tc>
        <w:tc>
          <w:tcPr>
            <w:tcW w:w="3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(2,102,974.72)</w:t>
            </w:r>
          </w:p>
        </w:tc>
        <w:tc>
          <w:tcPr>
            <w:tcW w:w="102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xii.</w:t>
            </w: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Released to Issuer upon Retirement of all Securitization Bonds</w:t>
            </w:r>
          </w:p>
        </w:tc>
        <w:tc>
          <w:tcPr>
            <w:tcW w:w="31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0.00</w:t>
            </w:r>
          </w:p>
        </w:tc>
        <w:tc>
          <w:tcPr>
            <w:tcW w:w="1020" w:type="dxa"/>
            <w:vAlign w:val="bottom"/>
          </w:tcPr>
          <w:p>
            <w:pPr>
              <w:spacing w:after="0"/>
              <w:rPr>
                <w:sz w:val="18"/>
                <w:szCs w:val="18"/>
                <w:color w:val="auto"/>
              </w:rPr>
            </w:pP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xiii.</w:t>
            </w: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Aggregate Remittances as of the Current Payment Date</w:t>
            </w:r>
          </w:p>
        </w:tc>
        <w:tc>
          <w:tcPr>
            <w:tcW w:w="31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12,897,352.51</w:t>
            </w:r>
          </w:p>
        </w:tc>
        <w:tc>
          <w:tcPr>
            <w:tcW w:w="1020" w:type="dxa"/>
            <w:vAlign w:val="bottom"/>
          </w:tcPr>
          <w:p>
            <w:pPr>
              <w:spacing w:after="0"/>
              <w:rPr>
                <w:sz w:val="20"/>
                <w:szCs w:val="20"/>
                <w:color w:val="auto"/>
              </w:rPr>
            </w:pPr>
          </w:p>
        </w:tc>
      </w:tr>
    </w:tbl>
    <w:p>
      <w:pPr>
        <w:spacing w:after="0" w:line="198" w:lineRule="exact"/>
        <w:rPr>
          <w:sz w:val="20"/>
          <w:szCs w:val="20"/>
          <w:color w:val="auto"/>
        </w:rPr>
      </w:pPr>
    </w:p>
    <w:p>
      <w:pPr>
        <w:ind w:left="912" w:hanging="116"/>
        <w:spacing w:after="0" w:line="195" w:lineRule="auto"/>
        <w:tabs>
          <w:tab w:leader="none" w:pos="912"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Administration fee includes 11/16/2025-5/15/2026 - based on 360-day year in which servicer performed duties: $75,000 x 180/360 = $37,500.00</w:t>
      </w:r>
    </w:p>
    <w:p>
      <w:pPr>
        <w:spacing w:after="0" w:line="200" w:lineRule="exact"/>
        <w:rPr>
          <w:sz w:val="20"/>
          <w:szCs w:val="20"/>
          <w:color w:val="auto"/>
        </w:rPr>
      </w:pPr>
    </w:p>
    <w:p>
      <w:pPr>
        <w:ind w:left="912" w:right="20" w:hanging="116"/>
        <w:spacing w:after="0" w:line="195" w:lineRule="auto"/>
        <w:tabs>
          <w:tab w:leader="none" w:pos="912"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Capital subaccount return includes 11/16/2025-5/15/2026 based on 360-day year for CEI South's invested capital: $1,707,250 x 5.172% x 180/360 = $44,149.49</w:t>
      </w:r>
    </w:p>
    <w:p>
      <w:pPr>
        <w:spacing w:after="0" w:line="196" w:lineRule="exact"/>
        <w:rPr>
          <w:sz w:val="20"/>
          <w:szCs w:val="20"/>
          <w:color w:val="auto"/>
        </w:rPr>
      </w:pPr>
    </w:p>
    <w:p>
      <w:pPr>
        <w:ind w:left="912" w:hanging="912"/>
        <w:spacing w:after="0" w:line="286" w:lineRule="auto"/>
        <w:tabs>
          <w:tab w:leader="none" w:pos="91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Outstanding Amount and Collection Account Balance as of the Current Payment Date (after giving effect to payments to be made on such Payment Date):</w:t>
      </w:r>
    </w:p>
    <w:p>
      <w:pPr>
        <w:spacing w:after="0" w:line="159" w:lineRule="exact"/>
        <w:rPr>
          <w:sz w:val="20"/>
          <w:szCs w:val="20"/>
          <w:color w:val="auto"/>
        </w:rPr>
      </w:pPr>
    </w:p>
    <w:tbl>
      <w:tblPr>
        <w:tblLayout w:type="fixed"/>
        <w:tblInd w:w="232"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Securitization Bonds – Tranche A-1</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178,355,475.00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Securitization Bonds – Tranche A-2</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126,450,000.00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Excess Funds Subaccount Balance</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2,662,045.51</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Subaccount Balance</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1,707,250.00</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v.</w:t>
            </w: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Aggregate Collection Account Balance</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4,369,295.51</w:t>
            </w:r>
          </w:p>
        </w:tc>
      </w:tr>
    </w:tbl>
    <w:p>
      <w:pPr>
        <w:spacing w:after="0" w:line="221" w:lineRule="exact"/>
        <w:rPr>
          <w:sz w:val="20"/>
          <w:szCs w:val="20"/>
          <w:color w:val="auto"/>
        </w:rPr>
      </w:pPr>
    </w:p>
    <w:p>
      <w:pPr>
        <w:ind w:left="912" w:hanging="912"/>
        <w:spacing w:after="0"/>
        <w:tabs>
          <w:tab w:leader="none" w:pos="912"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Subaccount Withdrawals as of the Current Payment Date (if applicable, pursuant to Section 8.02(e) of Indenture):</w:t>
      </w:r>
    </w:p>
    <w:p>
      <w:pPr>
        <w:spacing w:after="0" w:line="256" w:lineRule="exact"/>
        <w:rPr>
          <w:sz w:val="20"/>
          <w:szCs w:val="20"/>
          <w:color w:val="auto"/>
        </w:rPr>
      </w:pPr>
    </w:p>
    <w:tbl>
      <w:tblPr>
        <w:tblLayout w:type="fixed"/>
        <w:tblInd w:w="232"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Excess Funds Subaccount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Subaccount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Withdrawals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912" w:hanging="912"/>
        <w:spacing w:after="0"/>
        <w:tabs>
          <w:tab w:leader="none" w:pos="91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Shortfalls in Interest and Principal Payments as of Current Payment Date:</w:t>
      </w:r>
    </w:p>
    <w:p>
      <w:pPr>
        <w:spacing w:after="0" w:line="229" w:lineRule="exact"/>
        <w:rPr>
          <w:sz w:val="20"/>
          <w:szCs w:val="20"/>
          <w:color w:val="auto"/>
        </w:rPr>
      </w:pPr>
    </w:p>
    <w:tbl>
      <w:tblPr>
        <w:tblLayout w:type="fixed"/>
        <w:tblInd w:w="232"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7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Semiannual Interest</w:t>
            </w:r>
          </w:p>
        </w:tc>
        <w:tc>
          <w:tcPr>
            <w:tcW w:w="14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Securitization Bonds – Tranche A-1 Interest Payment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4"/>
        </w:trPr>
        <w:tc>
          <w:tcPr>
            <w:tcW w:w="380" w:type="dxa"/>
            <w:vAlign w:val="bottom"/>
          </w:tcPr>
          <w:p>
            <w:pPr>
              <w:spacing w:after="0"/>
              <w:rPr>
                <w:sz w:val="20"/>
                <w:szCs w:val="20"/>
                <w:color w:val="auto"/>
              </w:rPr>
            </w:pPr>
          </w:p>
        </w:tc>
        <w:tc>
          <w:tcPr>
            <w:tcW w:w="7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Securitization Bonds – Tranche A-2 Interest Payment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ectPr>
          <w:pgSz w:w="11900" w:h="16838" w:orient="portrait"/>
          <w:cols w:equalWidth="0" w:num="1">
            <w:col w:w="11232"/>
          </w:cols>
          <w:pgMar w:left="328" w:top="900" w:right="339" w:bottom="0" w:gutter="0" w:footer="0" w:header="0"/>
        </w:sectPr>
      </w:pPr>
    </w:p>
    <w:bookmarkStart w:id="7" w:name="page8"/>
    <w:bookmarkEnd w:id="7"/>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7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Securitization Bonds Interest Payments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ii.</w:t>
            </w:r>
          </w:p>
        </w:tc>
        <w:tc>
          <w:tcPr>
            <w:tcW w:w="73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Semiannual Principal</w:t>
            </w: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00" w:type="dxa"/>
            <w:vAlign w:val="bottom"/>
            <w:vMerge w:val="continue"/>
          </w:tcPr>
          <w:p>
            <w:pPr>
              <w:spacing w:after="0"/>
              <w:rPr>
                <w:sz w:val="24"/>
                <w:szCs w:val="24"/>
                <w:color w:val="auto"/>
              </w:rPr>
            </w:pPr>
          </w:p>
        </w:tc>
        <w:tc>
          <w:tcPr>
            <w:tcW w:w="73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Securitization Bonds – Tranche A-1 Principal Payment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7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Securitization Bonds – Tranche A-2 Principal Payment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Securitization Bonds Principal Payments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920" w:hanging="912"/>
        <w:spacing w:after="0"/>
        <w:tabs>
          <w:tab w:leader="none" w:pos="9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Shortfalls in Payment of Return on Invested Capital as of the Current Payment Date:</w:t>
      </w:r>
    </w:p>
    <w:p>
      <w:pPr>
        <w:spacing w:after="0" w:line="229" w:lineRule="exact"/>
        <w:rPr>
          <w:sz w:val="20"/>
          <w:szCs w:val="20"/>
          <w:color w:val="auto"/>
        </w:rPr>
      </w:pPr>
    </w:p>
    <w:p>
      <w:pPr>
        <w:ind w:left="240"/>
        <w:spacing w:after="0"/>
        <w:tabs>
          <w:tab w:leader="none" w:pos="900" w:val="left"/>
          <w:tab w:leader="none" w:pos="91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Return on Invested Capital</w:t>
      </w:r>
      <w:r>
        <w:rPr>
          <w:sz w:val="20"/>
          <w:szCs w:val="20"/>
          <w:color w:val="auto"/>
        </w:rPr>
        <w:tab/>
      </w:r>
      <w:r>
        <w:rPr>
          <w:rFonts w:ascii="Times New Roman" w:cs="Times New Roman" w:eastAsia="Times New Roman" w:hAnsi="Times New Roman"/>
          <w:sz w:val="18"/>
          <w:szCs w:val="18"/>
          <w:color w:val="auto"/>
        </w:rPr>
        <w:t>0.00</w:t>
      </w:r>
    </w:p>
    <w:p>
      <w:pPr>
        <w:spacing w:after="0" w:line="221" w:lineRule="exact"/>
        <w:rPr>
          <w:sz w:val="20"/>
          <w:szCs w:val="20"/>
          <w:color w:val="auto"/>
        </w:rPr>
      </w:pPr>
    </w:p>
    <w:p>
      <w:pPr>
        <w:ind w:left="920" w:hanging="912"/>
        <w:spacing w:after="0"/>
        <w:tabs>
          <w:tab w:leader="none" w:pos="9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Shortfalls in Required Subaccount Levels as of the Current Payment Date:</w:t>
      </w:r>
    </w:p>
    <w:p>
      <w:pPr>
        <w:spacing w:after="0" w:line="229" w:lineRule="exact"/>
        <w:rPr>
          <w:sz w:val="20"/>
          <w:szCs w:val="20"/>
          <w:color w:val="auto"/>
        </w:rPr>
      </w:pPr>
    </w:p>
    <w:p>
      <w:pPr>
        <w:ind w:left="240"/>
        <w:spacing w:after="0"/>
        <w:tabs>
          <w:tab w:leader="none" w:pos="900" w:val="left"/>
          <w:tab w:leader="none" w:pos="91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Capital Subaccount</w:t>
      </w:r>
      <w:r>
        <w:rPr>
          <w:sz w:val="20"/>
          <w:szCs w:val="20"/>
          <w:color w:val="auto"/>
        </w:rPr>
        <w:tab/>
      </w:r>
      <w:r>
        <w:rPr>
          <w:rFonts w:ascii="Times New Roman" w:cs="Times New Roman" w:eastAsia="Times New Roman" w:hAnsi="Times New Roman"/>
          <w:sz w:val="18"/>
          <w:szCs w:val="18"/>
          <w:color w:val="auto"/>
        </w:rPr>
        <w:t>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HEREOF, the undersigned has duly executed and delivered this Semi-Annual Servicer's Certificate this 8th day of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INDIANA GAS AND ELECTRIC COMPANY d/b/a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CenterPoint Energy Indiana South, as Servicer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Kaydra Kirtz</w:t>
            </w:r>
          </w:p>
        </w:tc>
        <w:tc>
          <w:tcPr>
            <w:tcW w:w="5620" w:type="dxa"/>
            <w:vAlign w:val="bottom"/>
          </w:tcPr>
          <w:p>
            <w:pPr>
              <w:spacing w:after="0"/>
              <w:rPr>
                <w:sz w:val="20"/>
                <w:szCs w:val="20"/>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Kaydra Kirtz</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Assistant Treasurer</w:t>
            </w:r>
          </w:p>
        </w:tc>
        <w:tc>
          <w:tcPr>
            <w:tcW w:w="562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1"/>
      <w:numFmt w:val="bullet"/>
      <w:start w:val="1"/>
    </w:lvl>
  </w:abstractNum>
  <w:abstractNum w:abstractNumId="4">
    <w:nsid w:val="7C83E458"/>
    <w:multiLevelType w:val="hybridMultilevel"/>
    <w:lvl w:ilvl="0">
      <w:lvlJc w:val="left"/>
      <w:lvlText w:val="2"/>
      <w:numFmt w:val="bullet"/>
      <w:start w:val="1"/>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lowerLetter"/>
      <w:start w:val="2"/>
    </w:lvl>
  </w:abstractNum>
  <w:abstractNum w:abstractNumId="7">
    <w:nsid w:val="436C6125"/>
    <w:multiLevelType w:val="hybridMultilevel"/>
    <w:lvl w:ilvl="0">
      <w:lvlJc w:val="left"/>
      <w:lvlText w:val="3"/>
      <w:numFmt w:val="bullet"/>
      <w:start w:val="1"/>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1)"/>
      <w:numFmt w:val="lowerLetter"/>
      <w:start w:val="2"/>
    </w:lvl>
  </w:abstractNum>
  <w:abstractNum w:abstractNumId="10">
    <w:nsid w:val="721DA317"/>
    <w:multiLevelType w:val="hybridMultilevel"/>
    <w:lvl w:ilvl="0">
      <w:lvlJc w:val="left"/>
      <w:lvlText w:val="%1)"/>
      <w:numFmt w:val="lowerLetter"/>
      <w:start w:val="3"/>
    </w:lvl>
  </w:abstractNum>
  <w:abstractNum w:abstractNumId="11">
    <w:nsid w:val="2443A858"/>
    <w:multiLevelType w:val="hybridMultilevel"/>
    <w:lvl w:ilvl="0">
      <w:lvlJc w:val="left"/>
      <w:lvlText w:val="4"/>
      <w:numFmt w:val="bullet"/>
      <w:start w:val="1"/>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1)"/>
      <w:numFmt w:val="lowerLetter"/>
      <w:start w:val="2"/>
    </w:lvl>
  </w:abstractNum>
  <w:abstractNum w:abstractNumId="14">
    <w:nsid w:val="75A2A8D4"/>
    <w:multiLevelType w:val="hybridMultilevel"/>
    <w:lvl w:ilvl="0">
      <w:lvlJc w:val="left"/>
      <w:lvlText w:val="2"/>
      <w:numFmt w:val="bullet"/>
      <w:start w:val="1"/>
    </w:lvl>
  </w:abstractNum>
  <w:abstractNum w:abstractNumId="15">
    <w:nsid w:val="8EDBDAB"/>
    <w:multiLevelType w:val="hybridMultilevel"/>
    <w:lvl w:ilvl="0">
      <w:lvlJc w:val="left"/>
      <w:lvlText w:val="%1)"/>
      <w:numFmt w:val="lowerLetter"/>
      <w:start w:val="1"/>
    </w:lvl>
    <w:lvl w:ilvl="1">
      <w:lvlJc w:val="left"/>
      <w:lvlText w:val="%2."/>
      <w:numFmt w:val="lowerRoman"/>
      <w:start w:val="1"/>
    </w:lvl>
  </w:abstractNum>
  <w:abstractNum w:abstractNumId="16">
    <w:nsid w:val="79838CB2"/>
    <w:multiLevelType w:val="hybridMultilevel"/>
    <w:lvl w:ilvl="0">
      <w:lvlJc w:val="left"/>
      <w:lvlText w:val="1"/>
      <w:numFmt w:val="bullet"/>
      <w:start w:val="1"/>
    </w:lvl>
    <w:lvl w:ilvl="1">
      <w:lvlJc w:val="left"/>
      <w:lvlText w:val="%2."/>
      <w:numFmt w:val="lowerRoman"/>
      <w:start w:val="1"/>
    </w:lvl>
  </w:abstractNum>
  <w:abstractNum w:abstractNumId="17">
    <w:nsid w:val="4353D0CD"/>
    <w:multiLevelType w:val="hybridMultilevel"/>
    <w:lvl w:ilvl="0">
      <w:lvlJc w:val="left"/>
      <w:lvlText w:val="%1."/>
      <w:numFmt w:val="lowerRoman"/>
      <w:start w:val="14"/>
    </w:lvl>
  </w:abstractNum>
  <w:abstractNum w:abstractNumId="18">
    <w:nsid w:val="B03E0C6"/>
    <w:multiLevelType w:val="hybridMultilevel"/>
    <w:lvl w:ilvl="0">
      <w:lvlJc w:val="left"/>
      <w:lvlText w:val="2"/>
      <w:numFmt w:val="bullet"/>
      <w:start w:val="1"/>
    </w:lvl>
  </w:abstractNum>
  <w:abstractNum w:abstractNumId="19">
    <w:nsid w:val="189A769B"/>
    <w:multiLevelType w:val="hybridMultilevel"/>
    <w:lvl w:ilvl="0">
      <w:lvlJc w:val="left"/>
      <w:lvlText w:val="3"/>
      <w:numFmt w:val="bullet"/>
      <w:start w:val="1"/>
    </w:lvl>
  </w:abstractNum>
  <w:abstractNum w:abstractNumId="20">
    <w:nsid w:val="54E49EB4"/>
    <w:multiLevelType w:val="hybridMultilevel"/>
    <w:lvl w:ilvl="0">
      <w:lvlJc w:val="left"/>
      <w:lvlText w:val="4"/>
      <w:numFmt w:val="bullet"/>
      <w:start w:val="1"/>
    </w:lvl>
  </w:abstractNum>
  <w:abstractNum w:abstractNumId="21">
    <w:nsid w:val="71F32454"/>
    <w:multiLevelType w:val="hybridMultilevel"/>
    <w:lvl w:ilvl="0">
      <w:lvlJc w:val="left"/>
      <w:lvlText w:val="4"/>
      <w:numFmt w:val="bullet"/>
      <w:start w:val="1"/>
    </w:lvl>
  </w:abstractNum>
  <w:abstractNum w:abstractNumId="22">
    <w:nsid w:val="2CA88611"/>
    <w:multiLevelType w:val="hybridMultilevel"/>
    <w:lvl w:ilvl="0">
      <w:lvlJc w:val="left"/>
      <w:lvlText w:val="%1."/>
      <w:numFmt w:val="lowerRoman"/>
      <w:start w:val="1"/>
    </w:lvl>
  </w:abstractNum>
  <w:abstractNum w:abstractNumId="23">
    <w:nsid w:val="836C40E"/>
    <w:multiLevelType w:val="hybridMultilevel"/>
    <w:lvl w:ilvl="0">
      <w:lvlJc w:val="left"/>
      <w:lvlText w:val="%1."/>
      <w:numFmt w:val="lowerRoman"/>
      <w:start w:val="5"/>
    </w:lvl>
  </w:abstractNum>
  <w:abstractNum w:abstractNumId="24">
    <w:nsid w:val="2901D82"/>
    <w:multiLevelType w:val="hybridMultilevel"/>
    <w:lvl w:ilvl="0">
      <w:lvlJc w:val="left"/>
      <w:lvlText w:val="%1."/>
      <w:numFmt w:val="lowerRoman"/>
      <w:start w:val="6"/>
    </w:lvl>
  </w:abstractNum>
  <w:abstractNum w:abstractNumId="25">
    <w:nsid w:val="3A95F874"/>
    <w:multiLevelType w:val="hybridMultilevel"/>
    <w:lvl w:ilvl="0">
      <w:lvlJc w:val="left"/>
      <w:lvlText w:val="%1."/>
      <w:numFmt w:val="lowerRoman"/>
      <w:start w:val="7"/>
    </w:lvl>
  </w:abstractNum>
  <w:abstractNum w:abstractNumId="26">
    <w:nsid w:val="8138641"/>
    <w:multiLevelType w:val="hybridMultilevel"/>
    <w:lvl w:ilvl="0">
      <w:lvlJc w:val="left"/>
      <w:lvlText w:val="5"/>
      <w:numFmt w:val="bullet"/>
      <w:start w:val="1"/>
    </w:lvl>
  </w:abstractNum>
  <w:abstractNum w:abstractNumId="27">
    <w:nsid w:val="1E7FF521"/>
    <w:multiLevelType w:val="hybridMultilevel"/>
    <w:lvl w:ilvl="0">
      <w:lvlJc w:val="left"/>
      <w:lvlText w:val="6"/>
      <w:numFmt w:val="bullet"/>
      <w:start w:val="1"/>
    </w:lvl>
  </w:abstractNum>
  <w:abstractNum w:abstractNumId="28">
    <w:nsid w:val="7C3DBD3D"/>
    <w:multiLevelType w:val="hybridMultilevel"/>
    <w:lvl w:ilvl="0">
      <w:lvlJc w:val="left"/>
      <w:lvlText w:val="5"/>
      <w:numFmt w:val="bullet"/>
      <w:start w:val="1"/>
    </w:lvl>
  </w:abstractNum>
  <w:abstractNum w:abstractNumId="29">
    <w:nsid w:val="737B8DDC"/>
    <w:multiLevelType w:val="hybridMultilevel"/>
    <w:lvl w:ilvl="0">
      <w:lvlJc w:val="left"/>
      <w:lvlText w:val="6"/>
      <w:numFmt w:val="bullet"/>
      <w:start w:val="1"/>
    </w:lvl>
  </w:abstractNum>
  <w:abstractNum w:abstractNumId="30">
    <w:nsid w:val="6CEAF087"/>
    <w:multiLevelType w:val="hybridMultilevel"/>
    <w:lvl w:ilvl="0">
      <w:lvlJc w:val="left"/>
      <w:lvlText w:val="7"/>
      <w:numFmt w:val="bullet"/>
      <w:start w:val="1"/>
    </w:lvl>
  </w:abstractNum>
  <w:abstractNum w:abstractNumId="31">
    <w:nsid w:val="22221A70"/>
    <w:multiLevelType w:val="hybridMultilevel"/>
    <w:lvl w:ilvl="0">
      <w:lvlJc w:val="left"/>
      <w:lvlText w:val="8"/>
      <w:numFmt w:val="bullet"/>
      <w:start w:val="1"/>
    </w:lvl>
  </w:abstractNum>
  <w:abstractNum w:abstractNumId="32">
    <w:nsid w:val="4516DDE9"/>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16" Type="http://schemas.openxmlformats.org/officeDocument/2006/relationships/hyperlink" Target="https://www.sec.gov/Archives/edgar/data/92195/000119312523079261/d472510dex31.htm" TargetMode="External"/><Relationship Id="rId17" Type="http://schemas.openxmlformats.org/officeDocument/2006/relationships/hyperlink" Target="https://www.sec.gov/Archives/edgar/data/92195/000119312523178728/d523857dex31.htm" TargetMode="External"/><Relationship Id="rId18" Type="http://schemas.openxmlformats.org/officeDocument/2006/relationships/hyperlink" Target="https://www.sec.gov/Archives/edgar/data/92195/000119312523178728/d523857dex41.htm" TargetMode="External"/><Relationship Id="rId19" Type="http://schemas.openxmlformats.org/officeDocument/2006/relationships/hyperlink" Target="https://www.sec.gov/Archives/edgar/data/92195/000119312523178728/d523857dex42.htm" TargetMode="External"/><Relationship Id="rId20" Type="http://schemas.openxmlformats.org/officeDocument/2006/relationships/hyperlink" Target="https://www.sec.gov/Archives/edgar/data/92195/000119312523178728/d523857dex101.htm" TargetMode="External"/><Relationship Id="rId21" Type="http://schemas.openxmlformats.org/officeDocument/2006/relationships/hyperlink" Target="https://www.sec.gov/Archives/edgar/data/92195/000119312523178728/d523857dex102.htm" TargetMode="External"/><Relationship Id="rId22" Type="http://schemas.openxmlformats.org/officeDocument/2006/relationships/hyperlink" Target="https://www.sec.gov/Archives/edgar/data/92195/000119312523178728/d523857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2026-05-15T15:09:19Z</dcterms:created>
  <dcterms:modified xsi:type="dcterms:W3CDTF">2026-05-15T15:09:19Z</dcterms:modified>
</cp:coreProperties>
</file>