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9618d1_10k.htm"/>
      <w:bookmarkStart w:id="1" w:name="kstm249618d1_10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b/>
              </w:rPr>
            </w:pPr>
            <w:r>
              <w:rPr>
                <w:b/>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b/>
              </w:rPr>
            </w:pPr>
            <w:r>
              <w:rPr>
                <w:b/>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to </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333-177662-01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CenterPoint Energy Transition Bond Company IV,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CenterPoint Energy Houston Electric,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depositor and sponsor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4385"/>
        <w:gridCol w:w="4490"/>
      </w:tblGrid>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45-3687039</w:t>
            </w:r>
          </w:p>
        </w:tc>
      </w:tr>
      <w:tr>
        <w:trPr/>
        <w:tc>
          <w:tcPr>
            <w:tcW w:w="43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44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r>
        <w:trPr/>
        <w:tc>
          <w:tcPr>
            <w:tcW w:w="4385"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1111 Louisiana, Suite 4664B</w:t>
            </w:r>
          </w:p>
        </w:tc>
        <w:tc>
          <w:tcPr>
            <w:tcW w:w="449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Houston, Texas 77002</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(713) 207-5776</w:t>
            </w:r>
          </w:p>
        </w:tc>
      </w:tr>
      <w:tr>
        <w:trPr/>
        <w:tc>
          <w:tcPr>
            <w:tcW w:w="4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and zip code of principal executive offices)</w:t>
            </w:r>
          </w:p>
        </w:tc>
        <w:tc>
          <w:tcPr>
            <w:tcW w:w="44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7"/>
        <w:gridCol w:w="1557"/>
        <w:gridCol w:w="1880"/>
        <w:gridCol w:w="2427"/>
        <w:gridCol w:w="2304"/>
      </w:tblGrid>
      <w:tr>
        <w:trPr/>
        <w:tc>
          <w:tcPr>
            <w:tcW w:w="2037" w:type="dxa"/>
            <w:tcBorders/>
            <w:vAlign w:val="center"/>
          </w:tcPr>
          <w:p>
            <w:pPr>
              <w:pStyle w:val="TableContents"/>
              <w:bidi w:val="0"/>
              <w:spacing w:before="0" w:after="283"/>
              <w:jc w:val="center"/>
              <w:rPr>
                <w:sz w:val="20"/>
              </w:rPr>
            </w:pPr>
            <w:r>
              <w:rPr>
                <w:rFonts w:ascii="Times New Roman;Times;Serif" w:hAnsi="Times New Roman;Times;Serif"/>
                <w:sz w:val="20"/>
              </w:rPr>
              <w:t xml:space="preserve">Large accelerated filer </w:t>
            </w:r>
            <w:r>
              <w:rPr>
                <w:sz w:val="20"/>
              </w:rPr>
              <w:t>☐</w:t>
            </w:r>
          </w:p>
        </w:tc>
        <w:tc>
          <w:tcPr>
            <w:tcW w:w="1557" w:type="dxa"/>
            <w:tcBorders/>
            <w:vAlign w:val="center"/>
          </w:tcPr>
          <w:p>
            <w:pPr>
              <w:pStyle w:val="TableContents"/>
              <w:bidi w:val="0"/>
              <w:spacing w:before="0" w:after="283"/>
              <w:jc w:val="center"/>
              <w:rPr>
                <w:sz w:val="20"/>
              </w:rPr>
            </w:pPr>
            <w:r>
              <w:rPr>
                <w:rFonts w:ascii="Times New Roman;Times;Serif" w:hAnsi="Times New Roman;Times;Serif"/>
                <w:sz w:val="20"/>
              </w:rPr>
              <w:t xml:space="preserve">Accelerated filer </w:t>
            </w:r>
            <w:r>
              <w:rPr>
                <w:sz w:val="20"/>
              </w:rPr>
              <w:t>☐</w:t>
            </w:r>
          </w:p>
        </w:tc>
        <w:tc>
          <w:tcPr>
            <w:tcW w:w="1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2427" w:type="dxa"/>
            <w:tcBorders/>
            <w:vAlign w:val="center"/>
          </w:tcPr>
          <w:p>
            <w:pPr>
              <w:pStyle w:val="TableContents"/>
              <w:bidi w:val="0"/>
              <w:spacing w:before="0" w:after="283"/>
              <w:jc w:val="center"/>
              <w:rPr>
                <w:sz w:val="20"/>
              </w:rPr>
            </w:pPr>
            <w:r>
              <w:rPr>
                <w:rFonts w:ascii="Times New Roman;Times;Serif" w:hAnsi="Times New Roman;Times;Serif"/>
                <w:sz w:val="20"/>
              </w:rPr>
              <w:t xml:space="preserve">Smaller reporting company </w:t>
            </w:r>
            <w:r>
              <w:rPr>
                <w:sz w:val="20"/>
              </w:rPr>
              <w:t>☐</w:t>
            </w:r>
          </w:p>
        </w:tc>
        <w:tc>
          <w:tcPr>
            <w:tcW w:w="23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by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member’s equity held by non-affiliates of the registrant as of June 30, 2023: 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 portion of the proxy statement relating to the 2024 Annual Meeting of Shareholders of CenterPoint Energy, Inc. is incorporated by reference in Item 11 of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Changes in and Disagreements with Accountants on Accounting and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on Form 10-K, CenterPoint Energy Transition Bond Company IV, LLC (the “Issuing Entity”) has five managers. For as long as necessary under applicable Rating Agency criteria (as such term is defined in the Issuing Entity’s Amended and Restated Limited Liability Company Agreement (the “LLC Agreement”)) in order to maintain a rating of “AAA” (or the equivalent thereof) for the Issuing Entity’s Series 2012 Senior Secured Transition Bonds, the Issuing Entity shall have at least two individuals who are Independent Managers (as such term is defined in the LLC Agreement). In the event that two Independent Managers are not necessary under applicable Rating Agency criteria in order to maintain such a rating, the Issuing Entity shall have at least one individual who is an Independent Manager. Currently, Messrs. Angelo and O’Connor serve as the Independent Managers of the Issuing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Manager is defined in the LLC Agreement as a manager of the Issuing Entity who is not, and within the previous five years was not (except solely by virtue of such Person’s serving as, or affiliation with any other Person serving as, a special member or an independent director or manager, as applicable, of CenterPoint Energy Houston Electric, LLC (“Houston Electric”), the Issuing Entity or any bankruptcy remote special purpose entity that is an Affiliate of Houston Electric or the Issuing Entity), (i) a stockholder, member, partner, director, officer, employee, Affiliate, customer, supplier, creditor or independent contractor of, or any Person that has received any benefit in any form whatsoever from (other than in such Manager’s capacity as a ratepayer or customer of Houston Electric in the ordinary course of business), or any Person that has provided any service in any form whatsoever to, or any major creditor (or any Affiliate of any major creditor) of, the Issuing Entity, Houston Electric or any of their Affiliates, or (ii) any Person owning beneficially, directly or indirectly, any outstanding shares of common stock, any limited liability company interests or any partnership interests, as applicable, of the Issuing Entity, Houston Electric, or any of their Affiliates, or of any major creditor (or any Affiliate of any major creditor) of any of the foregoing, or a stockholder, member, partner, director, officer, employee, Affiliate, customer, supplier, creditor or independent contractor of, or any Person that has received any benefit in any form whatever from (other than in such Person’s capacity as a ratepayer or customer of Houston Electric in the ordinary course of business), or any Person that has provided any service in any form whatever to, such beneficial owner or any of such beneficial owner’s Affiliates, or (iii) a member of the immediate family of any person described above; provided that the indirect or beneficial ownership of stock through a mutual fund or similar diversified investment vehicle with respect to which the owner does not have discretion or control over the investments held by such diversified investment vehicle shall not preclude such owner from being an Independent Manager. For purposes of this definition, “major creditor” shall mean a natural person or business entity to which the Issuing Entity, Houston Electric or any of their Affiliates has outstanding indebtedness for borrowed money or credit on open account in a sum sufficiently large as would reasonably be expected to influence the judgment of the proposed Independent Manager adversely to the interests of the Issuing Entity when the interests of that Person are adverse to those of the Issuing Entity. Capitalized terms used in this paragraph have the meanings assigned to them in the LLC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managers of the Issuing Entity as of the date of this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
        <w:gridCol w:w="60"/>
        <w:gridCol w:w="350"/>
        <w:gridCol w:w="60"/>
        <w:gridCol w:w="8715"/>
      </w:tblGrid>
      <w:tr>
        <w:trPr/>
        <w:tc>
          <w:tcPr>
            <w:tcW w:w="1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w:t>
            </w:r>
          </w:p>
        </w:tc>
        <w:tc>
          <w:tcPr>
            <w:tcW w:w="60" w:type="dxa"/>
            <w:tcBorders/>
            <w:tcMar>
              <w:bottom w:w="0" w:type="dxa"/>
            </w:tcMar>
            <w:vAlign w:val="center"/>
          </w:tcPr>
          <w:p>
            <w:pPr>
              <w:pStyle w:val="TableContents"/>
              <w:bidi w:val="0"/>
              <w:spacing w:before="0" w:after="283"/>
              <w:jc w:val="left"/>
              <w:rPr/>
            </w:pPr>
            <w:r>
              <w:rPr/>
              <w:t> </w:t>
            </w:r>
          </w:p>
        </w:tc>
        <w:tc>
          <w:tcPr>
            <w:tcW w:w="871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Background</w:t>
            </w:r>
          </w:p>
        </w:tc>
      </w:tr>
      <w:tr>
        <w:trPr/>
        <w:tc>
          <w:tcPr>
            <w:tcW w:w="10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A. Foster</w:t>
              <w:tab/>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sz w:val="20"/>
              </w:rPr>
            </w:pPr>
            <w:r>
              <w:rPr>
                <w:sz w:val="20"/>
              </w:rPr>
              <w:t xml:space="preserve">Manager and President of the Issuing Entity since May 2023. Executive Vice President and Chief Financial Officer of Houston Electric and CenterPoint Energy, Inc. (“CenterPoint Energy”) since May 2023. Executive Vice President and Chief Financial Officer of PG&amp;E Corporation from March 2021 to April 2023. </w:t>
            </w:r>
            <w:r>
              <w:rPr>
                <w:sz w:val="20"/>
                <w:shd w:fill="FFFFFF" w:val="clear"/>
              </w:rPr>
              <w:t xml:space="preserve">Vice President and Interim Chief Financial Officer </w:t>
            </w:r>
            <w:r>
              <w:rPr>
                <w:sz w:val="20"/>
              </w:rPr>
              <w:t xml:space="preserve">of PG&amp;E Corporation </w:t>
            </w:r>
            <w:r>
              <w:rPr>
                <w:sz w:val="20"/>
                <w:shd w:fill="FFFFFF" w:val="clear"/>
              </w:rPr>
              <w:t xml:space="preserve">from September 2020 to March 2021. Vice President, Treasury and Investor Relations </w:t>
            </w:r>
            <w:r>
              <w:rPr>
                <w:sz w:val="20"/>
              </w:rPr>
              <w:t xml:space="preserve">of PG&amp;E Corporation </w:t>
            </w:r>
            <w:r>
              <w:rPr>
                <w:sz w:val="20"/>
                <w:shd w:fill="FFFFFF" w:val="clear"/>
              </w:rPr>
              <w:t>from March 2020 to September 2020</w:t>
            </w:r>
            <w:r>
              <w:rPr>
                <w:sz w:val="20"/>
              </w:rPr>
              <w:t>. PG&amp;E Corporation filed Chapter 11 bankruptcy on January 29, 2019 and successfully emerged from bankruptcy on July 1, 2020.</w:t>
            </w:r>
          </w:p>
        </w:tc>
      </w:tr>
      <w:tr>
        <w:trPr/>
        <w:tc>
          <w:tcPr>
            <w:tcW w:w="10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Kristie L. Colvin</w:t>
              <w:tab/>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sz w:val="20"/>
              </w:rPr>
            </w:pPr>
            <w:r>
              <w:rPr>
                <w:sz w:val="20"/>
              </w:rPr>
              <w:t>Manager and Senior Vice President and Chief Accounting Officer of the Issuing Entity since October 2023. Senior Vice President and Chief Accounting Officer of Houston Electric and CenterPoint Energy, Inc. since October 2023. Senior Vice President Regulatory Planning, Reporting and Electric Services from March 2022 until October 2023, Senior Vice President, Finance from December 2021 until March 2022, Senior Vice President and Chief Accounting Officer from September 2014 until December 2021 and, in addition to this role, Interim Executive Vice President and Chief Financial Officer from April 2020 to September 2020, Division Vice President Finance, Regulated Operations of Houston Electric and CenterPoint Energy, Inc. from July 2010 until September 2014. Senior Director, Financial Planning and Performance Measurement of CenterPoint Energy, Inc. from August 2007 through June 2010.</w:t>
            </w:r>
          </w:p>
        </w:tc>
      </w:tr>
      <w:tr>
        <w:trPr/>
        <w:tc>
          <w:tcPr>
            <w:tcW w:w="10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Jacqueline M. Richert</w:t>
              <w:tab/>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 and Vice President and Treasurer of the Issuing Entity since January 2022. Senior Vice President, Corporate Planning, Investor Relations, and Treasury of CenterPoint Energy, Inc. since March 2024. Vice President, Investor Relations and Treasurer of CenterPoint Energy, Inc. from January 2022 until March 2024. Vice President, Investor Relations and Treasurer of Houston Electric since January 2022. Director, Investor Relations of CenterPoint Energy, Inc. from March 2021 to January 2022. Ms. Richert has served in various roles of increase responsibility at Enterprise Products Partners from 2008 to 2021, including as Senior Director of Investor Relations from 2019 to 2021.</w:t>
            </w:r>
          </w:p>
        </w:tc>
      </w:tr>
      <w:tr>
        <w:trPr/>
        <w:tc>
          <w:tcPr>
            <w:tcW w:w="10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pPr>
            <w:r>
              <w:rPr/>
              <w:t> </w:t>
            </w:r>
          </w:p>
        </w:tc>
      </w:tr>
      <w:tr>
        <w:trPr/>
        <w:tc>
          <w:tcPr>
            <w:tcW w:w="10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J. Angelo</w:t>
              <w:tab/>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tcMar>
              <w:bottom w:w="0" w:type="dxa"/>
            </w:tcMar>
            <w:vAlign w:val="center"/>
          </w:tcPr>
          <w:p>
            <w:pPr>
              <w:pStyle w:val="TableContents"/>
              <w:bidi w:val="0"/>
              <w:spacing w:before="0" w:after="283"/>
              <w:jc w:val="left"/>
              <w:rPr/>
            </w:pPr>
            <w:r>
              <w:rPr/>
              <w:t> </w:t>
            </w:r>
          </w:p>
        </w:tc>
        <w:tc>
          <w:tcPr>
            <w:tcW w:w="8715" w:type="dxa"/>
            <w:tcBorders/>
            <w:tcMar>
              <w:bottom w:w="0" w:type="dxa"/>
            </w:tcMar>
            <w:vAlign w:val="center"/>
          </w:tcPr>
          <w:p>
            <w:pPr>
              <w:pStyle w:val="TableContents"/>
              <w:bidi w:val="0"/>
              <w:spacing w:before="0" w:after="283"/>
              <w:jc w:val="left"/>
              <w:rPr>
                <w:sz w:val="20"/>
              </w:rPr>
            </w:pPr>
            <w:r>
              <w:rPr>
                <w:rFonts w:ascii="Times New Roman;Times;Serif" w:hAnsi="Times New Roman;Times;Serif"/>
                <w:sz w:val="20"/>
              </w:rPr>
              <w:t>Manager of the Issuing Entity. Senior Vice President of Global Securitization Services, LLC since April 1997. Director or manager, as the case may be, of Ameriquest Funding II Reo Subsidiary LLC (November 2000 - March 2009); Ameriquest Mortgage Securities Inc. (January 2000 - March 2009); Argent Securities Inc. (May 2002 - March 2009); Raven Funding LLC (since June 1999); ATAX TEBS I, LLC (since September 2010); ATAX TEBS II, LLC (since March 2014); ATAX TEBS III, LLC (since July 2015); ATAX TEBS IV, LLC (since July 2018); Bay View Deposit Corporation (November 2004 - December 2006); BCF Funding II LLC (February 2005 - April 2013); Carmax Auto Funding LLC (since August 2003);  CEC Funding LLC (February 2005 - April 2013); Mercedes-Benz Trust Leasing Conduit LLC formerly known as Daimler Trust Leasing Conduit LLC (since January 2009); Mercedes-Benz Trust Leasing LLC formerly known as Daimler Trust Leasing LLC (since January 2009); Ford Credit Auto Receivables Two LLC (since January 2001); Hamilton Floating Rate Fund I, LLC (October 2005 - January 2011); Hexagon ABS Corp. (February 2005 - November 2006); J.G. Wentworth Receivables III LLC (since September 1997); PNC Mortgage Capital LLC, formerly known as National City Mortgage Capital LLC (since August 2005); PG&amp;E Energy Recovery Funding LLC (October 2004 - December 2012); Prosper Funding LLC (since March 2012); RS TEBS, Inc. (May 2010 - May 2015); SunTrust Auto Receivables, LLC (May 2007 - November 2010); Venture Lending &amp; Leasing IV, LLC (October 2004 - June 2009); Venture Lending &amp; Leasing V, LLC (June 2006 - May 2009); World Omni Auto Receivables LLC (since March 2003); World Omni Auto Leasing LLC (since June 2008): ACREFI Holdings J-I, LLC (since December 2009); ACREFI Holdings J-II, LLC (since December 2009); Affirm ABS, LLC (since July 2020); Duke Energy Florida Project Finance LLC (since January 2016); Duke Energy Florida Project Finance LLC (since February 2016); Fifth Third Holdings Funding, LLC (since June 2007); Glenbridge Property Holding Corp. (since December 2018); Oaks Funding LLC (since January 2015);  Oaks Funding II LLC (since April 2016) ; Duke Energy Carolinas NC Storm  Funding LLC (since August 2021); Duke Energy Progress NC Storm Funding LLC (since August 2021); NOM-PEFF-I, LLC (since August 2021); VFI ABS 2022-1, LLC (since February 2022); FINN Funding LLC (since March 2022); LQC SP1 LLC (since April 2022); and Kansas Gas Service Securitization I, L.L.C. (since November 2022); ACR Group Paper Holdings JR GP LLC (since June 2023);  VFI ABS 2023-1, LLC (since October 2023); Thoma Bravo Credit Asset Funding ABS, LLC (since November 2023); Duke Energy Progress SC Storm Funding LLC (since January 2024).</w:t>
            </w:r>
            <w:r>
              <w:rPr>
                <w:sz w:val="20"/>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010" w:type="dxa"/>
        <w:jc w:val="left"/>
        <w:tblInd w:w="0" w:type="dxa"/>
        <w:tblLayout w:type="fixed"/>
        <w:tblCellMar>
          <w:top w:w="0" w:type="dxa"/>
          <w:left w:w="0" w:type="dxa"/>
          <w:bottom w:w="28" w:type="dxa"/>
          <w:right w:w="0" w:type="dxa"/>
        </w:tblCellMar>
      </w:tblPr>
      <w:tblGrid>
        <w:gridCol w:w="500"/>
        <w:gridCol w:w="60"/>
        <w:gridCol w:w="350"/>
        <w:gridCol w:w="60"/>
        <w:gridCol w:w="1040"/>
      </w:tblGrid>
      <w:tr>
        <w:trPr/>
        <w:tc>
          <w:tcPr>
            <w:tcW w:w="50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Age</w:t>
            </w:r>
          </w:p>
        </w:tc>
        <w:tc>
          <w:tcPr>
            <w:tcW w:w="60" w:type="dxa"/>
            <w:tcBorders/>
            <w:tcMar>
              <w:bottom w:w="0" w:type="dxa"/>
            </w:tcMar>
            <w:vAlign w:val="center"/>
          </w:tcPr>
          <w:p>
            <w:pPr>
              <w:pStyle w:val="TableContents"/>
              <w:bidi w:val="0"/>
              <w:spacing w:before="0" w:after="283"/>
              <w:jc w:val="left"/>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Background</w:t>
            </w:r>
          </w:p>
        </w:tc>
      </w:tr>
    </w:tbl>
    <w:tbl>
      <w:tblPr>
        <w:tblW w:w="10205" w:type="dxa"/>
        <w:jc w:val="left"/>
        <w:tblInd w:w="0" w:type="dxa"/>
        <w:tblLayout w:type="fixed"/>
        <w:tblCellMar>
          <w:top w:w="0" w:type="dxa"/>
          <w:left w:w="0" w:type="dxa"/>
          <w:bottom w:w="0" w:type="dxa"/>
          <w:right w:w="0" w:type="dxa"/>
        </w:tblCellMar>
      </w:tblPr>
      <w:tblGrid>
        <w:gridCol w:w="1230"/>
        <w:gridCol w:w="60"/>
        <w:gridCol w:w="230"/>
        <w:gridCol w:w="60"/>
        <w:gridCol w:w="8625"/>
      </w:tblGrid>
      <w:tr>
        <w:trPr/>
        <w:tc>
          <w:tcPr>
            <w:tcW w:w="1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O’Connor</w:t>
              <w:tab/>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vAlign w:val="center"/>
          </w:tcPr>
          <w:p>
            <w:pPr>
              <w:pStyle w:val="TableContents"/>
              <w:bidi w:val="0"/>
              <w:spacing w:before="0" w:after="283"/>
              <w:jc w:val="left"/>
              <w:rPr/>
            </w:pPr>
            <w:r>
              <w:rPr/>
              <w:t> </w:t>
            </w:r>
          </w:p>
        </w:tc>
        <w:tc>
          <w:tcPr>
            <w:tcW w:w="8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 of the Issuing Entity. Senior Vice President of Global Securitization Services, LLC since April 2002. Director of California Petroleum Corporation from September 2009 to June 2016.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Issuing Entity is a wholly-owned subsidiary of Houston Electric which in turn is an indirect subsidiary of CenterPoint Energy. CenterPoint Energy has adopted a code of ethics for its Chief Executive Officer and Senior Financial Officers, which group consists of its Chief Financial Officer, Chief Accounting Officer, Treasurer and Assistant Controller.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Times New Roman;Times;Serif" w:hAnsi="Times New Roman;Times;Serif"/>
          <w:b w:val="false"/>
          <w:i/>
          <w:caps w:val="false"/>
          <w:smallCaps w:val="false"/>
          <w:sz w:val="20"/>
        </w:rPr>
        <w:t>https://investors.centerpointenergy.com/governance.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annual independent managers fee of $3,500 paid to Global Securitization Services, LLC, the Issuing Entity does not pay any compensation to its executive officers or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required by this item with respect to Houston Electric is incorporated herein by reference to the material under </w:t>
      </w:r>
      <w:r>
        <w:rPr>
          <w:rFonts w:ascii="Times New Roman;Times;Serif" w:hAnsi="Times New Roman;Times;Serif"/>
          <w:b w:val="false"/>
          <w:i/>
          <w:caps w:val="false"/>
          <w:smallCaps w:val="false"/>
          <w:sz w:val="20"/>
        </w:rPr>
        <w:t>Compensation Discussion and Analysis</w:t>
      </w:r>
      <w:r>
        <w:rPr>
          <w:rFonts w:ascii="Times New Roman;Times;Serif" w:hAnsi="Times New Roman;Times;Serif"/>
          <w:b w:val="false"/>
          <w:i w:val="false"/>
          <w:caps w:val="false"/>
          <w:smallCaps w:val="false"/>
          <w:sz w:val="20"/>
        </w:rPr>
        <w:t xml:space="preserve"> of the definitive proxy statement of CenterPoint Energy for its 2024 annual meeting of shareholders filed with the Securities and Exchange Commission on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General Instruction J of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7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755" w:type="dxa"/>
            <w:tcBorders/>
            <w:vAlign w:val="center"/>
          </w:tcPr>
          <w:p>
            <w:pPr>
              <w:pStyle w:val="TableContents"/>
              <w:bidi w:val="0"/>
              <w:spacing w:before="0" w:after="283"/>
              <w:jc w:val="left"/>
              <w:rPr/>
            </w:pPr>
            <w:r>
              <w:rPr/>
              <w:t>Documents filed as a part of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894"/>
        <w:gridCol w:w="9142"/>
      </w:tblGrid>
      <w:tr>
        <w:trPr/>
        <w:tc>
          <w:tcPr>
            <w:tcW w:w="16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pPr>
            <w:r>
              <w:rPr/>
              <w:t>1.</w:t>
            </w:r>
          </w:p>
        </w:tc>
        <w:tc>
          <w:tcPr>
            <w:tcW w:w="9142" w:type="dxa"/>
            <w:tcBorders/>
            <w:vAlign w:val="center"/>
          </w:tcPr>
          <w:p>
            <w:pPr>
              <w:pStyle w:val="TableContents"/>
              <w:bidi w:val="0"/>
              <w:spacing w:before="0" w:after="283"/>
              <w:jc w:val="left"/>
              <w:rPr/>
            </w:pPr>
            <w:r>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2.</w:t>
            </w:r>
          </w:p>
        </w:tc>
        <w:tc>
          <w:tcPr>
            <w:tcW w:w="9450" w:type="dxa"/>
            <w:tcBorders/>
            <w:vAlign w:val="center"/>
          </w:tcPr>
          <w:p>
            <w:pPr>
              <w:pStyle w:val="TableContents"/>
              <w:bidi w:val="0"/>
              <w:spacing w:before="0" w:after="283"/>
              <w:jc w:val="left"/>
              <w:rPr/>
            </w:pPr>
            <w:r>
              <w:rPr/>
              <w:t>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left"/>
              <w:rPr/>
            </w:pPr>
            <w:r>
              <w:rPr/>
              <w:t>Exhibits required by Item 601 of Regulation S-K (exhibits marked with an asterisk are filed herewith and the others are incorporated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
              <w:r>
                <w:rPr>
                  <w:rStyle w:val="InternetLink"/>
                  <w:rFonts w:ascii="Times New Roman;Times;Serif" w:hAnsi="Times New Roman;Times;Serif"/>
                  <w:sz w:val="20"/>
                </w:rPr>
                <w:t>3.1</w:t>
              </w:r>
            </w:hyperlink>
          </w:p>
        </w:tc>
        <w:tc>
          <w:tcPr>
            <w:tcW w:w="9645"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Certificate of Formation of CenterPoint Energy Transition Bond Company IV, LLC (the “Issuing Entity”) filed with the Delaware Secretary of State on October 14, 2011.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4">
              <w:r>
                <w:rPr>
                  <w:rStyle w:val="InternetLink"/>
                  <w:rFonts w:ascii="Times New Roman;Times;Serif" w:hAnsi="Times New Roman;Times;Serif"/>
                  <w:sz w:val="20"/>
                </w:rPr>
                <w:t>3.2</w:t>
              </w:r>
            </w:hyperlink>
          </w:p>
        </w:tc>
        <w:tc>
          <w:tcPr>
            <w:tcW w:w="9645"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Amended and Restated Limited Liability Company Agreement of the Issuing Entity dated as of January 19,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6">
              <w:r>
                <w:rPr>
                  <w:rStyle w:val="InternetLink"/>
                  <w:rFonts w:ascii="Times New Roman;Times;Serif" w:hAnsi="Times New Roman;Times;Serif"/>
                  <w:sz w:val="20"/>
                </w:rPr>
                <w:t>4.1</w:t>
              </w:r>
            </w:hyperlink>
          </w:p>
        </w:tc>
        <w:tc>
          <w:tcPr>
            <w:tcW w:w="9645"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Indenture dated as of January 19, 2012 between the Issuing Entity and Deutsche Bank Trust Company Americas, as trustee, providing for the issuance of Senior Secured Transition Bonds.</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8">
              <w:r>
                <w:rPr>
                  <w:rStyle w:val="InternetLink"/>
                  <w:rFonts w:ascii="Times New Roman;Times;Serif" w:hAnsi="Times New Roman;Times;Serif"/>
                  <w:sz w:val="20"/>
                </w:rPr>
                <w:t>4.2</w:t>
              </w:r>
            </w:hyperlink>
          </w:p>
        </w:tc>
        <w:tc>
          <w:tcPr>
            <w:tcW w:w="9645" w:type="dxa"/>
            <w:tcBorders/>
            <w:vAlign w:val="center"/>
          </w:tcPr>
          <w:p>
            <w:pPr>
              <w:pStyle w:val="TableContents"/>
              <w:bidi w:val="0"/>
              <w:spacing w:before="0" w:after="283"/>
              <w:jc w:val="left"/>
              <w:rPr/>
            </w:pPr>
            <w:hyperlink r:id="rId9">
              <w:r>
                <w:rPr>
                  <w:rStyle w:val="InternetLink"/>
                  <w:rFonts w:ascii="Times New Roman;Times;Serif" w:hAnsi="Times New Roman;Times;Serif"/>
                  <w:sz w:val="20"/>
                </w:rPr>
                <w:t>First Supplemental Indenture dated as of January 19, 2012 between the Issuing Entity and Deutsche Bank Trust Company Americas, as trustee, providing for the issuance of the Issuing Entity’s 2012 Senior Secured Transition Bonds.</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0">
              <w:r>
                <w:rPr>
                  <w:rStyle w:val="InternetLink"/>
                  <w:rFonts w:ascii="Times New Roman;Times;Serif" w:hAnsi="Times New Roman;Times;Serif"/>
                  <w:sz w:val="20"/>
                </w:rPr>
                <w:t>4.3</w:t>
              </w:r>
            </w:hyperlink>
          </w:p>
        </w:tc>
        <w:tc>
          <w:tcPr>
            <w:tcW w:w="9645" w:type="dxa"/>
            <w:tcBorders/>
            <w:vAlign w:val="center"/>
          </w:tcPr>
          <w:p>
            <w:pPr>
              <w:pStyle w:val="TableContents"/>
              <w:bidi w:val="0"/>
              <w:spacing w:before="0" w:after="283"/>
              <w:jc w:val="left"/>
              <w:rPr/>
            </w:pPr>
            <w:hyperlink r:id="rId11">
              <w:r>
                <w:rPr>
                  <w:rStyle w:val="InternetLink"/>
                  <w:rFonts w:ascii="Times New Roman;Times;Serif" w:hAnsi="Times New Roman;Times;Serif"/>
                  <w:sz w:val="20"/>
                </w:rPr>
                <w:t>Form of 2012 Senior Secured Transition Bond (included in Exhibit 4.2).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1-1.htm">
              <w:r>
                <w:rPr>
                  <w:rStyle w:val="InternetLink"/>
                  <w:rFonts w:ascii="Times New Roman;Times;Serif" w:hAnsi="Times New Roman;Times;Serif"/>
                  <w:sz w:val="20"/>
                </w:rPr>
                <w:t>*31.1</w:t>
              </w:r>
            </w:hyperlink>
          </w:p>
        </w:tc>
        <w:tc>
          <w:tcPr>
            <w:tcW w:w="9645" w:type="dxa"/>
            <w:tcBorders/>
            <w:vAlign w:val="center"/>
          </w:tcPr>
          <w:p>
            <w:pPr>
              <w:pStyle w:val="TableContents"/>
              <w:bidi w:val="0"/>
              <w:spacing w:before="0" w:after="283"/>
              <w:jc w:val="left"/>
              <w:rPr/>
            </w:pPr>
            <w:hyperlink w:anchor="tm249618d1_ex31-1.htm">
              <w:r>
                <w:rPr>
                  <w:rStyle w:val="InternetLink"/>
                  <w:rFonts w:ascii="Times New Roman;Times;Serif" w:hAnsi="Times New Roman;Times;Serif"/>
                  <w:sz w:val="20"/>
                </w:rPr>
                <w:t>Certification.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3-1.htm">
              <w:r>
                <w:rPr>
                  <w:rStyle w:val="InternetLink"/>
                  <w:rFonts w:ascii="Times New Roman;Times;Serif" w:hAnsi="Times New Roman;Times;Serif"/>
                  <w:sz w:val="20"/>
                </w:rPr>
                <w:t>*33.1</w:t>
              </w:r>
            </w:hyperlink>
          </w:p>
        </w:tc>
        <w:tc>
          <w:tcPr>
            <w:tcW w:w="9645" w:type="dxa"/>
            <w:tcBorders/>
            <w:vAlign w:val="center"/>
          </w:tcPr>
          <w:p>
            <w:pPr>
              <w:pStyle w:val="TableContents"/>
              <w:bidi w:val="0"/>
              <w:spacing w:before="0" w:after="283"/>
              <w:jc w:val="left"/>
              <w:rPr/>
            </w:pPr>
            <w:hyperlink w:anchor="tm249618d1_ex33-1.htm">
              <w:r>
                <w:rPr>
                  <w:rStyle w:val="InternetLink"/>
                  <w:rFonts w:ascii="Times New Roman;Times;Serif" w:hAnsi="Times New Roman;Times;Serif"/>
                  <w:sz w:val="20"/>
                </w:rPr>
                <w:t>Report on assessment of compliance with servicing criteria for asset-backed securities for CenterPoint Energy Houston Electric, LLC.</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3-2.htm">
              <w:r>
                <w:rPr>
                  <w:rStyle w:val="InternetLink"/>
                  <w:rFonts w:ascii="Times New Roman;Times;Serif" w:hAnsi="Times New Roman;Times;Serif"/>
                  <w:sz w:val="20"/>
                </w:rPr>
                <w:t>*33.2</w:t>
              </w:r>
            </w:hyperlink>
          </w:p>
        </w:tc>
        <w:tc>
          <w:tcPr>
            <w:tcW w:w="9645" w:type="dxa"/>
            <w:tcBorders/>
            <w:vAlign w:val="center"/>
          </w:tcPr>
          <w:p>
            <w:pPr>
              <w:pStyle w:val="TableContents"/>
              <w:bidi w:val="0"/>
              <w:spacing w:before="0" w:after="283"/>
              <w:jc w:val="left"/>
              <w:rPr/>
            </w:pPr>
            <w:hyperlink w:anchor="tm249618d1_ex33-2.htm">
              <w:r>
                <w:rPr>
                  <w:rStyle w:val="InternetLink"/>
                  <w:rFonts w:ascii="Times New Roman;Times;Serif" w:hAnsi="Times New Roman;Times;Serif"/>
                  <w:sz w:val="20"/>
                </w:rPr>
                <w:t>Assertion of compliance with applicable servicing criteria for Deutsche Bank Trust Company Americas.</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4-1.htm">
              <w:r>
                <w:rPr>
                  <w:rStyle w:val="InternetLink"/>
                  <w:rFonts w:ascii="Times New Roman;Times;Serif" w:hAnsi="Times New Roman;Times;Serif"/>
                  <w:sz w:val="20"/>
                </w:rPr>
                <w:t>*34.1</w:t>
              </w:r>
            </w:hyperlink>
          </w:p>
        </w:tc>
        <w:tc>
          <w:tcPr>
            <w:tcW w:w="9645" w:type="dxa"/>
            <w:tcBorders/>
            <w:vAlign w:val="center"/>
          </w:tcPr>
          <w:p>
            <w:pPr>
              <w:pStyle w:val="TableContents"/>
              <w:bidi w:val="0"/>
              <w:spacing w:before="0" w:after="283"/>
              <w:jc w:val="left"/>
              <w:rPr/>
            </w:pPr>
            <w:hyperlink w:anchor="tm249618d1_ex34-1.htm">
              <w:r>
                <w:rPr>
                  <w:rStyle w:val="InternetLink"/>
                  <w:rFonts w:ascii="Times New Roman;Times;Serif" w:hAnsi="Times New Roman;Times;Serif"/>
                  <w:sz w:val="20"/>
                </w:rPr>
                <w:t>Attestation report on assessment of compliance with servicing criteria for asset-backed securities of Deloitte &amp; Touche LLP on behalf of CenterPoint Energy Houston Electric, LLC.</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4-2.htm">
              <w:r>
                <w:rPr>
                  <w:rStyle w:val="InternetLink"/>
                  <w:rFonts w:ascii="Times New Roman;Times;Serif" w:hAnsi="Times New Roman;Times;Serif"/>
                  <w:sz w:val="20"/>
                </w:rPr>
                <w:t>*34.2</w:t>
              </w:r>
            </w:hyperlink>
          </w:p>
        </w:tc>
        <w:tc>
          <w:tcPr>
            <w:tcW w:w="9645" w:type="dxa"/>
            <w:tcBorders/>
            <w:vAlign w:val="center"/>
          </w:tcPr>
          <w:p>
            <w:pPr>
              <w:pStyle w:val="TableContents"/>
              <w:bidi w:val="0"/>
              <w:spacing w:before="0" w:after="283"/>
              <w:jc w:val="left"/>
              <w:rPr/>
            </w:pPr>
            <w:hyperlink w:anchor="tm249618d1_ex34-2.htm">
              <w:r>
                <w:rPr>
                  <w:rStyle w:val="InternetLink"/>
                  <w:rFonts w:ascii="Times New Roman;Times;Serif" w:hAnsi="Times New Roman;Times;Serif"/>
                  <w:sz w:val="20"/>
                </w:rPr>
                <w:t>Attestation report on assessment of compliance with servicing criteria for asset-backed securities of Ernst &amp; Young LLP on behalf of Deutsche Bank Trust Company Americas.</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5-1.htm">
              <w:r>
                <w:rPr>
                  <w:rStyle w:val="InternetLink"/>
                  <w:rFonts w:ascii="Times New Roman;Times;Serif" w:hAnsi="Times New Roman;Times;Serif"/>
                  <w:sz w:val="20"/>
                </w:rPr>
                <w:t>*35.1</w:t>
              </w:r>
            </w:hyperlink>
          </w:p>
        </w:tc>
        <w:tc>
          <w:tcPr>
            <w:tcW w:w="9645" w:type="dxa"/>
            <w:tcBorders/>
            <w:vAlign w:val="center"/>
          </w:tcPr>
          <w:p>
            <w:pPr>
              <w:pStyle w:val="TableContents"/>
              <w:bidi w:val="0"/>
              <w:spacing w:before="0" w:after="283"/>
              <w:jc w:val="left"/>
              <w:rPr/>
            </w:pPr>
            <w:hyperlink w:anchor="tm249618d1_ex35-1.htm">
              <w:r>
                <w:rPr>
                  <w:rStyle w:val="InternetLink"/>
                  <w:rFonts w:ascii="Times New Roman;Times;Serif" w:hAnsi="Times New Roman;Times;Serif"/>
                  <w:sz w:val="20"/>
                </w:rPr>
                <w:t>Servicer compliance statement.</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2">
              <w:r>
                <w:rPr>
                  <w:rStyle w:val="InternetLink"/>
                  <w:rFonts w:ascii="Times New Roman;Times;Serif" w:hAnsi="Times New Roman;Times;Serif"/>
                  <w:sz w:val="20"/>
                </w:rPr>
                <w:t>99.1</w:t>
              </w:r>
            </w:hyperlink>
          </w:p>
        </w:tc>
        <w:tc>
          <w:tcPr>
            <w:tcW w:w="9645" w:type="dxa"/>
            <w:tcBorders/>
            <w:vAlign w:val="center"/>
          </w:tcPr>
          <w:p>
            <w:pPr>
              <w:pStyle w:val="TableContents"/>
              <w:bidi w:val="0"/>
              <w:spacing w:before="0" w:after="283"/>
              <w:jc w:val="left"/>
              <w:rPr/>
            </w:pPr>
            <w:hyperlink r:id="rId13">
              <w:r>
                <w:rPr>
                  <w:rStyle w:val="InternetLink"/>
                  <w:rFonts w:ascii="Times New Roman;Times;Serif" w:hAnsi="Times New Roman;Times;Serif"/>
                  <w:sz w:val="20"/>
                </w:rPr>
                <w:t>Transition Property Sale Agreement dated as of January 19, 2012 between the Issuing Entity and CenterPoint Energy Houston Electric, LLC, as seller.</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4">
              <w:r>
                <w:rPr>
                  <w:rStyle w:val="InternetLink"/>
                  <w:rFonts w:ascii="Times New Roman;Times;Serif" w:hAnsi="Times New Roman;Times;Serif"/>
                  <w:sz w:val="20"/>
                </w:rPr>
                <w:t>99.2</w:t>
              </w:r>
            </w:hyperlink>
          </w:p>
        </w:tc>
        <w:tc>
          <w:tcPr>
            <w:tcW w:w="9645" w:type="dxa"/>
            <w:tcBorders/>
            <w:vAlign w:val="center"/>
          </w:tcPr>
          <w:p>
            <w:pPr>
              <w:pStyle w:val="TableContents"/>
              <w:bidi w:val="0"/>
              <w:spacing w:before="0" w:after="283"/>
              <w:jc w:val="left"/>
              <w:rPr/>
            </w:pPr>
            <w:hyperlink r:id="rId15">
              <w:r>
                <w:rPr>
                  <w:rStyle w:val="InternetLink"/>
                  <w:rFonts w:ascii="Times New Roman;Times;Serif" w:hAnsi="Times New Roman;Times;Serif"/>
                  <w:sz w:val="20"/>
                </w:rPr>
                <w:t>Transition Property Servicing Agreement dated as of January 19, 2012 between the Issuing Entity and CenterPoint Energy Houston Electric, LLC, as servicer.</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6">
              <w:r>
                <w:rPr>
                  <w:rStyle w:val="InternetLink"/>
                  <w:rFonts w:ascii="Times New Roman;Times;Serif" w:hAnsi="Times New Roman;Times;Serif"/>
                  <w:sz w:val="20"/>
                </w:rPr>
                <w:t>99.3</w:t>
              </w:r>
            </w:hyperlink>
          </w:p>
        </w:tc>
        <w:tc>
          <w:tcPr>
            <w:tcW w:w="9645" w:type="dxa"/>
            <w:tcBorders/>
            <w:vAlign w:val="center"/>
          </w:tcPr>
          <w:p>
            <w:pPr>
              <w:pStyle w:val="TableContents"/>
              <w:bidi w:val="0"/>
              <w:spacing w:before="0" w:after="283"/>
              <w:jc w:val="left"/>
              <w:rPr/>
            </w:pPr>
            <w:hyperlink r:id="rId17">
              <w:r>
                <w:rPr>
                  <w:rStyle w:val="InternetLink"/>
                  <w:rFonts w:ascii="Times New Roman;Times;Serif" w:hAnsi="Times New Roman;Times;Serif"/>
                  <w:sz w:val="20"/>
                </w:rPr>
                <w:t>Administration Agreement dated as of January 19, 2012 between the Issuing Entity and CenterPoint Energy Houston Electric, LLC, as administrator.</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left"/>
              <w:rPr/>
            </w:pPr>
            <w:r>
              <w:rPr/>
              <w:t>Exhibits required by this Form and Item 601 of Regulation S-K (exhibits marked with an asterisk are 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18">
              <w:r>
                <w:rPr>
                  <w:rStyle w:val="InternetLink"/>
                  <w:rFonts w:ascii="Times New Roman;Times;Serif" w:hAnsi="Times New Roman;Times;Serif"/>
                  <w:sz w:val="20"/>
                </w:rPr>
                <w:t>3.1</w:t>
              </w:r>
            </w:hyperlink>
          </w:p>
        </w:tc>
        <w:tc>
          <w:tcPr>
            <w:tcW w:w="9645" w:type="dxa"/>
            <w:tcBorders/>
            <w:vAlign w:val="center"/>
          </w:tcPr>
          <w:p>
            <w:pPr>
              <w:pStyle w:val="TableContents"/>
              <w:bidi w:val="0"/>
              <w:spacing w:before="0" w:after="283"/>
              <w:jc w:val="left"/>
              <w:rPr/>
            </w:pPr>
            <w:hyperlink r:id="rId19">
              <w:r>
                <w:rPr>
                  <w:rStyle w:val="InternetLink"/>
                  <w:rFonts w:ascii="Times New Roman;Times;Serif" w:hAnsi="Times New Roman;Times;Serif"/>
                  <w:sz w:val="20"/>
                </w:rPr>
                <w:t>Certificate of Formation of the Issuing Entity filed with the Delaware Secretary of State on October 14, 2011</w:t>
              </w:r>
            </w:hyperlink>
            <w:hyperlink r:id="rId20">
              <w:r>
                <w:rPr>
                  <w:rStyle w:val="InternetLink"/>
                  <w:sz w:val="20"/>
                </w:rPr>
                <w:t xml:space="preserve"> (incorporated by reference to exhibit 3.3 included as an exhibit to the Issuing Entity’s Registration Statement on Form S-3 (Reg. No. 333-177662-01) dated November 2, 2011).</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1">
              <w:r>
                <w:rPr>
                  <w:rStyle w:val="InternetLink"/>
                  <w:rFonts w:ascii="Times New Roman;Times;Serif" w:hAnsi="Times New Roman;Times;Serif"/>
                  <w:sz w:val="20"/>
                </w:rPr>
                <w:t>3.2</w:t>
              </w:r>
            </w:hyperlink>
          </w:p>
        </w:tc>
        <w:tc>
          <w:tcPr>
            <w:tcW w:w="9645"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Amended and Restated Limited Liability Company Agreement of the Issuing Entity dated as of January 19, 2012</w:t>
              </w:r>
            </w:hyperlink>
            <w:hyperlink r:id="rId23">
              <w:r>
                <w:rPr>
                  <w:rStyle w:val="InternetLink"/>
                  <w:sz w:val="20"/>
                </w:rPr>
                <w:t xml:space="preserve"> (incorporated by reference to exhibit 3.1 included as an exhibit to the Issuing Entity’s Current Report on Form 8-K dated January 11,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4">
              <w:r>
                <w:rPr>
                  <w:rStyle w:val="InternetLink"/>
                  <w:rFonts w:ascii="Times New Roman;Times;Serif" w:hAnsi="Times New Roman;Times;Serif"/>
                  <w:sz w:val="20"/>
                </w:rPr>
                <w:t>4.1</w:t>
              </w:r>
            </w:hyperlink>
          </w:p>
        </w:tc>
        <w:tc>
          <w:tcPr>
            <w:tcW w:w="9645" w:type="dxa"/>
            <w:tcBorders/>
            <w:vAlign w:val="center"/>
          </w:tcPr>
          <w:p>
            <w:pPr>
              <w:pStyle w:val="TableContents"/>
              <w:bidi w:val="0"/>
              <w:spacing w:before="0" w:after="283"/>
              <w:jc w:val="left"/>
              <w:rPr/>
            </w:pPr>
            <w:hyperlink r:id="rId25">
              <w:r>
                <w:rPr>
                  <w:rStyle w:val="InternetLink"/>
                  <w:rFonts w:ascii="Times New Roman;Times;Serif" w:hAnsi="Times New Roman;Times;Serif"/>
                  <w:sz w:val="20"/>
                </w:rPr>
                <w:t>Indenture dated as of January 19, 2012 between the Issuing Entity and Deutsche Bank Trust Company Americas, as trustee, providing for the issuance of Senior Secured Transition Bonds</w:t>
              </w:r>
            </w:hyperlink>
            <w:hyperlink r:id="rId26">
              <w:r>
                <w:rPr>
                  <w:rStyle w:val="InternetLink"/>
                  <w:sz w:val="20"/>
                </w:rPr>
                <w:t xml:space="preserve"> (incorporated by reference to exhibit 4.1 included as an exhibit to the Issuing Entity’s Current Report on Form 8-K dated January 11,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27">
              <w:r>
                <w:rPr>
                  <w:rStyle w:val="InternetLink"/>
                  <w:rFonts w:ascii="Times New Roman;Times;Serif" w:hAnsi="Times New Roman;Times;Serif"/>
                  <w:sz w:val="20"/>
                </w:rPr>
                <w:t>4.2</w:t>
              </w:r>
            </w:hyperlink>
          </w:p>
        </w:tc>
        <w:tc>
          <w:tcPr>
            <w:tcW w:w="9645"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First Supplemental Indenture dated as of January 19, 2012 between the Issuing Entity and Deutsche Bank Trust Company Americas, as trustee, providing for the issuance of the Issuing Entity’s 2012 Senior Secured Transition Bonds</w:t>
              </w:r>
            </w:hyperlink>
            <w:hyperlink r:id="rId29">
              <w:r>
                <w:rPr>
                  <w:rStyle w:val="InternetLink"/>
                  <w:sz w:val="20"/>
                </w:rPr>
                <w:t xml:space="preserve"> (incorporated by reference to exhibit 4.2 included as an exhibit to the Issuing Entity’s Current Report on Form 8-K dated January 11,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30">
              <w:r>
                <w:rPr>
                  <w:rStyle w:val="InternetLink"/>
                  <w:rFonts w:ascii="Times New Roman;Times;Serif" w:hAnsi="Times New Roman;Times;Serif"/>
                  <w:sz w:val="20"/>
                </w:rPr>
                <w:t>4.3</w:t>
              </w:r>
            </w:hyperlink>
          </w:p>
        </w:tc>
        <w:tc>
          <w:tcPr>
            <w:tcW w:w="9645"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Form of 2012 Senior Secured Transition Bond (included as Exhibit A to the First Supplement Indenture filed as Exhibit 4.2)</w:t>
              </w:r>
            </w:hyperlink>
            <w:hyperlink r:id="rId32">
              <w:r>
                <w:rPr>
                  <w:rStyle w:val="InternetLink"/>
                  <w:sz w:val="20"/>
                </w:rPr>
                <w:t xml:space="preserve"> (incorporated by reference to exhibit 4.2 included as an exhibit to the Issuing Entity’s Current Report on Form 8-K dated January 11,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1-1.htm">
              <w:r>
                <w:rPr>
                  <w:rStyle w:val="InternetLink"/>
                  <w:rFonts w:ascii="Times New Roman;Times;Serif" w:hAnsi="Times New Roman;Times;Serif"/>
                  <w:sz w:val="20"/>
                </w:rPr>
                <w:t>*31.1</w:t>
              </w:r>
            </w:hyperlink>
          </w:p>
        </w:tc>
        <w:tc>
          <w:tcPr>
            <w:tcW w:w="9645" w:type="dxa"/>
            <w:tcBorders/>
            <w:vAlign w:val="center"/>
          </w:tcPr>
          <w:p>
            <w:pPr>
              <w:pStyle w:val="TableContents"/>
              <w:bidi w:val="0"/>
              <w:spacing w:before="0" w:after="283"/>
              <w:jc w:val="left"/>
              <w:rPr/>
            </w:pPr>
            <w:hyperlink w:anchor="tm249618d1_ex31-1.htm">
              <w:r>
                <w:rPr>
                  <w:rStyle w:val="InternetLink"/>
                  <w:rFonts w:ascii="Times New Roman;Times;Serif" w:hAnsi="Times New Roman;Times;Serif"/>
                  <w:sz w:val="20"/>
                </w:rPr>
                <w:t>Certification.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3-1.htm">
              <w:r>
                <w:rPr>
                  <w:rStyle w:val="InternetLink"/>
                  <w:rFonts w:ascii="Times New Roman;Times;Serif" w:hAnsi="Times New Roman;Times;Serif"/>
                  <w:sz w:val="20"/>
                </w:rPr>
                <w:t>*33.1</w:t>
              </w:r>
            </w:hyperlink>
          </w:p>
        </w:tc>
        <w:tc>
          <w:tcPr>
            <w:tcW w:w="9645" w:type="dxa"/>
            <w:tcBorders/>
            <w:vAlign w:val="center"/>
          </w:tcPr>
          <w:p>
            <w:pPr>
              <w:pStyle w:val="TableContents"/>
              <w:bidi w:val="0"/>
              <w:spacing w:before="0" w:after="283"/>
              <w:jc w:val="left"/>
              <w:rPr/>
            </w:pPr>
            <w:hyperlink w:anchor="tm249618d1_ex33-1.htm">
              <w:r>
                <w:rPr>
                  <w:rStyle w:val="InternetLink"/>
                  <w:rFonts w:ascii="Times New Roman;Times;Serif" w:hAnsi="Times New Roman;Times;Serif"/>
                  <w:sz w:val="20"/>
                </w:rPr>
                <w:t>Report on assessment of compliance with servicing criteria for asset-backed securities for CenterPoint Energy Houston Electric, LLC.</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3-2.htm">
              <w:r>
                <w:rPr>
                  <w:rStyle w:val="InternetLink"/>
                  <w:rFonts w:ascii="Times New Roman;Times;Serif" w:hAnsi="Times New Roman;Times;Serif"/>
                  <w:sz w:val="20"/>
                </w:rPr>
                <w:t>*33.2</w:t>
              </w:r>
            </w:hyperlink>
          </w:p>
        </w:tc>
        <w:tc>
          <w:tcPr>
            <w:tcW w:w="9645" w:type="dxa"/>
            <w:tcBorders/>
            <w:vAlign w:val="center"/>
          </w:tcPr>
          <w:p>
            <w:pPr>
              <w:pStyle w:val="TableContents"/>
              <w:bidi w:val="0"/>
              <w:spacing w:before="0" w:after="283"/>
              <w:jc w:val="left"/>
              <w:rPr/>
            </w:pPr>
            <w:hyperlink w:anchor="tm249618d1_ex33-2.htm">
              <w:r>
                <w:rPr>
                  <w:rStyle w:val="InternetLink"/>
                  <w:rFonts w:ascii="Times New Roman;Times;Serif" w:hAnsi="Times New Roman;Times;Serif"/>
                  <w:sz w:val="20"/>
                </w:rPr>
                <w:t>Assertion of compliance with applicable servicing criteria for Deutsche Bank Trust Company Americas.</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4-1.htm">
              <w:r>
                <w:rPr>
                  <w:rStyle w:val="InternetLink"/>
                  <w:rFonts w:ascii="Times New Roman;Times;Serif" w:hAnsi="Times New Roman;Times;Serif"/>
                  <w:sz w:val="20"/>
                </w:rPr>
                <w:t>*34.1</w:t>
              </w:r>
            </w:hyperlink>
          </w:p>
        </w:tc>
        <w:tc>
          <w:tcPr>
            <w:tcW w:w="9645" w:type="dxa"/>
            <w:tcBorders/>
            <w:vAlign w:val="center"/>
          </w:tcPr>
          <w:p>
            <w:pPr>
              <w:pStyle w:val="TableContents"/>
              <w:bidi w:val="0"/>
              <w:spacing w:before="0" w:after="283"/>
              <w:jc w:val="left"/>
              <w:rPr/>
            </w:pPr>
            <w:hyperlink w:anchor="tm249618d1_ex34-1.htm">
              <w:r>
                <w:rPr>
                  <w:rStyle w:val="InternetLink"/>
                  <w:rFonts w:ascii="Times New Roman;Times;Serif" w:hAnsi="Times New Roman;Times;Serif"/>
                  <w:sz w:val="20"/>
                </w:rPr>
                <w:t>Attestation report on assessment of compliance with servicing criteria for asset-backed securities of Deloitte &amp; Touche LLP on behalf of CenterPoint Energy Houston Electric, LLC.</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4-2.htm">
              <w:r>
                <w:rPr>
                  <w:rStyle w:val="InternetLink"/>
                  <w:rFonts w:ascii="Times New Roman;Times;Serif" w:hAnsi="Times New Roman;Times;Serif"/>
                  <w:sz w:val="20"/>
                </w:rPr>
                <w:t>*34.2</w:t>
              </w:r>
            </w:hyperlink>
          </w:p>
        </w:tc>
        <w:tc>
          <w:tcPr>
            <w:tcW w:w="9645" w:type="dxa"/>
            <w:tcBorders/>
            <w:vAlign w:val="center"/>
          </w:tcPr>
          <w:p>
            <w:pPr>
              <w:pStyle w:val="TableContents"/>
              <w:bidi w:val="0"/>
              <w:spacing w:before="0" w:after="283"/>
              <w:jc w:val="left"/>
              <w:rPr/>
            </w:pPr>
            <w:hyperlink w:anchor="tm249618d1_ex34-2.htm">
              <w:r>
                <w:rPr>
                  <w:rStyle w:val="InternetLink"/>
                  <w:rFonts w:ascii="Times New Roman;Times;Serif" w:hAnsi="Times New Roman;Times;Serif"/>
                  <w:sz w:val="20"/>
                </w:rPr>
                <w:t>Attestation report on assessment of compliance with servicing criteria for asset-backed securities of Ernst &amp; Young LLP on behalf of Deutsche Bank Trust Company Americas.</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w:anchor="tm249618d1_ex35-1.htm">
              <w:r>
                <w:rPr>
                  <w:rStyle w:val="InternetLink"/>
                  <w:rFonts w:ascii="Times New Roman;Times;Serif" w:hAnsi="Times New Roman;Times;Serif"/>
                  <w:sz w:val="20"/>
                </w:rPr>
                <w:t>*35.1</w:t>
              </w:r>
            </w:hyperlink>
          </w:p>
        </w:tc>
        <w:tc>
          <w:tcPr>
            <w:tcW w:w="9645" w:type="dxa"/>
            <w:tcBorders/>
            <w:vAlign w:val="center"/>
          </w:tcPr>
          <w:p>
            <w:pPr>
              <w:pStyle w:val="TableContents"/>
              <w:bidi w:val="0"/>
              <w:spacing w:before="0" w:after="283"/>
              <w:jc w:val="left"/>
              <w:rPr/>
            </w:pPr>
            <w:hyperlink w:anchor="tm249618d1_ex35-1.htm">
              <w:r>
                <w:rPr>
                  <w:rStyle w:val="InternetLink"/>
                  <w:rFonts w:ascii="Times New Roman;Times;Serif" w:hAnsi="Times New Roman;Times;Serif"/>
                  <w:sz w:val="20"/>
                </w:rPr>
                <w:t>Servicer compliance statement.</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33">
              <w:r>
                <w:rPr>
                  <w:rStyle w:val="InternetLink"/>
                  <w:rFonts w:ascii="Times New Roman;Times;Serif" w:hAnsi="Times New Roman;Times;Serif"/>
                  <w:sz w:val="20"/>
                </w:rPr>
                <w:t>99.1</w:t>
              </w:r>
            </w:hyperlink>
          </w:p>
        </w:tc>
        <w:tc>
          <w:tcPr>
            <w:tcW w:w="9645"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Transition Property Sale Agreement dated as of January 19, 2012 between the Issuing Entity and CenterPoint Energy Houston Electric, LLC, as seller</w:t>
              </w:r>
            </w:hyperlink>
            <w:hyperlink r:id="rId35">
              <w:r>
                <w:rPr>
                  <w:rStyle w:val="InternetLink"/>
                  <w:sz w:val="20"/>
                </w:rPr>
                <w:t xml:space="preserve"> (incorporated by reference to exhibit 10.1 included as an exhibit to the Issuing Entity’s Current Report on Form 8-K dated January 11,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36">
              <w:r>
                <w:rPr>
                  <w:rStyle w:val="InternetLink"/>
                  <w:rFonts w:ascii="Times New Roman;Times;Serif" w:hAnsi="Times New Roman;Times;Serif"/>
                  <w:sz w:val="20"/>
                </w:rPr>
                <w:t>99.2</w:t>
              </w:r>
            </w:hyperlink>
          </w:p>
        </w:tc>
        <w:tc>
          <w:tcPr>
            <w:tcW w:w="9645" w:type="dxa"/>
            <w:tcBorders/>
            <w:vAlign w:val="center"/>
          </w:tcPr>
          <w:p>
            <w:pPr>
              <w:pStyle w:val="TableContents"/>
              <w:bidi w:val="0"/>
              <w:spacing w:before="0" w:after="283"/>
              <w:jc w:val="left"/>
              <w:rPr/>
            </w:pPr>
            <w:hyperlink r:id="rId37">
              <w:r>
                <w:rPr>
                  <w:rStyle w:val="InternetLink"/>
                  <w:rFonts w:ascii="Times New Roman;Times;Serif" w:hAnsi="Times New Roman;Times;Serif"/>
                  <w:sz w:val="20"/>
                </w:rPr>
                <w:t xml:space="preserve">Transition Property Servicing Agreement dated as of January 19, 2012 between the Issuing Entity and CenterPoint Energy Houston Electric, LLC, as servicer </w:t>
              </w:r>
            </w:hyperlink>
            <w:hyperlink r:id="rId38">
              <w:r>
                <w:rPr>
                  <w:rStyle w:val="InternetLink"/>
                  <w:sz w:val="20"/>
                </w:rPr>
                <w:t>(incorporated by reference to exhibit 10.2 included as an exhibit to the Issuing Entity’s Current Report on Form 8-K dated January 11, 2012).</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9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hyperlink r:id="rId39">
              <w:r>
                <w:rPr>
                  <w:rStyle w:val="InternetLink"/>
                  <w:rFonts w:ascii="Times New Roman;Times;Serif" w:hAnsi="Times New Roman;Times;Serif"/>
                  <w:sz w:val="20"/>
                </w:rPr>
                <w:t>99.3</w:t>
              </w:r>
            </w:hyperlink>
          </w:p>
        </w:tc>
        <w:tc>
          <w:tcPr>
            <w:tcW w:w="9645"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Administration Agreement dated as of January 19, 2012 between the Issuing Entity and CenterPoint Energy Houston Electric, LLC, as administrator</w:t>
              </w:r>
            </w:hyperlink>
            <w:hyperlink r:id="rId41">
              <w:r>
                <w:rPr>
                  <w:rStyle w:val="InternetLink"/>
                  <w:sz w:val="20"/>
                </w:rPr>
                <w:t xml:space="preserve"> (incorporated by reference to exhibit 10.3 included as an exhibit to the Issuing Entity’s Current Report on Form 8-K dated January 11, 2012).</w:t>
              </w:r>
            </w:hyperlink>
          </w:p>
        </w:tc>
      </w:tr>
    </w:tbl>
    <w:p>
      <w:pPr>
        <w:pStyle w:val="TextBody"/>
        <w:bidi w:val="0"/>
        <w:spacing w:before="0" w:after="0"/>
        <w:ind w:left="0" w:right="0" w:hanging="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7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1475" w:type="dxa"/>
            <w:tcBorders/>
            <w:vAlign w:val="center"/>
          </w:tcPr>
          <w:p>
            <w:pPr>
              <w:pStyle w:val="TableContents"/>
              <w:bidi w:val="0"/>
              <w:spacing w:before="0" w:after="283"/>
              <w:jc w:val="left"/>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1112(b). Significant Obligors of Pool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1114(b)(2). Credit Enhancement and Other Support, Except for Certain Derivatives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1115(b). Certain Derivatives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1117.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1119. Affiliations and 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Issuing Entity is a wholly-owned subsidiary of CenterPoint Energy Houston Electric,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1122. Compliance with Applicable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Exhibits 33.1, 33.2, 34.1 and 34.2 under Item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1123. Servicer Compliance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35.1 under Item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 in the City of Houston, the State of Texas, on the 28th day of March, 2024.</w:t>
      </w:r>
    </w:p>
    <w:p>
      <w:pPr>
        <w:pStyle w:val="TextBody"/>
        <w:bidi w:val="0"/>
        <w:spacing w:before="0" w:after="0"/>
        <w:ind w:left="0" w:right="0" w:hanging="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75"/>
        <w:gridCol w:w="416"/>
        <w:gridCol w:w="672"/>
        <w:gridCol w:w="6010"/>
      </w:tblGrid>
      <w:tr>
        <w:trPr/>
        <w:tc>
          <w:tcPr>
            <w:tcW w:w="75" w:type="dxa"/>
            <w:tcBorders/>
            <w:vAlign w:val="center"/>
          </w:tcPr>
          <w:p>
            <w:pPr>
              <w:pStyle w:val="TableContents"/>
              <w:bidi w:val="0"/>
              <w:spacing w:before="0" w:after="283"/>
              <w:jc w:val="left"/>
              <w:rPr/>
            </w:pPr>
            <w:r>
              <w:rPr/>
              <w:t> </w:t>
            </w:r>
          </w:p>
        </w:tc>
        <w:tc>
          <w:tcPr>
            <w:tcW w:w="709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TRANSITION BOND COMPANY IV, LLC, as Issuing Entity</w:t>
            </w:r>
          </w:p>
        </w:tc>
      </w:tr>
      <w:tr>
        <w:trPr/>
        <w:tc>
          <w:tcPr>
            <w:tcW w:w="75" w:type="dxa"/>
            <w:tcBorders/>
            <w:vAlign w:val="center"/>
          </w:tcPr>
          <w:p>
            <w:pPr>
              <w:pStyle w:val="TableContents"/>
              <w:bidi w:val="0"/>
              <w:spacing w:before="0" w:after="283"/>
              <w:jc w:val="left"/>
              <w:rPr/>
            </w:pPr>
            <w:r>
              <w:rPr/>
              <w:t> </w:t>
            </w:r>
          </w:p>
        </w:tc>
        <w:tc>
          <w:tcPr>
            <w:tcW w:w="7098"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682"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 as servicer</w:t>
            </w:r>
          </w:p>
        </w:tc>
      </w:tr>
      <w:tr>
        <w:trPr/>
        <w:tc>
          <w:tcPr>
            <w:tcW w:w="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66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68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Jacqueline M. Richert</w:t>
            </w:r>
          </w:p>
        </w:tc>
      </w:tr>
      <w:tr>
        <w:trPr/>
        <w:tc>
          <w:tcPr>
            <w:tcW w:w="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M. Richert</w:t>
            </w:r>
          </w:p>
        </w:tc>
      </w:tr>
      <w:tr>
        <w:trPr/>
        <w:tc>
          <w:tcPr>
            <w:tcW w:w="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Treasurer</w:t>
            </w:r>
          </w:p>
        </w:tc>
      </w:tr>
      <w:tr>
        <w:trPr/>
        <w:tc>
          <w:tcPr>
            <w:tcW w:w="75" w:type="dxa"/>
            <w:tcBorders/>
            <w:vAlign w:val="center"/>
          </w:tcPr>
          <w:p>
            <w:pPr>
              <w:pStyle w:val="TableContents"/>
              <w:bidi w:val="0"/>
              <w:spacing w:before="0" w:after="283"/>
              <w:jc w:val="left"/>
              <w:rPr/>
            </w:pPr>
            <w:r>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tcBorders/>
            <w:vAlign w:val="center"/>
          </w:tcPr>
          <w:p>
            <w:pPr>
              <w:pStyle w:val="TableContents"/>
              <w:bidi w:val="0"/>
              <w:spacing w:before="0" w:after="283"/>
              <w:jc w:val="left"/>
              <w:rPr>
                <w:caps w:val="false"/>
                <w:smallCaps w:val="false"/>
              </w:rPr>
            </w:pPr>
            <w:r>
              <w:rPr>
                <w:caps w:val="false"/>
                <w:smallCaps w:val="false"/>
              </w:rPr>
              <w:t> </w:t>
            </w:r>
          </w:p>
        </w:tc>
        <w:tc>
          <w:tcPr>
            <w:tcW w:w="6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officer in charge of the servicing function of the servicer)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to be Furnished With Reports Filed Pursuant to Section 15(d) of the Act by Registrants Which Have Not Registered Securities Pursuant to Section 12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 w:name="tm249618d1_ex31-1.htm"/>
      <w:bookmarkStart w:id="3" w:name="kstm249618d1_ex31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Jacqueline M. Richert,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report on Form 10-K and all reports on Form 10-D required to be filed in respect of the period covered by this report on Form 10-K of CenterPoint Energy Transition Bond Company IV, LLC (the “Exchange Act periodic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all of the distribution, servicing and other information required to be provided under Form 10-D for the period covered by this report is included in the Exchange Act periodic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Transition Property Servicing Agreement dated as of January 19, 2012 between CenterPoint Energy Transition Bond Company IV, LLC, as the Issuing Entity, and the Servicer, in all material respects;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certifications above, I have reasonably relied on information provided to me by the following unaffiliated parties: Deutsche Bank Trust Company Americas, as Indenture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2024</w:t>
      </w:r>
    </w:p>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28" w:type="dxa"/>
          <w:right w:w="0" w:type="dxa"/>
        </w:tblCellMar>
      </w:tblPr>
      <w:tblGrid>
        <w:gridCol w:w="560"/>
        <w:gridCol w:w="8375"/>
        <w:gridCol w:w="75"/>
      </w:tblGrid>
      <w:tr>
        <w:trPr/>
        <w:tc>
          <w:tcPr>
            <w:tcW w:w="893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Jacqueline M. Richert</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M. Richert</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Vice President and Treasurer </w:t>
            </w:r>
          </w:p>
        </w:tc>
        <w:tc>
          <w:tcPr>
            <w:tcW w:w="75" w:type="dxa"/>
            <w:tcBorders/>
            <w:tcMar>
              <w:bottom w:w="0" w:type="dxa"/>
            </w:tcMar>
            <w:vAlign w:val="center"/>
          </w:tcPr>
          <w:p>
            <w:pPr>
              <w:pStyle w:val="TableContents"/>
              <w:bidi w:val="0"/>
              <w:spacing w:before="0" w:after="283"/>
              <w:jc w:val="left"/>
              <w:rPr/>
            </w:pPr>
            <w:r>
              <w:rPr/>
              <w:t> </w:t>
            </w:r>
          </w:p>
        </w:tc>
      </w:tr>
      <w:tr>
        <w:trPr/>
        <w:tc>
          <w:tcPr>
            <w:tcW w:w="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Officer in Charge of Servicing Function) CenterPoint Energy Houston Electric, LLC, as servicer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49618d1_ex33-1.htm"/>
      <w:bookmarkStart w:id="5" w:name="kstm249618d1_ex331"/>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ON ASSESSMENT OF COMPLIANCE WITH SERVICING CRITERIA FOR ASSET-BACKED SECURITIES FOR CENTERPOINT ENERGY HOUSTON ELECTRIC,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she is the duly elected and acting Vice President, Investor Relations and Treasurer of CENTERPOINT ENERGY HOUSTON ELECTRIC, LLC, as servicer (the “</w:t>
      </w:r>
      <w:r>
        <w:rPr>
          <w:rFonts w:ascii="Times New Roman;Times;Serif" w:hAnsi="Times New Roman;Times;Serif"/>
          <w:b w:val="false"/>
          <w:i w:val="false"/>
          <w:caps w:val="false"/>
          <w:smallCaps w:val="false"/>
          <w:sz w:val="20"/>
          <w:u w:val="single"/>
        </w:rPr>
        <w:t>Servicer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Houston Electric</w:t>
      </w:r>
      <w:r>
        <w:rPr>
          <w:rFonts w:ascii="Times New Roman;Times;Serif" w:hAnsi="Times New Roman;Times;Serif"/>
          <w:b w:val="false"/>
          <w:i w:val="false"/>
          <w:caps w:val="false"/>
          <w:smallCaps w:val="false"/>
          <w:sz w:val="20"/>
        </w:rPr>
        <w:t>”) under the Transition Property Servicing Agreement dated as of January 19, 2012 (the “</w:t>
      </w:r>
      <w:r>
        <w:rPr>
          <w:rFonts w:ascii="Times New Roman;Times;Serif" w:hAnsi="Times New Roman;Times;Serif"/>
          <w:b w:val="false"/>
          <w:i w:val="false"/>
          <w:caps w:val="false"/>
          <w:smallCaps w:val="false"/>
          <w:sz w:val="20"/>
          <w:u w:val="single"/>
        </w:rPr>
        <w:t>Servicing Agreement</w:t>
      </w:r>
      <w:r>
        <w:rPr>
          <w:rFonts w:ascii="Times New Roman;Times;Serif" w:hAnsi="Times New Roman;Times;Serif"/>
          <w:b w:val="false"/>
          <w:i w:val="false"/>
          <w:caps w:val="false"/>
          <w:smallCaps w:val="false"/>
          <w:sz w:val="20"/>
        </w:rPr>
        <w:t>”) between the Servicer and CENTERPOINT ENERGY TRANSITION BOND COMPANY IV, LLC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and further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responsible for assessing the Servicer’s compliance with the servicing criteria set forth in Item 1122(d) of Regulation AB (the “</w:t>
      </w:r>
      <w:r>
        <w:rPr>
          <w:rFonts w:ascii="Times New Roman;Times;Serif" w:hAnsi="Times New Roman;Times;Serif"/>
          <w:b w:val="false"/>
          <w:i w:val="false"/>
          <w:caps w:val="false"/>
          <w:smallCaps w:val="false"/>
          <w:sz w:val="20"/>
          <w:u w:val="single"/>
        </w:rPr>
        <w:t>Servicing Criteria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2023 and covered by the Issuer’s annual report on Form 10-K (such fiscal year, the “</w:t>
      </w:r>
      <w:r>
        <w:rPr>
          <w:rFonts w:ascii="Times New Roman;Times;Serif" w:hAnsi="Times New Roman;Times;Serif"/>
          <w:b w:val="false"/>
          <w:i w:val="false"/>
          <w:caps w:val="false"/>
          <w:smallCaps w:val="false"/>
          <w:sz w:val="20"/>
          <w:u w:val="single"/>
        </w:rPr>
        <w:t>Assessment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0"/>
        <w:gridCol w:w="60"/>
        <w:gridCol w:w="5012"/>
        <w:gridCol w:w="60"/>
        <w:gridCol w:w="3793"/>
      </w:tblGrid>
      <w:tr>
        <w:trPr/>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Regulation AB</w:t>
              <w:br/>
              <w:t>Reference</w:t>
            </w:r>
          </w:p>
        </w:tc>
        <w:tc>
          <w:tcPr>
            <w:tcW w:w="60" w:type="dxa"/>
            <w:tcBorders/>
            <w:tcMar>
              <w:bottom w:w="0" w:type="dxa"/>
            </w:tcMar>
            <w:vAlign w:val="center"/>
          </w:tcPr>
          <w:p>
            <w:pPr>
              <w:pStyle w:val="TableContents"/>
              <w:bidi w:val="0"/>
              <w:spacing w:before="0" w:after="283"/>
              <w:jc w:val="left"/>
              <w:rPr/>
            </w:pPr>
            <w:r>
              <w:rPr/>
              <w:t> </w:t>
            </w:r>
          </w:p>
        </w:tc>
        <w:tc>
          <w:tcPr>
            <w:tcW w:w="501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60" w:type="dxa"/>
            <w:tcBorders/>
            <w:tcMar>
              <w:bottom w:w="0" w:type="dxa"/>
            </w:tcMar>
            <w:vAlign w:val="center"/>
          </w:tcPr>
          <w:p>
            <w:pPr>
              <w:pStyle w:val="TableContents"/>
              <w:bidi w:val="0"/>
              <w:spacing w:before="0" w:after="283"/>
              <w:jc w:val="left"/>
              <w:rPr/>
            </w:pPr>
            <w:r>
              <w:rPr/>
              <w:t> </w:t>
            </w:r>
          </w:p>
        </w:tc>
        <w:tc>
          <w:tcPr>
            <w:tcW w:w="379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w:t>
            </w:r>
          </w:p>
        </w:tc>
      </w:tr>
      <w:tr>
        <w:trPr/>
        <w:tc>
          <w:tcPr>
            <w:tcW w:w="12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General Servicing Considerations</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Policies and procedures are instituted to monitor any performance or other triggers and events of default in accordance with the transaction agreements.</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any material servicing activities are outsourced to third parties, policies and procedures are instituted to monitor the third party’s performance and compliance with such servicing activities.</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servicing activities were outsourced.</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1122(d)(1)(iii)</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requirements in the transaction agreements to maintain a back-up servicer for pool assets are maintained.</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documents do not provide for a back-up servicer.</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1122(d)(1)(iv)</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fidelity bond and errors and omissions policy is in effect on the party participating in the servicing function throughout the reporting period in the amount of coverage required by and otherwise in accordance with the terms of the transaction agreements.</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PUCT rules impose credit standards on retail electric providers who handle customer collections and govern performance requirements of utilities.</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1122(d)(1)(v)</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Aggregation of information, as applicable, is mathematically accurate and the information conveyed accurately reflects the information.</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Collection and Administration</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pool assets are deposited into the appropriate custodial bank accounts and related bank clearing accounts no more than two business days of receipt, or such other number of days specified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Applicable; assessment below.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via wire transfer on behalf of an obligor or to an investor are made only by authorized personnel.</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disbursements on behalf of obligors or to investors are made by Servicer by means of wire transfer.</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1122(d)(2)(iii)</w:t>
            </w:r>
          </w:p>
        </w:tc>
        <w:tc>
          <w:tcPr>
            <w:tcW w:w="60" w:type="dxa"/>
            <w:tcBorders/>
            <w:tcMar>
              <w:bottom w:w="0" w:type="dxa"/>
            </w:tcMar>
            <w:vAlign w:val="center"/>
          </w:tcPr>
          <w:p>
            <w:pPr>
              <w:pStyle w:val="TableContents"/>
              <w:bidi w:val="0"/>
              <w:spacing w:before="0" w:after="283"/>
              <w:jc w:val="left"/>
              <w:rPr/>
            </w:pPr>
            <w:r>
              <w:rPr/>
              <w:t> </w:t>
            </w:r>
          </w:p>
        </w:tc>
        <w:tc>
          <w:tcPr>
            <w:tcW w:w="501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of funds or guarantees regarding collections, cash flows or distributions, and any interest or other fees charged for such advances, are made, reviewed and approved as specified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379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required; no advances by the Servicer are permitted under the transaction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80"/>
        <w:gridCol w:w="60"/>
        <w:gridCol w:w="6068"/>
        <w:gridCol w:w="60"/>
        <w:gridCol w:w="2737"/>
      </w:tblGrid>
      <w:tr>
        <w:trPr/>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Regulation AB</w:t>
              <w:br/>
              <w:t>Reference</w:t>
            </w:r>
          </w:p>
        </w:tc>
        <w:tc>
          <w:tcPr>
            <w:tcW w:w="60" w:type="dxa"/>
            <w:tcBorders/>
            <w:tcMar>
              <w:bottom w:w="0" w:type="dxa"/>
            </w:tcMar>
            <w:vAlign w:val="center"/>
          </w:tcPr>
          <w:p>
            <w:pPr>
              <w:pStyle w:val="TableContents"/>
              <w:bidi w:val="0"/>
              <w:spacing w:before="0" w:after="283"/>
              <w:jc w:val="left"/>
              <w:rPr/>
            </w:pPr>
            <w:r>
              <w:rPr/>
              <w:t> </w:t>
            </w:r>
          </w:p>
        </w:tc>
        <w:tc>
          <w:tcPr>
            <w:tcW w:w="606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60" w:type="dxa"/>
            <w:tcBorders/>
            <w:tcMar>
              <w:bottom w:w="0" w:type="dxa"/>
            </w:tcMar>
            <w:vAlign w:val="center"/>
          </w:tcPr>
          <w:p>
            <w:pPr>
              <w:pStyle w:val="TableContents"/>
              <w:bidi w:val="0"/>
              <w:spacing w:before="0" w:after="283"/>
              <w:jc w:val="left"/>
              <w:rPr/>
            </w:pPr>
            <w:r>
              <w:rPr/>
              <w:t> </w:t>
            </w:r>
          </w:p>
        </w:tc>
        <w:tc>
          <w:tcPr>
            <w:tcW w:w="273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1122(d)(2)(iv)</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related accounts for the transaction, such as cash reserve accounts or accounts established as a form of overcollateralization, are separately maintained (e.g., with respect to commingling of cash) as set forth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is required since transaction accounts are maintained by and in the name of the Trustee.</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custodial account is maintained at a federally insured depository institution as set forth in the transaction agreements. For purposes of this criterion, “federally insured depository institution” with respect to a foreign financial institution means a foreign financial institution that meets the requirements of Rule 13k-1(b)(1) of the Exchange Act.</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no current assessment required; all “custodial accounts” are maintained by the Trustee.</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Unissued checks are safeguarded so as to prevent unauthorized access.</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all transfers made by wire transfer.</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1122(d)(2)(vii)</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Reconciliations are prepared on a monthly basis for all asset-backed securities related bank accounts, including custodial accounts and related bank clearing accounts. These reconciliations are (A) mathematically accurate; (B) prepared within 30 calendar days after the bank statement cutoff date, or such other number of days specified in the transaction agreements; (C) reviewed and approved by someone other than the person who prepared the reconciliation; and (D) contain explanations for reconciling items. These reconciling items are resolved within 90 calendar days of their original identification, or such other number of days specified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 Reconciliations as to REP accounts are limited to confirming that the funds in any REP’s account known to Servicer are at least in the amount required by Servicer.</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Investor Remittances and Reporting</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to investors, including those to be filed with the Commission, are maintained in accordance with the</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agreements and applicable Commission requirements. Specifically, such reports (A) are prepared in accordance with timeframes and other terms set forth in the transaction agreements; (B) provide information calculated in accordance with the terms specified in the transaction agreements; (C) are filed with the Commission as required by its rules and regulations; and (D) agree with investors’ or the trustee’s records as to the total unpaid principal balance and number of pool assets serviced by the Servicer.</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pPr>
            <w:r>
              <w:rPr/>
              <w:t> </w:t>
            </w:r>
          </w:p>
        </w:tc>
      </w:tr>
      <w:tr>
        <w:trPr/>
        <w:tc>
          <w:tcPr>
            <w:tcW w:w="12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w:t>
            </w:r>
          </w:p>
        </w:tc>
        <w:tc>
          <w:tcPr>
            <w:tcW w:w="60" w:type="dxa"/>
            <w:tcBorders/>
            <w:tcMar>
              <w:bottom w:w="0" w:type="dxa"/>
            </w:tcMar>
            <w:vAlign w:val="center"/>
          </w:tcPr>
          <w:p>
            <w:pPr>
              <w:pStyle w:val="TableContents"/>
              <w:bidi w:val="0"/>
              <w:spacing w:before="0" w:after="283"/>
              <w:jc w:val="left"/>
              <w:rPr/>
            </w:pPr>
            <w:r>
              <w:rPr/>
              <w:t> </w:t>
            </w:r>
          </w:p>
        </w:tc>
        <w:tc>
          <w:tcPr>
            <w:tcW w:w="60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investors are allocated and remitted in accordance with timeframes, distribution priority and other terms set forth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273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trustee allocates among, and remits to, investors.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283"/>
        <w:gridCol w:w="60"/>
        <w:gridCol w:w="5488"/>
        <w:gridCol w:w="60"/>
        <w:gridCol w:w="3314"/>
      </w:tblGrid>
      <w:tr>
        <w:trPr/>
        <w:tc>
          <w:tcPr>
            <w:tcW w:w="128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Regulation AB</w:t>
              <w:br/>
              <w:t>Reference</w:t>
            </w:r>
          </w:p>
        </w:tc>
        <w:tc>
          <w:tcPr>
            <w:tcW w:w="60" w:type="dxa"/>
            <w:tcBorders/>
            <w:tcMar>
              <w:bottom w:w="0" w:type="dxa"/>
            </w:tcMar>
            <w:vAlign w:val="center"/>
          </w:tcPr>
          <w:p>
            <w:pPr>
              <w:pStyle w:val="TableContents"/>
              <w:bidi w:val="0"/>
              <w:spacing w:before="0" w:after="283"/>
              <w:jc w:val="left"/>
              <w:rPr/>
            </w:pPr>
            <w:r>
              <w:rPr/>
              <w:t> </w:t>
            </w:r>
          </w:p>
        </w:tc>
        <w:tc>
          <w:tcPr>
            <w:tcW w:w="548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60" w:type="dxa"/>
            <w:tcBorders/>
            <w:tcMar>
              <w:bottom w:w="0" w:type="dxa"/>
            </w:tcMar>
            <w:vAlign w:val="center"/>
          </w:tcPr>
          <w:p>
            <w:pPr>
              <w:pStyle w:val="TableContents"/>
              <w:bidi w:val="0"/>
              <w:spacing w:before="0" w:after="283"/>
              <w:jc w:val="left"/>
              <w:rPr/>
            </w:pPr>
            <w:r>
              <w:rPr/>
              <w:t> </w:t>
            </w:r>
          </w:p>
        </w:tc>
        <w:tc>
          <w:tcPr>
            <w:tcW w:w="331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1122(d)(3)(iii)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to an investor are posted within two business days to the Servicer’s investor records, or such other number of days specified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disbursements are made by Trustee and Trustee maintains investor records; for the purposes of this criteria, Servicer’s investor records are the trustee’s records of the investors.</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1122(d)(3)(iv)</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remitted to investors per the investor reports agree with cancelled checks, or other form of payment, or custodial bank statements.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 based on Semi-Annual Servicer’s Certificate.</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Pool Asset Administration</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or security on pool assets is maintained as required by the transaction agreements or related pool asset documents.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Pool assets and related documents are safeguarded as required by the transaction agreements.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1122(d)(4)(iii)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additions, removals or substitutions to the asset pool are made, reviewed and approved in accordance with any conditions or requirements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removals or substitutions of transition property are contemplated or allowed under the transaction documents.</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1122(d)(4)(iv)</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pool assets, including any payoffs, made in accordance with the related pool asset documents are posted to the Servicer’s obligor records maintained no more than two business days after receipt, or such other number of days specified in the transaction agreements,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 Payments received from REPs are posted to Servicer’s records and funds transferred to Trustee.</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 allocated to principal, interest or other items (e.g., escrow) in accordance with the related pool asset documents.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Servicer’s records regarding the pool assets agree with the Servicer’s records with respect to an obligor’s unpaid principal balance.</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because underlying obligation (transition charge) is not an interest bearing instrument</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with respect to the terms or status of an obligor’s pool asset (e.g., loan modifications or re-agings) are made, reviewed and approved by authorized personnel in accordance with the transaction agreements and related pool asset documents.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 The only changes relate to true-up under the financing order.</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mitigation or recovery actions (e.g., forbearance plans, modifications and deeds in lieu of foreclosure, foreclosures and repossessions, as applicable) are initiated, conducted and concluded in accordance with the timeframes or other requirements established by the transaction agreements.</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to the extent required by the transaction agreements; assessment below.</w:t>
            </w:r>
          </w:p>
        </w:tc>
      </w:tr>
      <w:tr>
        <w:trPr/>
        <w:tc>
          <w:tcPr>
            <w:tcW w:w="128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pPr>
            <w:r>
              <w:rPr/>
              <w:t> </w:t>
            </w:r>
          </w:p>
        </w:tc>
      </w:tr>
      <w:tr>
        <w:trPr/>
        <w:tc>
          <w:tcPr>
            <w:tcW w:w="128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1122(d)(4)(viii)</w:t>
            </w:r>
          </w:p>
        </w:tc>
        <w:tc>
          <w:tcPr>
            <w:tcW w:w="60" w:type="dxa"/>
            <w:tcBorders/>
            <w:tcMar>
              <w:bottom w:w="0" w:type="dxa"/>
            </w:tcMar>
            <w:vAlign w:val="center"/>
          </w:tcPr>
          <w:p>
            <w:pPr>
              <w:pStyle w:val="TableContents"/>
              <w:bidi w:val="0"/>
              <w:spacing w:before="0" w:after="283"/>
              <w:jc w:val="left"/>
              <w:rPr/>
            </w:pPr>
            <w:r>
              <w:rPr/>
              <w:t> </w:t>
            </w:r>
          </w:p>
        </w:tc>
        <w:tc>
          <w:tcPr>
            <w:tcW w:w="548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Records documenting collection efforts are maintained during the period pool asset is delinquent in accordance with the transaction agreements. Such records are maintained on at least a monthly basis, or such other period specified in the transaction agreements, and describe the entity’s activities in monitoring delinquent pool assets including, for example, phone calls, letters and payment rescheduling plans in cases where delinquency is deemed temporary (e.g., illness or unemployment).</w:t>
            </w:r>
          </w:p>
        </w:tc>
        <w:tc>
          <w:tcPr>
            <w:tcW w:w="60" w:type="dxa"/>
            <w:tcBorders/>
            <w:tcMar>
              <w:bottom w:w="0" w:type="dxa"/>
            </w:tcMar>
            <w:vAlign w:val="center"/>
          </w:tcPr>
          <w:p>
            <w:pPr>
              <w:pStyle w:val="TableContents"/>
              <w:bidi w:val="0"/>
              <w:spacing w:before="0" w:after="283"/>
              <w:jc w:val="left"/>
              <w:rPr/>
            </w:pPr>
            <w:r>
              <w:rPr/>
              <w:t> </w:t>
            </w:r>
          </w:p>
        </w:tc>
        <w:tc>
          <w:tcPr>
            <w:tcW w:w="3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but does not require assessment since no explicit documentation requirements with respect to delinquent accounts are imposed under the transactional documents due to availability of “true-up” mechanism.</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45" w:type="dxa"/>
        <w:jc w:val="left"/>
        <w:tblInd w:w="0" w:type="dxa"/>
        <w:tblLayout w:type="fixed"/>
        <w:tblCellMar>
          <w:top w:w="0" w:type="dxa"/>
          <w:left w:w="0" w:type="dxa"/>
          <w:bottom w:w="28" w:type="dxa"/>
          <w:right w:w="0" w:type="dxa"/>
        </w:tblCellMar>
      </w:tblPr>
      <w:tblGrid>
        <w:gridCol w:w="1280"/>
        <w:gridCol w:w="60"/>
        <w:gridCol w:w="1565"/>
        <w:gridCol w:w="60"/>
        <w:gridCol w:w="1580"/>
      </w:tblGrid>
      <w:tr>
        <w:trPr/>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Regulation AB</w:t>
              <w:br/>
              <w:t>Reference</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Servicing Criteria</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w:t>
            </w:r>
          </w:p>
        </w:tc>
      </w:tr>
    </w:tbl>
    <w:tbl>
      <w:tblPr>
        <w:tblW w:w="10205" w:type="dxa"/>
        <w:jc w:val="left"/>
        <w:tblInd w:w="0" w:type="dxa"/>
        <w:tblLayout w:type="fixed"/>
        <w:tblCellMar>
          <w:top w:w="0" w:type="dxa"/>
          <w:left w:w="0" w:type="dxa"/>
          <w:bottom w:w="0" w:type="dxa"/>
          <w:right w:w="0" w:type="dxa"/>
        </w:tblCellMar>
      </w:tblPr>
      <w:tblGrid>
        <w:gridCol w:w="660"/>
        <w:gridCol w:w="60"/>
        <w:gridCol w:w="6609"/>
        <w:gridCol w:w="60"/>
        <w:gridCol w:w="2816"/>
      </w:tblGrid>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1122(d)(4)(ix)</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interest rates or rates of return for pool assets with variable rates are computed based on the related pool asset documents.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transition charges are not interest bearing instruments.</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Regarding any funds held in trust for an obligor (such as escrow accounts): (A) such funds are analyzed, in accordance with the obligor’s pool asset documents, on at least an annual basis, or such other period specified in the transaction agreements; (B) interest on such funds is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paid, or credited, to obligors in accordance with applicable pool asset documents and state laws; and (C) such funds are returned to the obligor within 30 calendar days of full repayment of the related pool assets, or such other number of days specified in the transaction agreements.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made on behalf of an obligor (such as tax or insurance payments) are made on or before the related penalty or expiration dates, as indicated on the appropriate bills or notices for such payments, provided that such support has been received by the Servicer at least 30 calendar days prior to these dates, or such other number of days specified in the transaction agreements.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does not make payments on behalf of obligors.</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late payment penalties in connection with any payment to be made on behalf of an obligor are paid from the Servicer’s funds and not charged to the obligor, unless the late payment was due to the obligor’s error or omission.</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under the transaction documents.</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1122(d)(4)(xiii)</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Disbursements made on behalf of an obligor are posted within two business days to the obligor’s records maintained by the Servicer, or such other number of days specified in the transaction agreements.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Servicer cannot make advances of its own funds on behalf of customers to pay principal or interest on the bonds.</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1122(d)(4)(xiv)</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Delinquencies, charge-offs and uncollectible accounts are recognized and recorded in accordance with the transaction agreements.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assessment below.</w:t>
            </w:r>
          </w:p>
        </w:tc>
      </w:tr>
      <w:tr>
        <w:trPr/>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pPr>
            <w:r>
              <w:rPr/>
              <w:t> </w:t>
            </w:r>
          </w:p>
        </w:tc>
      </w:tr>
      <w:tr>
        <w:trPr/>
        <w:tc>
          <w:tcPr>
            <w:tcW w:w="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1122(d)(4)(xv)</w:t>
            </w:r>
          </w:p>
        </w:tc>
        <w:tc>
          <w:tcPr>
            <w:tcW w:w="60" w:type="dxa"/>
            <w:tcBorders/>
            <w:vAlign w:val="center"/>
          </w:tcPr>
          <w:p>
            <w:pPr>
              <w:pStyle w:val="TableContents"/>
              <w:bidi w:val="0"/>
              <w:spacing w:before="0" w:after="283"/>
              <w:jc w:val="left"/>
              <w:rPr/>
            </w:pPr>
            <w:r>
              <w:rPr/>
              <w:t> </w:t>
            </w:r>
          </w:p>
        </w:tc>
        <w:tc>
          <w:tcPr>
            <w:tcW w:w="66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external enhancement or other support, identified in Item 1114(a)(1) through (3) or Item 1115 of Regulation AB, is maintained as set forth in the transaction agreements.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 no external enhancement is required under the transaction documents.</w:t>
            </w:r>
          </w:p>
        </w:tc>
      </w:tr>
    </w:tbl>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the best of the undersigned’s knowledge, based on such review, the Servicer is in compliance in all material respects with the applicable servicing criteria set forth above as of and for the period ending the end of the fiscal year ended December 31, 2023 and covered by the Issuer’s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28" w:type="dxa"/>
          <w:right w:w="0" w:type="dxa"/>
        </w:tblCellMar>
      </w:tblPr>
      <w:tblGrid>
        <w:gridCol w:w="2409"/>
        <w:gridCol w:w="2310"/>
        <w:gridCol w:w="1509"/>
      </w:tblGrid>
      <w:tr>
        <w:trPr/>
        <w:tc>
          <w:tcPr>
            <w:tcW w:w="2409" w:type="dxa"/>
            <w:tcBorders>
              <w:bottom w:val="single" w:sz="8" w:space="0" w:color="000000"/>
            </w:tcBorders>
            <w:vAlign w:val="center"/>
          </w:tcPr>
          <w:p>
            <w:pPr>
              <w:pStyle w:val="TableContents"/>
              <w:bidi w:val="0"/>
              <w:spacing w:before="0" w:after="283"/>
              <w:ind w:left="0" w:right="0" w:firstLine="979"/>
              <w:jc w:val="center"/>
              <w:rPr>
                <w:rFonts w:ascii="Times New Roman;Times;Serif" w:hAnsi="Times New Roman;Times;Serif"/>
                <w:sz w:val="20"/>
              </w:rPr>
            </w:pPr>
            <w:r>
              <w:rPr>
                <w:rFonts w:ascii="Times New Roman;Times;Serif" w:hAnsi="Times New Roman;Times;Serif"/>
                <w:sz w:val="20"/>
              </w:rPr>
              <w:t>Nature of Default</w:t>
            </w:r>
          </w:p>
        </w:tc>
        <w:tc>
          <w:tcPr>
            <w:tcW w:w="2310" w:type="dxa"/>
            <w:tcBorders/>
            <w:tcMar>
              <w:bottom w:w="0" w:type="dxa"/>
            </w:tcMar>
            <w:vAlign w:val="center"/>
          </w:tcPr>
          <w:p>
            <w:pPr>
              <w:pStyle w:val="TableContents"/>
              <w:bidi w:val="0"/>
              <w:spacing w:before="0" w:after="283"/>
              <w:ind w:left="0" w:right="0" w:firstLine="2250"/>
              <w:jc w:val="left"/>
              <w:rPr/>
            </w:pPr>
            <w:r>
              <w:rPr/>
              <w:t> </w:t>
            </w:r>
          </w:p>
        </w:tc>
        <w:tc>
          <w:tcPr>
            <w:tcW w:w="1509" w:type="dxa"/>
            <w:tcBorders>
              <w:bottom w:val="single" w:sz="8" w:space="0" w:color="000000"/>
            </w:tcBorders>
            <w:vAlign w:val="center"/>
          </w:tcPr>
          <w:p>
            <w:pPr>
              <w:pStyle w:val="TableContents"/>
              <w:bidi w:val="0"/>
              <w:spacing w:before="0" w:after="283"/>
              <w:ind w:left="0" w:right="0" w:firstLine="979"/>
              <w:jc w:val="left"/>
              <w:rPr>
                <w:rFonts w:ascii="Times New Roman;Times;Serif" w:hAnsi="Times New Roman;Times;Serif"/>
                <w:sz w:val="20"/>
              </w:rPr>
            </w:pPr>
            <w:r>
              <w:rPr>
                <w:rFonts w:ascii="Times New Roman;Times;Serif" w:hAnsi="Times New Roman;Times;Serif"/>
                <w:sz w:val="20"/>
              </w:rPr>
              <w:t>Status</w:t>
            </w:r>
          </w:p>
        </w:tc>
      </w:tr>
      <w:tr>
        <w:trPr/>
        <w:tc>
          <w:tcPr>
            <w:tcW w:w="2409" w:type="dxa"/>
            <w:tcBorders/>
            <w:tcMar>
              <w:bottom w:w="0" w:type="dxa"/>
            </w:tcMar>
            <w:vAlign w:val="center"/>
          </w:tcPr>
          <w:p>
            <w:pPr>
              <w:pStyle w:val="TableContents"/>
              <w:bidi w:val="0"/>
              <w:spacing w:before="0" w:after="283"/>
              <w:ind w:left="0" w:right="0" w:firstLine="979"/>
              <w:jc w:val="left"/>
              <w:rPr/>
            </w:pPr>
            <w:r>
              <w:rPr/>
              <w:t> </w:t>
            </w:r>
          </w:p>
        </w:tc>
        <w:tc>
          <w:tcPr>
            <w:tcW w:w="2310" w:type="dxa"/>
            <w:tcBorders/>
            <w:tcMar>
              <w:bottom w:w="0" w:type="dxa"/>
            </w:tcMar>
            <w:vAlign w:val="center"/>
          </w:tcPr>
          <w:p>
            <w:pPr>
              <w:pStyle w:val="TableContents"/>
              <w:bidi w:val="0"/>
              <w:spacing w:before="0" w:after="283"/>
              <w:jc w:val="left"/>
              <w:rPr/>
            </w:pPr>
            <w:r>
              <w:rPr/>
              <w:t> </w:t>
            </w:r>
          </w:p>
        </w:tc>
        <w:tc>
          <w:tcPr>
            <w:tcW w:w="1509" w:type="dxa"/>
            <w:tcBorders/>
            <w:tcMar>
              <w:bottom w:w="0" w:type="dxa"/>
            </w:tcMar>
            <w:vAlign w:val="center"/>
          </w:tcPr>
          <w:p>
            <w:pPr>
              <w:pStyle w:val="TableContents"/>
              <w:bidi w:val="0"/>
              <w:spacing w:before="0" w:after="283"/>
              <w:jc w:val="left"/>
              <w:rPr/>
            </w:pPr>
            <w:r>
              <w:rPr/>
              <w:t> </w:t>
            </w:r>
          </w:p>
        </w:tc>
      </w:tr>
      <w:tr>
        <w:trPr/>
        <w:tc>
          <w:tcPr>
            <w:tcW w:w="2409" w:type="dxa"/>
            <w:tcBorders/>
            <w:tcMar>
              <w:bottom w:w="0" w:type="dxa"/>
            </w:tcMar>
            <w:vAlign w:val="center"/>
          </w:tcPr>
          <w:p>
            <w:pPr>
              <w:pStyle w:val="TableContents"/>
              <w:bidi w:val="0"/>
              <w:spacing w:before="0" w:after="283"/>
              <w:ind w:left="0" w:right="0" w:firstLine="979"/>
              <w:jc w:val="left"/>
              <w:rPr>
                <w:rFonts w:ascii="Times New Roman;Times;Serif" w:hAnsi="Times New Roman;Times;Serif"/>
                <w:sz w:val="20"/>
              </w:rPr>
            </w:pPr>
            <w:r>
              <w:rPr>
                <w:rFonts w:ascii="Times New Roman;Times;Serif" w:hAnsi="Times New Roman;Times;Serif"/>
                <w:sz w:val="20"/>
              </w:rPr>
              <w:t>None.</w:t>
            </w:r>
          </w:p>
        </w:tc>
        <w:tc>
          <w:tcPr>
            <w:tcW w:w="2310" w:type="dxa"/>
            <w:tcBorders/>
            <w:tcMar>
              <w:bottom w:w="0" w:type="dxa"/>
            </w:tcMar>
            <w:vAlign w:val="center"/>
          </w:tcPr>
          <w:p>
            <w:pPr>
              <w:pStyle w:val="TableContents"/>
              <w:bidi w:val="0"/>
              <w:spacing w:before="0" w:after="283"/>
              <w:jc w:val="left"/>
              <w:rPr/>
            </w:pPr>
            <w:r>
              <w:rPr/>
              <w:t> </w:t>
            </w:r>
          </w:p>
        </w:tc>
        <w:tc>
          <w:tcPr>
            <w:tcW w:w="1509"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registered independent public accounting firm has issued to us an attestation report in accordance with Section 1122(b) of Regulation AB on its assessment of compliance with the applicable servicing criteria as of and for the period ending the end of the fiscal year ended December 31, 2023 and covered by the Issuer’s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this 28th day of March, 2024.</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75"/>
        <w:gridCol w:w="365"/>
        <w:gridCol w:w="590"/>
        <w:gridCol w:w="3920"/>
      </w:tblGrid>
      <w:tr>
        <w:trPr/>
        <w:tc>
          <w:tcPr>
            <w:tcW w:w="75" w:type="dxa"/>
            <w:tcBorders/>
            <w:vAlign w:val="center"/>
          </w:tcPr>
          <w:p>
            <w:pPr>
              <w:pStyle w:val="TableContents"/>
              <w:bidi w:val="0"/>
              <w:spacing w:before="0" w:after="283"/>
              <w:jc w:val="left"/>
              <w:rPr/>
            </w:pPr>
            <w:r>
              <w:rPr/>
              <w:t> </w:t>
            </w:r>
          </w:p>
        </w:tc>
        <w:tc>
          <w:tcPr>
            <w:tcW w:w="487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tc>
      </w:tr>
      <w:tr>
        <w:trPr/>
        <w:tc>
          <w:tcPr>
            <w:tcW w:w="75" w:type="dxa"/>
            <w:tcBorders/>
            <w:vAlign w:val="center"/>
          </w:tcPr>
          <w:p>
            <w:pPr>
              <w:pStyle w:val="TableContents"/>
              <w:bidi w:val="0"/>
              <w:spacing w:before="0" w:after="283"/>
              <w:jc w:val="left"/>
              <w:rPr/>
            </w:pPr>
            <w:r>
              <w:rPr/>
              <w:t> </w:t>
            </w:r>
          </w:p>
        </w:tc>
        <w:tc>
          <w:tcPr>
            <w:tcW w:w="487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Jacqueline M. Richert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M. Richert</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6" w:name="tm249618d1_ex33-2.htm"/>
      <w:bookmarkStart w:id="7" w:name="kstm249618d1_ex332"/>
      <w:bookmarkEnd w:id="6"/>
      <w:bookmarkEnd w:id="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ASSERTION OF COMPLIANCE WITH APPLICABLE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ASSERTION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Trust &amp; Agency Services department of Deutsche Bank National Trust Company and Deutsche Bank Trust Company Americas (collectively the “Company”) is responsible for assessing the servicing criteria set forth in Item 1122(d) of Regulation AB promulgated by the Securities and Exchange Commission to determine which criteria are applicable to the Company in respect of the servicing platform described below. Management has determined that the servicing criteria are applicable in regard to the servicing platform as of and for the period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Publicly-issued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transaction-level reporting required under the Securities Exchange Act of 1934, as amended) and certain privately-issued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for which transaction-level reporting is required pursuant to contractual obligation) residential mortgage-backed securities, commercial mortgage-backed securities and other asset-backed securities issued on or after January 1, 2006, for which the Company provides trustee, certificate administrator, securities administration, paying agent or custodian services, as defined in the transaction agreements, excluding publicly-issued securities sponsored or issued by any government sponsored entity (the “Platform”) (see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Applicable Servicing Criteria</w:t>
      </w:r>
      <w:r>
        <w:rPr>
          <w:rFonts w:ascii="Times New Roman;Times;Serif" w:hAnsi="Times New Roman;Times;Serif"/>
          <w:b w:val="false"/>
          <w:i w:val="false"/>
          <w:caps w:val="false"/>
          <w:smallCaps w:val="false"/>
          <w:sz w:val="20"/>
        </w:rPr>
        <w:t>: All servicing criteria set forth in Item 1122(d), to the extent required by Item 1122(d) servicing criteria in regards to the activities performed by the Company with respect to the Platform as to any transaction, except for the following criteria: 1122(d)(4)(iv) – 1122(d)(4)(xiv), which management has determined are not applicable to the activities the Company performs with respect to the Platform (the “Applicable Servicing Criteria”). With respect to Applicable Servicing Criteria 1122(d)(1)(ii), 1122(d)(1)(iii), 1122(d)(2)(iii) and 1122(d)(4)(iii) there were no activities performed during the year ended December 31, 2023 with respect to the Platform, because there were no occurrences of events that would require the Company to perform such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Period</w:t>
      </w:r>
      <w:r>
        <w:rPr>
          <w:rFonts w:ascii="Times New Roman;Times;Serif" w:hAnsi="Times New Roman;Times;Serif"/>
          <w:b w:val="false"/>
          <w:i w:val="false"/>
          <w:caps w:val="false"/>
          <w:smallCaps w:val="false"/>
          <w:sz w:val="20"/>
        </w:rPr>
        <w:t>: Year ended December 31, 2023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Management's interpretation of Applicable Servicing Criteria</w:t>
      </w:r>
      <w:r>
        <w:rPr>
          <w:rFonts w:ascii="Times New Roman;Times;Serif" w:hAnsi="Times New Roman;Times;Serif"/>
          <w:b w:val="false"/>
          <w:i w:val="false"/>
          <w:caps w:val="false"/>
          <w:smallCaps w:val="false"/>
          <w:sz w:val="20"/>
        </w:rPr>
        <w:t>: The Company’s management has determined that servicing criterion 1122(d)(1)(iii) is applicable only with respect to its continuing obligation to act as, or locate a, successor servicer under the circumstances referred to in certain transaction agreements. It is management's interpretation that the Company has no other active back-up servicing responsibilities in regards to servicing criterion 1122(d)(1)(iii) as of and for the Period. The Company’s management has determined that servicing criterion 1122(d)(1)(v) is applicable only to the activities the Company performs related to the mathematically accurate aggregation of information received from servicers and the accurate conveyance of such information within reports to investors. The Company’s management has determined that servicing criterion 1122(d)(4)(iii) is applicable to the activities the Company performs with respect to the Platform only as it relates to the Company’s obligation to report additions, removals or substitutions on reports to investors in accordance with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Platform as of and for the Period, the Company’s management provides the following assertion of compliance with respect to the Applicable Servicing Criteria: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Company’s management is responsible for assessing the Company’s compliance with the Applicable Servicing Criteria.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Company’s management has assessed compliance with the Applicable Servicing Criteria. In making this assessment, management used the criteria set forth by the Securities and Exchange Commission in paragraph (d) of Item 1122 of Regulation AB.</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Based on such assessment, the Company has complied, in all material respects with the Applicable Servicing Criteria.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an independent registered public accounting firm, has issued an attestation report with respect to management’s assertion of compliance with the Applicable Servicing Criteria as of and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75"/>
        <w:gridCol w:w="603"/>
        <w:gridCol w:w="3901"/>
      </w:tblGrid>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DEUTSCHE BANK NATIONAL TRUST COMPANY</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 Bowen</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 Bowen</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Managing Director</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Corcoran</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Corcoran</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Directors</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Ronaldo Reyes</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Ronaldo Reyes</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Vice President</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DEUTSCHE BANK TRUST COMPANY AMERICAS</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Ronaldo Reyes</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Ronaldo Reyes</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Vice President</w:t>
            </w:r>
          </w:p>
        </w:tc>
      </w:tr>
      <w:tr>
        <w:trPr/>
        <w:tc>
          <w:tcPr>
            <w:tcW w:w="75" w:type="dxa"/>
            <w:tcBorders/>
            <w:vAlign w:val="center"/>
          </w:tcPr>
          <w:p>
            <w:pPr>
              <w:pStyle w:val="TableContents"/>
              <w:bidi w:val="0"/>
              <w:spacing w:before="0" w:after="283"/>
              <w:jc w:val="left"/>
              <w:rPr/>
            </w:pPr>
            <w:r>
              <w:rPr/>
              <w:t> </w:t>
            </w:r>
          </w:p>
        </w:tc>
        <w:tc>
          <w:tcPr>
            <w:tcW w:w="45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Corcoran</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Corcoran</w:t>
            </w:r>
          </w:p>
        </w:tc>
      </w:tr>
      <w:tr>
        <w:trPr/>
        <w:tc>
          <w:tcPr>
            <w:tcW w:w="75" w:type="dxa"/>
            <w:tcBorders/>
            <w:vAlign w:val="center"/>
          </w:tcPr>
          <w:p>
            <w:pPr>
              <w:pStyle w:val="TableContents"/>
              <w:bidi w:val="0"/>
              <w:spacing w:before="0" w:after="283"/>
              <w:jc w:val="left"/>
              <w:rPr/>
            </w:pPr>
            <w:r>
              <w:rPr/>
              <w:t> </w:t>
            </w:r>
          </w:p>
        </w:tc>
        <w:tc>
          <w:tcPr>
            <w:tcW w:w="603" w:type="dxa"/>
            <w:tcBorders/>
            <w:vAlign w:val="center"/>
          </w:tcPr>
          <w:p>
            <w:pPr>
              <w:pStyle w:val="TableContents"/>
              <w:bidi w:val="0"/>
              <w:spacing w:before="0" w:after="283"/>
              <w:jc w:val="left"/>
              <w:rPr>
                <w:caps w:val="false"/>
                <w:smallCaps w:val="false"/>
              </w:rPr>
            </w:pPr>
            <w:r>
              <w:rPr>
                <w:caps w:val="false"/>
                <w:smallCaps w:val="false"/>
              </w:rPr>
              <w:t> </w:t>
            </w:r>
          </w:p>
        </w:tc>
        <w:tc>
          <w:tcPr>
            <w:tcW w:w="3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ind w:left="72"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 Mortgage-backed transactions and securities constituting the platform - MBS deals</w:t>
      </w:r>
    </w:p>
    <w:p>
      <w:pPr>
        <w:pStyle w:val="TextBody"/>
        <w:bidi w:val="0"/>
        <w:spacing w:before="0" w:after="0"/>
        <w:ind w:left="72" w:right="0" w:hanging="0"/>
        <w:jc w:val="left"/>
        <w:rPr>
          <w:caps w:val="false"/>
          <w:smallCaps w:val="false"/>
        </w:rPr>
      </w:pPr>
      <w:r>
        <w:rPr>
          <w:caps w:val="false"/>
          <w:smallCaps w:val="false"/>
        </w:rPr>
        <w:t> </w:t>
      </w:r>
    </w:p>
    <w:tbl>
      <w:tblPr>
        <w:tblW w:w="6480" w:type="dxa"/>
        <w:jc w:val="left"/>
        <w:tblInd w:w="-10" w:type="dxa"/>
        <w:tblLayout w:type="fixed"/>
        <w:tblCellMar>
          <w:top w:w="28" w:type="dxa"/>
          <w:left w:w="28" w:type="dxa"/>
          <w:bottom w:w="28" w:type="dxa"/>
          <w:right w:w="28" w:type="dxa"/>
        </w:tblCellMar>
      </w:tblPr>
      <w:tblGrid>
        <w:gridCol w:w="800"/>
        <w:gridCol w:w="4670"/>
        <w:gridCol w:w="1010"/>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6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AAMES MORTGAGE INVESTMENT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AB07O1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Alliance Bancorp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2007-OA1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Accredited Mortgage Loan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AC0602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Accredited Mortgage Loan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AC0701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Accredited Home Loan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Aegis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Investment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AH0602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Investment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AH0603</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Investment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AH06A1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AH06A2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AH06A5</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AH06A6</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Investment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AH0702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Inv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AH07A1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AH07A2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AH07A3</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AH07A4</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AH07A5</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Home Mortgage Assets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AQ0601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Ameriquest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AQ0602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AMERIQUEST MORTGAGE SECURITIES, INC.</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2006-R2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AQ06M3</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Ameriquest Mortgage Securities</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2006-M3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AR0602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Ameriquest / Argent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AR0603</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 SECURITIES INC</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AR0604</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 SECURITIES INC</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AR0605</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 SECURITIES INC</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AR06M1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Ameriquest / Argent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2006-M1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AR06M2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Argent Securities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2006-M2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BA15SK</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SFAVE</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2015-5AVE</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BC0601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2006-WM3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BC06F4</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2006-FR4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BC06W4</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2006-WM4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BC0701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 LLC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2007-AA1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BC0702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 LLC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2007-AA2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BC0703</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 LLC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2007-AA3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BC0704</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 LLC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2007-AA4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BC0705</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BCAPB LLC TRUST</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2007-AB1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BC07B1</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BC07B2</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2007-BR2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BC07B3</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LLC Trust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2007-BR3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BC07B4</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LLC Trust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2007-BR4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BC07B5</w:t>
            </w:r>
          </w:p>
        </w:tc>
        <w:tc>
          <w:tcPr>
            <w:tcW w:w="46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LLC Trust (SABR)</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2007-BR5</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865" w:type="dxa"/>
        <w:jc w:val="left"/>
        <w:tblInd w:w="-10" w:type="dxa"/>
        <w:tblLayout w:type="fixed"/>
        <w:tblCellMar>
          <w:top w:w="28" w:type="dxa"/>
          <w:left w:w="28" w:type="dxa"/>
          <w:bottom w:w="28" w:type="dxa"/>
          <w:right w:w="28" w:type="dxa"/>
        </w:tblCellMar>
      </w:tblPr>
      <w:tblGrid>
        <w:gridCol w:w="830"/>
        <w:gridCol w:w="3785"/>
        <w:gridCol w:w="1250"/>
      </w:tblGrid>
      <w:tr>
        <w:trPr/>
        <w:tc>
          <w:tcPr>
            <w:tcW w:w="8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2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BC07C1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BC07C2</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BC07E1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EquiFirst Loan Securitization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BC07H1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Securitized Asset Backed Receivables (SABR)</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CD07C5</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CD 2007-CD5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2007-CD5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CI1423</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2014-23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CI1425</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2014-GC25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CI14F1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CG-CCRE</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2014-FL1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CI14F2</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CG-CCRE</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2014-FL2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CI1527</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2015-GC27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CI1529</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2015-GC29</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CI1531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2015-GC31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CI1533</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2015-GC33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CI1535</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Commercial Series</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2015-GC35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CI15P1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2015-P1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CI1637</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2016-GC37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CI16C1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Commercial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2016-C1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CI16C2</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Commercial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2016-C2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CI16C3</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2016-C3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CI16P4</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2016-P4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CI16P5</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2016-P5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CI16P6</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2016-P6</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CI17B1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CGCMT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2017-B1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CI17P7</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Citigroup Commercial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2017-P7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DB06G1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 / ACE Securities Corp.</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2006-GP1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DB07C9</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2007-C9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2007-C9</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DB11L2</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DBUBS 2011-LC2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2011-LC2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DB12C3</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2012-CCRE3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2012-CCRE3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DB12L4</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2012-LC4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DB12LT</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2012-LTRT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2012-LTRT</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DB1311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2013-CCRE11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DB1313</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2013-LC13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DB133P</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2013-300P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2013-300P</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DB13BW</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BWAY 2013-1515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2013-1515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DB13C6</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2013-CCRE6</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DB13C8</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2013-CCRE8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2013-CCRE8</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DB13C9</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2013-CCRE9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2013-CCRE9</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DB13CC</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2013-CCRE13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DB13SF</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2013-SFS</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DB1414</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2014-CCRE14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DB1417</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2014-CCRE17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DB14AR</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DBCCRE</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2014-ARCP</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DB14U2</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2014-UBS2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DB14U4</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2014-UBS4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2014-UBS4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DB1521</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2015-LC21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DB1522</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2015-CCRE22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DB1525</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2015-CCRE25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DB15LC</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DBWF</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2015-LCM</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DB1678</w:t>
            </w:r>
          </w:p>
        </w:tc>
        <w:tc>
          <w:tcPr>
            <w:tcW w:w="3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2016-787S Mortgage Trust</w:t>
            </w:r>
          </w:p>
        </w:tc>
        <w:tc>
          <w:tcPr>
            <w:tcW w:w="1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2016-787S</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240" w:type="dxa"/>
        <w:jc w:val="left"/>
        <w:tblInd w:w="-10" w:type="dxa"/>
        <w:tblLayout w:type="fixed"/>
        <w:tblCellMar>
          <w:top w:w="28" w:type="dxa"/>
          <w:left w:w="28" w:type="dxa"/>
          <w:bottom w:w="28" w:type="dxa"/>
          <w:right w:w="28" w:type="dxa"/>
        </w:tblCellMar>
      </w:tblPr>
      <w:tblGrid>
        <w:gridCol w:w="800"/>
        <w:gridCol w:w="4310"/>
        <w:gridCol w:w="1130"/>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3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DB1685</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DBWF</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2016-85T</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DB16D2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 2016-DC2 Mortgage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2016-DC2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DB16SF</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DBJPM 2016-SFC Mortgage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2016-SFC</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FF0603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First Franklin</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FF0604</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FFMLT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FF0606</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FFMLT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FF0613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FFMLT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2006-FF13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FF06F1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 First Franklin</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FF06F5</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 FFMLT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FF06F7</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 FFMLT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FF06FB</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HSBC/First Franklin</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2006-FF11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FF07S1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FFMLT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2007-FFB-SS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GC0613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GC0614</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GC06B1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 Trust MPTC</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2006-BU1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GC06D1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DSLA MTGE PASS-THRU CERTS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GC06D2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DSLA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GC06E1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2006-EQ1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GC06E2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2006-EQ2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GC06F1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FREMONT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GC06F2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FREMONT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GC06F3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Fremont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 Trust MPTC</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GC06H5</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GC06H6</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GC06H7</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GC06H8</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GC06H9</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GC06O1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GC06O2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GC06O3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GC06O4</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GC06O5</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HEL</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GC06S1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HEL</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GC06S2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GC06S3</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GC06SA</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GC06W1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2006-WF1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GC06W2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2006-WF2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GC06X1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2006-SB1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GC06Z8</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 First Franklin</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GC06ZA</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FRANKLIN</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2006-FF16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GC070A</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RBSGC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GC070B</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RBSGC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GC071W</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2007-WMC1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GC07D1</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DSLA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GC07H2</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GC07H4</w:t>
            </w:r>
          </w:p>
        </w:tc>
        <w:tc>
          <w:tcPr>
            <w:tcW w:w="4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870" w:type="dxa"/>
        <w:jc w:val="left"/>
        <w:tblInd w:w="-10" w:type="dxa"/>
        <w:tblLayout w:type="fixed"/>
        <w:tblCellMar>
          <w:top w:w="28" w:type="dxa"/>
          <w:left w:w="28" w:type="dxa"/>
          <w:bottom w:w="28" w:type="dxa"/>
          <w:right w:w="28" w:type="dxa"/>
        </w:tblCellMar>
      </w:tblPr>
      <w:tblGrid>
        <w:gridCol w:w="755"/>
        <w:gridCol w:w="4985"/>
        <w:gridCol w:w="1130"/>
      </w:tblGrid>
      <w:tr>
        <w:trPr/>
        <w:tc>
          <w:tcPr>
            <w:tcW w:w="7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9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GC07H5</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GC07H6</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GC07H7</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GC07S1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GC07V1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Soundview Home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2007-NS1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GS0602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GS0604</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GS0607</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HOME EQUITY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GS0608</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HOME EQUITY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GS0610</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2006-I1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GS0613</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GSAA Home Equity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GS0615</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GS0616</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GS0617</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GS0618</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2006-18</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Home Equity Trust 2006-S1 (private issue id GS06AS)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GS062S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GSAMP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GS063S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GS064S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GSAMP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GS065S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GS066S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GS06C2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GS06F1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2006-FM1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GS06F2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2006-FM2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GS06F3</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GS06G1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Greenpoint Mortgage Funding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2006-OH1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GS06H1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GSAMP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GS06L1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GS06O1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 GSR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2006-OA1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GS0702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GS0704</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GS0705</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HOME EQUITY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GS0706</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GS071H</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2007-HSBC1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GS071S</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Home Equity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2007-S1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GS07A1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GS07A2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GS07F1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2007-FM1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GS07F2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2007-FM2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GS07H1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2007-HEL1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GS07O1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2007-OA1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GS07O2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2007-QA2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GS07T1</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STARM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GS07T4</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STARM</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GS11C5</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 Mortgage Securities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2011-GC5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GS12C7</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 Mortgage Securities Corporation II</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2012-GCJ7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GS1312</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 Mortgage Securities Corp Commercial Mtg</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2013-GCJ12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GS1314</w:t>
            </w:r>
          </w:p>
        </w:tc>
        <w:tc>
          <w:tcPr>
            <w:tcW w:w="4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 Mortgage Securities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2013-GCJ14</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7065" w:type="dxa"/>
        <w:jc w:val="left"/>
        <w:tblInd w:w="-10" w:type="dxa"/>
        <w:tblLayout w:type="fixed"/>
        <w:tblCellMar>
          <w:top w:w="28" w:type="dxa"/>
          <w:left w:w="28" w:type="dxa"/>
          <w:bottom w:w="28" w:type="dxa"/>
          <w:right w:w="28" w:type="dxa"/>
        </w:tblCellMar>
      </w:tblPr>
      <w:tblGrid>
        <w:gridCol w:w="800"/>
        <w:gridCol w:w="5135"/>
        <w:gridCol w:w="1130"/>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51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GS1418</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 Mortgage Securities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2014-GC18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GS1422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GSMS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2014-GC22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HB0601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 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HB0602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 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HB0603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 ASSET SECURITIZATION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HB0604</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 ASSET SECURITIZATION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2006-OPT4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HB06C1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HB06H1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HB06H2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HB06L2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HB06W1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 ASSET SECURITIZATION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2006-WMC1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HB0701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2007-OPT1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HB07A1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HB07A2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 Asset Loan Obligations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HB07C1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 Asset Securitization</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HB07F1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HSIAsset Securitization Corporation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2007-WF1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HB07H1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HB07H2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HASCO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HB07L1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HB07L2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HSIAsset Loan Obligation Trusts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HB07W1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HALO</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2007-WF1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IM06S1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IM06S2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 Corp</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IM06S3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IM06S4</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IM06S5</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IM07S1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IM07S2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IM07S3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IMPAC SECURED ASSETS</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Bank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2006-A3CB</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IN0605</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2006-A5CB</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IN0606</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IN0607</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2006-A7CB</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IN0608</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IN0609</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2006-A9CB</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IN060A</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INDS Mortgage Loan Asset-Backed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IN0610</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2006-A10</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IN0612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IN0613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IN0614</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RESIDENTIAL ASSET SECURITIZATION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2006-A14CB</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IN0615</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IN0616</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2006-A16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Bank INDX</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Bank INDX</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IN06A4</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IN06A5</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IN06A6</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2006-AR6</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840" w:type="dxa"/>
        <w:jc w:val="left"/>
        <w:tblInd w:w="-10" w:type="dxa"/>
        <w:tblLayout w:type="fixed"/>
        <w:tblCellMar>
          <w:top w:w="28" w:type="dxa"/>
          <w:left w:w="28" w:type="dxa"/>
          <w:bottom w:w="28" w:type="dxa"/>
          <w:right w:w="28" w:type="dxa"/>
        </w:tblCellMar>
      </w:tblPr>
      <w:tblGrid>
        <w:gridCol w:w="710"/>
        <w:gridCol w:w="5135"/>
        <w:gridCol w:w="995"/>
      </w:tblGrid>
      <w:tr>
        <w:trPr/>
        <w:tc>
          <w:tcPr>
            <w:tcW w:w="7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51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IN06A7</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2006-AR7</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IN06A8</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2006-AR8</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IN06A9</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2006-AR9</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IN06AB</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IN06AC</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2006-AR12</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IN06AD</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IN06AE</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2006-AR14</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IN06AF</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2006-AR15</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IN06AJ</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2006-AR19</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IN06AL</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IN06AN</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IN06AP</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2006-AR25</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IN06AR</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2006-AR27</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IN06AT</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2006-AR29</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IN06AV</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IN06AX</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IN06AZ</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2006-AR35</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IN06B1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INDB</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IN06D1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IN06D2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IN06D3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IN06F1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2006-FLX1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IN06G1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INDS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IN06G2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2006-2B</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IN06G3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Equity Mortgage Loan Asset-Backed Trust INDS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IN06H1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Home Equity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IN06H2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INABS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2006-H2</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IN06H3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Home Equity Mortgage Loan Asset-Backed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IN06L1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2006-L1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IN06L2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2006-L2</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IN06L3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LOT LOAN</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2006-L3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IN06L4</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Residential Mortgage Backed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2006-L4</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IN06R1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2006-R1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IN06R2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2006-R1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IN06S1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Bank INABS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IN06S2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INABS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IN06S3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INABS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2006-C</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IN06S4</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INABS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2006-D</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IN06S5</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Equity Mortgage Loan Asset-Backed Trust INABS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2006-E</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IN06Z1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2006-AR37</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IN06Z2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2006-AR39</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IN06Z3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2006-AR41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IN0701</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RESIDENTIAL ASSET SECURITIZATION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2007-A1</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IN0702</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2007-A2</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IN0703</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2007-A3</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IN0705</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RESIDENTIAL ASSET SECURITIZATION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2007-A5</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IN0706</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ASSET SECURITIZATION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2007-A6</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IN0707</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2007-A7</w:t>
            </w:r>
          </w:p>
        </w:tc>
      </w:tr>
      <w:tr>
        <w:trPr/>
        <w:tc>
          <w:tcPr>
            <w:tcW w:w="7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IN0708</w:t>
            </w:r>
          </w:p>
        </w:tc>
        <w:tc>
          <w:tcPr>
            <w:tcW w:w="5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2007-A8</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165" w:type="dxa"/>
        <w:jc w:val="left"/>
        <w:tblInd w:w="-10" w:type="dxa"/>
        <w:tblLayout w:type="fixed"/>
        <w:tblCellMar>
          <w:top w:w="28" w:type="dxa"/>
          <w:left w:w="28" w:type="dxa"/>
          <w:bottom w:w="28" w:type="dxa"/>
          <w:right w:w="28" w:type="dxa"/>
        </w:tblCellMar>
      </w:tblPr>
      <w:tblGrid>
        <w:gridCol w:w="755"/>
        <w:gridCol w:w="4250"/>
        <w:gridCol w:w="1160"/>
      </w:tblGrid>
      <w:tr>
        <w:trPr/>
        <w:tc>
          <w:tcPr>
            <w:tcW w:w="7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2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IN0709</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Asset Securitization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IN07A5</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MBS, Inc.</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IN07A7</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IN07A9</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IN07AB</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IN07AD</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IN07AF</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IN07AH</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IN07AJ</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IN07AL</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2007-AR21IP</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IN07C1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IMSC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IN07D3</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IN07D4</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IN07D5</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IN07D6</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IN07D7</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IN07D8</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2007-AR8</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IN07D9</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IN07F1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2007-FLX1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IN07F2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2007-FLX2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IN07F3</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2007-FLX3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IN07F4</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2007-FLX4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IN07F5</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2007-FLX5</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IN07F6</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INDX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2007-FLX6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IN07J1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IMJA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IN07J2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IMJA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IN07J3</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IMJA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IN07J4</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IMJA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IN07L1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RMBT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2007-L1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IN07M1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IMSC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IN07M2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IMSC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IN07M3</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IMSC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IN07M4</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IMSC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2007-F3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IN07MH</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IMSC Mortgage Loan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2007-HOA1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IN07R1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Asset Securitization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2007-R1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IN07S1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HOME EQUITY TRUST INABS</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IN07S2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INABS</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IX0601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IXIS Real Estate Capital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IX0602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IXIS REAL ESTATE CAPITAL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IX0603</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IXIS REAL ESTATE CAPITAL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IX0701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IXIS REAL ESTATE CAPITAL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IX0702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JP07C1</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Mortgage Acquisition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2007-CH1</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JP07C2</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Mortgage Acquisition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2007-CH2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JP07C3</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Mortgage Acquisition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2007-CH3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JP07C4</w:t>
            </w:r>
          </w:p>
        </w:tc>
        <w:tc>
          <w:tcPr>
            <w:tcW w:w="42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MORTGAGE ACQUISITION TRUST</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2007-CH4</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645" w:type="dxa"/>
        <w:jc w:val="left"/>
        <w:tblInd w:w="-10" w:type="dxa"/>
        <w:tblLayout w:type="fixed"/>
        <w:tblCellMar>
          <w:top w:w="28" w:type="dxa"/>
          <w:left w:w="28" w:type="dxa"/>
          <w:bottom w:w="28" w:type="dxa"/>
          <w:right w:w="28" w:type="dxa"/>
        </w:tblCellMar>
      </w:tblPr>
      <w:tblGrid>
        <w:gridCol w:w="830"/>
        <w:gridCol w:w="4700"/>
        <w:gridCol w:w="1115"/>
      </w:tblGrid>
      <w:tr>
        <w:trPr/>
        <w:tc>
          <w:tcPr>
            <w:tcW w:w="8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7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JP07C5</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Mortgage Acquisition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2007-CH5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JP07H1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Mortgage Acquisition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JP1317</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JPMBB Commercial Mortgage Securities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2013-C17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JP1420</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Chase Commercial Mortgage Securities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2014-C20</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LB0604</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LB0605</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LB0606</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LB0607</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LB0608</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LB0609</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LB060A</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LB0610</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LB0611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 Mortgage Loan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LB06W1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2006-WL1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LB06W2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2006-WL2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LB06W3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 Beach</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2006-WL3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ML07M1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Merrill Lynch Mortgage Investors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2007-MLN1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MS06C1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MS06C2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MS06C3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MS06C4</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MS06C5</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 Series</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MS06H4</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MS06H5</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MS06H6</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2006-HE6</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MS06H7</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2006-HE7</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MS06H8</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2006-HE8</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MS06I1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IXIS Real Estate Capital</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MS06I2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IXIS Real Estate Capital Trust Series</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MS06R2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IndyMac RAST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2006-R2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MS06W2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2006-WMC2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MS06X2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Home Equity LoanTrust (HEL line)</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MS06X3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Home Equity LoanTrust (HEL line)</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MS07B1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Structured Trust I</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MS07C1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MS07C2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MS07C3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MS07C4</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MS07H1</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MS07H2</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MS07H3</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 Trust</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MS07H5</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MS07H6</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2007-6</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MS07H7</w:t>
            </w:r>
          </w:p>
        </w:tc>
        <w:tc>
          <w:tcPr>
            <w:tcW w:w="47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ABS Capital I Inc.</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2007-HE7</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715" w:type="dxa"/>
        <w:jc w:val="left"/>
        <w:tblInd w:w="-10" w:type="dxa"/>
        <w:tblLayout w:type="fixed"/>
        <w:tblCellMar>
          <w:top w:w="28" w:type="dxa"/>
          <w:left w:w="28" w:type="dxa"/>
          <w:bottom w:w="28" w:type="dxa"/>
          <w:right w:w="28" w:type="dxa"/>
        </w:tblCellMar>
      </w:tblPr>
      <w:tblGrid>
        <w:gridCol w:w="770"/>
        <w:gridCol w:w="3950"/>
        <w:gridCol w:w="995"/>
      </w:tblGrid>
      <w:tr>
        <w:trPr/>
        <w:tc>
          <w:tcPr>
            <w:tcW w:w="7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MS07X1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Home Equity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MS07X2</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Home Equity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MS1311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MSBAM</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2013-C11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MS1415</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MSBAM</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2014-C15</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NC0601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Century HELT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NC0602</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Century HEL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NC06A1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Century Alternative Mortgage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2006-ALT1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NC06S1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Century HEL</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NS0604</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Novastar Mortgage Funding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NS0605</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Novastar Mortgage Funding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NS0606</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Novastar Mortgage Funding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NS0701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Novastar Mortgage Funding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NS0702</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Novastar Mortgage Funding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PO0701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Popular</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RB13GS</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RBS Commercial Funding Inc. 2013-GSP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2013-GSP</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RF06A3</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2006-QA3</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RF06A4</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2006-QA4</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RF06A5</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2006-QA5</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RF06A6</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2006-QA6</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RF06A7</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2006-QA7</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RF06A8</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2006-QA8</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RF06A9</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2006-QA9</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RF06AA</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2006-QA10</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RF06AB</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2006-QA11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RF06H1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2006-QH1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RF06O3</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 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2006-QO3</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RF06O4</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2006-QO4</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RF06O5</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2006-QO5</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RF06O6</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2006-QO6</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RF06O7</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2006-QO7</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RF06O8</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2006-QO8</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RF06O9</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2006-QO9</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RF06OA</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2006-QO10</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RF06Q1</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RF06Q3</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 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2006-QS3</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RF06Q4</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2006-QS4</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RF06Q5</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2006-QS5</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RF06Q6</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2006-QS6</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RF06Q7</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2006-QS7</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RF06Q8</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2006-QS8</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RF06Q9</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2006-QS9</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RF06QA</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2006-QS10</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RF06QB</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2006-QS11</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RF06QC</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2006-QS12</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RF06QD</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2006-QS13</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RF06QE</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2006-QS14</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RF06QF</w:t>
            </w:r>
          </w:p>
        </w:tc>
        <w:tc>
          <w:tcPr>
            <w:tcW w:w="3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2006-QS15</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355" w:type="dxa"/>
        <w:jc w:val="left"/>
        <w:tblInd w:w="-10" w:type="dxa"/>
        <w:tblLayout w:type="fixed"/>
        <w:tblCellMar>
          <w:top w:w="28" w:type="dxa"/>
          <w:left w:w="28" w:type="dxa"/>
          <w:bottom w:w="28" w:type="dxa"/>
          <w:right w:w="28" w:type="dxa"/>
        </w:tblCellMar>
      </w:tblPr>
      <w:tblGrid>
        <w:gridCol w:w="800"/>
        <w:gridCol w:w="3590"/>
        <w:gridCol w:w="965"/>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RF06QG</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RF06QH</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RF06QI</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2006-QS18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RF07A1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2007-QA1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RF07A2</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2007-QA2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RF07A3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2007-QA3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RF07A4</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2007-QA4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RF07A5</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2007-QA5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RF07H2</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RF07H4</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RF07H5</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RF07H6</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RF07H7</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RF07H8</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RF07H9</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2007-QH9</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RF07O1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2007-QO1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RF07O2</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2007-QO2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RF07O3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2007-QO3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RF07O4</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2007-QO4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RF07O5</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2007-QO5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RF07Q2</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RF07Q4</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RF07Q5</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RF07Q6</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RF07Q7</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RF07Q8</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RF07Q9</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2007-QS9</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RF07QA</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2007-QS10</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RF07QB</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Accredit Loans, Inc.</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2007-QS11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RF07S4</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Funding Mortgage Securities I -</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2007-S4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RF07S5</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Residential Funding Mortgage Securities I,</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2007-S5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RF08R1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RFC RALI</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2008-QR1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SX0601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SX0602</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SX0603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 Asset Trust</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SX0701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 ASSET SECURITIES COMPANY</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SX0702</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 ASSET SECURITIES COMPANY</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SX0703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SAXON ASSET SECURITIES CO.</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UB11C1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UBS-Citigroup Commercial Mortgage Trust</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UB12C1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UBS Commercial Mortgage Trust</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UB12C3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UBS-Barclays Commercial Mortgage Trust</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2012-C3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UB13C5</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UBS-Barclays Commercial Mortgage Trust</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WA06A1</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Mutual</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WA06A3</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Mutual</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WA06A4</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MUTUAL</w:t>
            </w:r>
          </w:p>
        </w:tc>
        <w:tc>
          <w:tcPr>
            <w:tcW w:w="9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2006-AR4</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935" w:type="dxa"/>
        <w:jc w:val="left"/>
        <w:tblInd w:w="-10" w:type="dxa"/>
        <w:tblLayout w:type="fixed"/>
        <w:tblCellMar>
          <w:top w:w="32" w:type="dxa"/>
          <w:left w:w="28" w:type="dxa"/>
          <w:bottom w:w="33" w:type="dxa"/>
          <w:right w:w="28" w:type="dxa"/>
        </w:tblCellMar>
      </w:tblPr>
      <w:tblGrid>
        <w:gridCol w:w="800"/>
        <w:gridCol w:w="3140"/>
        <w:gridCol w:w="995"/>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1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WA06A5</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Mutual Acceptance Corp.</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WA07H1</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Wamu</w:t>
            </w:r>
          </w:p>
        </w:tc>
        <w:tc>
          <w:tcPr>
            <w:tcW w:w="99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WF11C5</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 RBS Commercial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2011-C5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WF12C7</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WFRBS CMT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2012-C7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WF12C8</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WFRBS CMT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2012-C8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WF1318</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WFRBS Commercial Mtg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2013-C18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WF13U1</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WFRBS Commercial Mtg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2013-UBS1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WF1414</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WFRBS</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2014-LC14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WF1419</w:t>
            </w:r>
          </w:p>
        </w:tc>
        <w:tc>
          <w:tcPr>
            <w:tcW w:w="31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WFRBS</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2014-C19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 Asset-backed transactions and securities constituting the platform - ABS deals</w:t>
      </w:r>
    </w:p>
    <w:p>
      <w:pPr>
        <w:pStyle w:val="TextBody"/>
        <w:bidi w:val="0"/>
        <w:spacing w:before="0" w:after="0"/>
        <w:ind w:left="72" w:right="0" w:hanging="0"/>
        <w:jc w:val="left"/>
        <w:rPr>
          <w:caps w:val="false"/>
          <w:smallCaps w:val="false"/>
        </w:rPr>
      </w:pPr>
      <w:r>
        <w:rPr>
          <w:caps w:val="false"/>
          <w:smallCaps w:val="false"/>
        </w:rPr>
        <w:t> </w:t>
      </w:r>
    </w:p>
    <w:tbl>
      <w:tblPr>
        <w:tblW w:w="6945" w:type="dxa"/>
        <w:jc w:val="left"/>
        <w:tblInd w:w="-10" w:type="dxa"/>
        <w:tblLayout w:type="fixed"/>
        <w:tblCellMar>
          <w:top w:w="32" w:type="dxa"/>
          <w:left w:w="28" w:type="dxa"/>
          <w:bottom w:w="33" w:type="dxa"/>
          <w:right w:w="28" w:type="dxa"/>
        </w:tblCellMar>
      </w:tblPr>
      <w:tblGrid>
        <w:gridCol w:w="1460"/>
        <w:gridCol w:w="4550"/>
        <w:gridCol w:w="935"/>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5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GM1903</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Ally Auto Receivables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2019-3</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GM1904</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Ally Auto Receivables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2019-4</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GM1902</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Ally Auto Receivables 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2019-2</w:t>
            </w:r>
          </w:p>
        </w:tc>
      </w:tr>
      <w:tr>
        <w:trPr/>
        <w:tc>
          <w:tcPr>
            <w:tcW w:w="1460"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BW191T</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the West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CTBCIV</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Transition Bond Company IV, LLC</w:t>
            </w:r>
          </w:p>
        </w:tc>
        <w:tc>
          <w:tcPr>
            <w:tcW w:w="93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CFS07A</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Chase Education Loan Trust</w:t>
            </w:r>
          </w:p>
        </w:tc>
        <w:tc>
          <w:tcPr>
            <w:tcW w:w="93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MCITICCIT2000</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CCC7A3</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2007-A3</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CCC7A4</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2007-A4</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CCIT13A9</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2013-A9</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CCIT17A5</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2017-A5</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CCIT17A6</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2017-A6</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CCIT18A2</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2018-A2</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CCIT18A3</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2018-A3</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CCIT18A4</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2018-A4</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CCIT18A5</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2018-A5</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CCIT18A7</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2018-A7</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CCIT23A1</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2023-A1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CCIT23A2</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Citibank Credit Card Issuance Trust</w:t>
            </w:r>
          </w:p>
        </w:tc>
        <w:tc>
          <w:tcPr>
            <w:tcW w:w="93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2023-A2</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CLC071</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College Loan Corp Trust I</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CLC072</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College Loan Corp Trust II</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CLC061</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College Loan Corporation Trust I</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GMI110191</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Juniper Receivables DAC</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GMI110192</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Juniper Receivables DAC</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2019-2</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GMI110201</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Juniper Receivables DAC</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KSL06A</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KeyCorp Student Loan Trust</w:t>
            </w:r>
          </w:p>
        </w:tc>
        <w:tc>
          <w:tcPr>
            <w:tcW w:w="93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MAEN16A</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Loan 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MAEN18B</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Loan 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2018-B</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MAEN18D</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Loan 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2018-D</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MAEN19E</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LoanTrust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2019-E</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MAEN19D</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LoanTrust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2019-D</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MAEN19F</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REFI LoanTrust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2019-F</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MAEN19PTA</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REFI LoanTrust</w:t>
            </w:r>
          </w:p>
        </w:tc>
        <w:tc>
          <w:tcPr>
            <w:tcW w:w="93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2019-PT-A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MAEN19C</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Private Education REFI LoanTrust</w:t>
            </w:r>
          </w:p>
        </w:tc>
        <w:tc>
          <w:tcPr>
            <w:tcW w:w="93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2019-C</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MAEN141</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2014-1</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MAEN142</w:t>
            </w:r>
          </w:p>
        </w:tc>
        <w:tc>
          <w:tcPr>
            <w:tcW w:w="45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93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2014-2</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3915" w:type="dxa"/>
        <w:jc w:val="left"/>
        <w:tblInd w:w="-10" w:type="dxa"/>
        <w:tblLayout w:type="fixed"/>
        <w:tblCellMar>
          <w:top w:w="36" w:type="dxa"/>
          <w:left w:w="28" w:type="dxa"/>
          <w:bottom w:w="33" w:type="dxa"/>
          <w:right w:w="28" w:type="dxa"/>
        </w:tblCellMar>
      </w:tblPr>
      <w:tblGrid>
        <w:gridCol w:w="920"/>
        <w:gridCol w:w="2270"/>
        <w:gridCol w:w="725"/>
      </w:tblGrid>
      <w:tr>
        <w:trPr/>
        <w:tc>
          <w:tcPr>
            <w:tcW w:w="9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2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7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7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2014-3</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7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2014-4</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7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2014-5</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7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2014-6</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MAEN147</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7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2014-7</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MAEN148</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Navient Student Loan Trust</w:t>
            </w:r>
          </w:p>
        </w:tc>
        <w:tc>
          <w:tcPr>
            <w:tcW w:w="7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2014-8</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SLC061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SLC062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SLC071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SLC072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SLC081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SLC082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SLC091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SLC092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SLC093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2009-3</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SLC101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SLC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MAE610</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MAE067</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MAE068</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MAE069</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MAE071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MAE074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MAE075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MAE076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2007-6</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MAE077</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2007-7</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MAE078</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2007-8</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2008-3</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2008-4</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MAE085</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2008-5</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MAE086</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2008-6</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MAE087</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2008-7</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MAE088</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2008-8</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MAE089</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2008-9</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MAE901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MAE902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2009-2</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MAE101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2010-1</w:t>
            </w:r>
          </w:p>
        </w:tc>
      </w:tr>
      <w:tr>
        <w:trPr/>
        <w:tc>
          <w:tcPr>
            <w:tcW w:w="9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MAE102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2010-2</w:t>
            </w:r>
          </w:p>
        </w:tc>
      </w:tr>
      <w:tr>
        <w:trPr/>
        <w:tc>
          <w:tcPr>
            <w:tcW w:w="920" w:type="dxa"/>
            <w:tcBorders>
              <w:left w:val="single" w:sz="8" w:space="0" w:color="000000"/>
              <w:bottom w:val="single" w:sz="8" w:space="0" w:color="000000"/>
              <w:right w:val="single" w:sz="8" w:space="0" w:color="000000"/>
            </w:tcBorders>
            <w:tcMar>
              <w:top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MAE111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2011-1</w:t>
            </w:r>
          </w:p>
        </w:tc>
      </w:tr>
      <w:tr>
        <w:trPr/>
        <w:tc>
          <w:tcPr>
            <w:tcW w:w="920" w:type="dxa"/>
            <w:tcBorders>
              <w:left w:val="single" w:sz="8" w:space="0" w:color="000000"/>
              <w:bottom w:val="single" w:sz="8" w:space="0" w:color="000000"/>
              <w:right w:val="single" w:sz="8" w:space="0" w:color="000000"/>
            </w:tcBorders>
            <w:tcMar>
              <w:top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MAE112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2011-2</w:t>
            </w:r>
          </w:p>
        </w:tc>
      </w:tr>
      <w:tr>
        <w:trPr/>
        <w:tc>
          <w:tcPr>
            <w:tcW w:w="92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MAE113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2011-3</w:t>
            </w:r>
          </w:p>
        </w:tc>
      </w:tr>
      <w:tr>
        <w:trPr/>
        <w:tc>
          <w:tcPr>
            <w:tcW w:w="920" w:type="dxa"/>
            <w:tcBorders>
              <w:left w:val="single" w:sz="8" w:space="0" w:color="000000"/>
              <w:bottom w:val="single" w:sz="8" w:space="0" w:color="000000"/>
              <w:right w:val="single" w:sz="8" w:space="0" w:color="000000"/>
            </w:tcBorders>
            <w:tcMar>
              <w:top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MAE121</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2012-1</w:t>
            </w:r>
          </w:p>
        </w:tc>
      </w:tr>
      <w:tr>
        <w:trPr/>
        <w:tc>
          <w:tcPr>
            <w:tcW w:w="920" w:type="dxa"/>
            <w:tcBorders>
              <w:left w:val="single" w:sz="8" w:space="0" w:color="000000"/>
              <w:bottom w:val="single" w:sz="8" w:space="0" w:color="000000"/>
              <w:right w:val="single" w:sz="8" w:space="0" w:color="000000"/>
            </w:tcBorders>
            <w:tcMar>
              <w:top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MAE122</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2012-2</w:t>
            </w:r>
          </w:p>
        </w:tc>
      </w:tr>
      <w:tr>
        <w:trPr/>
        <w:tc>
          <w:tcPr>
            <w:tcW w:w="92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MAE123</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2012-3</w:t>
            </w:r>
          </w:p>
        </w:tc>
      </w:tr>
      <w:tr>
        <w:trPr/>
        <w:tc>
          <w:tcPr>
            <w:tcW w:w="92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MAE124</w:t>
            </w:r>
          </w:p>
        </w:tc>
        <w:tc>
          <w:tcPr>
            <w:tcW w:w="2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72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2012-4</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670" w:type="dxa"/>
        <w:jc w:val="left"/>
        <w:tblInd w:w="-10" w:type="dxa"/>
        <w:tblLayout w:type="fixed"/>
        <w:tblCellMar>
          <w:top w:w="36" w:type="dxa"/>
          <w:left w:w="28" w:type="dxa"/>
          <w:bottom w:w="33" w:type="dxa"/>
          <w:right w:w="28" w:type="dxa"/>
        </w:tblCellMar>
      </w:tblPr>
      <w:tblGrid>
        <w:gridCol w:w="1280"/>
        <w:gridCol w:w="3395"/>
        <w:gridCol w:w="99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3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MAE125</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2012-5</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MAE126</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2012-6</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MAE127</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2012-7</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MAE128</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2012-8</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MAE131</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2013-1</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MAE132</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2013-2</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MAE133</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2013-3</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MAE134</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2013-4</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MAE135</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2013-5</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MAE136</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2013-6</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MAE041</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2014-1</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MAE142</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SLM Student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2014-2</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MAEB14A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2014-A</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MAEB15A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2015-A</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MAEB15B</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2015-B</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MAEB15C</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2015-C</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MAEB16A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2016-A</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MAEB16B</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2016-B</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MAEB16C</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2016-C</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MAEB17A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2017-A</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MAEB17B</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2017-B</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MAEB18A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2018-A</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MAEB18B</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2018-B</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MAEB18C</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2018-C</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MAEB19A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2019-A</w:t>
            </w:r>
          </w:p>
        </w:tc>
      </w:tr>
      <w:tr>
        <w:trPr/>
        <w:tc>
          <w:tcPr>
            <w:tcW w:w="1280" w:type="dxa"/>
            <w:tcBorders>
              <w:left w:val="single" w:sz="8" w:space="0" w:color="000000"/>
              <w:bottom w:val="single" w:sz="8" w:space="0" w:color="000000"/>
              <w:right w:val="single" w:sz="8" w:space="0" w:color="000000"/>
            </w:tcBorders>
            <w:tcMar>
              <w:top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MAEB19B</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SMB Private Education Loan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2019-B</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GEMN144</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Credit Card Master Note Trust</w:t>
            </w:r>
          </w:p>
        </w:tc>
        <w:tc>
          <w:tcPr>
            <w:tcW w:w="99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2014-VFN4</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GEMN145</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Credit Card Master Note Trust</w:t>
            </w:r>
          </w:p>
        </w:tc>
        <w:tc>
          <w:tcPr>
            <w:tcW w:w="99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2014-VFN5</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SYNMN182</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Credit Card Master Note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2018-2</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SYNMN20VF1</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Credit Card Master Note Trust</w:t>
            </w:r>
          </w:p>
        </w:tc>
        <w:tc>
          <w:tcPr>
            <w:tcW w:w="995"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2020-VFN1</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SYNMN21VF1</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Credit Card Master Note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2021-VFN1</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GES12A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Sales Finance Master Trust</w:t>
            </w:r>
          </w:p>
        </w:tc>
        <w:tc>
          <w:tcPr>
            <w:tcW w:w="995" w:type="dxa"/>
            <w:tcBorders>
              <w:bottom w:val="single" w:sz="8" w:space="0" w:color="000000"/>
              <w:right w:val="single" w:sz="8" w:space="0" w:color="000000"/>
            </w:tcBorders>
            <w:tcMar>
              <w:top w:w="0" w:type="dxa"/>
              <w:left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2012-A</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GES12D</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Sales Finance Master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2012-D</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GESFM14C</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Sales Finance Master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2014-C</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SYNSFT15B</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Sales Finance Master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2015-B</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SYNSFT20A</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Synchrony Sales Finance Master Trust</w:t>
            </w:r>
          </w:p>
        </w:tc>
        <w:tc>
          <w:tcPr>
            <w:tcW w:w="99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2020-A</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VART211</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Veros Auto Receivables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2021-1</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VALET182</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Volkswagen Auto Loan Enhanced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2018-2</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VALET201</w:t>
            </w:r>
          </w:p>
        </w:tc>
        <w:tc>
          <w:tcPr>
            <w:tcW w:w="33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Volkswagen Auto Loan Enhanced Trust</w:t>
            </w:r>
          </w:p>
        </w:tc>
        <w:tc>
          <w:tcPr>
            <w:tcW w:w="995" w:type="dxa"/>
            <w:tcBorders>
              <w:bottom w:val="single" w:sz="8" w:space="0" w:color="000000"/>
              <w:right w:val="single" w:sz="8" w:space="0" w:color="000000"/>
            </w:tcBorders>
            <w:tcMar>
              <w:top w:w="0" w:type="dxa"/>
              <w:left w:w="0" w:type="dxa"/>
              <w:bottom w:w="37"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 Mortgaged-backed transactions constituting the Platform - Document custody only deals</w:t>
      </w:r>
    </w:p>
    <w:p>
      <w:pPr>
        <w:pStyle w:val="TextBody"/>
        <w:bidi w:val="0"/>
        <w:spacing w:before="0" w:after="0"/>
        <w:ind w:left="72" w:right="0" w:hanging="0"/>
        <w:jc w:val="left"/>
        <w:rPr>
          <w:caps w:val="false"/>
          <w:smallCaps w:val="false"/>
        </w:rPr>
      </w:pPr>
      <w:r>
        <w:rPr>
          <w:caps w:val="false"/>
          <w:smallCaps w:val="false"/>
        </w:rPr>
        <w:t> </w:t>
      </w:r>
    </w:p>
    <w:tbl>
      <w:tblPr>
        <w:tblW w:w="5805" w:type="dxa"/>
        <w:jc w:val="left"/>
        <w:tblInd w:w="-10" w:type="dxa"/>
        <w:tblLayout w:type="fixed"/>
        <w:tblCellMar>
          <w:top w:w="36" w:type="dxa"/>
          <w:left w:w="28" w:type="dxa"/>
          <w:bottom w:w="33" w:type="dxa"/>
          <w:right w:w="28" w:type="dxa"/>
        </w:tblCellMar>
      </w:tblPr>
      <w:tblGrid>
        <w:gridCol w:w="755"/>
        <w:gridCol w:w="4160"/>
        <w:gridCol w:w="890"/>
      </w:tblGrid>
      <w:tr>
        <w:trPr/>
        <w:tc>
          <w:tcPr>
            <w:tcW w:w="7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4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8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AH066C</w:t>
            </w:r>
          </w:p>
        </w:tc>
        <w:tc>
          <w:tcPr>
            <w:tcW w:w="4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 Wells Fargo American Home Mortgage Assets</w:t>
            </w:r>
          </w:p>
        </w:tc>
        <w:tc>
          <w:tcPr>
            <w:tcW w:w="890" w:type="dxa"/>
            <w:tcBorders>
              <w:bottom w:val="single" w:sz="8" w:space="0" w:color="000000"/>
              <w:right w:val="single" w:sz="8" w:space="0" w:color="000000"/>
            </w:tcBorders>
            <w:tcMar>
              <w:top w:w="0" w:type="dxa"/>
              <w:left w:w="0" w:type="dxa"/>
              <w:bottom w:w="34"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BC061C</w:t>
            </w:r>
          </w:p>
        </w:tc>
        <w:tc>
          <w:tcPr>
            <w:tcW w:w="4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SABR</w:t>
            </w:r>
          </w:p>
        </w:tc>
        <w:tc>
          <w:tcPr>
            <w:tcW w:w="8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BC062C</w:t>
            </w:r>
          </w:p>
        </w:tc>
        <w:tc>
          <w:tcPr>
            <w:tcW w:w="4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SABR</w:t>
            </w:r>
          </w:p>
        </w:tc>
        <w:tc>
          <w:tcPr>
            <w:tcW w:w="8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2006-NC3</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7200" w:type="dxa"/>
        <w:jc w:val="left"/>
        <w:tblInd w:w="-10" w:type="dxa"/>
        <w:tblLayout w:type="fixed"/>
        <w:tblCellMar>
          <w:top w:w="32" w:type="dxa"/>
          <w:left w:w="28" w:type="dxa"/>
          <w:bottom w:w="38" w:type="dxa"/>
          <w:right w:w="28" w:type="dxa"/>
        </w:tblCellMar>
      </w:tblPr>
      <w:tblGrid>
        <w:gridCol w:w="830"/>
        <w:gridCol w:w="5270"/>
        <w:gridCol w:w="1100"/>
      </w:tblGrid>
      <w:tr>
        <w:trPr/>
        <w:tc>
          <w:tcPr>
            <w:tcW w:w="8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52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BC081C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2008-IND1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BC083C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BCAP</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2008-IND2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CA061C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Carrington</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CA062C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Carrington Mortgage Loan Trust</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CA063C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Carrington Mortgage Loan Trust</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2006-NC3</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CA064C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Carrington Mortgage Loan Trust</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CI225C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BOCA Commercial Mortgage Trust</w:t>
            </w:r>
          </w:p>
        </w:tc>
        <w:tc>
          <w:tcPr>
            <w:tcW w:w="1100" w:type="dxa"/>
            <w:tcBorders>
              <w:bottom w:val="single" w:sz="8" w:space="0" w:color="000000"/>
              <w:right w:val="single" w:sz="8" w:space="0" w:color="000000"/>
            </w:tcBorders>
            <w:tcMar>
              <w:top w:w="0" w:type="dxa"/>
              <w:left w:w="0" w:type="dxa"/>
              <w:bottom w:w="41"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2022-BOCA</w:t>
            </w:r>
          </w:p>
        </w:tc>
      </w:tr>
      <w:tr>
        <w:trPr/>
        <w:tc>
          <w:tcPr>
            <w:tcW w:w="830" w:type="dxa"/>
            <w:tcBorders>
              <w:left w:val="single" w:sz="8" w:space="0" w:color="000000"/>
              <w:bottom w:val="single" w:sz="8" w:space="0" w:color="000000"/>
              <w:right w:val="single" w:sz="8" w:space="0" w:color="000000"/>
            </w:tcBorders>
            <w:tcMar>
              <w:top w:w="0" w:type="dxa"/>
              <w:bottom w:w="41"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DB061C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2006-NC1</w:t>
            </w:r>
          </w:p>
        </w:tc>
      </w:tr>
      <w:tr>
        <w:trPr/>
        <w:tc>
          <w:tcPr>
            <w:tcW w:w="830" w:type="dxa"/>
            <w:tcBorders>
              <w:left w:val="single" w:sz="8" w:space="0" w:color="000000"/>
              <w:bottom w:val="single" w:sz="8" w:space="0" w:color="000000"/>
              <w:right w:val="single" w:sz="8" w:space="0" w:color="000000"/>
            </w:tcBorders>
            <w:tcMar>
              <w:top w:w="0" w:type="dxa"/>
              <w:bottom w:w="42"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DB061Z</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2006-AR6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2006-AR6</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DB062C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 ASAP1 HSBC/WELLS FARGO/DB</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2006ASAP1</w:t>
            </w:r>
          </w:p>
        </w:tc>
      </w:tr>
      <w:tr>
        <w:trPr/>
        <w:tc>
          <w:tcPr>
            <w:tcW w:w="830" w:type="dxa"/>
            <w:tcBorders>
              <w:left w:val="single" w:sz="8" w:space="0" w:color="000000"/>
              <w:bottom w:val="single" w:sz="8" w:space="0" w:color="000000"/>
              <w:right w:val="single" w:sz="8" w:space="0" w:color="000000"/>
            </w:tcBorders>
            <w:tcMar>
              <w:top w:w="0" w:type="dxa"/>
              <w:bottom w:w="42"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DB062Z</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2006-OA1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2006-OA1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DB063C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2006-SL1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DB064C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2006-AB1/WELLS FARGO/DB</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2006-AB1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DB065C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2006-AR1 HSBC/ Wells Fargo/Deutsche Bank</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DB066C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 ACE</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DB067C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2006-SD1 HSBC/ Wells Fargo/ Deutsche</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2006-SD1</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DB069C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Series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2006-AF1</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DB06AC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 Ace Series</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2006-SL2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DB06DC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2006-ASL1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2006-ASL1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DB06EC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2006-AB2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2006-AB2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DB06FC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2006-ASAP3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2006-ASAP3</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DB06HC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2006-HE3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2006-HE3</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DB06JC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2006-SD2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2006-SD2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DB06LC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2006-AB3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2006-AB3</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DB06MC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 ALT 2006-AR2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DB06PC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2006-SL4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2006-SL4</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DB06QC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2006-NC2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DB06SC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2006-AB4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2006-AB4</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DB06TC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2006-ASAP5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2006-ASAP5</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DB06UC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2006-AR4 HSBC/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2006-AR4</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DB06WC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2006-AR5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2006-AR5</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DB06XC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2006-NC3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2006-NC3</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DB06YC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2006-ASAP6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2006-ASAP6</w:t>
            </w:r>
          </w:p>
        </w:tc>
      </w:tr>
      <w:tr>
        <w:trPr/>
        <w:tc>
          <w:tcPr>
            <w:tcW w:w="830" w:type="dxa"/>
            <w:tcBorders>
              <w:left w:val="single" w:sz="8" w:space="0" w:color="000000"/>
              <w:bottom w:val="single" w:sz="8" w:space="0" w:color="000000"/>
              <w:right w:val="single" w:sz="8" w:space="0" w:color="000000"/>
            </w:tcBorders>
            <w:tcMar>
              <w:top w:w="0" w:type="dxa"/>
              <w:bottom w:w="41"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DB071C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2007-AR1Wells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DB073C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2007-ASL1Wells Fargo/ Deutsche Bank custody</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2007-ASL1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DB074C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2007-AR2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2007-AR2</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DB075C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2007-BAR1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2007-BAR1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DB077C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2007-SL1 Wells Fargo/ Deutsche Bank custody</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2007-SL1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DB078C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2007-HE2 Wells Fargo/ Deutsche Bank custody</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DB07AC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2007-ASAP1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2007-ASAP1</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DB07CC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2007-OA2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2007-OA2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DB07DC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2007-AB1 Wells Fargo/ Deutsche Bank custody</w:t>
            </w:r>
          </w:p>
        </w:tc>
        <w:tc>
          <w:tcPr>
            <w:tcW w:w="1100"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2007-AB1</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DB07EC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2007-HE4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2007-HE4</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DB07FC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2007-AR3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2007-AR3</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DB07GC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2007-ASAP2 Wells Fargo/ Deutsche Bank custody</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2007-ASAP2</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DB07HC</w:t>
            </w:r>
          </w:p>
        </w:tc>
        <w:tc>
          <w:tcPr>
            <w:tcW w:w="5270"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Deutsche Alt-A Securities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2007-OA3</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DB07JC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2007-HE5/ Wel</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2007-HE5</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DB07LC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2007-OA4/ Wel</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2007-OA4</w:t>
            </w:r>
          </w:p>
        </w:tc>
      </w:tr>
      <w:tr>
        <w:trPr/>
        <w:tc>
          <w:tcPr>
            <w:tcW w:w="83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DB07MC</w:t>
            </w:r>
          </w:p>
        </w:tc>
        <w:tc>
          <w:tcPr>
            <w:tcW w:w="52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2007-1/ Wells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6990" w:type="dxa"/>
        <w:jc w:val="left"/>
        <w:tblInd w:w="-10" w:type="dxa"/>
        <w:tblLayout w:type="fixed"/>
        <w:tblCellMar>
          <w:top w:w="32" w:type="dxa"/>
          <w:left w:w="28" w:type="dxa"/>
          <w:bottom w:w="38" w:type="dxa"/>
          <w:right w:w="28" w:type="dxa"/>
        </w:tblCellMar>
      </w:tblPr>
      <w:tblGrid>
        <w:gridCol w:w="800"/>
        <w:gridCol w:w="5195"/>
        <w:gridCol w:w="995"/>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51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DB07NC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2007-OA5/ Wel</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2007-OA5</w:t>
            </w:r>
          </w:p>
        </w:tc>
      </w:tr>
      <w:tr>
        <w:trPr/>
        <w:tc>
          <w:tcPr>
            <w:tcW w:w="80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DB07PC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Ace 2007-SL2/ Wel</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2007-SL2</w:t>
            </w:r>
          </w:p>
        </w:tc>
      </w:tr>
      <w:tr>
        <w:trPr/>
        <w:tc>
          <w:tcPr>
            <w:tcW w:w="800" w:type="dxa"/>
            <w:tcBorders>
              <w:left w:val="single" w:sz="8" w:space="0" w:color="000000"/>
              <w:bottom w:val="single" w:sz="8" w:space="0" w:color="000000"/>
              <w:right w:val="single" w:sz="8" w:space="0" w:color="000000"/>
            </w:tcBorders>
            <w:tcMar>
              <w:top w:w="0" w:type="dxa"/>
              <w:bottom w:w="42"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DB07QC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2007-2/ Wells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00" w:type="dxa"/>
            <w:tcBorders>
              <w:left w:val="single" w:sz="8" w:space="0" w:color="000000"/>
              <w:bottom w:val="single" w:sz="8" w:space="0" w:color="000000"/>
              <w:right w:val="single" w:sz="8" w:space="0" w:color="000000"/>
            </w:tcBorders>
            <w:tcMar>
              <w:top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DB07TC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DBALT 2007-3/ Wells Fargo</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FB061C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ABSC</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2006-AG1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FB071C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CSMC 2007-5/Wells Fargo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FB072C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CSMC 2007-NC1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FB073C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CSMC 2007-6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FB075C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CSMC 2007-7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GC069C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GC07AC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HarborView Mortgage Loan Trust</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GS061C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Bank/Wells Fargo GSR 2006-1F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GS062C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FARGO/GSR 2006-AR1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GS063C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US Bank GSAA 2006-1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GS066C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GS067C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GS068C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Fargo/US BankGSR</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GS069C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US Bank GSAA</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GS06AC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US Bank GSAA 2006-6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GS06BC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US Bank GSR 2006-AR2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GS06CC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US Bank GSR 2006-4F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2006-4F</w:t>
            </w:r>
          </w:p>
        </w:tc>
      </w:tr>
      <w:tr>
        <w:trPr/>
        <w:tc>
          <w:tcPr>
            <w:tcW w:w="800" w:type="dxa"/>
            <w:tcBorders>
              <w:left w:val="single" w:sz="8" w:space="0" w:color="000000"/>
              <w:bottom w:val="single" w:sz="8" w:space="0" w:color="000000"/>
              <w:right w:val="single" w:sz="8" w:space="0" w:color="000000"/>
            </w:tcBorders>
            <w:tcMar>
              <w:top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GS06DC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US Bank GSAMP 2006-HE3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GS06EC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US Bank GSAA 2006-9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GS06FC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US Bank GSR 2006-5F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GS06GC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GSAMP 2006-HE4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GS06HC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GSR 2006-6F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GS06JC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GSR 2006-7F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GS06KC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GSAA 2006-12 custody</w:t>
            </w:r>
          </w:p>
        </w:tc>
        <w:tc>
          <w:tcPr>
            <w:tcW w:w="995" w:type="dxa"/>
            <w:tcBorders>
              <w:bottom w:val="single" w:sz="8" w:space="0" w:color="000000"/>
              <w:right w:val="single" w:sz="8" w:space="0" w:color="000000"/>
            </w:tcBorders>
            <w:tcMar>
              <w:top w:w="0" w:type="dxa"/>
              <w:left w:w="0" w:type="dxa"/>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GS06LC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GSAMP 2006-HE5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GS06MC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GSR 2006-8F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GS06OC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GSAA 2006-14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2006-14</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GS06PC</w:t>
            </w:r>
          </w:p>
        </w:tc>
        <w:tc>
          <w:tcPr>
            <w:tcW w:w="5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US Bank/NCAMLT</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2006-ALT2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GS06QC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2006-HE7 Goldman Sachs/ LaSalle/ Wells Fargo</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GS06RC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2006-9F Goldman Sachs/ US Bank/ Wells Fargo</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GS06SC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2006-19 Goldman Sachs/ US Bank/ Wells Fargo</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2006-19</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GS06TC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2006-10F Goldman Sachs/ US Bank/ Wells Fargo</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GS06UC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2006-20 Goldman Sachs/ US Bank/ Wells Fargo</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2006-20</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GS06VC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2006-HE8 Goldman Sachs/ LaSalle/ Wells Fargo</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2006-HE8</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GS072C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2007-1 Goldman Sachs/ US Bank/ Wells Fargo</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GS073C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2007-H1 Goldman Sachs/ LaSalle/Wells Fargo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GS074C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2007-1F Goldman Sachs/ Wells Fargo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GS075C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2007-NC1 Goldman Sachs/ Wells Fargo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GS076C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2007-3 Goldman Sachs/ Wells Fargo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GS077C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2007-HE1 Goldman Sachs/ Wells Fargo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2007-HE1</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GS078C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2007-2F Goldman Sachs/ Wells Fargo custody</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2007-2F</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GS07AC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GSAMP 2007-HE2 Goldman Sachs/ Wells Fargo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GS07BC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2007-3F Goldman Sachs/ Wells Fargo custody</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2007-3F</w:t>
            </w:r>
          </w:p>
        </w:tc>
      </w:tr>
      <w:tr>
        <w:trPr/>
        <w:tc>
          <w:tcPr>
            <w:tcW w:w="800" w:type="dxa"/>
            <w:tcBorders>
              <w:left w:val="single" w:sz="8" w:space="0" w:color="000000"/>
              <w:bottom w:val="single" w:sz="8" w:space="0" w:color="000000"/>
              <w:right w:val="single" w:sz="8" w:space="0" w:color="000000"/>
            </w:tcBorders>
            <w:tcMar>
              <w:top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GS07DC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2007-7/ Wells Fargo</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2007-7</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GS07EC</w:t>
            </w:r>
          </w:p>
        </w:tc>
        <w:tc>
          <w:tcPr>
            <w:tcW w:w="519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2007-4F/ Wells Fargo</w:t>
            </w:r>
          </w:p>
        </w:tc>
        <w:tc>
          <w:tcPr>
            <w:tcW w:w="995" w:type="dxa"/>
            <w:tcBorders>
              <w:bottom w:val="single" w:sz="8" w:space="0" w:color="000000"/>
              <w:right w:val="single" w:sz="8" w:space="0" w:color="000000"/>
            </w:tcBorders>
            <w:tcMar>
              <w:top w:w="0" w:type="dxa"/>
              <w:left w:w="0" w:type="dxa"/>
              <w:bottom w:w="3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2007-4F</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475" w:type="dxa"/>
        <w:jc w:val="left"/>
        <w:tblInd w:w="-10" w:type="dxa"/>
        <w:tblLayout w:type="fixed"/>
        <w:tblCellMar>
          <w:top w:w="31" w:type="dxa"/>
          <w:left w:w="28" w:type="dxa"/>
          <w:bottom w:w="34" w:type="dxa"/>
          <w:right w:w="28" w:type="dxa"/>
        </w:tblCellMar>
      </w:tblPr>
      <w:tblGrid>
        <w:gridCol w:w="815"/>
        <w:gridCol w:w="3635"/>
        <w:gridCol w:w="1025"/>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635" w:type="dxa"/>
            <w:tcBorders>
              <w:top w:val="single" w:sz="8" w:space="0" w:color="000000"/>
              <w:bottom w:val="single" w:sz="8" w:space="0" w:color="000000"/>
              <w:right w:val="single" w:sz="8" w:space="0" w:color="000000"/>
            </w:tcBorders>
            <w:tcMar>
              <w:top w:w="32" w:type="dxa"/>
              <w:left w:w="0" w:type="dxa"/>
              <w:bottom w:w="33"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025" w:type="dxa"/>
            <w:tcBorders>
              <w:top w:val="single" w:sz="8" w:space="0" w:color="000000"/>
              <w:bottom w:val="single" w:sz="8" w:space="0" w:color="000000"/>
              <w:right w:val="single" w:sz="8" w:space="0" w:color="000000"/>
            </w:tcBorders>
            <w:tcMar>
              <w:top w:w="32" w:type="dxa"/>
              <w:left w:w="0" w:type="dxa"/>
              <w:bottom w:w="33"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GS07FC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2007-8/ Wells Fargo</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2007-8</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GS07GC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2007-9/ Wells Fargo</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2007-9</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GS07HC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GSAA 2007-10/ Wells Fargo</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2007-10</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GS07KC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GSR 2007-5F/ Wells Fargo</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2007-5F</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LH061Z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2006-BC2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2006-BC2</w:t>
            </w:r>
          </w:p>
        </w:tc>
      </w:tr>
      <w:tr>
        <w:trPr/>
        <w:tc>
          <w:tcPr>
            <w:tcW w:w="815" w:type="dxa"/>
            <w:tcBorders>
              <w:left w:val="single" w:sz="8" w:space="0" w:color="000000"/>
              <w:bottom w:val="single" w:sz="8" w:space="0" w:color="000000"/>
              <w:right w:val="single" w:sz="8" w:space="0" w:color="000000"/>
            </w:tcBorders>
            <w:tcMar>
              <w:top w:w="0" w:type="dxa"/>
              <w:bottom w:w="36"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LH062Z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2006-13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2006-13</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LH063C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SAIL</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LH063Z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SAIL 2006-BNC3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2006-BNC3</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LH064C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LXS</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2006-2N</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LH064Z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2006-14N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2006-14N</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LH065C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SARM</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LH065Z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mortgage trust 2006-5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LH066Z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Greenpoint 2006-HE1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2006-HE1</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LH067C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SASCO</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2006-BNC1</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LH067Z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2006-15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2006-15</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LH068C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SARM</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LH068Z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2006-16H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2006-16H</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LH069C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SAIL</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w:t>
            </w:r>
          </w:p>
        </w:tc>
      </w:tr>
      <w:tr>
        <w:trPr/>
        <w:tc>
          <w:tcPr>
            <w:tcW w:w="815" w:type="dxa"/>
            <w:tcBorders>
              <w:left w:val="single" w:sz="8" w:space="0" w:color="000000"/>
              <w:bottom w:val="single" w:sz="8" w:space="0" w:color="000000"/>
              <w:right w:val="single" w:sz="8" w:space="0" w:color="000000"/>
            </w:tcBorders>
            <w:tcMar>
              <w:top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LH069Z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2006-9 DB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LH06AC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SARM</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LH06AZ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BNC 2006-1 DB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LH06BC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Lehman LXS</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LH06BZ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2006-6 DB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2006-6</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LH06CZ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2006-BC3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2006-BC3</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LH06DC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SAIL</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2006-BNC2</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LH06DZ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2006-7 DB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LH06EC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2006-BC1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LH06FC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2006-AM1</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LH06FZ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2006-17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2006-17</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LH06GC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LH06GZ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BNC 2006-10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LH06HC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LH06IZ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2006-BC4 DB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2006-BC4</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LH06JZ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2006-19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2006-19</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LH06KC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SAIL 2006-3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LH06KZ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2006-18N</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LH06LC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2006-8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LH06MC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2006-5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2006-5</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LH06MZ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2006-BC5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2006-BC5</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LH06NC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2006-NC1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2006-NC1</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LH06NZ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2006-8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LH06PC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SAIL 2006-4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LH06QC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2006-ARS1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2006-ARS1</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LH06QZ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2006-BC6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2006-BC6</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LH06RC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2006-10N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2006-10</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LH06RZ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2006-9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LH06SC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2006-9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2006-9</w:t>
            </w:r>
          </w:p>
        </w:tc>
      </w:tr>
      <w:tr>
        <w:trPr/>
        <w:tc>
          <w:tcPr>
            <w:tcW w:w="815" w:type="dxa"/>
            <w:tcBorders>
              <w:left w:val="single" w:sz="8" w:space="0" w:color="000000"/>
              <w:bottom w:val="single" w:sz="8" w:space="0" w:color="000000"/>
              <w:right w:val="single" w:sz="8" w:space="0" w:color="000000"/>
            </w:tcBorders>
            <w:tcMar>
              <w:top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LH06SZ</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2006-12 custody only</w:t>
            </w:r>
          </w:p>
        </w:tc>
        <w:tc>
          <w:tcPr>
            <w:tcW w:w="1025" w:type="dxa"/>
            <w:tcBorders>
              <w:bottom w:val="single" w:sz="8" w:space="0" w:color="000000"/>
              <w:right w:val="single" w:sz="8" w:space="0" w:color="000000"/>
            </w:tcBorders>
            <w:tcMar>
              <w:top w:w="0" w:type="dxa"/>
              <w:left w:w="0" w:type="dxa"/>
              <w:bottom w:w="35"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2006-12</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LH06UC</w:t>
            </w:r>
          </w:p>
        </w:tc>
        <w:tc>
          <w:tcPr>
            <w:tcW w:w="363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2006-7 custody only</w:t>
            </w:r>
          </w:p>
        </w:tc>
        <w:tc>
          <w:tcPr>
            <w:tcW w:w="1025" w:type="dxa"/>
            <w:tcBorders>
              <w:bottom w:val="single" w:sz="8" w:space="0" w:color="000000"/>
              <w:right w:val="single" w:sz="8" w:space="0" w:color="000000"/>
            </w:tcBorders>
            <w:tcMar>
              <w:top w:w="0" w:type="dxa"/>
              <w:left w:w="0" w:type="dxa"/>
              <w:bottom w:w="33"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2006-7</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460" w:type="dxa"/>
        <w:jc w:val="left"/>
        <w:tblInd w:w="-10" w:type="dxa"/>
        <w:tblLayout w:type="fixed"/>
        <w:tblCellMar>
          <w:top w:w="42" w:type="dxa"/>
          <w:left w:w="28" w:type="dxa"/>
          <w:bottom w:w="28" w:type="dxa"/>
          <w:right w:w="28" w:type="dxa"/>
        </w:tblCellMar>
      </w:tblPr>
      <w:tblGrid>
        <w:gridCol w:w="815"/>
        <w:gridCol w:w="3620"/>
        <w:gridCol w:w="1025"/>
      </w:tblGrid>
      <w:tr>
        <w:trPr/>
        <w:tc>
          <w:tcPr>
            <w:tcW w:w="8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620" w:type="dxa"/>
            <w:tcBorders>
              <w:top w:val="single" w:sz="8" w:space="0" w:color="000000"/>
              <w:bottom w:val="single" w:sz="8" w:space="0" w:color="000000"/>
              <w:right w:val="single" w:sz="8" w:space="0" w:color="000000"/>
            </w:tcBorders>
            <w:tcMar>
              <w:top w:w="43"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1025" w:type="dxa"/>
            <w:tcBorders>
              <w:top w:val="single" w:sz="8" w:space="0" w:color="000000"/>
              <w:bottom w:val="single" w:sz="8" w:space="0" w:color="000000"/>
              <w:right w:val="single" w:sz="8" w:space="0" w:color="000000"/>
            </w:tcBorders>
            <w:tcMar>
              <w:top w:w="43"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1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LH06UZ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2006-20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2006-20</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LH06WC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2006-4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2006-4</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LH06XC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2006-11N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LH06YC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2006-12N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2006-12N</w:t>
            </w:r>
          </w:p>
        </w:tc>
      </w:tr>
      <w:tr>
        <w:trPr/>
        <w:tc>
          <w:tcPr>
            <w:tcW w:w="81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LH06ZC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2006-8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2006-8</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LH071C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2007-BC1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2007-BC1</w:t>
            </w:r>
          </w:p>
        </w:tc>
      </w:tr>
      <w:tr>
        <w:trPr/>
        <w:tc>
          <w:tcPr>
            <w:tcW w:w="815"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LH071Z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2007-18N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2007-18N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LH072Z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2007-10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2007-10</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LH073C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2007-1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LH074C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2007-2N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LH074Z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2007-BNC1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2007-BNC1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LH075C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LH075Z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2007-10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2007-10</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LH076C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2007-2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LH076Z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2007-20N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2007-20N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LH077C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BNC 2007-1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LH077Z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2007-11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LH078C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2007-3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LH079C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2007-4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LH079Z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2007-BC4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2007-BC4</w:t>
            </w:r>
          </w:p>
        </w:tc>
      </w:tr>
      <w:tr>
        <w:trPr/>
        <w:tc>
          <w:tcPr>
            <w:tcW w:w="81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LH07AZ</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BNC 2007-4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81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LH07BC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2007-3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LH07CC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2007-4</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LH07FC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BNC 2007-2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LH07GC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2007-6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2007-6</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LH07JC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2007-5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2007-5</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LH07KC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2007-BC3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2007-BC3</w:t>
            </w:r>
          </w:p>
        </w:tc>
      </w:tr>
      <w:tr>
        <w:trPr/>
        <w:tc>
          <w:tcPr>
            <w:tcW w:w="81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LH07LC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2007-9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2007-9</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LH07MC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2007-8h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2007-8h</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LH07NC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SASCO 2007-OS1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2007-OS1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LH07RC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2007-12N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2007-12N</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LH07SC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2007-11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LH07TC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BNC 2007-3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2007-3</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LH07WC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LMT 2007-7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2007-7</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LH07XC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LXS 2007-15N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2007-15N</w:t>
            </w:r>
          </w:p>
        </w:tc>
      </w:tr>
      <w:tr>
        <w:trPr/>
        <w:tc>
          <w:tcPr>
            <w:tcW w:w="815" w:type="dxa"/>
            <w:tcBorders>
              <w:left w:val="single" w:sz="8" w:space="0" w:color="000000"/>
              <w:bottom w:val="single" w:sz="8" w:space="0" w:color="000000"/>
              <w:right w:val="single" w:sz="8" w:space="0" w:color="000000"/>
            </w:tcBorders>
            <w:tcMar>
              <w:top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LH07ZC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SARM 2007-8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2007-8</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MG071C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MHL 2007-1/Wells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MG072C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MHL 2007-2/Wells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2007-2</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ML061C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MLMI</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2006-AR1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ML072C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 2007-A3/Wells Fargo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2007-A3</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ML073C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 2007-AF1/Wells Fargo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2007-AF1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MS064C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MSM custody only</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2006-11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SG071C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SG Mortgage Securities Trust</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2007-NC1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SU071C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STICS 2007-1/Wells Fargo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UB061C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UBS MASTR</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2006-AM1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UB062C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UBS MASTR</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2006-NC1</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UB063C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UBS MASTR</w:t>
            </w:r>
          </w:p>
        </w:tc>
        <w:tc>
          <w:tcPr>
            <w:tcW w:w="1025" w:type="dxa"/>
            <w:tcBorders>
              <w:bottom w:val="single" w:sz="8" w:space="0" w:color="000000"/>
              <w:right w:val="single" w:sz="8" w:space="0" w:color="000000"/>
            </w:tcBorders>
            <w:tcMar>
              <w:top w:w="0" w:type="dxa"/>
              <w:left w:w="0" w:type="dxa"/>
              <w:bottom w:w="29"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2006HE-2</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UB064C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MABS 2006-AM2 custody only</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2006-AM2</w:t>
            </w:r>
          </w:p>
        </w:tc>
      </w:tr>
      <w:tr>
        <w:trPr/>
        <w:tc>
          <w:tcPr>
            <w:tcW w:w="8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UB065C</w:t>
            </w:r>
          </w:p>
        </w:tc>
        <w:tc>
          <w:tcPr>
            <w:tcW w:w="3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UBS MASTR</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2006-NC2</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640" w:type="dxa"/>
        <w:jc w:val="left"/>
        <w:tblInd w:w="-10" w:type="dxa"/>
        <w:tblLayout w:type="fixed"/>
        <w:tblCellMar>
          <w:top w:w="41" w:type="dxa"/>
          <w:left w:w="28" w:type="dxa"/>
          <w:bottom w:w="31" w:type="dxa"/>
          <w:right w:w="28" w:type="dxa"/>
        </w:tblCellMar>
      </w:tblPr>
      <w:tblGrid>
        <w:gridCol w:w="800"/>
        <w:gridCol w:w="3905"/>
        <w:gridCol w:w="935"/>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ID</w:t>
            </w:r>
          </w:p>
        </w:tc>
        <w:tc>
          <w:tcPr>
            <w:tcW w:w="3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Deal Name</w:t>
            </w:r>
          </w:p>
        </w:tc>
        <w:tc>
          <w:tcPr>
            <w:tcW w:w="9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UB066C</w:t>
            </w:r>
          </w:p>
        </w:tc>
        <w:tc>
          <w:tcPr>
            <w:tcW w:w="3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US Bank UBS MASTR 2006-AM3</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2006-AM3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UB067C</w:t>
            </w:r>
          </w:p>
        </w:tc>
        <w:tc>
          <w:tcPr>
            <w:tcW w:w="3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UBS MASTR</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2006-NC3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UB068C</w:t>
            </w:r>
          </w:p>
        </w:tc>
        <w:tc>
          <w:tcPr>
            <w:tcW w:w="3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Wells Fargo/ UBS MASTR</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2006-HE5</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WA071C</w:t>
            </w:r>
          </w:p>
        </w:tc>
        <w:tc>
          <w:tcPr>
            <w:tcW w:w="3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WaMu 2007-HE2/ Citi custody</w:t>
            </w:r>
          </w:p>
        </w:tc>
        <w:tc>
          <w:tcPr>
            <w:tcW w:w="935" w:type="dxa"/>
            <w:tcBorders>
              <w:bottom w:val="single" w:sz="8" w:space="0" w:color="000000"/>
              <w:right w:val="single" w:sz="8" w:space="0" w:color="000000"/>
            </w:tcBorders>
            <w:tcMar>
              <w:top w:w="0" w:type="dxa"/>
              <w:left w:w="0" w:type="dxa"/>
              <w:bottom w:w="32"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2007-HE2</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WA072C</w:t>
            </w:r>
          </w:p>
        </w:tc>
        <w:tc>
          <w:tcPr>
            <w:tcW w:w="3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WaMu 2007-HE3/ Citi custody</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2007-HE3</w:t>
            </w:r>
          </w:p>
        </w:tc>
      </w:tr>
      <w:tr>
        <w:trPr/>
        <w:tc>
          <w:tcPr>
            <w:tcW w:w="8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WA073C</w:t>
            </w:r>
          </w:p>
        </w:tc>
        <w:tc>
          <w:tcPr>
            <w:tcW w:w="3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WaMu 2007-HE4/ Citi custody</w:t>
            </w:r>
          </w:p>
        </w:tc>
        <w:tc>
          <w:tcPr>
            <w:tcW w:w="9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2007-HE4</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8" w:name="tm249618d1_ex34-1.htm"/>
      <w:bookmarkStart w:id="9" w:name="kstm249618d1_ex341"/>
      <w:bookmarkEnd w:id="8"/>
      <w:bookmarkEnd w:id="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ON ASSESSMENT OF COMPLIANCE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 FOR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Member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Houston Electric,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management of CenterPoint Energy Houston Electric, LLC’s assertion, included in the accompanying Report on Assessment of Compliance with Servicing Criteria for Asset-Backed Securities for CenterPoint Energy Houston Electric, LLC, that CenterPoint Energy Houston Electric, LLC (the "Company") complied with the servicing criteria set forth in Item 1122(d) of the Securities and Exchange Commission's Regulation AB for the $1,695 million original principal amount of CenterPoint Energy Transition Bond Company IV, LLC’s transition bonds (the “2012 Senior Secured Transition Bonds”), excluding criteria in Items 1122(d) (1)(ii) (outsourcing), (1)(iii) (back-up servicing), (1)(iv) (fidelity bond), (2)(ii) (wire transfer disbursements), (2)(vi) (unissued checks), (3)(ii) (allocation and remittance), (3)(iii) (disbursements to investors), (4)(iii) (additions, removals or substitutions), (4)(v) (records regarding pool assets), (4)(ix) (adjustments to interest rates), (4)(xi) (payments on behalf of obligors), (4)(xii) (late payment penalties), (4)(xiii) (obligor disbursements), and (4)(xv) (external credit enhancement) (the “servicing criteria”), as of and for the year ended December 31, 2023, which management has determined are not applicable to the activities performed by the Company with respect to the 2012 Senior Secured Transition Bonds. Management is responsible for the Company’s compliance with the servicing criteria and its assertion. Our responsibility is to express an opinion on management’s assertion about the Company's compliance with the servicing criteria based on our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about compliance with the servicing criteria is fairly stated, in all material respects. An examination involves performing procedures to obtain evidence about management’s assertion on compliance with the servicing criteria. The nature, timing and extent of the procedures selected depend on our judgment, including an assessment of the risks of material misstatement of management’s assertion on compliance with the servicing criteria, whether due to error or fraud, and, accordingly, included examining, on a test basis, evidence about the Company's compliance with the servicing criteria, including tests on a sample basis of the servicing activities related to the Platform,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2012 Senior Secured Transition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be independent and to meet our other ethical responsibilities in accordance with relevant ethical requirements relating to the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does not provide a legal determination on the Company's compliance with the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management’s assertion that the Company complied with the servicing criteria as of and for the year ended December 31, 2023, is fairly stated,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0" w:name="tm249618d1_ex34-2.htm"/>
      <w:bookmarkStart w:id="11" w:name="kstm249618d1_ex342"/>
      <w:bookmarkEnd w:id="10"/>
      <w:bookmarkEnd w:id="1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ON ASSESSMENT OF COMPLIANCE WITH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SERVICING CRITERIA FOR ASSET-BACKED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National Trust Company and 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management’s assertion, included in the accompanying Management’s Assertion of Compliance, that Trust &amp; Agency Services department of Deutsche Bank National Trust Company and Deutsche Bank Trust Company Americas (collectively the “Company”) complied with the servicing criteria set forth in Item 1122(d) of the Securities and Exchange Commission’s Regulation AB for the publicly-issued (i.e., transaction-level reporting required under the Securities Exchange Act of 1934, as amended) and certain privately-issued (i.e., for which transaction-level reporting is required pursuant to contractual obligation) residential mortgage-backed securities, commercial mortgage-backed securities and other asset-backed securities issued on or after January 1, 2006, for which the Company provides trustee, certificate administrator, securities administration, paying agent or custodian services, as defined in the transaction agreements, excluding publicly-issued securities sponsored or issued by any government sponsored entity (the “Platform”), as of and for the year ended December 31, 2023 except for criteria 1122(d)(4)(iv) – 1122(d)(4)(xiv), which the Company has determined are not applicable to the activities it performs with respect to the servicing platform covered by this report. Refer to Appendix A of Management’s Assertion of Compliance for the asset backed transactions covered by this platform. Management is responsible for the Company’s compliance with those servicing criteria. Our responsibility is to express an opinion on management’s assertion about the Company’s compliance with the servicing criteria based on our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 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criteria 1122(d)(1)(ii), 1122(d)(1)(iii), 1122(d)(2)(iii) and 1122(d)(4)(iii) of Regulation AB, there were no servicing activities performed by the Company during the year ended December 31, 2023 that required these servicing criteria to be complied with. We believe that the evidence we obtained is sufficient and appropriate to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be independent of the Company and to meet our other ethical responsibilities, in accordance with the relevant ethical requirements related to our examination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examination does not provide a legal determination on the Company’s compliance with the servicing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management’s assertion that the Company complied with the aforementioned servicing criteria as of and for the year ended December 31, 2023 for the platform is fairly stated,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2" w:name="tm249618d1_ex35-1.htm"/>
      <w:bookmarkStart w:id="13" w:name="kstm249618d1_ex351"/>
      <w:bookmarkEnd w:id="12"/>
      <w:bookmarkEnd w:id="1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she is the duly elected and acting Vice President, Investor Relations and Treasurer of CenterPoint Energy Houston Electric, LLC as servicer (the “Servicer”) under the Transition Property Servicing Agreement dated as of January 19, 2012 (the “Servicing Agreement”) between the Servicer and CenterPoint Energy Transition Bond Company IV, LLC (the “Issuer”) and further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5" w:type="dxa"/>
            <w:tcBorders/>
            <w:vAlign w:val="center"/>
          </w:tcPr>
          <w:p>
            <w:pPr>
              <w:pStyle w:val="TableContents"/>
              <w:bidi w:val="0"/>
              <w:spacing w:before="0" w:after="283"/>
              <w:jc w:val="left"/>
              <w:rPr/>
            </w:pPr>
            <w:r>
              <w:rPr/>
              <w:t>A review of the activities of the Servicer and of its performance under the Servicing Agreement during the twelve months ended December 31, 2023 has been made under the supervision of the undersigned pursuant to Section 3.03 of the Servicing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2.</w:t>
            </w:r>
          </w:p>
        </w:tc>
        <w:tc>
          <w:tcPr>
            <w:tcW w:w="10002" w:type="dxa"/>
            <w:tcBorders/>
            <w:vAlign w:val="center"/>
          </w:tcPr>
          <w:p>
            <w:pPr>
              <w:pStyle w:val="TableContents"/>
              <w:bidi w:val="0"/>
              <w:spacing w:before="0" w:after="283"/>
              <w:jc w:val="left"/>
              <w:rPr/>
            </w:pPr>
            <w:r>
              <w:rPr/>
              <w:t>To the best of the undersigned’s knowledge, based on such review, the Servicer has fulfilled all of its obligations in all material respects under the Servicing Agreement throughout the twelve months ended December 31,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of this 28th day of March, 2024.</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545"/>
        <w:gridCol w:w="3920"/>
      </w:tblGrid>
      <w:tr>
        <w:trPr/>
        <w:tc>
          <w:tcPr>
            <w:tcW w:w="75" w:type="dxa"/>
            <w:tcBorders/>
            <w:vAlign w:val="center"/>
          </w:tcPr>
          <w:p>
            <w:pPr>
              <w:pStyle w:val="TableContents"/>
              <w:bidi w:val="0"/>
              <w:spacing w:before="0" w:after="283"/>
              <w:jc w:val="left"/>
              <w:rPr/>
            </w:pPr>
            <w:r>
              <w:rPr/>
              <w:t> </w:t>
            </w:r>
          </w:p>
        </w:tc>
        <w:tc>
          <w:tcPr>
            <w:tcW w:w="44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CenterPoint Energy Houston Electric, LLC, as servicer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Jacqueline M. Richert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Jacqueline M. Richert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Investor Relations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Certificate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SERVICER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Servicer Defaults, or events which with the giving of notice, the lapse of time, or both, would become Servicer Defaults known to the undersigned occurred during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28" w:type="dxa"/>
          <w:right w:w="0" w:type="dxa"/>
        </w:tblCellMar>
      </w:tblPr>
      <w:tblGrid>
        <w:gridCol w:w="1430"/>
        <w:gridCol w:w="60"/>
        <w:gridCol w:w="530"/>
      </w:tblGrid>
      <w:tr>
        <w:trPr/>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Nature of Default</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Status</w:t>
            </w:r>
          </w:p>
        </w:tc>
      </w:tr>
      <w:tr>
        <w:trPr/>
        <w:tc>
          <w:tcPr>
            <w:tcW w:w="14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8732/000119312511292295/d249248dex33.htm" TargetMode="External"/><Relationship Id="rId3" Type="http://schemas.openxmlformats.org/officeDocument/2006/relationships/hyperlink" Target="https://www.sec.gov/Archives/edgar/data/48732/000119312511292295/d249248dex33.htm" TargetMode="External"/><Relationship Id="rId4" Type="http://schemas.openxmlformats.org/officeDocument/2006/relationships/hyperlink" Target="https://www.sec.gov/Archives/edgar/data/48732/000119312512015701/d284746dex31.htm" TargetMode="External"/><Relationship Id="rId5" Type="http://schemas.openxmlformats.org/officeDocument/2006/relationships/hyperlink" Target="https://www.sec.gov/Archives/edgar/data/48732/000119312512015701/d284746dex31.htm" TargetMode="External"/><Relationship Id="rId6" Type="http://schemas.openxmlformats.org/officeDocument/2006/relationships/hyperlink" Target="https://www.sec.gov/Archives/edgar/data/48732/000119312512015701/d284746dex41.htm" TargetMode="External"/><Relationship Id="rId7" Type="http://schemas.openxmlformats.org/officeDocument/2006/relationships/hyperlink" Target="https://www.sec.gov/Archives/edgar/data/48732/000119312512015701/d284746dex41.htm" TargetMode="External"/><Relationship Id="rId8" Type="http://schemas.openxmlformats.org/officeDocument/2006/relationships/hyperlink" Target="https://www.sec.gov/Archives/edgar/data/48732/000119312512015701/d284746dex42.htm" TargetMode="External"/><Relationship Id="rId9" Type="http://schemas.openxmlformats.org/officeDocument/2006/relationships/hyperlink" Target="https://www.sec.gov/Archives/edgar/data/48732/000119312512015701/d284746dex42.htm" TargetMode="External"/><Relationship Id="rId10" Type="http://schemas.openxmlformats.org/officeDocument/2006/relationships/hyperlink" Target="https://www.sec.gov/Archives/edgar/data/48732/000119312512015701/d284746dex42.htm" TargetMode="External"/><Relationship Id="rId11" Type="http://schemas.openxmlformats.org/officeDocument/2006/relationships/hyperlink" Target="https://www.sec.gov/Archives/edgar/data/48732/000119312512015701/d284746dex42.htm" TargetMode="External"/><Relationship Id="rId12" Type="http://schemas.openxmlformats.org/officeDocument/2006/relationships/hyperlink" Target="https://www.sec.gov/Archives/edgar/data/48732/000119312512015701/d284746dex101.htm" TargetMode="External"/><Relationship Id="rId13" Type="http://schemas.openxmlformats.org/officeDocument/2006/relationships/hyperlink" Target="https://www.sec.gov/Archives/edgar/data/48732/000119312512015701/d284746dex101.htm" TargetMode="External"/><Relationship Id="rId14" Type="http://schemas.openxmlformats.org/officeDocument/2006/relationships/hyperlink" Target="https://www.sec.gov/Archives/edgar/data/48732/000119312512015701/d284746dex102.htm" TargetMode="External"/><Relationship Id="rId15" Type="http://schemas.openxmlformats.org/officeDocument/2006/relationships/hyperlink" Target="https://www.sec.gov/Archives/edgar/data/48732/000119312512015701/d284746dex102.htm" TargetMode="External"/><Relationship Id="rId16" Type="http://schemas.openxmlformats.org/officeDocument/2006/relationships/hyperlink" Target="https://www.sec.gov/Archives/edgar/data/48732/000119312512015701/d284746dex103.htm" TargetMode="External"/><Relationship Id="rId17" Type="http://schemas.openxmlformats.org/officeDocument/2006/relationships/hyperlink" Target="https://www.sec.gov/Archives/edgar/data/48732/000119312512015701/d284746dex103.htm" TargetMode="External"/><Relationship Id="rId18" Type="http://schemas.openxmlformats.org/officeDocument/2006/relationships/hyperlink" Target="https://www.sec.gov/Archives/edgar/data/48732/000119312511292295/d249248dex33.htm" TargetMode="External"/><Relationship Id="rId19" Type="http://schemas.openxmlformats.org/officeDocument/2006/relationships/hyperlink" Target="https://www.sec.gov/Archives/edgar/data/48732/000119312511292295/d249248dex33.htm" TargetMode="External"/><Relationship Id="rId20" Type="http://schemas.openxmlformats.org/officeDocument/2006/relationships/hyperlink" Target="https://www.sec.gov/Archives/edgar/data/48732/000119312511292295/d249248dex33.htm" TargetMode="External"/><Relationship Id="rId21" Type="http://schemas.openxmlformats.org/officeDocument/2006/relationships/hyperlink" Target="https://www.sec.gov/Archives/edgar/data/48732/000119312512015701/d284746dex31.htm" TargetMode="External"/><Relationship Id="rId22" Type="http://schemas.openxmlformats.org/officeDocument/2006/relationships/hyperlink" Target="https://www.sec.gov/Archives/edgar/data/48732/000119312512015701/d284746dex31.htm" TargetMode="External"/><Relationship Id="rId23" Type="http://schemas.openxmlformats.org/officeDocument/2006/relationships/hyperlink" Target="https://www.sec.gov/Archives/edgar/data/48732/000119312512015701/d284746dex31.htm" TargetMode="External"/><Relationship Id="rId24" Type="http://schemas.openxmlformats.org/officeDocument/2006/relationships/hyperlink" Target="https://www.sec.gov/Archives/edgar/data/48732/000119312512015701/d284746dex41.htm" TargetMode="External"/><Relationship Id="rId25" Type="http://schemas.openxmlformats.org/officeDocument/2006/relationships/hyperlink" Target="https://www.sec.gov/Archives/edgar/data/48732/000119312512015701/d284746dex41.htm" TargetMode="External"/><Relationship Id="rId26" Type="http://schemas.openxmlformats.org/officeDocument/2006/relationships/hyperlink" Target="https://www.sec.gov/Archives/edgar/data/48732/000119312512015701/d284746dex41.htm" TargetMode="External"/><Relationship Id="rId27" Type="http://schemas.openxmlformats.org/officeDocument/2006/relationships/hyperlink" Target="https://www.sec.gov/Archives/edgar/data/48732/000119312512015701/d284746dex42.htm" TargetMode="External"/><Relationship Id="rId28" Type="http://schemas.openxmlformats.org/officeDocument/2006/relationships/hyperlink" Target="https://www.sec.gov/Archives/edgar/data/48732/000119312512015701/d284746dex42.htm" TargetMode="External"/><Relationship Id="rId29" Type="http://schemas.openxmlformats.org/officeDocument/2006/relationships/hyperlink" Target="https://www.sec.gov/Archives/edgar/data/48732/000119312512015701/d284746dex42.htm" TargetMode="External"/><Relationship Id="rId30" Type="http://schemas.openxmlformats.org/officeDocument/2006/relationships/hyperlink" Target="https://www.sec.gov/Archives/edgar/data/48732/000119312512015701/d284746dex42.htm" TargetMode="External"/><Relationship Id="rId31" Type="http://schemas.openxmlformats.org/officeDocument/2006/relationships/hyperlink" Target="https://www.sec.gov/Archives/edgar/data/48732/000119312512015701/d284746dex42.htm" TargetMode="External"/><Relationship Id="rId32" Type="http://schemas.openxmlformats.org/officeDocument/2006/relationships/hyperlink" Target="https://www.sec.gov/Archives/edgar/data/48732/000119312512015701/d284746dex42.htm" TargetMode="External"/><Relationship Id="rId33" Type="http://schemas.openxmlformats.org/officeDocument/2006/relationships/hyperlink" Target="https://www.sec.gov/Archives/edgar/data/48732/000119312512015701/d284746dex101.htm" TargetMode="External"/><Relationship Id="rId34" Type="http://schemas.openxmlformats.org/officeDocument/2006/relationships/hyperlink" Target="https://www.sec.gov/Archives/edgar/data/48732/000119312512015701/d284746dex101.htm" TargetMode="External"/><Relationship Id="rId35" Type="http://schemas.openxmlformats.org/officeDocument/2006/relationships/hyperlink" Target="https://www.sec.gov/Archives/edgar/data/48732/000119312512015701/d284746dex101.htm" TargetMode="External"/><Relationship Id="rId36" Type="http://schemas.openxmlformats.org/officeDocument/2006/relationships/hyperlink" Target="https://www.sec.gov/Archives/edgar/data/48732/000119312512015701/d284746dex102.htm" TargetMode="External"/><Relationship Id="rId37" Type="http://schemas.openxmlformats.org/officeDocument/2006/relationships/hyperlink" Target="https://www.sec.gov/Archives/edgar/data/48732/000119312512015701/d284746dex102.htm" TargetMode="External"/><Relationship Id="rId38" Type="http://schemas.openxmlformats.org/officeDocument/2006/relationships/hyperlink" Target="https://www.sec.gov/Archives/edgar/data/48732/000119312512015701/d284746dex102.htm" TargetMode="External"/><Relationship Id="rId39" Type="http://schemas.openxmlformats.org/officeDocument/2006/relationships/hyperlink" Target="https://www.sec.gov/Archives/edgar/data/48732/000119312512015701/d284746dex103.htm" TargetMode="External"/><Relationship Id="rId40" Type="http://schemas.openxmlformats.org/officeDocument/2006/relationships/hyperlink" Target="https://www.sec.gov/Archives/edgar/data/48732/000119312512015701/d284746dex103.htm" TargetMode="External"/><Relationship Id="rId41" Type="http://schemas.openxmlformats.org/officeDocument/2006/relationships/hyperlink" Target="https://www.sec.gov/Archives/edgar/data/48732/000119312512015701/d284746dex103.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13086</Words>
  <Characters>76965</Characters>
  <CharactersWithSpaces>87951</CharactersWithSpaces>
  <Paragraphs>3774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